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615294" w14:textId="77777777" w:rsidR="002861E2" w:rsidRPr="00830F4C" w:rsidRDefault="002861E2" w:rsidP="002861E2">
      <w:pPr>
        <w:autoSpaceDE w:val="0"/>
        <w:autoSpaceDN w:val="0"/>
        <w:adjustRightInd w:val="0"/>
        <w:ind w:firstLine="284"/>
        <w:jc w:val="center"/>
        <w:rPr>
          <w:rFonts w:ascii="Garamond" w:eastAsiaTheme="minorHAnsi" w:hAnsi="Garamond"/>
          <w:b/>
        </w:rPr>
      </w:pPr>
      <w:bookmarkStart w:id="0" w:name="_Hlk187069384"/>
      <w:bookmarkEnd w:id="0"/>
      <w:r w:rsidRPr="00830F4C">
        <w:rPr>
          <w:rFonts w:ascii="Garamond" w:eastAsiaTheme="minorHAnsi" w:hAnsi="Garamond"/>
          <w:b/>
        </w:rPr>
        <w:t>VENDIM</w:t>
      </w:r>
    </w:p>
    <w:p w14:paraId="6DA9E588" w14:textId="1E6A1F63" w:rsidR="002861E2" w:rsidRPr="00830F4C" w:rsidRDefault="002861E2" w:rsidP="002861E2">
      <w:pPr>
        <w:autoSpaceDE w:val="0"/>
        <w:autoSpaceDN w:val="0"/>
        <w:adjustRightInd w:val="0"/>
        <w:ind w:firstLine="284"/>
        <w:jc w:val="center"/>
        <w:rPr>
          <w:rFonts w:ascii="Garamond" w:eastAsiaTheme="minorHAnsi" w:hAnsi="Garamond"/>
          <w:b/>
        </w:rPr>
      </w:pPr>
      <w:r w:rsidRPr="00830F4C">
        <w:rPr>
          <w:rFonts w:ascii="Garamond" w:eastAsiaTheme="minorHAnsi" w:hAnsi="Garamond"/>
          <w:b/>
        </w:rPr>
        <w:t>Nr</w:t>
      </w:r>
      <w:r w:rsidR="00723888" w:rsidRPr="00830F4C">
        <w:rPr>
          <w:rFonts w:ascii="Garamond" w:eastAsiaTheme="minorHAnsi" w:hAnsi="Garamond"/>
          <w:b/>
        </w:rPr>
        <w:t>.</w:t>
      </w:r>
      <w:r w:rsidR="00120EA0" w:rsidRPr="00830F4C">
        <w:rPr>
          <w:rFonts w:ascii="Garamond" w:eastAsiaTheme="minorHAnsi" w:hAnsi="Garamond" w:cs="Calibri"/>
          <w:b/>
          <w:bCs/>
        </w:rPr>
        <w:t xml:space="preserve"> </w:t>
      </w:r>
      <w:r w:rsidR="00723888" w:rsidRPr="00830F4C">
        <w:rPr>
          <w:rFonts w:ascii="Garamond" w:eastAsiaTheme="minorHAnsi" w:hAnsi="Garamond"/>
          <w:b/>
        </w:rPr>
        <w:t>847</w:t>
      </w:r>
      <w:r w:rsidRPr="00830F4C">
        <w:rPr>
          <w:rFonts w:ascii="Garamond" w:eastAsiaTheme="minorHAnsi" w:hAnsi="Garamond"/>
          <w:b/>
        </w:rPr>
        <w:t xml:space="preserve">, </w:t>
      </w:r>
      <w:r w:rsidR="00120EA0" w:rsidRPr="00830F4C">
        <w:rPr>
          <w:rFonts w:ascii="Garamond" w:eastAsiaTheme="minorHAnsi" w:hAnsi="Garamond" w:cs="Calibri"/>
          <w:b/>
          <w:bCs/>
        </w:rPr>
        <w:t>dat</w:t>
      </w:r>
      <w:r w:rsidR="00236281" w:rsidRPr="00830F4C">
        <w:rPr>
          <w:rFonts w:ascii="Garamond" w:eastAsiaTheme="minorHAnsi" w:hAnsi="Garamond" w:cs="Calibri"/>
          <w:b/>
          <w:bCs/>
        </w:rPr>
        <w:t>ë</w:t>
      </w:r>
      <w:r w:rsidR="00120EA0" w:rsidRPr="00830F4C">
        <w:rPr>
          <w:rFonts w:ascii="Garamond" w:eastAsiaTheme="minorHAnsi" w:hAnsi="Garamond" w:cs="Calibri"/>
          <w:b/>
          <w:bCs/>
        </w:rPr>
        <w:t xml:space="preserve"> </w:t>
      </w:r>
      <w:r w:rsidR="00723888" w:rsidRPr="00830F4C">
        <w:rPr>
          <w:rFonts w:ascii="Garamond" w:eastAsiaTheme="minorHAnsi" w:hAnsi="Garamond" w:cs="Calibri"/>
          <w:b/>
          <w:bCs/>
        </w:rPr>
        <w:t>26</w:t>
      </w:r>
      <w:r w:rsidR="00723888" w:rsidRPr="00830F4C">
        <w:rPr>
          <w:rFonts w:ascii="Garamond" w:eastAsiaTheme="minorHAnsi" w:hAnsi="Garamond"/>
          <w:b/>
        </w:rPr>
        <w:t>.12.2024</w:t>
      </w:r>
    </w:p>
    <w:p w14:paraId="29D79695" w14:textId="77777777" w:rsidR="002861E2" w:rsidRPr="00830F4C" w:rsidRDefault="002861E2" w:rsidP="002861E2">
      <w:pPr>
        <w:autoSpaceDE w:val="0"/>
        <w:autoSpaceDN w:val="0"/>
        <w:adjustRightInd w:val="0"/>
        <w:ind w:firstLine="284"/>
        <w:jc w:val="center"/>
        <w:rPr>
          <w:rFonts w:ascii="Garamond" w:eastAsiaTheme="minorHAnsi" w:hAnsi="Garamond"/>
          <w:b/>
        </w:rPr>
      </w:pPr>
    </w:p>
    <w:p w14:paraId="4EB8957D" w14:textId="77777777" w:rsidR="002861E2" w:rsidRPr="00830F4C" w:rsidRDefault="002861E2" w:rsidP="002861E2">
      <w:pPr>
        <w:autoSpaceDE w:val="0"/>
        <w:autoSpaceDN w:val="0"/>
        <w:adjustRightInd w:val="0"/>
        <w:ind w:firstLine="284"/>
        <w:jc w:val="center"/>
        <w:rPr>
          <w:rFonts w:ascii="Garamond" w:eastAsiaTheme="minorHAnsi" w:hAnsi="Garamond"/>
          <w:b/>
        </w:rPr>
      </w:pPr>
      <w:r w:rsidRPr="00830F4C">
        <w:rPr>
          <w:rFonts w:ascii="Garamond" w:eastAsiaTheme="minorHAnsi" w:hAnsi="Garamond"/>
          <w:b/>
        </w:rPr>
        <w:t xml:space="preserve">PËR </w:t>
      </w:r>
      <w:r w:rsidRPr="00830F4C">
        <w:rPr>
          <w:rFonts w:ascii="Garamond" w:eastAsiaTheme="minorHAnsi" w:hAnsi="Garamond"/>
          <w:b/>
          <w:caps/>
        </w:rPr>
        <w:t>miratimin e Strategjisë AFATMESME TË TË ARDHURAVE</w:t>
      </w:r>
    </w:p>
    <w:p w14:paraId="1A4BC191" w14:textId="757411D1" w:rsidR="002861E2" w:rsidRPr="00830F4C" w:rsidRDefault="002861E2" w:rsidP="002861E2">
      <w:pPr>
        <w:autoSpaceDE w:val="0"/>
        <w:autoSpaceDN w:val="0"/>
        <w:adjustRightInd w:val="0"/>
        <w:ind w:firstLine="284"/>
        <w:jc w:val="center"/>
        <w:rPr>
          <w:rFonts w:ascii="Garamond" w:eastAsiaTheme="minorHAnsi" w:hAnsi="Garamond"/>
          <w:b/>
        </w:rPr>
      </w:pPr>
      <w:r w:rsidRPr="00830F4C">
        <w:rPr>
          <w:rFonts w:ascii="Garamond" w:eastAsiaTheme="minorHAnsi" w:hAnsi="Garamond"/>
          <w:b/>
          <w:caps/>
        </w:rPr>
        <w:t>dhe Planit tË Veprimit 2024</w:t>
      </w:r>
      <w:r w:rsidR="00120EA0" w:rsidRPr="00830F4C">
        <w:rPr>
          <w:rFonts w:ascii="Garamond" w:hAnsi="Garamond"/>
          <w:b/>
        </w:rPr>
        <w:t>–</w:t>
      </w:r>
      <w:r w:rsidRPr="00830F4C">
        <w:rPr>
          <w:rFonts w:ascii="Garamond" w:eastAsiaTheme="minorHAnsi" w:hAnsi="Garamond"/>
          <w:b/>
          <w:caps/>
        </w:rPr>
        <w:t>2027</w:t>
      </w:r>
    </w:p>
    <w:p w14:paraId="674D9364" w14:textId="77777777" w:rsidR="002861E2" w:rsidRPr="00830F4C" w:rsidRDefault="002861E2" w:rsidP="002861E2">
      <w:pPr>
        <w:autoSpaceDE w:val="0"/>
        <w:autoSpaceDN w:val="0"/>
        <w:adjustRightInd w:val="0"/>
        <w:ind w:firstLine="284"/>
        <w:jc w:val="both"/>
        <w:rPr>
          <w:rFonts w:ascii="Garamond" w:eastAsiaTheme="minorHAnsi" w:hAnsi="Garamond"/>
        </w:rPr>
      </w:pPr>
      <w:r w:rsidRPr="00830F4C">
        <w:rPr>
          <w:rFonts w:ascii="Garamond" w:eastAsiaTheme="minorHAnsi" w:hAnsi="Garamond"/>
        </w:rPr>
        <w:t xml:space="preserve"> </w:t>
      </w:r>
    </w:p>
    <w:p w14:paraId="261C5A9E" w14:textId="77777777" w:rsidR="002861E2" w:rsidRPr="00830F4C" w:rsidRDefault="002861E2" w:rsidP="002861E2">
      <w:pPr>
        <w:autoSpaceDE w:val="0"/>
        <w:autoSpaceDN w:val="0"/>
        <w:adjustRightInd w:val="0"/>
        <w:ind w:firstLine="284"/>
        <w:jc w:val="both"/>
        <w:rPr>
          <w:rFonts w:ascii="Garamond" w:eastAsiaTheme="minorHAnsi" w:hAnsi="Garamond"/>
        </w:rPr>
      </w:pPr>
      <w:r w:rsidRPr="00830F4C">
        <w:rPr>
          <w:rFonts w:ascii="Garamond" w:eastAsiaTheme="minorHAnsi" w:hAnsi="Garamond"/>
        </w:rPr>
        <w:t>Në mbështetje të nenit 100 të Kushtetutës, me propozimin e ministrit të Financave, Këshilli i Ministrave</w:t>
      </w:r>
      <w:r w:rsidRPr="00830F4C">
        <w:rPr>
          <w:rFonts w:ascii="Garamond" w:eastAsiaTheme="minorHAnsi" w:hAnsi="Garamond"/>
          <w:b/>
        </w:rPr>
        <w:t xml:space="preserve"> </w:t>
      </w:r>
    </w:p>
    <w:p w14:paraId="28CD1978" w14:textId="77777777" w:rsidR="002861E2" w:rsidRPr="00830F4C" w:rsidRDefault="002861E2" w:rsidP="002861E2">
      <w:pPr>
        <w:autoSpaceDE w:val="0"/>
        <w:autoSpaceDN w:val="0"/>
        <w:adjustRightInd w:val="0"/>
        <w:ind w:firstLine="284"/>
        <w:jc w:val="center"/>
        <w:rPr>
          <w:rFonts w:ascii="Garamond" w:eastAsiaTheme="minorHAnsi" w:hAnsi="Garamond"/>
        </w:rPr>
      </w:pPr>
      <w:r w:rsidRPr="00830F4C">
        <w:rPr>
          <w:rFonts w:ascii="Garamond" w:eastAsiaTheme="minorHAnsi" w:hAnsi="Garamond"/>
        </w:rPr>
        <w:t>VENDOSI:</w:t>
      </w:r>
    </w:p>
    <w:p w14:paraId="5F56E1AA" w14:textId="77777777" w:rsidR="002861E2" w:rsidRPr="00830F4C" w:rsidRDefault="002861E2" w:rsidP="002861E2">
      <w:pPr>
        <w:autoSpaceDE w:val="0"/>
        <w:autoSpaceDN w:val="0"/>
        <w:adjustRightInd w:val="0"/>
        <w:ind w:firstLine="284"/>
        <w:jc w:val="center"/>
        <w:rPr>
          <w:rFonts w:ascii="Garamond" w:eastAsiaTheme="minorHAnsi" w:hAnsi="Garamond"/>
          <w:b/>
        </w:rPr>
      </w:pPr>
    </w:p>
    <w:p w14:paraId="231C2521" w14:textId="00DC76BE" w:rsidR="002861E2" w:rsidRPr="00830F4C" w:rsidRDefault="002861E2" w:rsidP="002861E2">
      <w:pPr>
        <w:autoSpaceDE w:val="0"/>
        <w:autoSpaceDN w:val="0"/>
        <w:adjustRightInd w:val="0"/>
        <w:ind w:firstLine="284"/>
        <w:jc w:val="both"/>
        <w:rPr>
          <w:rFonts w:ascii="Garamond" w:eastAsiaTheme="minorHAnsi" w:hAnsi="Garamond"/>
        </w:rPr>
      </w:pPr>
      <w:r w:rsidRPr="00830F4C">
        <w:rPr>
          <w:rFonts w:ascii="Garamond" w:eastAsiaTheme="minorHAnsi" w:hAnsi="Garamond"/>
        </w:rPr>
        <w:t>1. Miratimin e Strategjisë Afatmesme të të Ardhurave dhe planit të veprimit 2024</w:t>
      </w:r>
      <w:r w:rsidR="00120EA0" w:rsidRPr="00830F4C">
        <w:rPr>
          <w:rFonts w:ascii="Garamond" w:hAnsi="Garamond"/>
        </w:rPr>
        <w:t>–</w:t>
      </w:r>
      <w:r w:rsidRPr="00830F4C">
        <w:rPr>
          <w:rFonts w:ascii="Garamond" w:eastAsiaTheme="minorHAnsi" w:hAnsi="Garamond"/>
        </w:rPr>
        <w:t>2027, sipas dokumentit që i bashkëlidhet këtij vendimi.</w:t>
      </w:r>
    </w:p>
    <w:p w14:paraId="09C92BD2" w14:textId="77777777" w:rsidR="002861E2" w:rsidRPr="00830F4C" w:rsidRDefault="002861E2" w:rsidP="002861E2">
      <w:pPr>
        <w:autoSpaceDE w:val="0"/>
        <w:autoSpaceDN w:val="0"/>
        <w:adjustRightInd w:val="0"/>
        <w:ind w:firstLine="284"/>
        <w:jc w:val="both"/>
        <w:rPr>
          <w:rFonts w:ascii="Garamond" w:eastAsiaTheme="minorHAnsi" w:hAnsi="Garamond"/>
        </w:rPr>
      </w:pPr>
      <w:r w:rsidRPr="00830F4C">
        <w:rPr>
          <w:rFonts w:ascii="Garamond" w:eastAsiaTheme="minorHAnsi" w:hAnsi="Garamond"/>
        </w:rPr>
        <w:t>2.</w:t>
      </w:r>
      <w:r w:rsidR="00120EA0" w:rsidRPr="00830F4C">
        <w:rPr>
          <w:rFonts w:ascii="Garamond" w:eastAsiaTheme="minorHAnsi" w:hAnsi="Garamond" w:cs="Calibri"/>
        </w:rPr>
        <w:t xml:space="preserve"> </w:t>
      </w:r>
      <w:r w:rsidRPr="00830F4C">
        <w:rPr>
          <w:rFonts w:ascii="Garamond" w:eastAsiaTheme="minorHAnsi" w:hAnsi="Garamond"/>
        </w:rPr>
        <w:t>Ngarkohen Ministria e Financave dhe institucionet përgjegjëse, sipas përcaktimeve, referuar dokumentit strategjik dhe planit të veprimit, për zbatimin e këtij vendimi.</w:t>
      </w:r>
    </w:p>
    <w:p w14:paraId="05A2E00C" w14:textId="3668FFFF" w:rsidR="002861E2" w:rsidRPr="00830F4C" w:rsidRDefault="002861E2" w:rsidP="002861E2">
      <w:pPr>
        <w:autoSpaceDE w:val="0"/>
        <w:autoSpaceDN w:val="0"/>
        <w:adjustRightInd w:val="0"/>
        <w:jc w:val="both"/>
        <w:rPr>
          <w:rFonts w:ascii="Garamond" w:eastAsiaTheme="minorHAnsi" w:hAnsi="Garamond"/>
        </w:rPr>
      </w:pPr>
      <w:r w:rsidRPr="00830F4C">
        <w:rPr>
          <w:rFonts w:ascii="Garamond" w:eastAsiaTheme="minorHAnsi" w:hAnsi="Garamond"/>
        </w:rPr>
        <w:t xml:space="preserve">Ky vendim hyn në fuqi pas botimit në Fletoren </w:t>
      </w:r>
      <w:r w:rsidR="00C256A5" w:rsidRPr="00830F4C">
        <w:rPr>
          <w:rFonts w:ascii="Garamond" w:eastAsiaTheme="minorHAnsi" w:hAnsi="Garamond"/>
        </w:rPr>
        <w:t>Zyrtare</w:t>
      </w:r>
      <w:r w:rsidRPr="00830F4C">
        <w:rPr>
          <w:rFonts w:ascii="Garamond" w:eastAsiaTheme="minorHAnsi" w:hAnsi="Garamond"/>
        </w:rPr>
        <w:t>.</w:t>
      </w:r>
    </w:p>
    <w:p w14:paraId="5479EE25" w14:textId="77777777" w:rsidR="002861E2" w:rsidRPr="00830F4C" w:rsidRDefault="002861E2" w:rsidP="002861E2">
      <w:pPr>
        <w:autoSpaceDE w:val="0"/>
        <w:autoSpaceDN w:val="0"/>
        <w:adjustRightInd w:val="0"/>
        <w:ind w:firstLine="284"/>
        <w:jc w:val="center"/>
        <w:rPr>
          <w:rFonts w:ascii="Garamond" w:eastAsiaTheme="minorHAnsi" w:hAnsi="Garamond"/>
          <w:b/>
        </w:rPr>
      </w:pPr>
    </w:p>
    <w:p w14:paraId="64B1EDB6" w14:textId="77777777" w:rsidR="002861E2" w:rsidRPr="00830F4C" w:rsidRDefault="002861E2" w:rsidP="002861E2">
      <w:pPr>
        <w:autoSpaceDE w:val="0"/>
        <w:autoSpaceDN w:val="0"/>
        <w:adjustRightInd w:val="0"/>
        <w:ind w:firstLine="284"/>
        <w:jc w:val="right"/>
        <w:rPr>
          <w:rFonts w:ascii="Garamond" w:eastAsiaTheme="minorHAnsi" w:hAnsi="Garamond"/>
        </w:rPr>
      </w:pPr>
      <w:r w:rsidRPr="00830F4C">
        <w:rPr>
          <w:rFonts w:ascii="Garamond" w:eastAsiaTheme="minorHAnsi" w:hAnsi="Garamond"/>
        </w:rPr>
        <w:t>KRYEMINISTËR</w:t>
      </w:r>
    </w:p>
    <w:p w14:paraId="18F94B04" w14:textId="406BB8C6" w:rsidR="002861E2" w:rsidRPr="00830F4C" w:rsidRDefault="005309EE" w:rsidP="002861E2">
      <w:pPr>
        <w:autoSpaceDE w:val="0"/>
        <w:autoSpaceDN w:val="0"/>
        <w:adjustRightInd w:val="0"/>
        <w:ind w:firstLine="284"/>
        <w:jc w:val="right"/>
        <w:rPr>
          <w:rFonts w:ascii="Garamond" w:eastAsiaTheme="minorHAnsi" w:hAnsi="Garamond"/>
          <w:b/>
        </w:rPr>
      </w:pPr>
      <w:r w:rsidRPr="00830F4C">
        <w:rPr>
          <w:rFonts w:ascii="Garamond" w:eastAsiaTheme="minorHAnsi" w:hAnsi="Garamond"/>
          <w:b/>
        </w:rPr>
        <w:t>Edi Rama</w:t>
      </w:r>
    </w:p>
    <w:p w14:paraId="2EBFA182" w14:textId="77777777" w:rsidR="002861E2" w:rsidRPr="00830F4C" w:rsidRDefault="002861E2" w:rsidP="005372EA">
      <w:pPr>
        <w:contextualSpacing/>
        <w:jc w:val="center"/>
        <w:rPr>
          <w:rFonts w:ascii="Garamond" w:eastAsiaTheme="minorHAnsi" w:hAnsi="Garamond"/>
          <w:b/>
        </w:rPr>
      </w:pPr>
    </w:p>
    <w:p w14:paraId="08A3D5E4" w14:textId="0CA346E8" w:rsidR="005372EA" w:rsidRPr="00830F4C" w:rsidRDefault="005372EA" w:rsidP="005372EA">
      <w:pPr>
        <w:contextualSpacing/>
        <w:jc w:val="center"/>
        <w:rPr>
          <w:rFonts w:ascii="Garamond" w:hAnsi="Garamond"/>
        </w:rPr>
      </w:pPr>
      <w:r w:rsidRPr="00830F4C">
        <w:rPr>
          <w:rFonts w:ascii="Garamond" w:hAnsi="Garamond"/>
        </w:rPr>
        <w:t>STRATEGJIA AFATMESME E TË ARDHURAVE 2024–2027 DHE PLANI I VEPRIMIT 2024</w:t>
      </w:r>
      <w:r w:rsidR="00120EA0" w:rsidRPr="00830F4C">
        <w:rPr>
          <w:rFonts w:ascii="Garamond" w:hAnsi="Garamond"/>
        </w:rPr>
        <w:t>–</w:t>
      </w:r>
      <w:r w:rsidRPr="00830F4C">
        <w:rPr>
          <w:rFonts w:ascii="Garamond" w:hAnsi="Garamond"/>
        </w:rPr>
        <w:t>2027</w:t>
      </w:r>
    </w:p>
    <w:p w14:paraId="10514141" w14:textId="77777777" w:rsidR="003C3138" w:rsidRPr="00830F4C" w:rsidRDefault="003C3138" w:rsidP="002861E2">
      <w:pPr>
        <w:ind w:firstLine="284"/>
        <w:jc w:val="both"/>
        <w:rPr>
          <w:rFonts w:ascii="Garamond" w:hAnsi="Garamond"/>
        </w:rPr>
      </w:pPr>
    </w:p>
    <w:p w14:paraId="184121A6" w14:textId="45626128" w:rsidR="005372EA" w:rsidRPr="00830F4C" w:rsidRDefault="005372EA" w:rsidP="002861E2">
      <w:pPr>
        <w:ind w:firstLine="284"/>
        <w:jc w:val="both"/>
        <w:rPr>
          <w:rFonts w:ascii="Garamond" w:hAnsi="Garamond"/>
          <w:b/>
        </w:rPr>
      </w:pPr>
      <w:r w:rsidRPr="00830F4C">
        <w:rPr>
          <w:rFonts w:ascii="Garamond" w:hAnsi="Garamond"/>
          <w:b/>
        </w:rPr>
        <w:t xml:space="preserve">Tabela e </w:t>
      </w:r>
      <w:r w:rsidR="00C256A5">
        <w:rPr>
          <w:rFonts w:ascii="Garamond" w:hAnsi="Garamond"/>
          <w:b/>
        </w:rPr>
        <w:t>p</w:t>
      </w:r>
      <w:r w:rsidRPr="00830F4C">
        <w:rPr>
          <w:rFonts w:ascii="Garamond" w:hAnsi="Garamond"/>
          <w:b/>
        </w:rPr>
        <w:t>ërmbajtjes</w:t>
      </w:r>
    </w:p>
    <w:p w14:paraId="15B49847" w14:textId="77777777" w:rsidR="005372EA" w:rsidRPr="00830F4C" w:rsidRDefault="005372EA" w:rsidP="002861E2">
      <w:pPr>
        <w:ind w:firstLine="284"/>
        <w:jc w:val="both"/>
        <w:rPr>
          <w:rFonts w:ascii="Garamond" w:hAnsi="Garamond"/>
        </w:rPr>
      </w:pPr>
      <w:r w:rsidRPr="00830F4C">
        <w:rPr>
          <w:rFonts w:ascii="Garamond" w:hAnsi="Garamond"/>
        </w:rPr>
        <w:t xml:space="preserve">PËRMBLEDHJE EKZEKUTIVE </w:t>
      </w:r>
    </w:p>
    <w:p w14:paraId="4C428D65" w14:textId="422BD1F1" w:rsidR="005372EA" w:rsidRPr="00830F4C" w:rsidRDefault="005372EA" w:rsidP="002861E2">
      <w:pPr>
        <w:ind w:firstLine="284"/>
        <w:jc w:val="both"/>
        <w:rPr>
          <w:rFonts w:ascii="Garamond" w:hAnsi="Garamond"/>
        </w:rPr>
      </w:pPr>
      <w:r w:rsidRPr="00830F4C">
        <w:rPr>
          <w:rFonts w:ascii="Garamond" w:hAnsi="Garamond"/>
        </w:rPr>
        <w:t xml:space="preserve">I. </w:t>
      </w:r>
      <w:r w:rsidR="00AF1255" w:rsidRPr="00830F4C">
        <w:rPr>
          <w:rFonts w:ascii="Garamond" w:hAnsi="Garamond"/>
        </w:rPr>
        <w:t xml:space="preserve">Hyrje </w:t>
      </w:r>
    </w:p>
    <w:p w14:paraId="30373EF9" w14:textId="12311C81" w:rsidR="005372EA" w:rsidRPr="00830F4C" w:rsidRDefault="005372EA" w:rsidP="002861E2">
      <w:pPr>
        <w:ind w:firstLine="284"/>
        <w:jc w:val="both"/>
        <w:rPr>
          <w:rFonts w:ascii="Garamond" w:hAnsi="Garamond"/>
        </w:rPr>
      </w:pPr>
      <w:r w:rsidRPr="00830F4C">
        <w:rPr>
          <w:rFonts w:ascii="Garamond" w:hAnsi="Garamond"/>
        </w:rPr>
        <w:t>II</w:t>
      </w:r>
      <w:r w:rsidR="00E15B9E" w:rsidRPr="00830F4C">
        <w:rPr>
          <w:rFonts w:ascii="Garamond" w:hAnsi="Garamond"/>
        </w:rPr>
        <w:t>.</w:t>
      </w:r>
      <w:r w:rsidRPr="00830F4C">
        <w:rPr>
          <w:rFonts w:ascii="Garamond" w:hAnsi="Garamond"/>
        </w:rPr>
        <w:t xml:space="preserve"> Nevoja për hartimin e Strategjisë Afatmesme të të Ardhurave </w:t>
      </w:r>
    </w:p>
    <w:p w14:paraId="5277A3C8" w14:textId="6EE3DDED" w:rsidR="005372EA" w:rsidRPr="00830F4C" w:rsidRDefault="005372EA" w:rsidP="002861E2">
      <w:pPr>
        <w:ind w:firstLine="284"/>
        <w:jc w:val="both"/>
        <w:rPr>
          <w:rFonts w:ascii="Garamond" w:hAnsi="Garamond"/>
        </w:rPr>
      </w:pPr>
      <w:r w:rsidRPr="00830F4C">
        <w:rPr>
          <w:rFonts w:ascii="Garamond" w:hAnsi="Garamond"/>
        </w:rPr>
        <w:t xml:space="preserve">II.1 Përputhshmëria me qëndrueshmërinë fiskale </w:t>
      </w:r>
    </w:p>
    <w:p w14:paraId="52D31AE1" w14:textId="1D9BC8F9" w:rsidR="005372EA" w:rsidRPr="00830F4C" w:rsidRDefault="005372EA" w:rsidP="002861E2">
      <w:pPr>
        <w:ind w:firstLine="284"/>
        <w:jc w:val="both"/>
        <w:rPr>
          <w:rFonts w:ascii="Garamond" w:hAnsi="Garamond"/>
        </w:rPr>
      </w:pPr>
      <w:r w:rsidRPr="00830F4C">
        <w:rPr>
          <w:rFonts w:ascii="Garamond" w:hAnsi="Garamond"/>
        </w:rPr>
        <w:t xml:space="preserve">II.2 Problematika e identifikuar në </w:t>
      </w:r>
      <w:r w:rsidR="00D22EA5" w:rsidRPr="00830F4C">
        <w:rPr>
          <w:rFonts w:ascii="Garamond" w:hAnsi="Garamond"/>
        </w:rPr>
        <w:t>“</w:t>
      </w:r>
      <w:r w:rsidRPr="00830F4C">
        <w:rPr>
          <w:rFonts w:ascii="Garamond" w:hAnsi="Garamond"/>
        </w:rPr>
        <w:t>pajtueshmërinë tatimore</w:t>
      </w:r>
      <w:r w:rsidR="00D22EA5" w:rsidRPr="00830F4C">
        <w:rPr>
          <w:rFonts w:ascii="Garamond" w:hAnsi="Garamond"/>
        </w:rPr>
        <w:t>”</w:t>
      </w:r>
      <w:r w:rsidRPr="00830F4C">
        <w:rPr>
          <w:rFonts w:ascii="Garamond" w:hAnsi="Garamond"/>
        </w:rPr>
        <w:t xml:space="preserve"> </w:t>
      </w:r>
    </w:p>
    <w:p w14:paraId="07BB00CF" w14:textId="4BC27111" w:rsidR="005372EA" w:rsidRPr="00830F4C" w:rsidRDefault="005372EA" w:rsidP="002861E2">
      <w:pPr>
        <w:ind w:firstLine="284"/>
        <w:jc w:val="both"/>
        <w:rPr>
          <w:rFonts w:ascii="Garamond" w:hAnsi="Garamond"/>
        </w:rPr>
      </w:pPr>
      <w:r w:rsidRPr="00830F4C">
        <w:rPr>
          <w:rFonts w:ascii="Garamond" w:hAnsi="Garamond"/>
        </w:rPr>
        <w:t>II.2.1 Rritja e pajtueshmërisë vullnetare të tatimpaguesve</w:t>
      </w:r>
    </w:p>
    <w:p w14:paraId="2C1ABB39" w14:textId="5963F2A8" w:rsidR="005372EA" w:rsidRPr="00830F4C" w:rsidRDefault="005372EA" w:rsidP="002861E2">
      <w:pPr>
        <w:ind w:firstLine="284"/>
        <w:jc w:val="both"/>
        <w:rPr>
          <w:rFonts w:ascii="Garamond" w:hAnsi="Garamond"/>
        </w:rPr>
      </w:pPr>
      <w:r w:rsidRPr="00830F4C">
        <w:rPr>
          <w:rFonts w:ascii="Garamond" w:hAnsi="Garamond"/>
        </w:rPr>
        <w:t>II.2.2</w:t>
      </w:r>
      <w:r w:rsidR="00120EA0" w:rsidRPr="00830F4C">
        <w:rPr>
          <w:rFonts w:ascii="Garamond" w:hAnsi="Garamond"/>
        </w:rPr>
        <w:t xml:space="preserve"> </w:t>
      </w:r>
      <w:r w:rsidRPr="00830F4C">
        <w:rPr>
          <w:rFonts w:ascii="Garamond" w:hAnsi="Garamond"/>
        </w:rPr>
        <w:t xml:space="preserve">Politikat tatimore – Përjashtimet dhe normat e reduktuara </w:t>
      </w:r>
    </w:p>
    <w:p w14:paraId="188D5220" w14:textId="7A4BF160" w:rsidR="005372EA" w:rsidRPr="00830F4C" w:rsidRDefault="005372EA" w:rsidP="002861E2">
      <w:pPr>
        <w:ind w:firstLine="284"/>
        <w:jc w:val="both"/>
        <w:rPr>
          <w:rFonts w:ascii="Garamond" w:hAnsi="Garamond"/>
        </w:rPr>
      </w:pPr>
      <w:r w:rsidRPr="00830F4C">
        <w:rPr>
          <w:rFonts w:ascii="Garamond" w:hAnsi="Garamond"/>
        </w:rPr>
        <w:t>II.3 Politikat fiskale të ndërmarra gjatë 2013</w:t>
      </w:r>
      <w:r w:rsidR="00120EA0" w:rsidRPr="00830F4C">
        <w:rPr>
          <w:rFonts w:ascii="Garamond" w:hAnsi="Garamond"/>
        </w:rPr>
        <w:t>–</w:t>
      </w:r>
      <w:r w:rsidRPr="00830F4C">
        <w:rPr>
          <w:rFonts w:ascii="Garamond" w:hAnsi="Garamond"/>
        </w:rPr>
        <w:t>2023</w:t>
      </w:r>
      <w:r w:rsidR="003A442A" w:rsidRPr="00830F4C">
        <w:rPr>
          <w:rFonts w:ascii="Garamond" w:hAnsi="Garamond"/>
        </w:rPr>
        <w:t>-shit</w:t>
      </w:r>
    </w:p>
    <w:p w14:paraId="009455FE" w14:textId="40399E11" w:rsidR="005372EA" w:rsidRPr="00830F4C" w:rsidRDefault="005372EA" w:rsidP="002861E2">
      <w:pPr>
        <w:ind w:firstLine="284"/>
        <w:jc w:val="both"/>
        <w:rPr>
          <w:rFonts w:ascii="Garamond" w:hAnsi="Garamond"/>
        </w:rPr>
      </w:pPr>
      <w:r w:rsidRPr="00830F4C">
        <w:rPr>
          <w:rFonts w:ascii="Garamond" w:hAnsi="Garamond"/>
        </w:rPr>
        <w:t>II.4 Bashkëpunimi me FMN</w:t>
      </w:r>
      <w:r w:rsidR="003A442A" w:rsidRPr="00830F4C">
        <w:rPr>
          <w:rFonts w:ascii="Garamond" w:hAnsi="Garamond"/>
        </w:rPr>
        <w:t>-në,</w:t>
      </w:r>
      <w:r w:rsidRPr="00830F4C">
        <w:rPr>
          <w:rFonts w:ascii="Garamond" w:hAnsi="Garamond"/>
        </w:rPr>
        <w:t xml:space="preserve"> lidhur me Strategjinë Afatmesme të të Ardhurave, 2019</w:t>
      </w:r>
      <w:r w:rsidR="00120EA0" w:rsidRPr="00830F4C">
        <w:rPr>
          <w:rFonts w:ascii="Garamond" w:hAnsi="Garamond"/>
        </w:rPr>
        <w:t>–</w:t>
      </w:r>
      <w:r w:rsidRPr="00830F4C">
        <w:rPr>
          <w:rFonts w:ascii="Garamond" w:hAnsi="Garamond"/>
        </w:rPr>
        <w:t xml:space="preserve">2023 </w:t>
      </w:r>
    </w:p>
    <w:p w14:paraId="55B3A5DF" w14:textId="0EFD860A" w:rsidR="005372EA" w:rsidRPr="00830F4C" w:rsidRDefault="005372EA" w:rsidP="002861E2">
      <w:pPr>
        <w:ind w:firstLine="284"/>
        <w:jc w:val="both"/>
        <w:rPr>
          <w:rFonts w:ascii="Garamond" w:hAnsi="Garamond"/>
        </w:rPr>
      </w:pPr>
      <w:r w:rsidRPr="00830F4C">
        <w:rPr>
          <w:rFonts w:ascii="Garamond" w:hAnsi="Garamond"/>
        </w:rPr>
        <w:t xml:space="preserve">III. Vizioni, </w:t>
      </w:r>
      <w:r w:rsidR="003A442A" w:rsidRPr="00830F4C">
        <w:rPr>
          <w:rFonts w:ascii="Garamond" w:hAnsi="Garamond"/>
        </w:rPr>
        <w:t xml:space="preserve">qëllimet dhe objektivat </w:t>
      </w:r>
      <w:r w:rsidRPr="00830F4C">
        <w:rPr>
          <w:rFonts w:ascii="Garamond" w:hAnsi="Garamond"/>
        </w:rPr>
        <w:t xml:space="preserve">e Strategjisë Afatmesme të të Ardhurave </w:t>
      </w:r>
    </w:p>
    <w:p w14:paraId="67EF497B" w14:textId="73D95716" w:rsidR="005372EA" w:rsidRPr="00830F4C" w:rsidRDefault="005372EA" w:rsidP="002861E2">
      <w:pPr>
        <w:ind w:firstLine="284"/>
        <w:jc w:val="both"/>
        <w:rPr>
          <w:rFonts w:ascii="Garamond" w:hAnsi="Garamond"/>
        </w:rPr>
      </w:pPr>
      <w:r w:rsidRPr="00830F4C">
        <w:rPr>
          <w:rFonts w:ascii="Garamond" w:hAnsi="Garamond"/>
        </w:rPr>
        <w:t>III.1</w:t>
      </w:r>
      <w:r w:rsidR="00120EA0" w:rsidRPr="00830F4C">
        <w:rPr>
          <w:rFonts w:ascii="Garamond" w:hAnsi="Garamond"/>
        </w:rPr>
        <w:t xml:space="preserve"> </w:t>
      </w:r>
      <w:r w:rsidRPr="00830F4C">
        <w:rPr>
          <w:rFonts w:ascii="Garamond" w:hAnsi="Garamond"/>
        </w:rPr>
        <w:t xml:space="preserve">Vizioni dhe </w:t>
      </w:r>
      <w:r w:rsidR="003A442A" w:rsidRPr="00830F4C">
        <w:rPr>
          <w:rFonts w:ascii="Garamond" w:hAnsi="Garamond"/>
        </w:rPr>
        <w:t>q</w:t>
      </w:r>
      <w:r w:rsidRPr="00830F4C">
        <w:rPr>
          <w:rFonts w:ascii="Garamond" w:hAnsi="Garamond"/>
        </w:rPr>
        <w:t xml:space="preserve">ëllimet e SAA-së </w:t>
      </w:r>
    </w:p>
    <w:p w14:paraId="61E2E772" w14:textId="73EED2A9" w:rsidR="005372EA" w:rsidRPr="00830F4C" w:rsidRDefault="005372EA" w:rsidP="002861E2">
      <w:pPr>
        <w:ind w:firstLine="284"/>
        <w:jc w:val="both"/>
        <w:rPr>
          <w:rFonts w:ascii="Garamond" w:hAnsi="Garamond"/>
        </w:rPr>
      </w:pPr>
      <w:r w:rsidRPr="00830F4C">
        <w:rPr>
          <w:rFonts w:ascii="Garamond" w:hAnsi="Garamond"/>
        </w:rPr>
        <w:t>III.2</w:t>
      </w:r>
      <w:r w:rsidR="00120EA0" w:rsidRPr="00830F4C">
        <w:rPr>
          <w:rFonts w:ascii="Garamond" w:hAnsi="Garamond"/>
        </w:rPr>
        <w:t xml:space="preserve"> </w:t>
      </w:r>
      <w:r w:rsidRPr="00830F4C">
        <w:rPr>
          <w:rFonts w:ascii="Garamond" w:hAnsi="Garamond"/>
        </w:rPr>
        <w:t>Objektivat e SAA-së</w:t>
      </w:r>
    </w:p>
    <w:p w14:paraId="58D5F29B" w14:textId="2E0B8709" w:rsidR="005372EA" w:rsidRPr="00830F4C" w:rsidRDefault="005372EA" w:rsidP="002861E2">
      <w:pPr>
        <w:ind w:firstLine="284"/>
        <w:jc w:val="both"/>
        <w:rPr>
          <w:rFonts w:ascii="Garamond" w:hAnsi="Garamond"/>
        </w:rPr>
      </w:pPr>
      <w:r w:rsidRPr="00830F4C">
        <w:rPr>
          <w:rFonts w:ascii="Garamond" w:hAnsi="Garamond"/>
        </w:rPr>
        <w:t xml:space="preserve">III.3 Përmbledhja e Strategjisë së të </w:t>
      </w:r>
      <w:r w:rsidR="003A442A" w:rsidRPr="00830F4C">
        <w:rPr>
          <w:rFonts w:ascii="Garamond" w:hAnsi="Garamond"/>
        </w:rPr>
        <w:t xml:space="preserve">Ardhurave </w:t>
      </w:r>
    </w:p>
    <w:p w14:paraId="22C8F742" w14:textId="6801A71F" w:rsidR="005372EA" w:rsidRPr="00830F4C" w:rsidRDefault="005372EA" w:rsidP="002861E2">
      <w:pPr>
        <w:ind w:firstLine="284"/>
        <w:jc w:val="both"/>
        <w:rPr>
          <w:rFonts w:ascii="Garamond" w:hAnsi="Garamond"/>
        </w:rPr>
      </w:pPr>
      <w:r w:rsidRPr="00830F4C">
        <w:rPr>
          <w:rFonts w:ascii="Garamond" w:hAnsi="Garamond"/>
        </w:rPr>
        <w:t>III.1</w:t>
      </w:r>
      <w:r w:rsidR="00120EA0" w:rsidRPr="00830F4C">
        <w:rPr>
          <w:rFonts w:ascii="Garamond" w:hAnsi="Garamond"/>
        </w:rPr>
        <w:t xml:space="preserve"> </w:t>
      </w:r>
      <w:r w:rsidRPr="00830F4C">
        <w:rPr>
          <w:rFonts w:ascii="Garamond" w:hAnsi="Garamond"/>
        </w:rPr>
        <w:t xml:space="preserve">Përputhshmëria e Strategjisë me </w:t>
      </w:r>
      <w:r w:rsidR="00120EA0" w:rsidRPr="00830F4C">
        <w:rPr>
          <w:rFonts w:ascii="Garamond" w:hAnsi="Garamond"/>
        </w:rPr>
        <w:t>Dokumentet</w:t>
      </w:r>
      <w:r w:rsidRPr="00830F4C">
        <w:rPr>
          <w:rFonts w:ascii="Garamond" w:hAnsi="Garamond"/>
        </w:rPr>
        <w:t xml:space="preserve"> Strategjik</w:t>
      </w:r>
      <w:r w:rsidR="00C621CB" w:rsidRPr="00830F4C">
        <w:rPr>
          <w:rFonts w:ascii="Garamond" w:hAnsi="Garamond"/>
        </w:rPr>
        <w:t>e</w:t>
      </w:r>
      <w:r w:rsidRPr="00830F4C">
        <w:rPr>
          <w:rFonts w:ascii="Garamond" w:hAnsi="Garamond"/>
        </w:rPr>
        <w:t xml:space="preserve"> </w:t>
      </w:r>
    </w:p>
    <w:p w14:paraId="12C25561" w14:textId="398D6501" w:rsidR="005372EA" w:rsidRPr="00830F4C" w:rsidRDefault="005372EA" w:rsidP="002861E2">
      <w:pPr>
        <w:ind w:firstLine="284"/>
        <w:jc w:val="both"/>
        <w:rPr>
          <w:rFonts w:ascii="Garamond" w:hAnsi="Garamond"/>
        </w:rPr>
      </w:pPr>
      <w:r w:rsidRPr="00830F4C">
        <w:rPr>
          <w:rFonts w:ascii="Garamond" w:hAnsi="Garamond"/>
        </w:rPr>
        <w:t>IV</w:t>
      </w:r>
      <w:r w:rsidR="00120EA0" w:rsidRPr="00830F4C">
        <w:rPr>
          <w:rFonts w:ascii="Garamond" w:hAnsi="Garamond"/>
        </w:rPr>
        <w:t>.</w:t>
      </w:r>
      <w:r w:rsidRPr="00830F4C">
        <w:rPr>
          <w:rFonts w:ascii="Garamond" w:hAnsi="Garamond"/>
        </w:rPr>
        <w:t xml:space="preserve"> Shtylla 1: Rishikimi i politikave tatimore </w:t>
      </w:r>
    </w:p>
    <w:p w14:paraId="445218C5" w14:textId="0068AD63" w:rsidR="005372EA" w:rsidRPr="00830F4C" w:rsidRDefault="005372EA" w:rsidP="002861E2">
      <w:pPr>
        <w:ind w:firstLine="284"/>
        <w:jc w:val="both"/>
        <w:rPr>
          <w:rFonts w:ascii="Garamond" w:hAnsi="Garamond"/>
        </w:rPr>
      </w:pPr>
      <w:r w:rsidRPr="00830F4C">
        <w:rPr>
          <w:rFonts w:ascii="Garamond" w:hAnsi="Garamond"/>
        </w:rPr>
        <w:t xml:space="preserve">IV.1 Hyrje </w:t>
      </w:r>
    </w:p>
    <w:p w14:paraId="1C8D0FB1" w14:textId="59D90A28" w:rsidR="005372EA" w:rsidRPr="00830F4C" w:rsidRDefault="005372EA" w:rsidP="002861E2">
      <w:pPr>
        <w:ind w:firstLine="284"/>
        <w:jc w:val="both"/>
        <w:rPr>
          <w:rFonts w:ascii="Garamond" w:hAnsi="Garamond"/>
        </w:rPr>
      </w:pPr>
      <w:r w:rsidRPr="00830F4C">
        <w:rPr>
          <w:rFonts w:ascii="Garamond" w:hAnsi="Garamond"/>
        </w:rPr>
        <w:t xml:space="preserve">IV. 2 Komponenti 1.1 Rishikimi i politikës tatimore të tatimeve indirekte (taksave mbi konsumin) </w:t>
      </w:r>
    </w:p>
    <w:p w14:paraId="6A9FAFC5" w14:textId="76678276" w:rsidR="005372EA" w:rsidRPr="00830F4C" w:rsidRDefault="005372EA" w:rsidP="002861E2">
      <w:pPr>
        <w:ind w:firstLine="284"/>
        <w:jc w:val="both"/>
        <w:rPr>
          <w:rFonts w:ascii="Garamond" w:hAnsi="Garamond"/>
        </w:rPr>
      </w:pPr>
      <w:r w:rsidRPr="00830F4C">
        <w:rPr>
          <w:rFonts w:ascii="Garamond" w:hAnsi="Garamond"/>
        </w:rPr>
        <w:t xml:space="preserve">IV.3 Komponenti 1.2 Rishikimi i politikës tatimore lidhur me tatimet dhe taksat direkte </w:t>
      </w:r>
    </w:p>
    <w:p w14:paraId="0B271ACC" w14:textId="7C04D237" w:rsidR="005372EA" w:rsidRPr="00830F4C" w:rsidRDefault="005372EA" w:rsidP="002861E2">
      <w:pPr>
        <w:ind w:firstLine="284"/>
        <w:jc w:val="both"/>
        <w:rPr>
          <w:rFonts w:ascii="Garamond" w:hAnsi="Garamond"/>
        </w:rPr>
      </w:pPr>
      <w:r w:rsidRPr="00830F4C">
        <w:rPr>
          <w:rFonts w:ascii="Garamond" w:hAnsi="Garamond"/>
        </w:rPr>
        <w:t xml:space="preserve">IV.3 Komponenti 1.3 Rishikimi i politikës tatimore të taksës mbi pasuritë e paluajtshme </w:t>
      </w:r>
    </w:p>
    <w:p w14:paraId="763BABBE" w14:textId="600170CE" w:rsidR="005372EA" w:rsidRPr="00830F4C" w:rsidRDefault="005372EA" w:rsidP="002861E2">
      <w:pPr>
        <w:ind w:firstLine="284"/>
        <w:jc w:val="both"/>
        <w:rPr>
          <w:rFonts w:ascii="Garamond" w:hAnsi="Garamond"/>
        </w:rPr>
      </w:pPr>
      <w:r w:rsidRPr="00830F4C">
        <w:rPr>
          <w:rFonts w:ascii="Garamond" w:hAnsi="Garamond"/>
        </w:rPr>
        <w:t>V</w:t>
      </w:r>
      <w:r w:rsidR="00120EA0" w:rsidRPr="00830F4C">
        <w:rPr>
          <w:rFonts w:ascii="Garamond" w:hAnsi="Garamond"/>
        </w:rPr>
        <w:t>.</w:t>
      </w:r>
      <w:r w:rsidRPr="00830F4C">
        <w:rPr>
          <w:rFonts w:ascii="Garamond" w:hAnsi="Garamond"/>
        </w:rPr>
        <w:t xml:space="preserve"> Shtylla 2 Mirëadministrimi Tatimor</w:t>
      </w:r>
    </w:p>
    <w:p w14:paraId="6A389B98" w14:textId="23B7D671" w:rsidR="005372EA" w:rsidRPr="00830F4C" w:rsidRDefault="005372EA" w:rsidP="002861E2">
      <w:pPr>
        <w:ind w:firstLine="284"/>
        <w:jc w:val="both"/>
        <w:rPr>
          <w:rFonts w:ascii="Garamond" w:hAnsi="Garamond"/>
        </w:rPr>
      </w:pPr>
      <w:r w:rsidRPr="00830F4C">
        <w:rPr>
          <w:rFonts w:ascii="Garamond" w:hAnsi="Garamond"/>
        </w:rPr>
        <w:t>V.1</w:t>
      </w:r>
      <w:r w:rsidR="00120EA0" w:rsidRPr="00830F4C">
        <w:rPr>
          <w:rFonts w:ascii="Garamond" w:hAnsi="Garamond"/>
        </w:rPr>
        <w:t xml:space="preserve"> </w:t>
      </w:r>
      <w:r w:rsidRPr="00830F4C">
        <w:rPr>
          <w:rFonts w:ascii="Garamond" w:hAnsi="Garamond"/>
        </w:rPr>
        <w:t xml:space="preserve">Hyrje </w:t>
      </w:r>
    </w:p>
    <w:p w14:paraId="18B614ED" w14:textId="67DE6517" w:rsidR="005372EA" w:rsidRPr="00830F4C" w:rsidRDefault="005372EA" w:rsidP="002861E2">
      <w:pPr>
        <w:ind w:firstLine="284"/>
        <w:jc w:val="both"/>
        <w:rPr>
          <w:rFonts w:ascii="Garamond" w:hAnsi="Garamond"/>
        </w:rPr>
      </w:pPr>
      <w:r w:rsidRPr="00830F4C">
        <w:rPr>
          <w:rFonts w:ascii="Garamond" w:hAnsi="Garamond"/>
        </w:rPr>
        <w:t>V.2 Komponenti 2.1 Zvogëlimi i hendekut të pajtueshmërisë në lidhje me</w:t>
      </w:r>
      <w:r w:rsidR="00DE65FB">
        <w:rPr>
          <w:rFonts w:ascii="Garamond" w:hAnsi="Garamond"/>
        </w:rPr>
        <w:t xml:space="preserve"> TVSh</w:t>
      </w:r>
      <w:r w:rsidRPr="00830F4C">
        <w:rPr>
          <w:rFonts w:ascii="Garamond" w:hAnsi="Garamond"/>
        </w:rPr>
        <w:t xml:space="preserve">-në </w:t>
      </w:r>
    </w:p>
    <w:p w14:paraId="1C4D817F" w14:textId="32516D2C" w:rsidR="005372EA" w:rsidRPr="00830F4C" w:rsidRDefault="005372EA" w:rsidP="002861E2">
      <w:pPr>
        <w:ind w:firstLine="284"/>
        <w:jc w:val="both"/>
        <w:rPr>
          <w:rFonts w:ascii="Garamond" w:hAnsi="Garamond"/>
        </w:rPr>
      </w:pPr>
      <w:r w:rsidRPr="00830F4C">
        <w:rPr>
          <w:rFonts w:ascii="Garamond" w:hAnsi="Garamond"/>
        </w:rPr>
        <w:t xml:space="preserve">V.3 Komponenti 2.2 Ulja e pagesave me para në dorë në ekonomi </w:t>
      </w:r>
    </w:p>
    <w:p w14:paraId="646D9DDB" w14:textId="78D5FEC2" w:rsidR="005372EA" w:rsidRPr="00830F4C" w:rsidRDefault="005372EA" w:rsidP="002861E2">
      <w:pPr>
        <w:ind w:firstLine="284"/>
        <w:jc w:val="both"/>
        <w:rPr>
          <w:rFonts w:ascii="Garamond" w:hAnsi="Garamond"/>
        </w:rPr>
      </w:pPr>
      <w:r w:rsidRPr="00830F4C">
        <w:rPr>
          <w:rFonts w:ascii="Garamond" w:hAnsi="Garamond"/>
        </w:rPr>
        <w:t xml:space="preserve">V.4 Komponenti 2.3 Verifikimi i të ardhurave dhe kontrolli i pasurive të pajustifikuara </w:t>
      </w:r>
    </w:p>
    <w:p w14:paraId="5C4DC7A7" w14:textId="449B4725" w:rsidR="005372EA" w:rsidRPr="00830F4C" w:rsidRDefault="005372EA" w:rsidP="002861E2">
      <w:pPr>
        <w:ind w:firstLine="284"/>
        <w:jc w:val="both"/>
        <w:rPr>
          <w:rFonts w:ascii="Garamond" w:hAnsi="Garamond"/>
        </w:rPr>
      </w:pPr>
      <w:r w:rsidRPr="00830F4C">
        <w:rPr>
          <w:rFonts w:ascii="Garamond" w:hAnsi="Garamond"/>
        </w:rPr>
        <w:t xml:space="preserve">V.5 Komponenti 2.4 Zvogëlimi i shmangies tatimore </w:t>
      </w:r>
    </w:p>
    <w:p w14:paraId="2EF13D7E" w14:textId="14053B39" w:rsidR="005372EA" w:rsidRPr="00830F4C" w:rsidRDefault="005372EA" w:rsidP="002861E2">
      <w:pPr>
        <w:ind w:firstLine="284"/>
        <w:jc w:val="both"/>
        <w:rPr>
          <w:rFonts w:ascii="Garamond" w:hAnsi="Garamond"/>
        </w:rPr>
      </w:pPr>
      <w:r w:rsidRPr="00830F4C">
        <w:rPr>
          <w:rFonts w:ascii="Garamond" w:hAnsi="Garamond"/>
        </w:rPr>
        <w:lastRenderedPageBreak/>
        <w:t xml:space="preserve">V.5 Komponenti 2.5 Reduktimi i punës së padeklaruar dhe nëndeklarimit të pagës reale </w:t>
      </w:r>
    </w:p>
    <w:p w14:paraId="77D0CCDB" w14:textId="27BDB8F3" w:rsidR="005372EA" w:rsidRPr="00830F4C" w:rsidRDefault="005372EA" w:rsidP="002861E2">
      <w:pPr>
        <w:ind w:firstLine="284"/>
        <w:jc w:val="both"/>
        <w:rPr>
          <w:rFonts w:ascii="Garamond" w:hAnsi="Garamond"/>
        </w:rPr>
      </w:pPr>
      <w:r w:rsidRPr="007228E3">
        <w:rPr>
          <w:rFonts w:ascii="Garamond" w:hAnsi="Garamond"/>
        </w:rPr>
        <w:t>V.6</w:t>
      </w:r>
      <w:r w:rsidRPr="00830F4C">
        <w:rPr>
          <w:rFonts w:ascii="Garamond" w:hAnsi="Garamond"/>
        </w:rPr>
        <w:t xml:space="preserve"> Komponenti 2.6 Reduktimi i kostove të pajtueshmërisë dhe rritja e</w:t>
      </w:r>
      <w:r w:rsidR="00D22EA5" w:rsidRPr="00830F4C">
        <w:rPr>
          <w:rFonts w:ascii="Garamond" w:hAnsi="Garamond"/>
        </w:rPr>
        <w:t xml:space="preserve"> </w:t>
      </w:r>
      <w:r w:rsidRPr="00830F4C">
        <w:rPr>
          <w:rFonts w:ascii="Garamond" w:hAnsi="Garamond"/>
        </w:rPr>
        <w:t xml:space="preserve">besimit tek administrata tatimore </w:t>
      </w:r>
    </w:p>
    <w:p w14:paraId="204FF5B5" w14:textId="346D0171" w:rsidR="005372EA" w:rsidRPr="00830F4C" w:rsidRDefault="005372EA" w:rsidP="00C621CB">
      <w:pPr>
        <w:ind w:firstLine="284"/>
        <w:jc w:val="both"/>
        <w:rPr>
          <w:rFonts w:ascii="Garamond" w:hAnsi="Garamond"/>
        </w:rPr>
      </w:pPr>
      <w:r w:rsidRPr="007228E3">
        <w:rPr>
          <w:rFonts w:ascii="Garamond" w:hAnsi="Garamond"/>
        </w:rPr>
        <w:t>V.6</w:t>
      </w:r>
      <w:r w:rsidRPr="00830F4C">
        <w:rPr>
          <w:rFonts w:ascii="Garamond" w:hAnsi="Garamond"/>
        </w:rPr>
        <w:t xml:space="preserve"> Komponenti 2.7 Përmirësimi i cilësisë së shërbimit të ofruar nga administratës tatimore nëpërmjet zhvillimit të kapaciteteve institucionale </w:t>
      </w:r>
    </w:p>
    <w:p w14:paraId="3691D5E1" w14:textId="77777777" w:rsidR="005372EA" w:rsidRPr="00830F4C" w:rsidRDefault="005372EA" w:rsidP="002861E2">
      <w:pPr>
        <w:ind w:firstLine="284"/>
        <w:jc w:val="both"/>
        <w:rPr>
          <w:rFonts w:ascii="Garamond" w:hAnsi="Garamond"/>
        </w:rPr>
      </w:pPr>
      <w:r w:rsidRPr="00830F4C">
        <w:rPr>
          <w:rFonts w:ascii="Garamond" w:hAnsi="Garamond"/>
        </w:rPr>
        <w:t>VI.</w:t>
      </w:r>
      <w:r w:rsidR="00120EA0" w:rsidRPr="00830F4C">
        <w:rPr>
          <w:rFonts w:ascii="Garamond" w:hAnsi="Garamond"/>
        </w:rPr>
        <w:t xml:space="preserve"> </w:t>
      </w:r>
      <w:r w:rsidRPr="00830F4C">
        <w:rPr>
          <w:rFonts w:ascii="Garamond" w:hAnsi="Garamond"/>
        </w:rPr>
        <w:t xml:space="preserve">Shtylla 3: Mirëadministrimi doganor </w:t>
      </w:r>
    </w:p>
    <w:p w14:paraId="13C6EA43" w14:textId="29AC8351" w:rsidR="005372EA" w:rsidRPr="00830F4C" w:rsidRDefault="005372EA" w:rsidP="002861E2">
      <w:pPr>
        <w:ind w:firstLine="284"/>
        <w:jc w:val="both"/>
        <w:rPr>
          <w:rFonts w:ascii="Garamond" w:hAnsi="Garamond"/>
        </w:rPr>
      </w:pPr>
      <w:r w:rsidRPr="00830F4C">
        <w:rPr>
          <w:rFonts w:ascii="Garamond" w:hAnsi="Garamond"/>
        </w:rPr>
        <w:t>VI.1</w:t>
      </w:r>
      <w:r w:rsidR="00120EA0" w:rsidRPr="00830F4C">
        <w:rPr>
          <w:rFonts w:ascii="Garamond" w:hAnsi="Garamond"/>
        </w:rPr>
        <w:t xml:space="preserve"> </w:t>
      </w:r>
      <w:r w:rsidRPr="00830F4C">
        <w:rPr>
          <w:rFonts w:ascii="Garamond" w:hAnsi="Garamond"/>
        </w:rPr>
        <w:t xml:space="preserve">Hyrje </w:t>
      </w:r>
    </w:p>
    <w:p w14:paraId="5115D7CB" w14:textId="54DD2A9C" w:rsidR="005372EA" w:rsidRPr="00830F4C" w:rsidRDefault="005372EA" w:rsidP="002861E2">
      <w:pPr>
        <w:ind w:firstLine="284"/>
        <w:jc w:val="both"/>
        <w:rPr>
          <w:rFonts w:ascii="Garamond" w:hAnsi="Garamond"/>
        </w:rPr>
      </w:pPr>
      <w:r w:rsidRPr="00830F4C">
        <w:rPr>
          <w:rFonts w:ascii="Garamond" w:hAnsi="Garamond"/>
        </w:rPr>
        <w:t xml:space="preserve">VI.2 Komponenti 3.1 Modernizimi i proceseve të biznesit, duke përfshirë centralizimin e funksionit të profilizimit të riskut </w:t>
      </w:r>
    </w:p>
    <w:p w14:paraId="4E045D36" w14:textId="43B8855A" w:rsidR="005372EA" w:rsidRPr="00830F4C" w:rsidRDefault="005372EA" w:rsidP="002861E2">
      <w:pPr>
        <w:ind w:firstLine="284"/>
        <w:jc w:val="both"/>
        <w:rPr>
          <w:rFonts w:ascii="Garamond" w:hAnsi="Garamond"/>
        </w:rPr>
      </w:pPr>
      <w:r w:rsidRPr="00830F4C">
        <w:rPr>
          <w:rFonts w:ascii="Garamond" w:hAnsi="Garamond"/>
        </w:rPr>
        <w:t xml:space="preserve">VI.3 Komponenti 3.2 Zhvillimi i aftësive të zgjeruara analitike të të dhënave </w:t>
      </w:r>
    </w:p>
    <w:p w14:paraId="1878D1FD" w14:textId="18E0B001" w:rsidR="005372EA" w:rsidRPr="00830F4C" w:rsidRDefault="005372EA" w:rsidP="002861E2">
      <w:pPr>
        <w:ind w:firstLine="284"/>
        <w:jc w:val="both"/>
        <w:rPr>
          <w:rFonts w:ascii="Garamond" w:hAnsi="Garamond"/>
        </w:rPr>
      </w:pPr>
      <w:r w:rsidRPr="00830F4C">
        <w:rPr>
          <w:rFonts w:ascii="Garamond" w:hAnsi="Garamond"/>
        </w:rPr>
        <w:t>VI.4 Komponenti 3.3 Rritja e investimeve në zhvillimin e sistemeve</w:t>
      </w:r>
      <w:r w:rsidR="00D22EA5" w:rsidRPr="00830F4C">
        <w:rPr>
          <w:rFonts w:ascii="Garamond" w:hAnsi="Garamond"/>
        </w:rPr>
        <w:t xml:space="preserve"> </w:t>
      </w:r>
      <w:r w:rsidRPr="00830F4C">
        <w:rPr>
          <w:rFonts w:ascii="Garamond" w:hAnsi="Garamond"/>
        </w:rPr>
        <w:t xml:space="preserve">të Teknologjisë së Informacionit </w:t>
      </w:r>
    </w:p>
    <w:p w14:paraId="6E1C8391" w14:textId="7ECCD5D3" w:rsidR="005372EA" w:rsidRPr="00830F4C" w:rsidRDefault="005372EA" w:rsidP="002861E2">
      <w:pPr>
        <w:ind w:firstLine="284"/>
        <w:jc w:val="both"/>
        <w:rPr>
          <w:rFonts w:ascii="Garamond" w:hAnsi="Garamond"/>
        </w:rPr>
      </w:pPr>
      <w:r w:rsidRPr="00830F4C">
        <w:rPr>
          <w:rFonts w:ascii="Garamond" w:hAnsi="Garamond"/>
        </w:rPr>
        <w:t>VI.5 Komponenti 3.4 Zhvillimi dhe zbatimi plotësisht i një korniz</w:t>
      </w:r>
      <w:r w:rsidR="0078494A" w:rsidRPr="00830F4C">
        <w:rPr>
          <w:rFonts w:ascii="Garamond" w:hAnsi="Garamond"/>
        </w:rPr>
        <w:t>e</w:t>
      </w:r>
      <w:r w:rsidRPr="00830F4C">
        <w:rPr>
          <w:rFonts w:ascii="Garamond" w:hAnsi="Garamond"/>
        </w:rPr>
        <w:t xml:space="preserve"> integriteti për të ndihmuar në ndërtimin e besimit të komunitetit</w:t>
      </w:r>
    </w:p>
    <w:p w14:paraId="56F03567" w14:textId="1333FA17" w:rsidR="005372EA" w:rsidRPr="00830F4C" w:rsidRDefault="005372EA" w:rsidP="002861E2">
      <w:pPr>
        <w:ind w:firstLine="284"/>
        <w:jc w:val="both"/>
        <w:rPr>
          <w:rFonts w:ascii="Garamond" w:hAnsi="Garamond"/>
        </w:rPr>
      </w:pPr>
      <w:r w:rsidRPr="00830F4C">
        <w:rPr>
          <w:rFonts w:ascii="Garamond" w:hAnsi="Garamond"/>
        </w:rPr>
        <w:t xml:space="preserve">VI.6 Komponenti 3.5 Rritja e numrit të Operatorëve Ekonomikë të Autorizuar </w:t>
      </w:r>
    </w:p>
    <w:p w14:paraId="583DA7A1" w14:textId="4C0DF057" w:rsidR="005372EA" w:rsidRPr="00830F4C" w:rsidRDefault="005372EA" w:rsidP="002861E2">
      <w:pPr>
        <w:ind w:firstLine="284"/>
        <w:jc w:val="both"/>
        <w:rPr>
          <w:rFonts w:ascii="Garamond" w:hAnsi="Garamond"/>
        </w:rPr>
      </w:pPr>
      <w:r w:rsidRPr="00830F4C">
        <w:rPr>
          <w:rFonts w:ascii="Garamond" w:hAnsi="Garamond"/>
        </w:rPr>
        <w:t>VI.7 Komponenti 3.6 Implementimi i Dritares së Vetme Kombëtare (</w:t>
      </w:r>
      <w:r w:rsidRPr="00830F4C">
        <w:rPr>
          <w:rFonts w:ascii="Garamond" w:hAnsi="Garamond"/>
          <w:i/>
        </w:rPr>
        <w:t>National Single Window</w:t>
      </w:r>
      <w:r w:rsidRPr="00830F4C">
        <w:rPr>
          <w:rFonts w:ascii="Garamond" w:hAnsi="Garamond"/>
        </w:rPr>
        <w:t xml:space="preserve">) </w:t>
      </w:r>
    </w:p>
    <w:p w14:paraId="5054A4F4" w14:textId="4DCA04FC" w:rsidR="005372EA" w:rsidRPr="00830F4C" w:rsidRDefault="005372EA" w:rsidP="002861E2">
      <w:pPr>
        <w:ind w:firstLine="284"/>
        <w:jc w:val="both"/>
        <w:rPr>
          <w:rFonts w:ascii="Garamond" w:hAnsi="Garamond"/>
        </w:rPr>
      </w:pPr>
      <w:r w:rsidRPr="00830F4C">
        <w:rPr>
          <w:rFonts w:ascii="Garamond" w:hAnsi="Garamond"/>
        </w:rPr>
        <w:t xml:space="preserve">VI.8 Komponenti 3.7 Implementimi i Sistemit të Ri të Kompjuterizuara të Transitit (NCTS) </w:t>
      </w:r>
    </w:p>
    <w:p w14:paraId="5A48F9D5" w14:textId="5A2E070B" w:rsidR="005372EA" w:rsidRPr="00830F4C" w:rsidRDefault="005372EA" w:rsidP="002861E2">
      <w:pPr>
        <w:ind w:firstLine="284"/>
        <w:jc w:val="both"/>
        <w:rPr>
          <w:rFonts w:ascii="Garamond" w:hAnsi="Garamond"/>
        </w:rPr>
      </w:pPr>
      <w:r w:rsidRPr="00830F4C">
        <w:rPr>
          <w:rFonts w:ascii="Garamond" w:hAnsi="Garamond"/>
        </w:rPr>
        <w:t>VI.9 Komponenti 3.8 Rritja e bashkëpunimit në luftën kundër informalitetit, kontrabandës, korrupsionit dhe importit të mallrave të falsifikuara</w:t>
      </w:r>
    </w:p>
    <w:p w14:paraId="3CA54E60" w14:textId="32D1267C" w:rsidR="005372EA" w:rsidRPr="00830F4C" w:rsidRDefault="005372EA" w:rsidP="002861E2">
      <w:pPr>
        <w:ind w:firstLine="284"/>
        <w:jc w:val="both"/>
        <w:rPr>
          <w:rFonts w:ascii="Garamond" w:hAnsi="Garamond"/>
        </w:rPr>
      </w:pPr>
      <w:r w:rsidRPr="00830F4C">
        <w:rPr>
          <w:rFonts w:ascii="Garamond" w:hAnsi="Garamond"/>
        </w:rPr>
        <w:t>VI.10 Komponenti 3.9 Zgjerimi i shkëmbimit të informacionit me partnerët vendas dhe ndërkombëtarë për të përmirësuar profilin e riskut</w:t>
      </w:r>
    </w:p>
    <w:p w14:paraId="2CBC853A" w14:textId="23960D29" w:rsidR="005372EA" w:rsidRPr="00830F4C" w:rsidRDefault="005372EA" w:rsidP="002861E2">
      <w:pPr>
        <w:ind w:firstLine="284"/>
        <w:jc w:val="both"/>
        <w:rPr>
          <w:rFonts w:ascii="Garamond" w:hAnsi="Garamond"/>
        </w:rPr>
      </w:pPr>
      <w:r w:rsidRPr="00830F4C">
        <w:rPr>
          <w:rFonts w:ascii="Garamond" w:hAnsi="Garamond"/>
        </w:rPr>
        <w:t>VII</w:t>
      </w:r>
      <w:r w:rsidR="00120EA0" w:rsidRPr="00830F4C">
        <w:rPr>
          <w:rFonts w:ascii="Garamond" w:hAnsi="Garamond"/>
        </w:rPr>
        <w:t>.</w:t>
      </w:r>
      <w:r w:rsidRPr="00830F4C">
        <w:rPr>
          <w:rFonts w:ascii="Garamond" w:hAnsi="Garamond"/>
        </w:rPr>
        <w:t xml:space="preserve"> Risqet dhe masat zbutëse </w:t>
      </w:r>
    </w:p>
    <w:p w14:paraId="574FDF6E" w14:textId="77777777" w:rsidR="005372EA" w:rsidRPr="00830F4C" w:rsidRDefault="005372EA" w:rsidP="002861E2">
      <w:pPr>
        <w:ind w:firstLine="284"/>
        <w:jc w:val="both"/>
        <w:rPr>
          <w:rFonts w:ascii="Garamond" w:hAnsi="Garamond"/>
        </w:rPr>
      </w:pPr>
      <w:r w:rsidRPr="00830F4C">
        <w:rPr>
          <w:rFonts w:ascii="Garamond" w:hAnsi="Garamond"/>
        </w:rPr>
        <w:t xml:space="preserve">VIII. Monitorimi i Strategjisë </w:t>
      </w:r>
    </w:p>
    <w:p w14:paraId="2E3B653D" w14:textId="3013D598" w:rsidR="005372EA" w:rsidRPr="00830F4C" w:rsidRDefault="005372EA" w:rsidP="002861E2">
      <w:pPr>
        <w:ind w:firstLine="284"/>
        <w:jc w:val="both"/>
        <w:rPr>
          <w:rFonts w:ascii="Garamond" w:hAnsi="Garamond"/>
        </w:rPr>
      </w:pPr>
      <w:r w:rsidRPr="00830F4C">
        <w:rPr>
          <w:rFonts w:ascii="Garamond" w:hAnsi="Garamond"/>
        </w:rPr>
        <w:t>IX. Vlerësimi i kostove dhe financimi</w:t>
      </w:r>
    </w:p>
    <w:p w14:paraId="37A7ACAD" w14:textId="481EAE8D" w:rsidR="005372EA" w:rsidRPr="00830F4C" w:rsidRDefault="005372EA" w:rsidP="002861E2">
      <w:pPr>
        <w:ind w:firstLine="284"/>
        <w:jc w:val="both"/>
        <w:rPr>
          <w:rFonts w:ascii="Garamond" w:hAnsi="Garamond"/>
        </w:rPr>
      </w:pPr>
      <w:r w:rsidRPr="00830F4C">
        <w:rPr>
          <w:rFonts w:ascii="Garamond" w:hAnsi="Garamond"/>
        </w:rPr>
        <w:t>Shtojca 1</w:t>
      </w:r>
      <w:r w:rsidR="00F24933">
        <w:rPr>
          <w:rFonts w:ascii="Garamond" w:hAnsi="Garamond"/>
        </w:rPr>
        <w:t>.</w:t>
      </w:r>
      <w:r w:rsidRPr="00830F4C">
        <w:rPr>
          <w:rFonts w:ascii="Garamond" w:hAnsi="Garamond"/>
        </w:rPr>
        <w:t xml:space="preserve"> Plani i Veprimit </w:t>
      </w:r>
      <w:r w:rsidR="0078494A" w:rsidRPr="00830F4C">
        <w:rPr>
          <w:rFonts w:ascii="Garamond" w:hAnsi="Garamond"/>
        </w:rPr>
        <w:t>të</w:t>
      </w:r>
      <w:r w:rsidRPr="00830F4C">
        <w:rPr>
          <w:rFonts w:ascii="Garamond" w:hAnsi="Garamond"/>
        </w:rPr>
        <w:t xml:space="preserve"> Strategjisë</w:t>
      </w:r>
      <w:r w:rsidR="0078494A" w:rsidRPr="00830F4C">
        <w:rPr>
          <w:rFonts w:ascii="Garamond" w:hAnsi="Garamond"/>
        </w:rPr>
        <w:t xml:space="preserve"> </w:t>
      </w:r>
      <w:r w:rsidRPr="00830F4C">
        <w:rPr>
          <w:rFonts w:ascii="Garamond" w:hAnsi="Garamond"/>
        </w:rPr>
        <w:t xml:space="preserve">Afatmesme të të Ardhurave 2024–2027 </w:t>
      </w:r>
    </w:p>
    <w:p w14:paraId="369848AF" w14:textId="1BF0B092" w:rsidR="005372EA" w:rsidRPr="00830F4C" w:rsidRDefault="005372EA" w:rsidP="002861E2">
      <w:pPr>
        <w:ind w:firstLine="284"/>
        <w:jc w:val="both"/>
        <w:rPr>
          <w:rFonts w:ascii="Garamond" w:hAnsi="Garamond"/>
        </w:rPr>
      </w:pPr>
      <w:r w:rsidRPr="00830F4C">
        <w:rPr>
          <w:rFonts w:ascii="Garamond" w:hAnsi="Garamond"/>
        </w:rPr>
        <w:t>Shtojca 2</w:t>
      </w:r>
      <w:r w:rsidR="00F24933">
        <w:rPr>
          <w:rFonts w:ascii="Garamond" w:hAnsi="Garamond"/>
        </w:rPr>
        <w:t>.</w:t>
      </w:r>
      <w:r w:rsidRPr="00830F4C">
        <w:rPr>
          <w:rFonts w:ascii="Garamond" w:hAnsi="Garamond"/>
        </w:rPr>
        <w:t xml:space="preserve"> Pasaporta e Treguesve të Strategjisë Afatmesme të të Ardhurave 2024–2027 </w:t>
      </w:r>
    </w:p>
    <w:p w14:paraId="0B292144" w14:textId="0D21F024" w:rsidR="005372EA" w:rsidRPr="00830F4C" w:rsidRDefault="005372EA" w:rsidP="002861E2">
      <w:pPr>
        <w:ind w:firstLine="284"/>
        <w:jc w:val="both"/>
        <w:rPr>
          <w:rFonts w:ascii="Garamond" w:hAnsi="Garamond"/>
        </w:rPr>
      </w:pPr>
      <w:r w:rsidRPr="00830F4C">
        <w:rPr>
          <w:rFonts w:ascii="Garamond" w:hAnsi="Garamond"/>
        </w:rPr>
        <w:t>Shtojca 3</w:t>
      </w:r>
      <w:r w:rsidR="00F24933">
        <w:rPr>
          <w:rFonts w:ascii="Garamond" w:hAnsi="Garamond"/>
        </w:rPr>
        <w:t>.</w:t>
      </w:r>
      <w:r w:rsidRPr="00830F4C">
        <w:rPr>
          <w:rFonts w:ascii="Garamond" w:hAnsi="Garamond"/>
        </w:rPr>
        <w:t xml:space="preserve"> Vlerësimi i kostove dhe financimi sipas objektivave specifikë (komponentëve) </w:t>
      </w:r>
    </w:p>
    <w:p w14:paraId="43EDF051" w14:textId="77777777" w:rsidR="005372EA" w:rsidRPr="00830F4C" w:rsidRDefault="005372EA">
      <w:pPr>
        <w:rPr>
          <w:rFonts w:ascii="Garamond" w:hAnsi="Garamond"/>
        </w:rPr>
      </w:pPr>
    </w:p>
    <w:p w14:paraId="1A291943" w14:textId="2565F89F" w:rsidR="005372EA" w:rsidRPr="00830F4C" w:rsidRDefault="005372EA" w:rsidP="002861E2">
      <w:pPr>
        <w:ind w:firstLine="284"/>
        <w:rPr>
          <w:rFonts w:ascii="Garamond" w:hAnsi="Garamond"/>
          <w:b/>
          <w:bCs/>
        </w:rPr>
      </w:pPr>
      <w:bookmarkStart w:id="1" w:name="_Hlk187055082"/>
      <w:r w:rsidRPr="00830F4C">
        <w:rPr>
          <w:rFonts w:ascii="Garamond" w:hAnsi="Garamond"/>
          <w:b/>
          <w:bCs/>
          <w:iCs/>
        </w:rPr>
        <w:t xml:space="preserve">Lista e </w:t>
      </w:r>
      <w:r w:rsidR="00104711" w:rsidRPr="00830F4C">
        <w:rPr>
          <w:rFonts w:ascii="Garamond" w:hAnsi="Garamond"/>
          <w:b/>
          <w:bCs/>
          <w:iCs/>
        </w:rPr>
        <w:t>s</w:t>
      </w:r>
      <w:r w:rsidRPr="00830F4C">
        <w:rPr>
          <w:rFonts w:ascii="Garamond" w:hAnsi="Garamond"/>
          <w:b/>
          <w:bCs/>
          <w:iCs/>
        </w:rPr>
        <w:t>hkurtimeve: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723888" w:rsidRPr="00830F4C" w14:paraId="12CC97CB" w14:textId="77777777" w:rsidTr="008E0BCF">
        <w:tc>
          <w:tcPr>
            <w:tcW w:w="4508" w:type="dxa"/>
          </w:tcPr>
          <w:p w14:paraId="35BADDE8"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ASYCUDA World</w:t>
            </w:r>
          </w:p>
        </w:tc>
        <w:tc>
          <w:tcPr>
            <w:tcW w:w="4508" w:type="dxa"/>
          </w:tcPr>
          <w:p w14:paraId="5CDFDA75"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Sistem i Automatizuar për të Dhënat Doganore</w:t>
            </w:r>
          </w:p>
        </w:tc>
      </w:tr>
      <w:tr w:rsidR="00723888" w:rsidRPr="00830F4C" w14:paraId="044F4AA6" w14:textId="77777777" w:rsidTr="008E0BCF">
        <w:tc>
          <w:tcPr>
            <w:tcW w:w="4508" w:type="dxa"/>
          </w:tcPr>
          <w:p w14:paraId="4DE7FFB1" w14:textId="4972194D"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ADSH</w:t>
            </w:r>
          </w:p>
        </w:tc>
        <w:tc>
          <w:tcPr>
            <w:tcW w:w="4508" w:type="dxa"/>
          </w:tcPr>
          <w:p w14:paraId="584904F0"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Administrata Doganore Shqiptare</w:t>
            </w:r>
          </w:p>
        </w:tc>
      </w:tr>
      <w:tr w:rsidR="00723888" w:rsidRPr="00830F4C" w14:paraId="09C78BF3" w14:textId="77777777" w:rsidTr="008E0BCF">
        <w:tc>
          <w:tcPr>
            <w:tcW w:w="4508" w:type="dxa"/>
          </w:tcPr>
          <w:p w14:paraId="70EF8583"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AT</w:t>
            </w:r>
          </w:p>
        </w:tc>
        <w:tc>
          <w:tcPr>
            <w:tcW w:w="4508" w:type="dxa"/>
          </w:tcPr>
          <w:p w14:paraId="2FE1F02C"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Administrata Tatimore</w:t>
            </w:r>
          </w:p>
        </w:tc>
      </w:tr>
      <w:tr w:rsidR="00723888" w:rsidRPr="00830F4C" w14:paraId="7F5DC183" w14:textId="77777777" w:rsidTr="008E0BCF">
        <w:tc>
          <w:tcPr>
            <w:tcW w:w="4508" w:type="dxa"/>
          </w:tcPr>
          <w:p w14:paraId="47509316"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AKSHI</w:t>
            </w:r>
          </w:p>
        </w:tc>
        <w:tc>
          <w:tcPr>
            <w:tcW w:w="4508" w:type="dxa"/>
          </w:tcPr>
          <w:p w14:paraId="79279A77" w14:textId="0B3A87BF"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Agjen</w:t>
            </w:r>
            <w:r w:rsidR="00120EA0" w:rsidRPr="00830F4C">
              <w:rPr>
                <w:rFonts w:ascii="Garamond" w:hAnsi="Garamond"/>
                <w:sz w:val="20"/>
                <w:szCs w:val="20"/>
              </w:rPr>
              <w:t>c</w:t>
            </w:r>
            <w:r w:rsidRPr="00830F4C">
              <w:rPr>
                <w:rFonts w:ascii="Garamond" w:hAnsi="Garamond"/>
                <w:sz w:val="20"/>
                <w:szCs w:val="20"/>
              </w:rPr>
              <w:t>ia Kombëtare e Shoqërisë së Informacionit</w:t>
            </w:r>
          </w:p>
        </w:tc>
      </w:tr>
      <w:tr w:rsidR="00723888" w:rsidRPr="00830F4C" w14:paraId="26C3F89F" w14:textId="77777777" w:rsidTr="008E0BCF">
        <w:tc>
          <w:tcPr>
            <w:tcW w:w="4508" w:type="dxa"/>
          </w:tcPr>
          <w:p w14:paraId="4AD5A936"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AKEP</w:t>
            </w:r>
          </w:p>
        </w:tc>
        <w:tc>
          <w:tcPr>
            <w:tcW w:w="4508" w:type="dxa"/>
          </w:tcPr>
          <w:p w14:paraId="01C968BE"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Autoriteti i Komunikimeve Elektronike dhe Postare</w:t>
            </w:r>
          </w:p>
        </w:tc>
      </w:tr>
      <w:tr w:rsidR="00723888" w:rsidRPr="00830F4C" w14:paraId="6D5CB58C" w14:textId="77777777" w:rsidTr="008E0BCF">
        <w:tc>
          <w:tcPr>
            <w:tcW w:w="4508" w:type="dxa"/>
          </w:tcPr>
          <w:p w14:paraId="4725BD10"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BSH</w:t>
            </w:r>
          </w:p>
        </w:tc>
        <w:tc>
          <w:tcPr>
            <w:tcW w:w="4508" w:type="dxa"/>
          </w:tcPr>
          <w:p w14:paraId="0DD2DC5E"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Banka e Shqipërisë</w:t>
            </w:r>
          </w:p>
        </w:tc>
      </w:tr>
      <w:tr w:rsidR="00723888" w:rsidRPr="00830F4C" w14:paraId="16785765" w14:textId="77777777" w:rsidTr="008E0BCF">
        <w:tc>
          <w:tcPr>
            <w:tcW w:w="4508" w:type="dxa"/>
          </w:tcPr>
          <w:p w14:paraId="18ADACEE"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BE</w:t>
            </w:r>
          </w:p>
        </w:tc>
        <w:tc>
          <w:tcPr>
            <w:tcW w:w="4508" w:type="dxa"/>
          </w:tcPr>
          <w:p w14:paraId="59CFDDAF" w14:textId="5F766069"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 xml:space="preserve">Bashkimi </w:t>
            </w:r>
            <w:r w:rsidR="00120EA0" w:rsidRPr="00830F4C">
              <w:rPr>
                <w:rFonts w:ascii="Garamond" w:hAnsi="Garamond"/>
                <w:sz w:val="20"/>
                <w:szCs w:val="20"/>
              </w:rPr>
              <w:t>Evropian</w:t>
            </w:r>
          </w:p>
        </w:tc>
      </w:tr>
      <w:tr w:rsidR="00723888" w:rsidRPr="00830F4C" w14:paraId="151EDC17" w14:textId="77777777" w:rsidTr="008E0BCF">
        <w:tc>
          <w:tcPr>
            <w:tcW w:w="4508" w:type="dxa"/>
          </w:tcPr>
          <w:p w14:paraId="21BD88D9"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BP</w:t>
            </w:r>
          </w:p>
        </w:tc>
        <w:tc>
          <w:tcPr>
            <w:tcW w:w="4508" w:type="dxa"/>
          </w:tcPr>
          <w:p w14:paraId="7F37A76C"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Ballkani Perëndimor</w:t>
            </w:r>
          </w:p>
        </w:tc>
      </w:tr>
      <w:tr w:rsidR="00723888" w:rsidRPr="00830F4C" w14:paraId="5B944E23" w14:textId="77777777" w:rsidTr="008E0BCF">
        <w:tc>
          <w:tcPr>
            <w:tcW w:w="4508" w:type="dxa"/>
          </w:tcPr>
          <w:p w14:paraId="5BEE0996"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DIVA</w:t>
            </w:r>
          </w:p>
        </w:tc>
        <w:tc>
          <w:tcPr>
            <w:tcW w:w="4508" w:type="dxa"/>
          </w:tcPr>
          <w:p w14:paraId="55F2B847"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Deklarata Individuale Vjetore e të Ardhurave</w:t>
            </w:r>
          </w:p>
        </w:tc>
      </w:tr>
      <w:tr w:rsidR="00723888" w:rsidRPr="00830F4C" w14:paraId="65B0237C" w14:textId="77777777" w:rsidTr="008E0BCF">
        <w:tc>
          <w:tcPr>
            <w:tcW w:w="4508" w:type="dxa"/>
          </w:tcPr>
          <w:p w14:paraId="63868674"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DPD</w:t>
            </w:r>
          </w:p>
        </w:tc>
        <w:tc>
          <w:tcPr>
            <w:tcW w:w="4508" w:type="dxa"/>
          </w:tcPr>
          <w:p w14:paraId="3AE10601"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Drejtoria e Përgjithshme e Doganave</w:t>
            </w:r>
          </w:p>
        </w:tc>
      </w:tr>
      <w:tr w:rsidR="00723888" w:rsidRPr="00830F4C" w14:paraId="23F1F59F" w14:textId="77777777" w:rsidTr="008E0BCF">
        <w:tc>
          <w:tcPr>
            <w:tcW w:w="4508" w:type="dxa"/>
          </w:tcPr>
          <w:p w14:paraId="314E450F"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DPT</w:t>
            </w:r>
          </w:p>
        </w:tc>
        <w:tc>
          <w:tcPr>
            <w:tcW w:w="4508" w:type="dxa"/>
          </w:tcPr>
          <w:p w14:paraId="22BC1157"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Drejtoria e Përgjithshme e Tatimeve</w:t>
            </w:r>
          </w:p>
        </w:tc>
      </w:tr>
      <w:tr w:rsidR="00723888" w:rsidRPr="00830F4C" w14:paraId="6FFE753C" w14:textId="77777777" w:rsidTr="008E0BCF">
        <w:tc>
          <w:tcPr>
            <w:tcW w:w="4508" w:type="dxa"/>
          </w:tcPr>
          <w:p w14:paraId="1468A563"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FMN</w:t>
            </w:r>
          </w:p>
        </w:tc>
        <w:tc>
          <w:tcPr>
            <w:tcW w:w="4508" w:type="dxa"/>
          </w:tcPr>
          <w:p w14:paraId="0D9D8B87"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Fondi Monetar Ndërkombëtar</w:t>
            </w:r>
          </w:p>
        </w:tc>
      </w:tr>
      <w:tr w:rsidR="00723888" w:rsidRPr="00830F4C" w14:paraId="200B6BF5" w14:textId="77777777" w:rsidTr="008E0BCF">
        <w:tc>
          <w:tcPr>
            <w:tcW w:w="4508" w:type="dxa"/>
          </w:tcPr>
          <w:p w14:paraId="0FE46BAC"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ILO</w:t>
            </w:r>
          </w:p>
        </w:tc>
        <w:tc>
          <w:tcPr>
            <w:tcW w:w="4508" w:type="dxa"/>
          </w:tcPr>
          <w:p w14:paraId="4903561D"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Organizata Botërore e Punës</w:t>
            </w:r>
          </w:p>
        </w:tc>
      </w:tr>
      <w:tr w:rsidR="00723888" w:rsidRPr="00830F4C" w14:paraId="42BAF1A9" w14:textId="77777777" w:rsidTr="008E0BCF">
        <w:tc>
          <w:tcPr>
            <w:tcW w:w="4508" w:type="dxa"/>
          </w:tcPr>
          <w:p w14:paraId="71394C2D"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ITMS</w:t>
            </w:r>
          </w:p>
        </w:tc>
        <w:tc>
          <w:tcPr>
            <w:tcW w:w="4508" w:type="dxa"/>
          </w:tcPr>
          <w:p w14:paraId="3E2C40B3"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Sistemi i Integruar i Menaxhimit të Tarifave</w:t>
            </w:r>
          </w:p>
        </w:tc>
      </w:tr>
      <w:tr w:rsidR="00723888" w:rsidRPr="00830F4C" w14:paraId="22EF58EA" w14:textId="77777777" w:rsidTr="008E0BCF">
        <w:tc>
          <w:tcPr>
            <w:tcW w:w="4508" w:type="dxa"/>
          </w:tcPr>
          <w:p w14:paraId="18D5CA0C"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IT</w:t>
            </w:r>
          </w:p>
        </w:tc>
        <w:tc>
          <w:tcPr>
            <w:tcW w:w="4508" w:type="dxa"/>
          </w:tcPr>
          <w:p w14:paraId="5CB4E62E"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Teknologjia e Informacionit</w:t>
            </w:r>
          </w:p>
        </w:tc>
      </w:tr>
      <w:tr w:rsidR="00723888" w:rsidRPr="00830F4C" w14:paraId="4D0E93CF" w14:textId="77777777" w:rsidTr="008E0BCF">
        <w:tc>
          <w:tcPr>
            <w:tcW w:w="4508" w:type="dxa"/>
          </w:tcPr>
          <w:p w14:paraId="5332D98E"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ISHPSHSH</w:t>
            </w:r>
          </w:p>
        </w:tc>
        <w:tc>
          <w:tcPr>
            <w:tcW w:w="4508" w:type="dxa"/>
          </w:tcPr>
          <w:p w14:paraId="60D1008A" w14:textId="5B5D748F" w:rsidR="005372EA" w:rsidRPr="00830F4C" w:rsidRDefault="00120EA0" w:rsidP="002861E2">
            <w:pPr>
              <w:spacing w:line="240" w:lineRule="atLeast"/>
              <w:jc w:val="center"/>
              <w:rPr>
                <w:rFonts w:ascii="Garamond" w:hAnsi="Garamond"/>
                <w:sz w:val="20"/>
                <w:szCs w:val="20"/>
              </w:rPr>
            </w:pPr>
            <w:r w:rsidRPr="00830F4C">
              <w:rPr>
                <w:rFonts w:ascii="Garamond" w:hAnsi="Garamond"/>
                <w:sz w:val="20"/>
                <w:szCs w:val="20"/>
              </w:rPr>
              <w:t>Inspektorati</w:t>
            </w:r>
            <w:r w:rsidR="005372EA" w:rsidRPr="00830F4C">
              <w:rPr>
                <w:rFonts w:ascii="Garamond" w:hAnsi="Garamond"/>
                <w:sz w:val="20"/>
                <w:szCs w:val="20"/>
              </w:rPr>
              <w:t xml:space="preserve"> Shtetëror i Punës dhe Shërbimeve Shoqërore</w:t>
            </w:r>
          </w:p>
        </w:tc>
      </w:tr>
      <w:tr w:rsidR="00723888" w:rsidRPr="00830F4C" w14:paraId="7904EB7F" w14:textId="77777777" w:rsidTr="008E0BCF">
        <w:tc>
          <w:tcPr>
            <w:tcW w:w="4508" w:type="dxa"/>
          </w:tcPr>
          <w:p w14:paraId="434958B2"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ISSH-</w:t>
            </w:r>
          </w:p>
        </w:tc>
        <w:tc>
          <w:tcPr>
            <w:tcW w:w="4508" w:type="dxa"/>
          </w:tcPr>
          <w:p w14:paraId="6FDC7F1A"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Instituti i Sigurimeve Shoqërore</w:t>
            </w:r>
          </w:p>
        </w:tc>
      </w:tr>
      <w:tr w:rsidR="00723888" w:rsidRPr="00830F4C" w14:paraId="6473EB9E" w14:textId="77777777" w:rsidTr="008E0BCF">
        <w:tc>
          <w:tcPr>
            <w:tcW w:w="4508" w:type="dxa"/>
          </w:tcPr>
          <w:p w14:paraId="4CCB6C6F"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MF</w:t>
            </w:r>
          </w:p>
        </w:tc>
        <w:tc>
          <w:tcPr>
            <w:tcW w:w="4508" w:type="dxa"/>
          </w:tcPr>
          <w:p w14:paraId="330BBD8F" w14:textId="2B4D78AD"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Ministria e Infrastrukturës dhe Energjisë e Financave</w:t>
            </w:r>
          </w:p>
        </w:tc>
      </w:tr>
      <w:tr w:rsidR="00723888" w:rsidRPr="00830F4C" w14:paraId="6B7B218D" w14:textId="77777777" w:rsidTr="008E0BCF">
        <w:tc>
          <w:tcPr>
            <w:tcW w:w="4508" w:type="dxa"/>
          </w:tcPr>
          <w:p w14:paraId="4E22EFFA" w14:textId="3941809B"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MIE</w:t>
            </w:r>
          </w:p>
        </w:tc>
        <w:tc>
          <w:tcPr>
            <w:tcW w:w="4508" w:type="dxa"/>
          </w:tcPr>
          <w:p w14:paraId="2D5D3305" w14:textId="0AA167F0" w:rsidR="005372EA" w:rsidRPr="00830F4C" w:rsidRDefault="00B51949" w:rsidP="002861E2">
            <w:pPr>
              <w:spacing w:line="240" w:lineRule="atLeast"/>
              <w:jc w:val="center"/>
              <w:rPr>
                <w:rFonts w:ascii="Garamond" w:hAnsi="Garamond"/>
                <w:sz w:val="20"/>
                <w:szCs w:val="20"/>
              </w:rPr>
            </w:pPr>
            <w:r w:rsidRPr="00830F4C">
              <w:rPr>
                <w:rFonts w:ascii="Garamond" w:hAnsi="Garamond"/>
                <w:sz w:val="20"/>
                <w:szCs w:val="20"/>
              </w:rPr>
              <w:t>Ministria e Infrastrukturës dhe Energjisë</w:t>
            </w:r>
          </w:p>
        </w:tc>
      </w:tr>
      <w:tr w:rsidR="00723888" w:rsidRPr="00830F4C" w14:paraId="1329A122" w14:textId="77777777" w:rsidTr="008E0BCF">
        <w:tc>
          <w:tcPr>
            <w:tcW w:w="4508" w:type="dxa"/>
          </w:tcPr>
          <w:p w14:paraId="6DC31D26"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MRP</w:t>
            </w:r>
          </w:p>
        </w:tc>
        <w:tc>
          <w:tcPr>
            <w:tcW w:w="4508" w:type="dxa"/>
          </w:tcPr>
          <w:p w14:paraId="71422F9D"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Menaxhimi i Riskut të Pajtueshmërisë</w:t>
            </w:r>
          </w:p>
        </w:tc>
      </w:tr>
      <w:tr w:rsidR="00723888" w:rsidRPr="00830F4C" w14:paraId="50772356" w14:textId="77777777" w:rsidTr="008E0BCF">
        <w:tc>
          <w:tcPr>
            <w:tcW w:w="4508" w:type="dxa"/>
          </w:tcPr>
          <w:p w14:paraId="3F175C02"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lastRenderedPageBreak/>
              <w:t>NCTS</w:t>
            </w:r>
          </w:p>
        </w:tc>
        <w:tc>
          <w:tcPr>
            <w:tcW w:w="4508" w:type="dxa"/>
          </w:tcPr>
          <w:p w14:paraId="7E319D94"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Sistemi i Ri i Kompjuterizuar i Transitit</w:t>
            </w:r>
          </w:p>
        </w:tc>
      </w:tr>
      <w:tr w:rsidR="00723888" w:rsidRPr="00830F4C" w14:paraId="08076337" w14:textId="77777777" w:rsidTr="008E0BCF">
        <w:tc>
          <w:tcPr>
            <w:tcW w:w="4508" w:type="dxa"/>
          </w:tcPr>
          <w:p w14:paraId="05937BBA" w14:textId="6D1D1EA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KE</w:t>
            </w:r>
          </w:p>
        </w:tc>
        <w:tc>
          <w:tcPr>
            <w:tcW w:w="4508" w:type="dxa"/>
          </w:tcPr>
          <w:p w14:paraId="05FE4E1D" w14:textId="561B5FCF"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 xml:space="preserve">Komisioni </w:t>
            </w:r>
            <w:r w:rsidR="00120EA0" w:rsidRPr="00830F4C">
              <w:rPr>
                <w:rFonts w:ascii="Garamond" w:hAnsi="Garamond"/>
                <w:sz w:val="20"/>
                <w:szCs w:val="20"/>
              </w:rPr>
              <w:t>Evropian</w:t>
            </w:r>
          </w:p>
        </w:tc>
      </w:tr>
      <w:tr w:rsidR="00723888" w:rsidRPr="00830F4C" w14:paraId="642280E7" w14:textId="77777777" w:rsidTr="008E0BCF">
        <w:tc>
          <w:tcPr>
            <w:tcW w:w="4508" w:type="dxa"/>
          </w:tcPr>
          <w:p w14:paraId="1E75DCB2" w14:textId="112DDCEA"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 xml:space="preserve">OECD </w:t>
            </w:r>
          </w:p>
        </w:tc>
        <w:tc>
          <w:tcPr>
            <w:tcW w:w="4508" w:type="dxa"/>
          </w:tcPr>
          <w:p w14:paraId="2AA0567B"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Organizata për Bashkëpunimin Ekonomik dhe Zhvillim</w:t>
            </w:r>
          </w:p>
        </w:tc>
      </w:tr>
      <w:tr w:rsidR="00723888" w:rsidRPr="00830F4C" w14:paraId="75090D02" w14:textId="77777777" w:rsidTr="008E0BCF">
        <w:tc>
          <w:tcPr>
            <w:tcW w:w="4508" w:type="dxa"/>
          </w:tcPr>
          <w:p w14:paraId="1AB7FE0E" w14:textId="2780B462"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OEA</w:t>
            </w:r>
          </w:p>
        </w:tc>
        <w:tc>
          <w:tcPr>
            <w:tcW w:w="4508" w:type="dxa"/>
          </w:tcPr>
          <w:p w14:paraId="1F9A144A"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Operatorë Ekonomikë të Autorizuar</w:t>
            </w:r>
          </w:p>
        </w:tc>
      </w:tr>
      <w:tr w:rsidR="00723888" w:rsidRPr="00830F4C" w14:paraId="1D08BFD3" w14:textId="77777777" w:rsidTr="008E0BCF">
        <w:tc>
          <w:tcPr>
            <w:tcW w:w="4508" w:type="dxa"/>
          </w:tcPr>
          <w:p w14:paraId="7744F36B"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PBA</w:t>
            </w:r>
          </w:p>
        </w:tc>
        <w:tc>
          <w:tcPr>
            <w:tcW w:w="4508" w:type="dxa"/>
          </w:tcPr>
          <w:p w14:paraId="2B3B4D14"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Projekt Buxheti Afatmesëm</w:t>
            </w:r>
          </w:p>
        </w:tc>
      </w:tr>
      <w:tr w:rsidR="00723888" w:rsidRPr="00830F4C" w14:paraId="1702FCBB" w14:textId="77777777" w:rsidTr="008E0BCF">
        <w:tc>
          <w:tcPr>
            <w:tcW w:w="4508" w:type="dxa"/>
          </w:tcPr>
          <w:p w14:paraId="73B3C708"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PBB</w:t>
            </w:r>
          </w:p>
        </w:tc>
        <w:tc>
          <w:tcPr>
            <w:tcW w:w="4508" w:type="dxa"/>
          </w:tcPr>
          <w:p w14:paraId="52E785C0"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Produkti i Brendshëm Bruto</w:t>
            </w:r>
          </w:p>
        </w:tc>
      </w:tr>
      <w:tr w:rsidR="00723888" w:rsidRPr="00830F4C" w14:paraId="0BF1A767" w14:textId="77777777" w:rsidTr="008E0BCF">
        <w:tc>
          <w:tcPr>
            <w:tcW w:w="4508" w:type="dxa"/>
          </w:tcPr>
          <w:p w14:paraId="68A64D93"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PFM</w:t>
            </w:r>
          </w:p>
        </w:tc>
        <w:tc>
          <w:tcPr>
            <w:tcW w:w="4508" w:type="dxa"/>
          </w:tcPr>
          <w:p w14:paraId="4EFAF0B8"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Strategjia e Financave Publike</w:t>
            </w:r>
          </w:p>
        </w:tc>
      </w:tr>
      <w:tr w:rsidR="00723888" w:rsidRPr="00830F4C" w14:paraId="042BD005" w14:textId="77777777" w:rsidTr="008E0BCF">
        <w:tc>
          <w:tcPr>
            <w:tcW w:w="4508" w:type="dxa"/>
          </w:tcPr>
          <w:p w14:paraId="50AFC4C0"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SAA</w:t>
            </w:r>
          </w:p>
        </w:tc>
        <w:tc>
          <w:tcPr>
            <w:tcW w:w="4508" w:type="dxa"/>
          </w:tcPr>
          <w:p w14:paraId="021BEBA5"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Strategjia Afatmesme e të Ardhurave</w:t>
            </w:r>
          </w:p>
        </w:tc>
      </w:tr>
      <w:tr w:rsidR="00723888" w:rsidRPr="00830F4C" w14:paraId="44ADF7BF" w14:textId="77777777" w:rsidTr="008E0BCF">
        <w:tc>
          <w:tcPr>
            <w:tcW w:w="4508" w:type="dxa"/>
          </w:tcPr>
          <w:p w14:paraId="1FD7F057" w14:textId="77777777" w:rsidR="005372EA" w:rsidRPr="00830F4C" w:rsidRDefault="005372EA" w:rsidP="002861E2">
            <w:pPr>
              <w:spacing w:line="240" w:lineRule="atLeast"/>
              <w:jc w:val="center"/>
              <w:rPr>
                <w:rFonts w:ascii="Garamond" w:hAnsi="Garamond"/>
                <w:bCs/>
                <w:sz w:val="20"/>
                <w:szCs w:val="20"/>
              </w:rPr>
            </w:pPr>
            <w:r w:rsidRPr="00830F4C">
              <w:rPr>
                <w:rFonts w:ascii="Garamond" w:hAnsi="Garamond"/>
                <w:bCs/>
                <w:sz w:val="20"/>
                <w:szCs w:val="20"/>
              </w:rPr>
              <w:t>AEOI</w:t>
            </w:r>
          </w:p>
        </w:tc>
        <w:tc>
          <w:tcPr>
            <w:tcW w:w="4508" w:type="dxa"/>
          </w:tcPr>
          <w:p w14:paraId="3A2BFDA2" w14:textId="77777777" w:rsidR="005372EA" w:rsidRPr="00830F4C" w:rsidRDefault="005372EA" w:rsidP="002861E2">
            <w:pPr>
              <w:spacing w:line="240" w:lineRule="atLeast"/>
              <w:jc w:val="center"/>
              <w:rPr>
                <w:rFonts w:ascii="Garamond" w:hAnsi="Garamond"/>
                <w:bCs/>
                <w:sz w:val="20"/>
                <w:szCs w:val="20"/>
              </w:rPr>
            </w:pPr>
            <w:r w:rsidRPr="00830F4C">
              <w:rPr>
                <w:rFonts w:ascii="Garamond" w:hAnsi="Garamond"/>
                <w:bCs/>
                <w:sz w:val="20"/>
                <w:szCs w:val="20"/>
              </w:rPr>
              <w:t>Standardet e Shkëmbimit Automatik të Informacionit</w:t>
            </w:r>
          </w:p>
        </w:tc>
      </w:tr>
      <w:tr w:rsidR="00723888" w:rsidRPr="00830F4C" w14:paraId="6100768C" w14:textId="77777777" w:rsidTr="008E0BCF">
        <w:tc>
          <w:tcPr>
            <w:tcW w:w="4508" w:type="dxa"/>
          </w:tcPr>
          <w:p w14:paraId="61062BE8"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SKZHI</w:t>
            </w:r>
          </w:p>
        </w:tc>
        <w:tc>
          <w:tcPr>
            <w:tcW w:w="4508" w:type="dxa"/>
          </w:tcPr>
          <w:p w14:paraId="44CF5519"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Strategjia Kombëtare për Zhvillim dhe Integrim</w:t>
            </w:r>
          </w:p>
        </w:tc>
      </w:tr>
      <w:tr w:rsidR="00723888" w:rsidRPr="00830F4C" w14:paraId="1389E417" w14:textId="77777777" w:rsidTr="008E0BCF">
        <w:tc>
          <w:tcPr>
            <w:tcW w:w="4508" w:type="dxa"/>
          </w:tcPr>
          <w:p w14:paraId="69D0CA39" w14:textId="5AFC2C8C"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TTHF</w:t>
            </w:r>
          </w:p>
        </w:tc>
        <w:tc>
          <w:tcPr>
            <w:tcW w:w="4508" w:type="dxa"/>
          </w:tcPr>
          <w:p w14:paraId="09EAE618"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Tatimi i Thjeshtuar mbi Fitimin</w:t>
            </w:r>
          </w:p>
        </w:tc>
      </w:tr>
      <w:tr w:rsidR="00723888" w:rsidRPr="00830F4C" w14:paraId="4CE4E957" w14:textId="77777777" w:rsidTr="008E0BCF">
        <w:tc>
          <w:tcPr>
            <w:tcW w:w="4508" w:type="dxa"/>
          </w:tcPr>
          <w:p w14:paraId="2BFFF0C4"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T-F</w:t>
            </w:r>
          </w:p>
        </w:tc>
        <w:tc>
          <w:tcPr>
            <w:tcW w:w="4508" w:type="dxa"/>
          </w:tcPr>
          <w:p w14:paraId="14C461B4" w14:textId="6D92071E"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Tatim</w:t>
            </w:r>
            <w:r w:rsidR="00B51949" w:rsidRPr="00830F4C">
              <w:rPr>
                <w:rFonts w:ascii="Garamond" w:hAnsi="Garamond"/>
                <w:sz w:val="20"/>
                <w:szCs w:val="20"/>
              </w:rPr>
              <w:t>-</w:t>
            </w:r>
            <w:r w:rsidRPr="00830F4C">
              <w:rPr>
                <w:rFonts w:ascii="Garamond" w:hAnsi="Garamond"/>
                <w:sz w:val="20"/>
                <w:szCs w:val="20"/>
              </w:rPr>
              <w:t>Fitimi</w:t>
            </w:r>
          </w:p>
        </w:tc>
      </w:tr>
      <w:tr w:rsidR="00723888" w:rsidRPr="00830F4C" w14:paraId="403F0B84" w14:textId="77777777" w:rsidTr="008E0BCF">
        <w:tc>
          <w:tcPr>
            <w:tcW w:w="4508" w:type="dxa"/>
          </w:tcPr>
          <w:p w14:paraId="04D89C3B"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TP</w:t>
            </w:r>
          </w:p>
        </w:tc>
        <w:tc>
          <w:tcPr>
            <w:tcW w:w="4508" w:type="dxa"/>
          </w:tcPr>
          <w:p w14:paraId="04EE2CF3"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Tatimpagues</w:t>
            </w:r>
          </w:p>
        </w:tc>
      </w:tr>
      <w:tr w:rsidR="00723888" w:rsidRPr="00830F4C" w14:paraId="36F6FDD8" w14:textId="77777777" w:rsidTr="008E0BCF">
        <w:tc>
          <w:tcPr>
            <w:tcW w:w="4508" w:type="dxa"/>
          </w:tcPr>
          <w:p w14:paraId="4DA9AB5B"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TVSH</w:t>
            </w:r>
          </w:p>
        </w:tc>
        <w:tc>
          <w:tcPr>
            <w:tcW w:w="4508" w:type="dxa"/>
          </w:tcPr>
          <w:p w14:paraId="011FAB30"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Tatimi mbi Vlerën e Shtuar</w:t>
            </w:r>
          </w:p>
        </w:tc>
      </w:tr>
      <w:tr w:rsidR="00723888" w:rsidRPr="00830F4C" w14:paraId="0C7F8AF7" w14:textId="77777777" w:rsidTr="008E0BCF">
        <w:tc>
          <w:tcPr>
            <w:tcW w:w="4508" w:type="dxa"/>
          </w:tcPr>
          <w:p w14:paraId="3C752428"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QTATD</w:t>
            </w:r>
          </w:p>
        </w:tc>
        <w:tc>
          <w:tcPr>
            <w:tcW w:w="4508" w:type="dxa"/>
          </w:tcPr>
          <w:p w14:paraId="74F8EBEB"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Qendra e Trajnimit të Administratës Tatimore dhe Doganore</w:t>
            </w:r>
          </w:p>
        </w:tc>
      </w:tr>
      <w:tr w:rsidR="00723888" w:rsidRPr="00830F4C" w14:paraId="4242750B" w14:textId="77777777" w:rsidTr="008E0BCF">
        <w:tc>
          <w:tcPr>
            <w:tcW w:w="4508" w:type="dxa"/>
          </w:tcPr>
          <w:p w14:paraId="1402CB1F"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VKM</w:t>
            </w:r>
          </w:p>
        </w:tc>
        <w:tc>
          <w:tcPr>
            <w:tcW w:w="4508" w:type="dxa"/>
          </w:tcPr>
          <w:p w14:paraId="4A37303D" w14:textId="77777777" w:rsidR="005372EA" w:rsidRPr="00830F4C" w:rsidRDefault="005372EA" w:rsidP="002861E2">
            <w:pPr>
              <w:spacing w:line="240" w:lineRule="atLeast"/>
              <w:jc w:val="center"/>
              <w:rPr>
                <w:rFonts w:ascii="Garamond" w:hAnsi="Garamond"/>
                <w:sz w:val="20"/>
                <w:szCs w:val="20"/>
              </w:rPr>
            </w:pPr>
            <w:r w:rsidRPr="00830F4C">
              <w:rPr>
                <w:rFonts w:ascii="Garamond" w:hAnsi="Garamond"/>
                <w:sz w:val="20"/>
                <w:szCs w:val="20"/>
              </w:rPr>
              <w:t>Vendim i Këshillit të Ministrave</w:t>
            </w:r>
          </w:p>
        </w:tc>
      </w:tr>
    </w:tbl>
    <w:bookmarkEnd w:id="1"/>
    <w:p w14:paraId="0A90FB85" w14:textId="77777777" w:rsidR="002861E2" w:rsidRPr="00830F4C" w:rsidRDefault="002861E2" w:rsidP="002861E2">
      <w:pPr>
        <w:ind w:firstLine="284"/>
        <w:jc w:val="both"/>
        <w:rPr>
          <w:rFonts w:ascii="Garamond" w:hAnsi="Garamond"/>
          <w:b/>
        </w:rPr>
      </w:pPr>
      <w:r w:rsidRPr="00830F4C">
        <w:rPr>
          <w:rFonts w:ascii="Garamond" w:hAnsi="Garamond"/>
          <w:b/>
        </w:rPr>
        <w:t>Lista e Grafikëve:</w:t>
      </w:r>
    </w:p>
    <w:p w14:paraId="770DCC98" w14:textId="2729CB53" w:rsidR="002861E2" w:rsidRPr="00830F4C" w:rsidRDefault="002861E2" w:rsidP="002861E2">
      <w:pPr>
        <w:ind w:firstLine="284"/>
        <w:jc w:val="both"/>
        <w:rPr>
          <w:rFonts w:ascii="Garamond" w:hAnsi="Garamond"/>
        </w:rPr>
      </w:pPr>
      <w:r w:rsidRPr="00830F4C">
        <w:rPr>
          <w:rFonts w:ascii="Garamond" w:hAnsi="Garamond"/>
        </w:rPr>
        <w:t>Grafik 1: Të ardhurat, shpenzimet dhe deficiti, për periudhën 2019</w:t>
      </w:r>
      <w:r w:rsidR="00120EA0" w:rsidRPr="00830F4C">
        <w:rPr>
          <w:rFonts w:ascii="Garamond" w:hAnsi="Garamond"/>
        </w:rPr>
        <w:t>–</w:t>
      </w:r>
      <w:r w:rsidRPr="00830F4C">
        <w:rPr>
          <w:rFonts w:ascii="Garamond" w:hAnsi="Garamond"/>
        </w:rPr>
        <w:t>2027,</w:t>
      </w:r>
      <w:r w:rsidR="00D22EA5" w:rsidRPr="00830F4C">
        <w:rPr>
          <w:rFonts w:ascii="Garamond" w:hAnsi="Garamond"/>
        </w:rPr>
        <w:t xml:space="preserve"> </w:t>
      </w:r>
      <w:r w:rsidRPr="00830F4C">
        <w:rPr>
          <w:rFonts w:ascii="Garamond" w:hAnsi="Garamond"/>
        </w:rPr>
        <w:t>në % të PPB</w:t>
      </w:r>
      <w:r w:rsidR="00B51949" w:rsidRPr="00830F4C">
        <w:rPr>
          <w:rFonts w:ascii="Garamond" w:hAnsi="Garamond"/>
        </w:rPr>
        <w:t>-së</w:t>
      </w:r>
      <w:r w:rsidRPr="00830F4C">
        <w:rPr>
          <w:rFonts w:ascii="Garamond" w:hAnsi="Garamond"/>
        </w:rPr>
        <w:t xml:space="preserve"> </w:t>
      </w:r>
    </w:p>
    <w:p w14:paraId="676ED4A8" w14:textId="702286C0" w:rsidR="002861E2" w:rsidRPr="00830F4C" w:rsidRDefault="002861E2" w:rsidP="002861E2">
      <w:pPr>
        <w:ind w:firstLine="284"/>
        <w:jc w:val="both"/>
        <w:rPr>
          <w:rFonts w:ascii="Garamond" w:hAnsi="Garamond"/>
        </w:rPr>
      </w:pPr>
      <w:r w:rsidRPr="00830F4C">
        <w:rPr>
          <w:rFonts w:ascii="Garamond" w:hAnsi="Garamond"/>
        </w:rPr>
        <w:t>Grafik 2: Përbërja e të ardhurave të buxhetit të shtetit, viti 2023</w:t>
      </w:r>
      <w:r w:rsidR="00D22EA5" w:rsidRPr="00830F4C">
        <w:rPr>
          <w:rFonts w:ascii="Garamond" w:hAnsi="Garamond"/>
        </w:rPr>
        <w:t xml:space="preserve"> </w:t>
      </w:r>
    </w:p>
    <w:p w14:paraId="21E13189" w14:textId="2DB0D475" w:rsidR="002861E2" w:rsidRPr="00830F4C" w:rsidRDefault="002861E2" w:rsidP="002861E2">
      <w:pPr>
        <w:ind w:firstLine="284"/>
        <w:jc w:val="both"/>
        <w:rPr>
          <w:rFonts w:ascii="Garamond" w:hAnsi="Garamond"/>
        </w:rPr>
      </w:pPr>
      <w:r w:rsidRPr="00830F4C">
        <w:rPr>
          <w:rFonts w:ascii="Garamond" w:hAnsi="Garamond"/>
        </w:rPr>
        <w:t>Grafik 3: Përbërja e të ardhurave tatimore, viti 2023</w:t>
      </w:r>
      <w:r w:rsidR="00D22EA5" w:rsidRPr="00830F4C">
        <w:rPr>
          <w:rFonts w:ascii="Garamond" w:hAnsi="Garamond"/>
        </w:rPr>
        <w:t xml:space="preserve"> </w:t>
      </w:r>
    </w:p>
    <w:p w14:paraId="57361BF3" w14:textId="36D6A8BF" w:rsidR="002861E2" w:rsidRPr="00830F4C" w:rsidRDefault="002861E2" w:rsidP="002861E2">
      <w:pPr>
        <w:ind w:firstLine="284"/>
        <w:jc w:val="both"/>
        <w:rPr>
          <w:rFonts w:ascii="Garamond" w:hAnsi="Garamond"/>
        </w:rPr>
      </w:pPr>
      <w:r w:rsidRPr="00830F4C">
        <w:rPr>
          <w:rFonts w:ascii="Garamond" w:hAnsi="Garamond"/>
        </w:rPr>
        <w:t>Grafik 4:</w:t>
      </w:r>
      <w:r w:rsidR="0040432B" w:rsidRPr="00830F4C">
        <w:rPr>
          <w:rFonts w:ascii="Garamond" w:hAnsi="Garamond"/>
        </w:rPr>
        <w:t xml:space="preserve"> </w:t>
      </w:r>
      <w:r w:rsidRPr="00830F4C">
        <w:rPr>
          <w:rFonts w:ascii="Garamond" w:hAnsi="Garamond"/>
        </w:rPr>
        <w:t>Struktura e të ardhurave nga tatimet dhe doganat, 2023</w:t>
      </w:r>
      <w:r w:rsidR="00D22EA5" w:rsidRPr="00830F4C">
        <w:rPr>
          <w:rFonts w:ascii="Garamond" w:hAnsi="Garamond"/>
        </w:rPr>
        <w:t xml:space="preserve"> </w:t>
      </w:r>
    </w:p>
    <w:p w14:paraId="51DB288C" w14:textId="5571FBDD" w:rsidR="002861E2" w:rsidRPr="00830F4C" w:rsidRDefault="002861E2" w:rsidP="002861E2">
      <w:pPr>
        <w:ind w:firstLine="284"/>
        <w:jc w:val="both"/>
        <w:rPr>
          <w:rFonts w:ascii="Garamond" w:hAnsi="Garamond"/>
        </w:rPr>
      </w:pPr>
      <w:r w:rsidRPr="00830F4C">
        <w:rPr>
          <w:rFonts w:ascii="Garamond" w:hAnsi="Garamond"/>
        </w:rPr>
        <w:t>Grafik 5: Të ardhurat nga</w:t>
      </w:r>
      <w:r w:rsidR="00DE65FB">
        <w:rPr>
          <w:rFonts w:ascii="Garamond" w:hAnsi="Garamond"/>
        </w:rPr>
        <w:t xml:space="preserve"> TVSh</w:t>
      </w:r>
      <w:r w:rsidRPr="00830F4C">
        <w:rPr>
          <w:rFonts w:ascii="Garamond" w:hAnsi="Garamond"/>
        </w:rPr>
        <w:t xml:space="preserve"> në % ndaj PBB</w:t>
      </w:r>
      <w:r w:rsidR="0040432B" w:rsidRPr="00830F4C">
        <w:rPr>
          <w:rFonts w:ascii="Garamond" w:hAnsi="Garamond"/>
        </w:rPr>
        <w:t>-së</w:t>
      </w:r>
      <w:r w:rsidRPr="00830F4C">
        <w:rPr>
          <w:rFonts w:ascii="Garamond" w:hAnsi="Garamond"/>
        </w:rPr>
        <w:t xml:space="preserve"> në Shqipëri</w:t>
      </w:r>
      <w:r w:rsidR="00D22EA5" w:rsidRPr="00830F4C">
        <w:rPr>
          <w:rFonts w:ascii="Garamond" w:hAnsi="Garamond"/>
        </w:rPr>
        <w:t xml:space="preserve"> </w:t>
      </w:r>
    </w:p>
    <w:p w14:paraId="5FAF5295" w14:textId="50F15652" w:rsidR="002861E2" w:rsidRPr="00830F4C" w:rsidRDefault="002861E2" w:rsidP="002861E2">
      <w:pPr>
        <w:ind w:firstLine="284"/>
        <w:jc w:val="both"/>
        <w:rPr>
          <w:rFonts w:ascii="Garamond" w:hAnsi="Garamond"/>
        </w:rPr>
      </w:pPr>
      <w:r w:rsidRPr="00830F4C">
        <w:rPr>
          <w:rFonts w:ascii="Garamond" w:hAnsi="Garamond"/>
        </w:rPr>
        <w:t>Grafik 6: Sektorët kontribues në</w:t>
      </w:r>
      <w:r w:rsidR="00DE65FB">
        <w:rPr>
          <w:rFonts w:ascii="Garamond" w:hAnsi="Garamond"/>
        </w:rPr>
        <w:t xml:space="preserve"> TVSh</w:t>
      </w:r>
      <w:r w:rsidRPr="00830F4C">
        <w:rPr>
          <w:rFonts w:ascii="Garamond" w:hAnsi="Garamond"/>
        </w:rPr>
        <w:t>-në e brendshme</w:t>
      </w:r>
      <w:r w:rsidR="00D22EA5" w:rsidRPr="00830F4C">
        <w:rPr>
          <w:rFonts w:ascii="Garamond" w:hAnsi="Garamond"/>
        </w:rPr>
        <w:t xml:space="preserve"> </w:t>
      </w:r>
    </w:p>
    <w:p w14:paraId="64000228" w14:textId="12C68B6A" w:rsidR="002861E2" w:rsidRPr="00830F4C" w:rsidRDefault="002861E2" w:rsidP="002861E2">
      <w:pPr>
        <w:ind w:firstLine="284"/>
        <w:jc w:val="both"/>
        <w:rPr>
          <w:rFonts w:ascii="Garamond" w:hAnsi="Garamond"/>
        </w:rPr>
      </w:pPr>
      <w:r w:rsidRPr="00830F4C">
        <w:rPr>
          <w:rFonts w:ascii="Garamond" w:hAnsi="Garamond"/>
        </w:rPr>
        <w:t>Grafik 7: Pagesat e</w:t>
      </w:r>
      <w:r w:rsidR="00DE65FB">
        <w:rPr>
          <w:rFonts w:ascii="Garamond" w:hAnsi="Garamond"/>
        </w:rPr>
        <w:t xml:space="preserve"> TVSh</w:t>
      </w:r>
      <w:r w:rsidRPr="00830F4C">
        <w:rPr>
          <w:rFonts w:ascii="Garamond" w:hAnsi="Garamond"/>
        </w:rPr>
        <w:t>-së sipas qarkullimit të bizneseve në sektorin e ndërtimit</w:t>
      </w:r>
      <w:r w:rsidR="00D22EA5" w:rsidRPr="00830F4C">
        <w:rPr>
          <w:rFonts w:ascii="Garamond" w:hAnsi="Garamond"/>
        </w:rPr>
        <w:t xml:space="preserve"> </w:t>
      </w:r>
    </w:p>
    <w:p w14:paraId="6F5FA52D" w14:textId="1C96A71B" w:rsidR="002861E2" w:rsidRPr="00830F4C" w:rsidRDefault="002861E2" w:rsidP="002861E2">
      <w:pPr>
        <w:ind w:firstLine="284"/>
        <w:jc w:val="both"/>
        <w:rPr>
          <w:rFonts w:ascii="Garamond" w:hAnsi="Garamond"/>
        </w:rPr>
      </w:pPr>
      <w:r w:rsidRPr="00830F4C">
        <w:rPr>
          <w:rFonts w:ascii="Garamond" w:hAnsi="Garamond"/>
        </w:rPr>
        <w:t>Grafik 8: Terminale POS (</w:t>
      </w:r>
      <w:r w:rsidRPr="00830F4C">
        <w:rPr>
          <w:rFonts w:ascii="Garamond" w:hAnsi="Garamond"/>
          <w:i/>
        </w:rPr>
        <w:t>Point of Sale</w:t>
      </w:r>
      <w:r w:rsidRPr="00830F4C">
        <w:rPr>
          <w:rFonts w:ascii="Garamond" w:hAnsi="Garamond"/>
        </w:rPr>
        <w:t>) gjatë viteve</w:t>
      </w:r>
    </w:p>
    <w:p w14:paraId="435097B9" w14:textId="5A958A5A" w:rsidR="002861E2" w:rsidRPr="00830F4C" w:rsidRDefault="002861E2" w:rsidP="002861E2">
      <w:pPr>
        <w:ind w:firstLine="284"/>
        <w:jc w:val="both"/>
        <w:rPr>
          <w:rFonts w:ascii="Garamond" w:hAnsi="Garamond"/>
        </w:rPr>
      </w:pPr>
      <w:r w:rsidRPr="00830F4C">
        <w:rPr>
          <w:rFonts w:ascii="Garamond" w:hAnsi="Garamond"/>
        </w:rPr>
        <w:t>Grafik 9: Indikator Terminal POS për 100.000 banorë</w:t>
      </w:r>
      <w:r w:rsidR="00D22EA5" w:rsidRPr="00830F4C">
        <w:rPr>
          <w:rFonts w:ascii="Garamond" w:hAnsi="Garamond"/>
        </w:rPr>
        <w:t xml:space="preserve"> </w:t>
      </w:r>
    </w:p>
    <w:p w14:paraId="05D96F19" w14:textId="77777777" w:rsidR="002861E2" w:rsidRPr="00830F4C" w:rsidRDefault="002861E2" w:rsidP="002861E2">
      <w:pPr>
        <w:ind w:firstLine="284"/>
        <w:jc w:val="both"/>
        <w:rPr>
          <w:rFonts w:ascii="Garamond" w:hAnsi="Garamond"/>
        </w:rPr>
      </w:pPr>
    </w:p>
    <w:p w14:paraId="0187D23A" w14:textId="77777777" w:rsidR="002861E2" w:rsidRPr="00830F4C" w:rsidRDefault="002861E2" w:rsidP="002861E2">
      <w:pPr>
        <w:ind w:firstLine="284"/>
        <w:jc w:val="both"/>
        <w:rPr>
          <w:rFonts w:ascii="Garamond" w:hAnsi="Garamond"/>
          <w:b/>
        </w:rPr>
      </w:pPr>
      <w:r w:rsidRPr="00830F4C">
        <w:rPr>
          <w:rFonts w:ascii="Garamond" w:hAnsi="Garamond"/>
          <w:b/>
        </w:rPr>
        <w:t>Lista e tabelave:</w:t>
      </w:r>
    </w:p>
    <w:p w14:paraId="52989AC4" w14:textId="5FE26DCF" w:rsidR="002861E2" w:rsidRPr="00830F4C" w:rsidRDefault="002861E2" w:rsidP="002861E2">
      <w:pPr>
        <w:ind w:firstLine="284"/>
        <w:jc w:val="both"/>
        <w:rPr>
          <w:rFonts w:ascii="Garamond" w:hAnsi="Garamond"/>
        </w:rPr>
      </w:pPr>
      <w:r w:rsidRPr="00830F4C">
        <w:rPr>
          <w:rFonts w:ascii="Garamond" w:hAnsi="Garamond"/>
        </w:rPr>
        <w:t>Tabela 1: Rritja e të ardhurave tatimore në përqindje të PBB</w:t>
      </w:r>
      <w:r w:rsidR="008652F1" w:rsidRPr="00830F4C">
        <w:rPr>
          <w:rFonts w:ascii="Garamond" w:hAnsi="Garamond"/>
        </w:rPr>
        <w:t>-së</w:t>
      </w:r>
      <w:r w:rsidRPr="00830F4C">
        <w:rPr>
          <w:rFonts w:ascii="Garamond" w:hAnsi="Garamond"/>
        </w:rPr>
        <w:t>, 2019, 2023 dhe 2027</w:t>
      </w:r>
    </w:p>
    <w:p w14:paraId="437624AD" w14:textId="4552D28B" w:rsidR="002861E2" w:rsidRPr="00830F4C" w:rsidRDefault="002861E2" w:rsidP="002861E2">
      <w:pPr>
        <w:ind w:firstLine="284"/>
        <w:jc w:val="both"/>
        <w:rPr>
          <w:rFonts w:ascii="Garamond" w:hAnsi="Garamond"/>
        </w:rPr>
      </w:pPr>
      <w:r w:rsidRPr="00830F4C">
        <w:rPr>
          <w:rFonts w:ascii="Garamond" w:hAnsi="Garamond"/>
        </w:rPr>
        <w:t>Tabela 2:</w:t>
      </w:r>
      <w:r w:rsidR="008652F1" w:rsidRPr="00830F4C">
        <w:rPr>
          <w:rFonts w:ascii="Garamond" w:hAnsi="Garamond"/>
        </w:rPr>
        <w:t xml:space="preserve"> </w:t>
      </w:r>
      <w:r w:rsidRPr="00830F4C">
        <w:rPr>
          <w:rFonts w:ascii="Garamond" w:hAnsi="Garamond"/>
        </w:rPr>
        <w:t xml:space="preserve">Shpenzimi tatimor, vitet 2021 dhe 2022, në </w:t>
      </w:r>
      <w:r w:rsidR="00120EA0" w:rsidRPr="00830F4C">
        <w:rPr>
          <w:rFonts w:ascii="Garamond" w:hAnsi="Garamond"/>
        </w:rPr>
        <w:t>miliardë</w:t>
      </w:r>
      <w:r w:rsidRPr="00830F4C">
        <w:rPr>
          <w:rFonts w:ascii="Garamond" w:hAnsi="Garamond"/>
        </w:rPr>
        <w:t xml:space="preserve"> lekë dhe në % të PBB</w:t>
      </w:r>
      <w:r w:rsidR="008652F1" w:rsidRPr="00830F4C">
        <w:rPr>
          <w:rFonts w:ascii="Garamond" w:hAnsi="Garamond"/>
        </w:rPr>
        <w:t>-së</w:t>
      </w:r>
      <w:r w:rsidR="00D22EA5" w:rsidRPr="00830F4C">
        <w:rPr>
          <w:rFonts w:ascii="Garamond" w:hAnsi="Garamond"/>
        </w:rPr>
        <w:t xml:space="preserve"> </w:t>
      </w:r>
    </w:p>
    <w:p w14:paraId="2669CD20" w14:textId="397A01A0" w:rsidR="002861E2" w:rsidRPr="00830F4C" w:rsidRDefault="002861E2" w:rsidP="002861E2">
      <w:pPr>
        <w:ind w:firstLine="284"/>
        <w:jc w:val="both"/>
        <w:rPr>
          <w:rFonts w:ascii="Garamond" w:hAnsi="Garamond"/>
        </w:rPr>
      </w:pPr>
      <w:r w:rsidRPr="00830F4C">
        <w:rPr>
          <w:rFonts w:ascii="Garamond" w:hAnsi="Garamond"/>
        </w:rPr>
        <w:t>Tabela 3: Shpenzimi tatimor i</w:t>
      </w:r>
      <w:r w:rsidR="00DE65FB">
        <w:rPr>
          <w:rFonts w:ascii="Garamond" w:hAnsi="Garamond"/>
        </w:rPr>
        <w:t xml:space="preserve"> TVSh</w:t>
      </w:r>
      <w:r w:rsidRPr="00830F4C">
        <w:rPr>
          <w:rFonts w:ascii="Garamond" w:hAnsi="Garamond"/>
        </w:rPr>
        <w:t>-së në vitet 2021 dhe 2022</w:t>
      </w:r>
      <w:r w:rsidR="00D22EA5" w:rsidRPr="00830F4C">
        <w:rPr>
          <w:rFonts w:ascii="Garamond" w:hAnsi="Garamond"/>
        </w:rPr>
        <w:t xml:space="preserve"> </w:t>
      </w:r>
    </w:p>
    <w:p w14:paraId="43EF1B04" w14:textId="37B3877C" w:rsidR="002861E2" w:rsidRPr="00830F4C" w:rsidRDefault="002861E2" w:rsidP="002861E2">
      <w:pPr>
        <w:ind w:firstLine="284"/>
        <w:jc w:val="both"/>
        <w:rPr>
          <w:rFonts w:ascii="Garamond" w:hAnsi="Garamond"/>
        </w:rPr>
      </w:pPr>
      <w:r w:rsidRPr="00830F4C">
        <w:rPr>
          <w:rFonts w:ascii="Garamond" w:hAnsi="Garamond"/>
        </w:rPr>
        <w:t>Tabela 4:</w:t>
      </w:r>
      <w:r w:rsidR="008652F1" w:rsidRPr="00830F4C">
        <w:rPr>
          <w:rFonts w:ascii="Garamond" w:hAnsi="Garamond"/>
        </w:rPr>
        <w:t xml:space="preserve"> </w:t>
      </w:r>
      <w:r w:rsidRPr="00830F4C">
        <w:rPr>
          <w:rFonts w:ascii="Garamond" w:hAnsi="Garamond"/>
        </w:rPr>
        <w:t>Shpenzimi tatimor i tatimi</w:t>
      </w:r>
      <w:r w:rsidR="008652F1" w:rsidRPr="00830F4C">
        <w:rPr>
          <w:rFonts w:ascii="Garamond" w:hAnsi="Garamond"/>
        </w:rPr>
        <w:t>t</w:t>
      </w:r>
      <w:r w:rsidRPr="00830F4C">
        <w:rPr>
          <w:rFonts w:ascii="Garamond" w:hAnsi="Garamond"/>
        </w:rPr>
        <w:t xml:space="preserve"> mbi fitimin në vitet 2021 dhe 2022</w:t>
      </w:r>
      <w:r w:rsidR="00D22EA5" w:rsidRPr="00830F4C">
        <w:rPr>
          <w:rFonts w:ascii="Garamond" w:hAnsi="Garamond"/>
        </w:rPr>
        <w:t xml:space="preserve"> </w:t>
      </w:r>
    </w:p>
    <w:p w14:paraId="46EC52DA" w14:textId="07F1C81B" w:rsidR="002861E2" w:rsidRPr="00830F4C" w:rsidRDefault="002861E2" w:rsidP="002861E2">
      <w:pPr>
        <w:ind w:firstLine="284"/>
        <w:jc w:val="both"/>
        <w:rPr>
          <w:rFonts w:ascii="Garamond" w:hAnsi="Garamond"/>
        </w:rPr>
      </w:pPr>
      <w:r w:rsidRPr="00830F4C">
        <w:rPr>
          <w:rFonts w:ascii="Garamond" w:hAnsi="Garamond"/>
        </w:rPr>
        <w:t>Tabela 5 : Efektet buxhetore të politikave tatimore për periudhën 2022</w:t>
      </w:r>
      <w:r w:rsidR="00120EA0" w:rsidRPr="00830F4C">
        <w:rPr>
          <w:rFonts w:ascii="Garamond" w:hAnsi="Garamond"/>
        </w:rPr>
        <w:t>–</w:t>
      </w:r>
      <w:r w:rsidRPr="00830F4C">
        <w:rPr>
          <w:rFonts w:ascii="Garamond" w:hAnsi="Garamond"/>
        </w:rPr>
        <w:t>2024</w:t>
      </w:r>
      <w:r w:rsidR="00D22EA5" w:rsidRPr="00830F4C">
        <w:rPr>
          <w:rFonts w:ascii="Garamond" w:hAnsi="Garamond"/>
        </w:rPr>
        <w:t xml:space="preserve"> </w:t>
      </w:r>
    </w:p>
    <w:p w14:paraId="73334C56" w14:textId="7D6165CD" w:rsidR="002861E2" w:rsidRPr="00830F4C" w:rsidRDefault="002861E2" w:rsidP="002861E2">
      <w:pPr>
        <w:ind w:firstLine="284"/>
        <w:jc w:val="both"/>
        <w:rPr>
          <w:rFonts w:ascii="Garamond" w:hAnsi="Garamond"/>
        </w:rPr>
      </w:pPr>
      <w:r w:rsidRPr="00830F4C">
        <w:rPr>
          <w:rFonts w:ascii="Garamond" w:hAnsi="Garamond"/>
        </w:rPr>
        <w:t>Tabela 6: Rritja e të ardhurave vjetore nga zbatimi i Strategjisë</w:t>
      </w:r>
      <w:r w:rsidR="00D22EA5" w:rsidRPr="00830F4C">
        <w:rPr>
          <w:rFonts w:ascii="Garamond" w:hAnsi="Garamond"/>
        </w:rPr>
        <w:t xml:space="preserve"> </w:t>
      </w:r>
    </w:p>
    <w:p w14:paraId="1204629A" w14:textId="2BFFFC8F" w:rsidR="002861E2" w:rsidRPr="00830F4C" w:rsidRDefault="002861E2" w:rsidP="002861E2">
      <w:pPr>
        <w:ind w:firstLine="284"/>
        <w:jc w:val="both"/>
        <w:rPr>
          <w:rFonts w:ascii="Garamond" w:hAnsi="Garamond"/>
        </w:rPr>
      </w:pPr>
      <w:r w:rsidRPr="00830F4C">
        <w:rPr>
          <w:rFonts w:ascii="Garamond" w:hAnsi="Garamond"/>
        </w:rPr>
        <w:t>Tabela 7:</w:t>
      </w:r>
      <w:r w:rsidR="008652F1" w:rsidRPr="00830F4C">
        <w:rPr>
          <w:rFonts w:ascii="Garamond" w:hAnsi="Garamond"/>
        </w:rPr>
        <w:t xml:space="preserve"> </w:t>
      </w:r>
      <w:r w:rsidRPr="00830F4C">
        <w:rPr>
          <w:rFonts w:ascii="Garamond" w:hAnsi="Garamond"/>
        </w:rPr>
        <w:t>Rritja e të ardhurave vjetore nga zbatimi i Strategjisë, sipas shtyllave</w:t>
      </w:r>
      <w:r w:rsidR="00D22EA5" w:rsidRPr="00830F4C">
        <w:rPr>
          <w:rFonts w:ascii="Garamond" w:hAnsi="Garamond"/>
        </w:rPr>
        <w:t xml:space="preserve"> </w:t>
      </w:r>
    </w:p>
    <w:p w14:paraId="4D475C07" w14:textId="61412757" w:rsidR="002861E2" w:rsidRPr="00830F4C" w:rsidRDefault="002861E2" w:rsidP="002861E2">
      <w:pPr>
        <w:ind w:firstLine="284"/>
        <w:jc w:val="both"/>
        <w:rPr>
          <w:rFonts w:ascii="Garamond" w:hAnsi="Garamond"/>
        </w:rPr>
      </w:pPr>
      <w:r w:rsidRPr="00830F4C">
        <w:rPr>
          <w:rFonts w:ascii="Garamond" w:hAnsi="Garamond"/>
        </w:rPr>
        <w:t>Tabela 8:</w:t>
      </w:r>
      <w:r w:rsidR="008652F1" w:rsidRPr="00830F4C">
        <w:rPr>
          <w:rFonts w:ascii="Garamond" w:hAnsi="Garamond"/>
        </w:rPr>
        <w:t xml:space="preserve"> </w:t>
      </w:r>
      <w:r w:rsidRPr="00830F4C">
        <w:rPr>
          <w:rFonts w:ascii="Garamond" w:hAnsi="Garamond"/>
        </w:rPr>
        <w:t>Tatimpaguesit e regjistruar në skemën e</w:t>
      </w:r>
      <w:r w:rsidR="00DE65FB">
        <w:rPr>
          <w:rFonts w:ascii="Garamond" w:hAnsi="Garamond"/>
        </w:rPr>
        <w:t xml:space="preserve"> TVSh</w:t>
      </w:r>
      <w:r w:rsidRPr="00830F4C">
        <w:rPr>
          <w:rFonts w:ascii="Garamond" w:hAnsi="Garamond"/>
        </w:rPr>
        <w:t>-së në vitin 2023</w:t>
      </w:r>
      <w:r w:rsidR="00D22EA5" w:rsidRPr="00830F4C">
        <w:rPr>
          <w:rFonts w:ascii="Garamond" w:hAnsi="Garamond"/>
        </w:rPr>
        <w:t xml:space="preserve"> </w:t>
      </w:r>
    </w:p>
    <w:p w14:paraId="45A24738" w14:textId="3CF115A3" w:rsidR="002861E2" w:rsidRPr="00830F4C" w:rsidRDefault="002861E2" w:rsidP="002861E2">
      <w:pPr>
        <w:ind w:firstLine="284"/>
        <w:jc w:val="both"/>
        <w:rPr>
          <w:rFonts w:ascii="Garamond" w:hAnsi="Garamond"/>
        </w:rPr>
      </w:pPr>
      <w:r w:rsidRPr="00830F4C">
        <w:rPr>
          <w:rFonts w:ascii="Garamond" w:hAnsi="Garamond"/>
        </w:rPr>
        <w:t>Tabela 9:</w:t>
      </w:r>
      <w:r w:rsidR="008652F1" w:rsidRPr="00830F4C">
        <w:rPr>
          <w:rFonts w:ascii="Garamond" w:hAnsi="Garamond"/>
        </w:rPr>
        <w:t xml:space="preserve"> </w:t>
      </w:r>
      <w:r w:rsidRPr="00830F4C">
        <w:rPr>
          <w:rFonts w:ascii="Garamond" w:hAnsi="Garamond"/>
        </w:rPr>
        <w:t>Përjashtimet tatimore dhe normat e reduktuara në ligjin për tatimin mbi të ardhurat</w:t>
      </w:r>
      <w:r w:rsidR="00D22EA5" w:rsidRPr="00830F4C">
        <w:rPr>
          <w:rFonts w:ascii="Garamond" w:hAnsi="Garamond"/>
        </w:rPr>
        <w:t xml:space="preserve"> </w:t>
      </w:r>
    </w:p>
    <w:p w14:paraId="7D92FE8A" w14:textId="006FB874" w:rsidR="002861E2" w:rsidRPr="00830F4C" w:rsidRDefault="002861E2" w:rsidP="002861E2">
      <w:pPr>
        <w:ind w:firstLine="284"/>
        <w:jc w:val="both"/>
        <w:rPr>
          <w:rFonts w:ascii="Garamond" w:hAnsi="Garamond"/>
        </w:rPr>
      </w:pPr>
      <w:r w:rsidRPr="00830F4C">
        <w:rPr>
          <w:rFonts w:ascii="Garamond" w:hAnsi="Garamond"/>
        </w:rPr>
        <w:t xml:space="preserve">Tabela 10: Të ardhura në buxhetin e shtetit nga Shtylla 2 </w:t>
      </w:r>
      <w:r w:rsidR="00D22EA5" w:rsidRPr="00830F4C">
        <w:rPr>
          <w:rFonts w:ascii="Garamond" w:hAnsi="Garamond"/>
        </w:rPr>
        <w:t>“</w:t>
      </w:r>
      <w:r w:rsidRPr="00830F4C">
        <w:rPr>
          <w:rFonts w:ascii="Garamond" w:hAnsi="Garamond"/>
        </w:rPr>
        <w:t>Mirëadmini</w:t>
      </w:r>
      <w:r w:rsidR="008652F1" w:rsidRPr="00830F4C">
        <w:rPr>
          <w:rFonts w:ascii="Garamond" w:hAnsi="Garamond"/>
        </w:rPr>
        <w:t>s</w:t>
      </w:r>
      <w:r w:rsidRPr="00830F4C">
        <w:rPr>
          <w:rFonts w:ascii="Garamond" w:hAnsi="Garamond"/>
        </w:rPr>
        <w:t xml:space="preserve">trimi </w:t>
      </w:r>
      <w:r w:rsidR="00120EA0" w:rsidRPr="00830F4C">
        <w:rPr>
          <w:rFonts w:ascii="Garamond" w:hAnsi="Garamond"/>
        </w:rPr>
        <w:t>t</w:t>
      </w:r>
      <w:r w:rsidRPr="00830F4C">
        <w:rPr>
          <w:rFonts w:ascii="Garamond" w:hAnsi="Garamond"/>
        </w:rPr>
        <w:t>atimor</w:t>
      </w:r>
      <w:r w:rsidR="00D22EA5" w:rsidRPr="00830F4C">
        <w:rPr>
          <w:rFonts w:ascii="Garamond" w:hAnsi="Garamond"/>
        </w:rPr>
        <w:t>”</w:t>
      </w:r>
      <w:r w:rsidRPr="00830F4C">
        <w:rPr>
          <w:rFonts w:ascii="Garamond" w:hAnsi="Garamond"/>
        </w:rPr>
        <w:t>, sipas zërave të taksave</w:t>
      </w:r>
      <w:r w:rsidR="00D22EA5" w:rsidRPr="00830F4C">
        <w:rPr>
          <w:rFonts w:ascii="Garamond" w:hAnsi="Garamond"/>
        </w:rPr>
        <w:t xml:space="preserve"> </w:t>
      </w:r>
    </w:p>
    <w:p w14:paraId="0B3BF41D" w14:textId="5D9C7562" w:rsidR="002861E2" w:rsidRPr="00830F4C" w:rsidRDefault="002861E2" w:rsidP="002861E2">
      <w:pPr>
        <w:ind w:firstLine="284"/>
        <w:jc w:val="both"/>
        <w:rPr>
          <w:rFonts w:ascii="Garamond" w:hAnsi="Garamond"/>
        </w:rPr>
      </w:pPr>
      <w:r w:rsidRPr="00830F4C">
        <w:rPr>
          <w:rFonts w:ascii="Garamond" w:hAnsi="Garamond"/>
        </w:rPr>
        <w:t>Tabela 11: Realizimi i</w:t>
      </w:r>
      <w:r w:rsidR="00DE65FB">
        <w:rPr>
          <w:rFonts w:ascii="Garamond" w:hAnsi="Garamond"/>
        </w:rPr>
        <w:t xml:space="preserve"> TVSh</w:t>
      </w:r>
      <w:r w:rsidR="008652F1" w:rsidRPr="00830F4C">
        <w:rPr>
          <w:rFonts w:ascii="Garamond" w:hAnsi="Garamond"/>
        </w:rPr>
        <w:t>-së</w:t>
      </w:r>
      <w:r w:rsidRPr="00830F4C">
        <w:rPr>
          <w:rFonts w:ascii="Garamond" w:hAnsi="Garamond"/>
        </w:rPr>
        <w:t xml:space="preserve"> sipas </w:t>
      </w:r>
      <w:r w:rsidR="008652F1" w:rsidRPr="00830F4C">
        <w:rPr>
          <w:rFonts w:ascii="Garamond" w:hAnsi="Garamond"/>
        </w:rPr>
        <w:t>a</w:t>
      </w:r>
      <w:r w:rsidRPr="00830F4C">
        <w:rPr>
          <w:rFonts w:ascii="Garamond" w:hAnsi="Garamond"/>
        </w:rPr>
        <w:t>dministratave fiskale, në vlerë dhe % ndaj PBB</w:t>
      </w:r>
      <w:r w:rsidR="008652F1" w:rsidRPr="00830F4C">
        <w:rPr>
          <w:rFonts w:ascii="Garamond" w:hAnsi="Garamond"/>
        </w:rPr>
        <w:t>-së</w:t>
      </w:r>
    </w:p>
    <w:p w14:paraId="1610B94E" w14:textId="57BBC213" w:rsidR="002861E2" w:rsidRPr="00830F4C" w:rsidRDefault="002861E2" w:rsidP="002861E2">
      <w:pPr>
        <w:ind w:firstLine="284"/>
        <w:jc w:val="both"/>
        <w:rPr>
          <w:rFonts w:ascii="Garamond" w:hAnsi="Garamond"/>
        </w:rPr>
      </w:pPr>
      <w:r w:rsidRPr="00830F4C">
        <w:rPr>
          <w:rFonts w:ascii="Garamond" w:hAnsi="Garamond"/>
        </w:rPr>
        <w:t>Tabela 12:</w:t>
      </w:r>
      <w:r w:rsidR="008652F1" w:rsidRPr="00830F4C">
        <w:rPr>
          <w:rFonts w:ascii="Garamond" w:hAnsi="Garamond"/>
        </w:rPr>
        <w:t xml:space="preserve"> </w:t>
      </w:r>
      <w:r w:rsidRPr="00830F4C">
        <w:rPr>
          <w:rFonts w:ascii="Garamond" w:hAnsi="Garamond"/>
        </w:rPr>
        <w:t>Të ardhurat nga</w:t>
      </w:r>
      <w:r w:rsidR="00DE65FB">
        <w:rPr>
          <w:rFonts w:ascii="Garamond" w:hAnsi="Garamond"/>
        </w:rPr>
        <w:t xml:space="preserve"> TVSh</w:t>
      </w:r>
      <w:r w:rsidR="008652F1" w:rsidRPr="00830F4C">
        <w:rPr>
          <w:rFonts w:ascii="Garamond" w:hAnsi="Garamond"/>
        </w:rPr>
        <w:t>-ja</w:t>
      </w:r>
      <w:r w:rsidRPr="00830F4C">
        <w:rPr>
          <w:rFonts w:ascii="Garamond" w:hAnsi="Garamond"/>
        </w:rPr>
        <w:t xml:space="preserve"> në % të PBB</w:t>
      </w:r>
      <w:r w:rsidR="008652F1" w:rsidRPr="00830F4C">
        <w:rPr>
          <w:rFonts w:ascii="Garamond" w:hAnsi="Garamond"/>
        </w:rPr>
        <w:t>-së</w:t>
      </w:r>
      <w:r w:rsidRPr="00830F4C">
        <w:rPr>
          <w:rFonts w:ascii="Garamond" w:hAnsi="Garamond"/>
        </w:rPr>
        <w:t xml:space="preserve"> dhe numri i subjekteve në sektorin </w:t>
      </w:r>
      <w:r w:rsidR="00D22EA5" w:rsidRPr="00830F4C">
        <w:rPr>
          <w:rFonts w:ascii="Garamond" w:hAnsi="Garamond"/>
        </w:rPr>
        <w:t>“</w:t>
      </w:r>
      <w:r w:rsidRPr="00830F4C">
        <w:rPr>
          <w:rFonts w:ascii="Garamond" w:hAnsi="Garamond"/>
        </w:rPr>
        <w:t>Akomodim</w:t>
      </w:r>
      <w:r w:rsidR="00D22EA5" w:rsidRPr="00830F4C">
        <w:rPr>
          <w:rFonts w:ascii="Garamond" w:hAnsi="Garamond"/>
        </w:rPr>
        <w:t>”</w:t>
      </w:r>
      <w:r w:rsidRPr="00830F4C">
        <w:rPr>
          <w:rFonts w:ascii="Garamond" w:hAnsi="Garamond"/>
        </w:rPr>
        <w:t xml:space="preserve"> dhe </w:t>
      </w:r>
      <w:r w:rsidR="00D22EA5" w:rsidRPr="00830F4C">
        <w:rPr>
          <w:rFonts w:ascii="Garamond" w:hAnsi="Garamond"/>
        </w:rPr>
        <w:t>“</w:t>
      </w:r>
      <w:r w:rsidRPr="00830F4C">
        <w:rPr>
          <w:rFonts w:ascii="Garamond" w:hAnsi="Garamond"/>
        </w:rPr>
        <w:t>Aktivitetet e shërbimit të ushqimit dhe pijeve</w:t>
      </w:r>
      <w:r w:rsidR="00D22EA5" w:rsidRPr="00830F4C">
        <w:rPr>
          <w:rFonts w:ascii="Garamond" w:hAnsi="Garamond"/>
        </w:rPr>
        <w:t>”</w:t>
      </w:r>
      <w:r w:rsidRPr="00830F4C">
        <w:rPr>
          <w:rFonts w:ascii="Garamond" w:hAnsi="Garamond"/>
        </w:rPr>
        <w:t>, me më shumë se 100.000 lekë shitje të tatueshme me 6 %</w:t>
      </w:r>
      <w:r w:rsidR="00D22EA5" w:rsidRPr="00830F4C">
        <w:rPr>
          <w:rFonts w:ascii="Garamond" w:hAnsi="Garamond"/>
        </w:rPr>
        <w:t xml:space="preserve"> </w:t>
      </w:r>
    </w:p>
    <w:p w14:paraId="1AA1A4BA" w14:textId="058648D3" w:rsidR="002861E2" w:rsidRPr="00830F4C" w:rsidRDefault="002861E2" w:rsidP="002861E2">
      <w:pPr>
        <w:ind w:firstLine="284"/>
        <w:jc w:val="both"/>
        <w:rPr>
          <w:rFonts w:ascii="Garamond" w:hAnsi="Garamond"/>
        </w:rPr>
      </w:pPr>
      <w:r w:rsidRPr="00830F4C">
        <w:rPr>
          <w:rFonts w:ascii="Garamond" w:hAnsi="Garamond"/>
        </w:rPr>
        <w:t>Tabela 13:</w:t>
      </w:r>
      <w:r w:rsidR="008652F1" w:rsidRPr="00830F4C">
        <w:rPr>
          <w:rFonts w:ascii="Garamond" w:hAnsi="Garamond"/>
        </w:rPr>
        <w:t xml:space="preserve"> </w:t>
      </w:r>
      <w:r w:rsidRPr="00830F4C">
        <w:rPr>
          <w:rFonts w:ascii="Garamond" w:hAnsi="Garamond"/>
        </w:rPr>
        <w:t>Numri i subjekteve aktive me përgjegjësi</w:t>
      </w:r>
      <w:r w:rsidR="00DE65FB">
        <w:rPr>
          <w:rFonts w:ascii="Garamond" w:hAnsi="Garamond"/>
        </w:rPr>
        <w:t xml:space="preserve"> TVSh</w:t>
      </w:r>
      <w:r w:rsidRPr="00830F4C">
        <w:rPr>
          <w:rFonts w:ascii="Garamond" w:hAnsi="Garamond"/>
        </w:rPr>
        <w:t>-je</w:t>
      </w:r>
      <w:r w:rsidR="00D22EA5" w:rsidRPr="00830F4C">
        <w:rPr>
          <w:rFonts w:ascii="Garamond" w:hAnsi="Garamond"/>
        </w:rPr>
        <w:t xml:space="preserve"> </w:t>
      </w:r>
    </w:p>
    <w:p w14:paraId="463940AC" w14:textId="059D5CFC" w:rsidR="002861E2" w:rsidRPr="00830F4C" w:rsidRDefault="002861E2" w:rsidP="002861E2">
      <w:pPr>
        <w:ind w:firstLine="284"/>
        <w:jc w:val="both"/>
        <w:rPr>
          <w:rFonts w:ascii="Garamond" w:hAnsi="Garamond"/>
        </w:rPr>
      </w:pPr>
      <w:r w:rsidRPr="00830F4C">
        <w:rPr>
          <w:rFonts w:ascii="Garamond" w:hAnsi="Garamond"/>
        </w:rPr>
        <w:t>Tabela 14:</w:t>
      </w:r>
      <w:r w:rsidR="008652F1" w:rsidRPr="00830F4C">
        <w:rPr>
          <w:rFonts w:ascii="Garamond" w:hAnsi="Garamond"/>
        </w:rPr>
        <w:t xml:space="preserve"> </w:t>
      </w:r>
      <w:r w:rsidRPr="00830F4C">
        <w:rPr>
          <w:rFonts w:ascii="Garamond" w:hAnsi="Garamond"/>
        </w:rPr>
        <w:t xml:space="preserve">Rritja e të ardhurave nga tatimi mbi fitimin dhe mbi </w:t>
      </w:r>
      <w:r w:rsidR="00120EA0" w:rsidRPr="00830F4C">
        <w:rPr>
          <w:rFonts w:ascii="Garamond" w:hAnsi="Garamond"/>
        </w:rPr>
        <w:t>qiratë</w:t>
      </w:r>
      <w:r w:rsidR="00D22EA5" w:rsidRPr="00830F4C">
        <w:rPr>
          <w:rFonts w:ascii="Garamond" w:hAnsi="Garamond"/>
        </w:rPr>
        <w:t xml:space="preserve"> </w:t>
      </w:r>
    </w:p>
    <w:p w14:paraId="1D72DCCE" w14:textId="4E7E351E" w:rsidR="002861E2" w:rsidRPr="00830F4C" w:rsidRDefault="002861E2" w:rsidP="002861E2">
      <w:pPr>
        <w:ind w:firstLine="284"/>
        <w:jc w:val="both"/>
        <w:rPr>
          <w:rFonts w:ascii="Garamond" w:hAnsi="Garamond"/>
        </w:rPr>
      </w:pPr>
      <w:r w:rsidRPr="00830F4C">
        <w:rPr>
          <w:rFonts w:ascii="Garamond" w:hAnsi="Garamond"/>
        </w:rPr>
        <w:t>Tabela 15: Numri i pozicioneve të punës, 2019</w:t>
      </w:r>
      <w:r w:rsidR="00120EA0" w:rsidRPr="00830F4C">
        <w:rPr>
          <w:rFonts w:ascii="Garamond" w:hAnsi="Garamond"/>
        </w:rPr>
        <w:t>–</w:t>
      </w:r>
      <w:r w:rsidRPr="00830F4C">
        <w:rPr>
          <w:rFonts w:ascii="Garamond" w:hAnsi="Garamond"/>
        </w:rPr>
        <w:t>2023</w:t>
      </w:r>
      <w:r w:rsidR="00D22EA5" w:rsidRPr="00830F4C">
        <w:rPr>
          <w:rFonts w:ascii="Garamond" w:hAnsi="Garamond"/>
        </w:rPr>
        <w:t xml:space="preserve"> </w:t>
      </w:r>
    </w:p>
    <w:p w14:paraId="5A8D87E7" w14:textId="5BD5E3CE" w:rsidR="002861E2" w:rsidRPr="00830F4C" w:rsidRDefault="002861E2" w:rsidP="002861E2">
      <w:pPr>
        <w:ind w:firstLine="284"/>
        <w:jc w:val="both"/>
        <w:rPr>
          <w:rFonts w:ascii="Garamond" w:hAnsi="Garamond"/>
        </w:rPr>
      </w:pPr>
      <w:r w:rsidRPr="00830F4C">
        <w:rPr>
          <w:rFonts w:ascii="Garamond" w:hAnsi="Garamond"/>
        </w:rPr>
        <w:t>Tabela 16: Të ardhurat nga kontributet e sigurimeve shoqërore dhe shëndetësore, që mblidhen nga AT, 2019</w:t>
      </w:r>
      <w:r w:rsidR="00120EA0" w:rsidRPr="00830F4C">
        <w:rPr>
          <w:rFonts w:ascii="Garamond" w:hAnsi="Garamond"/>
        </w:rPr>
        <w:t>–</w:t>
      </w:r>
      <w:r w:rsidRPr="00830F4C">
        <w:rPr>
          <w:rFonts w:ascii="Garamond" w:hAnsi="Garamond"/>
        </w:rPr>
        <w:t>2023</w:t>
      </w:r>
      <w:r w:rsidR="00D22EA5" w:rsidRPr="00830F4C">
        <w:rPr>
          <w:rFonts w:ascii="Garamond" w:hAnsi="Garamond"/>
        </w:rPr>
        <w:t xml:space="preserve"> </w:t>
      </w:r>
    </w:p>
    <w:p w14:paraId="02A3842F" w14:textId="3FEC4663" w:rsidR="002861E2" w:rsidRPr="00830F4C" w:rsidRDefault="002861E2" w:rsidP="002861E2">
      <w:pPr>
        <w:ind w:firstLine="284"/>
        <w:jc w:val="both"/>
        <w:rPr>
          <w:rFonts w:ascii="Garamond" w:hAnsi="Garamond"/>
        </w:rPr>
      </w:pPr>
      <w:r w:rsidRPr="00830F4C">
        <w:rPr>
          <w:rFonts w:ascii="Garamond" w:hAnsi="Garamond"/>
        </w:rPr>
        <w:lastRenderedPageBreak/>
        <w:t>Tabela 17:</w:t>
      </w:r>
      <w:r w:rsidR="008652F1" w:rsidRPr="00830F4C">
        <w:rPr>
          <w:rFonts w:ascii="Garamond" w:hAnsi="Garamond"/>
        </w:rPr>
        <w:t xml:space="preserve"> </w:t>
      </w:r>
      <w:r w:rsidRPr="00830F4C">
        <w:rPr>
          <w:rFonts w:ascii="Garamond" w:hAnsi="Garamond"/>
        </w:rPr>
        <w:t xml:space="preserve">Të ardhurat shtesë nga </w:t>
      </w:r>
      <w:r w:rsidR="008652F1" w:rsidRPr="00830F4C">
        <w:rPr>
          <w:rFonts w:ascii="Garamond" w:hAnsi="Garamond"/>
        </w:rPr>
        <w:t>k</w:t>
      </w:r>
      <w:r w:rsidRPr="00830F4C">
        <w:rPr>
          <w:rFonts w:ascii="Garamond" w:hAnsi="Garamond"/>
        </w:rPr>
        <w:t>omponenti 2.2</w:t>
      </w:r>
      <w:r w:rsidR="008652F1" w:rsidRPr="00830F4C">
        <w:rPr>
          <w:rFonts w:ascii="Garamond" w:hAnsi="Garamond"/>
        </w:rPr>
        <w:t>,</w:t>
      </w:r>
      <w:r w:rsidRPr="00830F4C">
        <w:rPr>
          <w:rFonts w:ascii="Garamond" w:hAnsi="Garamond"/>
        </w:rPr>
        <w:t xml:space="preserve"> sipas zërave të taksave</w:t>
      </w:r>
    </w:p>
    <w:p w14:paraId="5612BBB1" w14:textId="6B343032" w:rsidR="002861E2" w:rsidRPr="00830F4C" w:rsidRDefault="002861E2" w:rsidP="002861E2">
      <w:pPr>
        <w:ind w:firstLine="284"/>
        <w:jc w:val="both"/>
        <w:rPr>
          <w:rFonts w:ascii="Garamond" w:hAnsi="Garamond"/>
        </w:rPr>
      </w:pPr>
      <w:r w:rsidRPr="00830F4C">
        <w:rPr>
          <w:rFonts w:ascii="Garamond" w:hAnsi="Garamond"/>
        </w:rPr>
        <w:t>Tabela 18: Të ardhura shtesë</w:t>
      </w:r>
      <w:r w:rsidR="00D22EA5" w:rsidRPr="00830F4C">
        <w:rPr>
          <w:rFonts w:ascii="Garamond" w:hAnsi="Garamond"/>
        </w:rPr>
        <w:t xml:space="preserve"> </w:t>
      </w:r>
      <w:r w:rsidRPr="00830F4C">
        <w:rPr>
          <w:rFonts w:ascii="Garamond" w:hAnsi="Garamond"/>
        </w:rPr>
        <w:t xml:space="preserve">nga </w:t>
      </w:r>
      <w:r w:rsidR="008652F1" w:rsidRPr="00830F4C">
        <w:rPr>
          <w:rFonts w:ascii="Garamond" w:hAnsi="Garamond"/>
        </w:rPr>
        <w:t>s</w:t>
      </w:r>
      <w:r w:rsidRPr="00830F4C">
        <w:rPr>
          <w:rFonts w:ascii="Garamond" w:hAnsi="Garamond"/>
        </w:rPr>
        <w:t>htylla 3</w:t>
      </w:r>
      <w:r w:rsidR="00120EA0" w:rsidRPr="00830F4C">
        <w:rPr>
          <w:rFonts w:ascii="Garamond" w:hAnsi="Garamond"/>
        </w:rPr>
        <w:t xml:space="preserve"> </w:t>
      </w:r>
      <w:r w:rsidR="00D22EA5" w:rsidRPr="00830F4C">
        <w:rPr>
          <w:rFonts w:ascii="Garamond" w:hAnsi="Garamond"/>
        </w:rPr>
        <w:t>“</w:t>
      </w:r>
      <w:r w:rsidRPr="00830F4C">
        <w:rPr>
          <w:rFonts w:ascii="Garamond" w:hAnsi="Garamond"/>
        </w:rPr>
        <w:t>Mirëadministrimi doganor</w:t>
      </w:r>
      <w:r w:rsidR="00D22EA5" w:rsidRPr="00830F4C">
        <w:rPr>
          <w:rFonts w:ascii="Garamond" w:hAnsi="Garamond"/>
        </w:rPr>
        <w:t>”</w:t>
      </w:r>
      <w:r w:rsidRPr="00830F4C">
        <w:rPr>
          <w:rFonts w:ascii="Garamond" w:hAnsi="Garamond"/>
        </w:rPr>
        <w:t>, sipas komponentëve</w:t>
      </w:r>
      <w:r w:rsidR="00D22EA5" w:rsidRPr="00830F4C">
        <w:rPr>
          <w:rFonts w:ascii="Garamond" w:hAnsi="Garamond"/>
        </w:rPr>
        <w:t xml:space="preserve"> </w:t>
      </w:r>
    </w:p>
    <w:p w14:paraId="27B74D1F" w14:textId="17606624" w:rsidR="002861E2" w:rsidRPr="00830F4C" w:rsidRDefault="002861E2" w:rsidP="002861E2">
      <w:pPr>
        <w:ind w:firstLine="284"/>
        <w:jc w:val="both"/>
        <w:rPr>
          <w:rFonts w:ascii="Garamond" w:hAnsi="Garamond"/>
        </w:rPr>
      </w:pPr>
      <w:r w:rsidRPr="00830F4C">
        <w:rPr>
          <w:rFonts w:ascii="Garamond" w:hAnsi="Garamond"/>
        </w:rPr>
        <w:t>Tabela 19: Risqet kryesore të mundshme</w:t>
      </w:r>
      <w:r w:rsidR="00D22EA5" w:rsidRPr="00830F4C">
        <w:rPr>
          <w:rFonts w:ascii="Garamond" w:hAnsi="Garamond"/>
        </w:rPr>
        <w:t xml:space="preserve"> </w:t>
      </w:r>
    </w:p>
    <w:p w14:paraId="3E16643F" w14:textId="42ACEB74" w:rsidR="002861E2" w:rsidRPr="00830F4C" w:rsidRDefault="002861E2" w:rsidP="002861E2">
      <w:pPr>
        <w:ind w:firstLine="284"/>
        <w:jc w:val="both"/>
        <w:rPr>
          <w:rFonts w:ascii="Garamond" w:hAnsi="Garamond"/>
        </w:rPr>
      </w:pPr>
      <w:r w:rsidRPr="00830F4C">
        <w:rPr>
          <w:rFonts w:ascii="Garamond" w:hAnsi="Garamond"/>
        </w:rPr>
        <w:t>Tabela 20: Kostimi i Strategjisë</w:t>
      </w:r>
      <w:r w:rsidR="00D22EA5" w:rsidRPr="00830F4C">
        <w:rPr>
          <w:rFonts w:ascii="Garamond" w:hAnsi="Garamond"/>
        </w:rPr>
        <w:t xml:space="preserve"> </w:t>
      </w:r>
    </w:p>
    <w:p w14:paraId="7C109163" w14:textId="77777777" w:rsidR="002861E2" w:rsidRPr="00830F4C" w:rsidRDefault="002861E2" w:rsidP="002861E2">
      <w:pPr>
        <w:ind w:firstLine="284"/>
        <w:jc w:val="both"/>
        <w:rPr>
          <w:rFonts w:ascii="Garamond" w:hAnsi="Garamond"/>
        </w:rPr>
      </w:pPr>
    </w:p>
    <w:p w14:paraId="22A66E44" w14:textId="0BE2F713" w:rsidR="002861E2" w:rsidRPr="00830F4C" w:rsidRDefault="002861E2" w:rsidP="002861E2">
      <w:pPr>
        <w:ind w:firstLine="284"/>
        <w:jc w:val="both"/>
        <w:rPr>
          <w:rFonts w:ascii="Garamond" w:hAnsi="Garamond"/>
          <w:b/>
        </w:rPr>
      </w:pPr>
      <w:r w:rsidRPr="00830F4C">
        <w:rPr>
          <w:rFonts w:ascii="Garamond" w:hAnsi="Garamond"/>
          <w:b/>
        </w:rPr>
        <w:t xml:space="preserve">Lista e </w:t>
      </w:r>
      <w:r w:rsidR="00181782" w:rsidRPr="00830F4C">
        <w:rPr>
          <w:rFonts w:ascii="Garamond" w:hAnsi="Garamond"/>
          <w:b/>
        </w:rPr>
        <w:t>f</w:t>
      </w:r>
      <w:r w:rsidRPr="00830F4C">
        <w:rPr>
          <w:rFonts w:ascii="Garamond" w:hAnsi="Garamond"/>
          <w:b/>
        </w:rPr>
        <w:t>igurave:</w:t>
      </w:r>
    </w:p>
    <w:p w14:paraId="65E0DE5F" w14:textId="77777777" w:rsidR="002861E2" w:rsidRPr="00830F4C" w:rsidRDefault="002861E2" w:rsidP="002861E2">
      <w:pPr>
        <w:ind w:firstLine="284"/>
        <w:jc w:val="both"/>
        <w:rPr>
          <w:rFonts w:ascii="Garamond" w:hAnsi="Garamond"/>
        </w:rPr>
      </w:pPr>
      <w:r w:rsidRPr="00830F4C">
        <w:rPr>
          <w:rFonts w:ascii="Garamond" w:hAnsi="Garamond"/>
        </w:rPr>
        <w:t>Figura 1: Përmbledhja e Strategjisë Afatmesme të të Ardhurave</w:t>
      </w:r>
    </w:p>
    <w:p w14:paraId="7EBFE123" w14:textId="77777777" w:rsidR="002861E2" w:rsidRPr="00830F4C" w:rsidRDefault="002861E2" w:rsidP="002861E2">
      <w:pPr>
        <w:ind w:firstLine="284"/>
        <w:jc w:val="both"/>
        <w:rPr>
          <w:rFonts w:ascii="Garamond" w:hAnsi="Garamond"/>
        </w:rPr>
      </w:pPr>
    </w:p>
    <w:p w14:paraId="222CFADF" w14:textId="77777777" w:rsidR="002861E2" w:rsidRPr="00830F4C" w:rsidRDefault="002861E2" w:rsidP="008C0C0F">
      <w:pPr>
        <w:ind w:firstLine="284"/>
        <w:jc w:val="both"/>
        <w:rPr>
          <w:rFonts w:ascii="Garamond" w:hAnsi="Garamond"/>
        </w:rPr>
      </w:pPr>
      <w:r w:rsidRPr="00830F4C">
        <w:rPr>
          <w:rFonts w:ascii="Garamond" w:hAnsi="Garamond"/>
        </w:rPr>
        <w:t>PËRMBLEDHJE EKZEKUTIVE</w:t>
      </w:r>
    </w:p>
    <w:p w14:paraId="32A0F9EE" w14:textId="297E5863" w:rsidR="002861E2" w:rsidRPr="00830F4C" w:rsidRDefault="002861E2" w:rsidP="008C0C0F">
      <w:pPr>
        <w:ind w:firstLine="284"/>
        <w:jc w:val="both"/>
        <w:rPr>
          <w:rFonts w:ascii="Garamond" w:hAnsi="Garamond"/>
        </w:rPr>
      </w:pPr>
      <w:r w:rsidRPr="00830F4C">
        <w:rPr>
          <w:rFonts w:ascii="Garamond" w:hAnsi="Garamond"/>
        </w:rPr>
        <w:t>Në këtë dokument prezantohet Strategjia Afatmesme e të Ardhurave (SAA) në Republikën e Shqipërisë për periudhën</w:t>
      </w:r>
      <w:r w:rsidR="00800B00" w:rsidRPr="00830F4C">
        <w:rPr>
          <w:rFonts w:ascii="Garamond" w:hAnsi="Garamond"/>
        </w:rPr>
        <w:t xml:space="preserve"> </w:t>
      </w:r>
      <w:r w:rsidR="00D22EA5" w:rsidRPr="00830F4C">
        <w:rPr>
          <w:rFonts w:ascii="Garamond" w:hAnsi="Garamond"/>
        </w:rPr>
        <w:t>2024–2027</w:t>
      </w:r>
      <w:r w:rsidRPr="00830F4C">
        <w:rPr>
          <w:rFonts w:ascii="Garamond" w:hAnsi="Garamond"/>
        </w:rPr>
        <w:t>, e cila pasqyron reformat në fushën e politikave tatimore, administrimit tatimor e doganor që parashikohen të ndërmerren gjatë kësaj periudhe katërvjeçare, me synim, rritjen e të hyrave në buxhetin e shtetit nga sistemi tatimor, përmirësimin e efektivitetit në punën e administratës tatimore dhe doganore, si element</w:t>
      </w:r>
      <w:r w:rsidR="008C0C0F" w:rsidRPr="00830F4C">
        <w:rPr>
          <w:rFonts w:ascii="Garamond" w:hAnsi="Garamond"/>
        </w:rPr>
        <w:t>e</w:t>
      </w:r>
      <w:r w:rsidRPr="00830F4C">
        <w:rPr>
          <w:rFonts w:ascii="Garamond" w:hAnsi="Garamond"/>
        </w:rPr>
        <w:t xml:space="preserve"> të rëndësishm</w:t>
      </w:r>
      <w:r w:rsidR="008C0C0F" w:rsidRPr="00830F4C">
        <w:rPr>
          <w:rFonts w:ascii="Garamond" w:hAnsi="Garamond"/>
        </w:rPr>
        <w:t>e</w:t>
      </w:r>
      <w:r w:rsidRPr="00830F4C">
        <w:rPr>
          <w:rFonts w:ascii="Garamond" w:hAnsi="Garamond"/>
        </w:rPr>
        <w:t xml:space="preserve"> për konsolidimin e financave publike. </w:t>
      </w:r>
    </w:p>
    <w:p w14:paraId="64A0ECC9" w14:textId="4D8CB4F4" w:rsidR="002861E2" w:rsidRPr="00830F4C" w:rsidRDefault="002861E2" w:rsidP="008C0C0F">
      <w:pPr>
        <w:ind w:firstLine="284"/>
        <w:jc w:val="both"/>
        <w:rPr>
          <w:rFonts w:ascii="Garamond" w:hAnsi="Garamond"/>
        </w:rPr>
      </w:pPr>
      <w:r w:rsidRPr="00830F4C">
        <w:rPr>
          <w:rFonts w:ascii="Garamond" w:hAnsi="Garamond"/>
        </w:rPr>
        <w:t>Strategjia Afatmesme e të Ardhurave (SAA) 2024</w:t>
      </w:r>
      <w:r w:rsidR="00120EA0" w:rsidRPr="00830F4C">
        <w:rPr>
          <w:rFonts w:ascii="Garamond" w:hAnsi="Garamond"/>
        </w:rPr>
        <w:t>–</w:t>
      </w:r>
      <w:r w:rsidRPr="00830F4C">
        <w:rPr>
          <w:rFonts w:ascii="Garamond" w:hAnsi="Garamond"/>
        </w:rPr>
        <w:t>2027 dhe Plani i Veprimit, paraqet të detajuara reformat që do të ndërmerren në politikat tatimore, mirëadministrimin tatimor dhe doganor, të cilat së bashku do të sjellin rritje të të ardhurave tatimore prej 64.85 miliardë lekë gjatë viteve 2024</w:t>
      </w:r>
      <w:r w:rsidR="00120EA0" w:rsidRPr="00830F4C">
        <w:rPr>
          <w:rFonts w:ascii="Garamond" w:hAnsi="Garamond"/>
        </w:rPr>
        <w:t>–</w:t>
      </w:r>
      <w:r w:rsidRPr="00830F4C">
        <w:rPr>
          <w:rFonts w:ascii="Garamond" w:hAnsi="Garamond"/>
        </w:rPr>
        <w:t>2027. Kjo rritje e të ardhurave do të vij nga rritja e të ardhurave nga politikat fiskale me rreth 9.28 miliardë lekë ose 0.33% të PBB-së, rritja e të ardhurave nga mirëadministrimi tatimor me 51 miliardë lekë ose 1,96% e PBB-së dhe rritja e të ardhurave nga mirëadministrimi doganor, me 4,5 miliardë lekë ose 0,17% e PBB-së.</w:t>
      </w:r>
    </w:p>
    <w:p w14:paraId="0CA8C63F" w14:textId="3AE053B0" w:rsidR="002861E2" w:rsidRPr="00830F4C" w:rsidRDefault="002861E2" w:rsidP="008C0C0F">
      <w:pPr>
        <w:ind w:firstLine="284"/>
        <w:jc w:val="both"/>
        <w:rPr>
          <w:rFonts w:ascii="Garamond" w:hAnsi="Garamond"/>
        </w:rPr>
      </w:pPr>
      <w:r w:rsidRPr="00830F4C">
        <w:rPr>
          <w:rFonts w:ascii="Garamond" w:hAnsi="Garamond"/>
        </w:rPr>
        <w:t>Në total, të ardhurat nga tatimet</w:t>
      </w:r>
      <w:r w:rsidR="001652B9" w:rsidRPr="00830F4C">
        <w:rPr>
          <w:rStyle w:val="FootnoteReference"/>
          <w:rFonts w:ascii="Garamond" w:hAnsi="Garamond"/>
        </w:rPr>
        <w:footnoteReference w:id="2"/>
      </w:r>
      <w:r w:rsidRPr="00830F4C">
        <w:rPr>
          <w:rFonts w:ascii="Garamond" w:hAnsi="Garamond"/>
        </w:rPr>
        <w:t xml:space="preserve"> do të rriten me 1.8% të PBB-së, nga</w:t>
      </w:r>
      <w:r w:rsidR="00D22EA5" w:rsidRPr="00830F4C">
        <w:rPr>
          <w:rFonts w:ascii="Garamond" w:hAnsi="Garamond"/>
        </w:rPr>
        <w:t xml:space="preserve"> </w:t>
      </w:r>
      <w:r w:rsidRPr="00830F4C">
        <w:rPr>
          <w:rFonts w:ascii="Garamond" w:hAnsi="Garamond"/>
        </w:rPr>
        <w:t>25.9% e PBB</w:t>
      </w:r>
      <w:r w:rsidR="00F23B71" w:rsidRPr="00830F4C">
        <w:rPr>
          <w:rFonts w:ascii="Garamond" w:hAnsi="Garamond"/>
        </w:rPr>
        <w:t>-së</w:t>
      </w:r>
      <w:r w:rsidRPr="00830F4C">
        <w:rPr>
          <w:rFonts w:ascii="Garamond" w:hAnsi="Garamond"/>
        </w:rPr>
        <w:t xml:space="preserve"> në 2023</w:t>
      </w:r>
      <w:r w:rsidR="00F23B71" w:rsidRPr="00830F4C">
        <w:rPr>
          <w:rFonts w:ascii="Garamond" w:hAnsi="Garamond"/>
        </w:rPr>
        <w:t>-shin</w:t>
      </w:r>
      <w:r w:rsidRPr="00830F4C">
        <w:rPr>
          <w:rFonts w:ascii="Garamond" w:hAnsi="Garamond"/>
        </w:rPr>
        <w:t xml:space="preserve"> në 27.7% e PBB</w:t>
      </w:r>
      <w:r w:rsidR="00F23B71" w:rsidRPr="00830F4C">
        <w:rPr>
          <w:rFonts w:ascii="Garamond" w:hAnsi="Garamond"/>
        </w:rPr>
        <w:t>-së</w:t>
      </w:r>
      <w:r w:rsidRPr="00830F4C">
        <w:rPr>
          <w:rFonts w:ascii="Garamond" w:hAnsi="Garamond"/>
        </w:rPr>
        <w:t xml:space="preserve"> në 2027</w:t>
      </w:r>
      <w:r w:rsidR="00F23B71" w:rsidRPr="00830F4C">
        <w:rPr>
          <w:rFonts w:ascii="Garamond" w:hAnsi="Garamond"/>
        </w:rPr>
        <w:t>-ën</w:t>
      </w:r>
      <w:r w:rsidRPr="00830F4C">
        <w:rPr>
          <w:rFonts w:ascii="Garamond" w:hAnsi="Garamond"/>
        </w:rPr>
        <w:t>.</w:t>
      </w:r>
    </w:p>
    <w:p w14:paraId="41CA0F97" w14:textId="5E949683" w:rsidR="002861E2" w:rsidRPr="00830F4C" w:rsidRDefault="002861E2" w:rsidP="008C0C0F">
      <w:pPr>
        <w:ind w:firstLine="284"/>
        <w:jc w:val="both"/>
        <w:rPr>
          <w:rFonts w:ascii="Garamond" w:hAnsi="Garamond"/>
        </w:rPr>
      </w:pPr>
      <w:r w:rsidRPr="00830F4C">
        <w:rPr>
          <w:rFonts w:ascii="Garamond" w:hAnsi="Garamond"/>
        </w:rPr>
        <w:t xml:space="preserve">Kjo Strategji është një nga kushtet që Shqipëria duhet të përmbushë në kuadër të dokumentit të politikave </w:t>
      </w:r>
      <w:r w:rsidR="00D22EA5" w:rsidRPr="00830F4C">
        <w:rPr>
          <w:rFonts w:ascii="Garamond" w:hAnsi="Garamond"/>
        </w:rPr>
        <w:t>“</w:t>
      </w:r>
      <w:r w:rsidRPr="00830F4C">
        <w:rPr>
          <w:rFonts w:ascii="Garamond" w:hAnsi="Garamond"/>
        </w:rPr>
        <w:t>A</w:t>
      </w:r>
      <w:r w:rsidR="00120EA0" w:rsidRPr="00830F4C">
        <w:rPr>
          <w:rFonts w:ascii="Garamond" w:hAnsi="Garamond"/>
        </w:rPr>
        <w:t>gj</w:t>
      </w:r>
      <w:r w:rsidRPr="00830F4C">
        <w:rPr>
          <w:rFonts w:ascii="Garamond" w:hAnsi="Garamond"/>
        </w:rPr>
        <w:t>enda e Reformës Kombëtare</w:t>
      </w:r>
      <w:r w:rsidR="00800B00" w:rsidRPr="00830F4C">
        <w:rPr>
          <w:rFonts w:ascii="Garamond" w:hAnsi="Garamond"/>
        </w:rPr>
        <w:t xml:space="preserve"> </w:t>
      </w:r>
      <w:r w:rsidR="00D22EA5" w:rsidRPr="00830F4C">
        <w:rPr>
          <w:rFonts w:ascii="Garamond" w:hAnsi="Garamond"/>
        </w:rPr>
        <w:t>2024–2027”</w:t>
      </w:r>
      <w:r w:rsidRPr="00830F4C">
        <w:rPr>
          <w:rFonts w:ascii="Garamond" w:hAnsi="Garamond"/>
        </w:rPr>
        <w:t xml:space="preserve">, në kuadër të instrumentit të Bashkimit </w:t>
      </w:r>
      <w:r w:rsidR="00F23B71" w:rsidRPr="00830F4C">
        <w:rPr>
          <w:rFonts w:ascii="Garamond" w:hAnsi="Garamond"/>
        </w:rPr>
        <w:t>Evropian</w:t>
      </w:r>
      <w:r w:rsidRPr="00830F4C">
        <w:rPr>
          <w:rFonts w:ascii="Garamond" w:hAnsi="Garamond"/>
        </w:rPr>
        <w:t xml:space="preserve"> </w:t>
      </w:r>
      <w:r w:rsidR="00D22EA5" w:rsidRPr="00830F4C">
        <w:rPr>
          <w:rFonts w:ascii="Garamond" w:hAnsi="Garamond"/>
        </w:rPr>
        <w:t>“</w:t>
      </w:r>
      <w:r w:rsidRPr="00830F4C">
        <w:rPr>
          <w:rFonts w:ascii="Garamond" w:hAnsi="Garamond"/>
        </w:rPr>
        <w:t>Reforma dhe Lehtësia e Rritjes për Ballkanin Perëndimor</w:t>
      </w:r>
      <w:r w:rsidR="00D22EA5" w:rsidRPr="00830F4C">
        <w:rPr>
          <w:rFonts w:ascii="Garamond" w:hAnsi="Garamond"/>
        </w:rPr>
        <w:t>”</w:t>
      </w:r>
      <w:r w:rsidRPr="00830F4C">
        <w:rPr>
          <w:rFonts w:ascii="Garamond" w:hAnsi="Garamond"/>
        </w:rPr>
        <w:t xml:space="preserve"> dhe përfshin kushtet, masat dhe hapat që do të ndërmarrë Shqipëria për zbatimin e këtyre kushteve të tjera të vëna nga KE</w:t>
      </w:r>
      <w:r w:rsidR="00F23B71" w:rsidRPr="00830F4C">
        <w:rPr>
          <w:rFonts w:ascii="Garamond" w:hAnsi="Garamond"/>
        </w:rPr>
        <w:t>-ja</w:t>
      </w:r>
      <w:r w:rsidRPr="00830F4C">
        <w:rPr>
          <w:rFonts w:ascii="Garamond" w:hAnsi="Garamond"/>
        </w:rPr>
        <w:t xml:space="preserve"> në këtë dokument që lidhen me tatimet dhe</w:t>
      </w:r>
      <w:r w:rsidR="00D22EA5" w:rsidRPr="00830F4C">
        <w:rPr>
          <w:rFonts w:ascii="Garamond" w:hAnsi="Garamond"/>
        </w:rPr>
        <w:t xml:space="preserve"> </w:t>
      </w:r>
      <w:r w:rsidRPr="00830F4C">
        <w:rPr>
          <w:rFonts w:ascii="Garamond" w:hAnsi="Garamond"/>
        </w:rPr>
        <w:t>mirëadministrimin tatimor.</w:t>
      </w:r>
    </w:p>
    <w:p w14:paraId="7FC4F03D" w14:textId="00E056A3" w:rsidR="002861E2" w:rsidRPr="00830F4C" w:rsidRDefault="002861E2" w:rsidP="008C0C0F">
      <w:pPr>
        <w:ind w:firstLine="284"/>
        <w:jc w:val="both"/>
        <w:rPr>
          <w:rFonts w:ascii="Garamond" w:hAnsi="Garamond"/>
        </w:rPr>
      </w:pPr>
      <w:r w:rsidRPr="00830F4C">
        <w:rPr>
          <w:rFonts w:ascii="Garamond" w:hAnsi="Garamond"/>
        </w:rPr>
        <w:t>Kjo strategji është në përputhje me Strategjinë Kombëtare për Zhvillim dhe Integrim Evropian (SKZHIE) 2022</w:t>
      </w:r>
      <w:r w:rsidR="00120EA0" w:rsidRPr="00830F4C">
        <w:rPr>
          <w:rFonts w:ascii="Garamond" w:hAnsi="Garamond"/>
        </w:rPr>
        <w:t>–</w:t>
      </w:r>
      <w:r w:rsidRPr="00830F4C">
        <w:rPr>
          <w:rFonts w:ascii="Garamond" w:hAnsi="Garamond"/>
        </w:rPr>
        <w:t>2030, Kuadrin Makroekonomik dhe Fiskal 2025</w:t>
      </w:r>
      <w:r w:rsidR="00120EA0" w:rsidRPr="00830F4C">
        <w:rPr>
          <w:rFonts w:ascii="Garamond" w:hAnsi="Garamond"/>
        </w:rPr>
        <w:t>–</w:t>
      </w:r>
      <w:r w:rsidRPr="00830F4C">
        <w:rPr>
          <w:rFonts w:ascii="Garamond" w:hAnsi="Garamond"/>
        </w:rPr>
        <w:t xml:space="preserve">2027, si dhe rekomandimet e Bashkimit </w:t>
      </w:r>
      <w:r w:rsidR="00120EA0" w:rsidRPr="00830F4C">
        <w:rPr>
          <w:rFonts w:ascii="Garamond" w:hAnsi="Garamond"/>
        </w:rPr>
        <w:t>Evropian</w:t>
      </w:r>
      <w:r w:rsidRPr="00830F4C">
        <w:rPr>
          <w:rFonts w:ascii="Garamond" w:hAnsi="Garamond"/>
        </w:rPr>
        <w:t xml:space="preserve"> dhe rekomandimet e Fondit Monetar Ndërkombëtar.</w:t>
      </w:r>
    </w:p>
    <w:p w14:paraId="414152F0" w14:textId="055F118F" w:rsidR="002861E2" w:rsidRPr="00830F4C" w:rsidRDefault="002861E2" w:rsidP="008C0C0F">
      <w:pPr>
        <w:ind w:firstLine="284"/>
        <w:jc w:val="both"/>
        <w:rPr>
          <w:rFonts w:ascii="Garamond" w:hAnsi="Garamond"/>
        </w:rPr>
      </w:pPr>
      <w:r w:rsidRPr="00830F4C">
        <w:rPr>
          <w:rFonts w:ascii="Garamond" w:hAnsi="Garamond"/>
        </w:rPr>
        <w:t>Qëllimi i përgjithshëm është mobilizimi i të ardhurave përmes politikave të qëndrueshme fiskale dhe reformave administrative tatimore e doganore, duke thjeshtuar procedurat, kostot e pajtimit, luftën ndaj shmangieve dhe evazionit tatimor, me qëllim krijimin e hapësirave fiskale për më shumë investime dhe zhvillim të qëndrueshëm.</w:t>
      </w:r>
    </w:p>
    <w:p w14:paraId="0217A7EB" w14:textId="1F2FCB09" w:rsidR="002861E2" w:rsidRPr="00830F4C" w:rsidRDefault="002861E2" w:rsidP="008C0C0F">
      <w:pPr>
        <w:ind w:firstLine="284"/>
        <w:jc w:val="both"/>
        <w:rPr>
          <w:rFonts w:ascii="Garamond" w:hAnsi="Garamond"/>
        </w:rPr>
      </w:pPr>
      <w:r w:rsidRPr="00830F4C">
        <w:rPr>
          <w:rFonts w:ascii="Garamond" w:hAnsi="Garamond"/>
        </w:rPr>
        <w:t>Reformat kryesore tatimore dhe administrative të parashikuara në SAA janë hartuar me asistencën teknike të Fondit Monetar Ndërkombëtar, dhe janë të bazuara në direktivat e Bashkimit Evropian në fushën e tatimeve, taksave dhe doganave.</w:t>
      </w:r>
    </w:p>
    <w:p w14:paraId="609196F8" w14:textId="1DCDCAB7" w:rsidR="002861E2" w:rsidRPr="00830F4C" w:rsidRDefault="002861E2" w:rsidP="008C0C0F">
      <w:pPr>
        <w:ind w:firstLine="284"/>
        <w:jc w:val="both"/>
        <w:rPr>
          <w:rFonts w:ascii="Garamond" w:hAnsi="Garamond"/>
        </w:rPr>
      </w:pPr>
      <w:r w:rsidRPr="00830F4C">
        <w:rPr>
          <w:rFonts w:ascii="Garamond" w:hAnsi="Garamond"/>
        </w:rPr>
        <w:t xml:space="preserve">Nevoja për një </w:t>
      </w:r>
      <w:r w:rsidR="00F23B71" w:rsidRPr="00830F4C">
        <w:rPr>
          <w:rFonts w:ascii="Garamond" w:hAnsi="Garamond"/>
        </w:rPr>
        <w:t>s</w:t>
      </w:r>
      <w:r w:rsidRPr="00830F4C">
        <w:rPr>
          <w:rFonts w:ascii="Garamond" w:hAnsi="Garamond"/>
        </w:rPr>
        <w:t>trategji gjithëpërfshirëse të rritjes së të ardhurave të buxhetit është identifikuar herët dhe në vitin 2019, Ministria e Financave, e mbështetur nga</w:t>
      </w:r>
      <w:r w:rsidR="00D22EA5" w:rsidRPr="00830F4C">
        <w:rPr>
          <w:rFonts w:ascii="Garamond" w:hAnsi="Garamond"/>
        </w:rPr>
        <w:t xml:space="preserve"> </w:t>
      </w:r>
      <w:r w:rsidRPr="00830F4C">
        <w:rPr>
          <w:rFonts w:ascii="Garamond" w:hAnsi="Garamond"/>
        </w:rPr>
        <w:t>asistenca e FMN</w:t>
      </w:r>
      <w:r w:rsidR="00F23B71" w:rsidRPr="00830F4C">
        <w:rPr>
          <w:rFonts w:ascii="Garamond" w:hAnsi="Garamond"/>
        </w:rPr>
        <w:t>-së</w:t>
      </w:r>
      <w:r w:rsidRPr="00830F4C">
        <w:rPr>
          <w:rFonts w:ascii="Garamond" w:hAnsi="Garamond"/>
        </w:rPr>
        <w:t xml:space="preserve"> identifikoi masat konkrete të politikës fiskale dhe mirëadministrimit tatimor e doganor, të cilat duhej të ndërmerreshin në vitet në vijim, me qëllim që sistemi tatimor të garantonte gjenerimin e të ardhurave shtesë për mbulimin e shpenzimeve buxhetore. </w:t>
      </w:r>
    </w:p>
    <w:p w14:paraId="4C599591" w14:textId="65ED5837" w:rsidR="002861E2" w:rsidRPr="00830F4C" w:rsidRDefault="002861E2" w:rsidP="00425DDE">
      <w:pPr>
        <w:ind w:firstLine="284"/>
        <w:jc w:val="both"/>
        <w:rPr>
          <w:rFonts w:ascii="Garamond" w:hAnsi="Garamond"/>
        </w:rPr>
      </w:pPr>
      <w:r w:rsidRPr="00830F4C">
        <w:rPr>
          <w:rFonts w:ascii="Garamond" w:hAnsi="Garamond"/>
        </w:rPr>
        <w:lastRenderedPageBreak/>
        <w:t>Për arsye të impaktit negativ në ekonomi në vitet 2019</w:t>
      </w:r>
      <w:r w:rsidR="00425DDE" w:rsidRPr="00830F4C">
        <w:rPr>
          <w:rFonts w:ascii="Garamond" w:hAnsi="Garamond"/>
        </w:rPr>
        <w:t>–</w:t>
      </w:r>
      <w:r w:rsidRPr="00830F4C">
        <w:rPr>
          <w:rFonts w:ascii="Garamond" w:hAnsi="Garamond"/>
        </w:rPr>
        <w:t xml:space="preserve">2021 të ngjarjeve dhe situatave të paparashikuara (pasojat e tërmetit 2019 dhe të pandemisë </w:t>
      </w:r>
      <w:r w:rsidR="005F063F" w:rsidRPr="00830F4C">
        <w:rPr>
          <w:rFonts w:ascii="Garamond" w:hAnsi="Garamond"/>
        </w:rPr>
        <w:t>COVID</w:t>
      </w:r>
      <w:r w:rsidRPr="00830F4C">
        <w:rPr>
          <w:rFonts w:ascii="Garamond" w:hAnsi="Garamond"/>
        </w:rPr>
        <w:t xml:space="preserve">-19), zbatimi i masave të </w:t>
      </w:r>
      <w:r w:rsidR="003C72BE" w:rsidRPr="00830F4C">
        <w:rPr>
          <w:rFonts w:ascii="Garamond" w:hAnsi="Garamond"/>
        </w:rPr>
        <w:t>dizenj</w:t>
      </w:r>
      <w:r w:rsidR="005F063F" w:rsidRPr="00830F4C">
        <w:rPr>
          <w:rFonts w:ascii="Garamond" w:hAnsi="Garamond"/>
        </w:rPr>
        <w:t>uara</w:t>
      </w:r>
      <w:r w:rsidRPr="00830F4C">
        <w:rPr>
          <w:rFonts w:ascii="Garamond" w:hAnsi="Garamond"/>
        </w:rPr>
        <w:t xml:space="preserve"> në fushën e politikave tatimore filloi të materializohej në vitin 2022 dhe më tej në vitin 2023. </w:t>
      </w:r>
    </w:p>
    <w:p w14:paraId="23CBB49E" w14:textId="2F140048" w:rsidR="002861E2" w:rsidRPr="00830F4C" w:rsidRDefault="002861E2" w:rsidP="00425DDE">
      <w:pPr>
        <w:ind w:firstLine="284"/>
        <w:jc w:val="both"/>
        <w:rPr>
          <w:rFonts w:ascii="Garamond" w:hAnsi="Garamond"/>
        </w:rPr>
      </w:pPr>
      <w:r w:rsidRPr="00830F4C">
        <w:rPr>
          <w:rFonts w:ascii="Garamond" w:hAnsi="Garamond"/>
        </w:rPr>
        <w:t xml:space="preserve">Nga </w:t>
      </w:r>
      <w:r w:rsidR="005F063F" w:rsidRPr="00830F4C">
        <w:rPr>
          <w:rFonts w:ascii="Garamond" w:hAnsi="Garamond"/>
        </w:rPr>
        <w:t>j</w:t>
      </w:r>
      <w:r w:rsidRPr="00830F4C">
        <w:rPr>
          <w:rFonts w:ascii="Garamond" w:hAnsi="Garamond"/>
        </w:rPr>
        <w:t xml:space="preserve">anari i vitit 2022, Shqipëria filloi zbatimin e masave të parashikuara në draft Strategjinë Afatmesme të të Ardhurave (SAA), </w:t>
      </w:r>
      <w:r w:rsidR="00120EA0" w:rsidRPr="00830F4C">
        <w:rPr>
          <w:rFonts w:ascii="Garamond" w:hAnsi="Garamond"/>
        </w:rPr>
        <w:t>2022–2026</w:t>
      </w:r>
      <w:r w:rsidRPr="00830F4C">
        <w:rPr>
          <w:rFonts w:ascii="Garamond" w:hAnsi="Garamond"/>
        </w:rPr>
        <w:t xml:space="preserve">, megjithëse nuk ishte miratuar në bazë të një akti formal. Pavarësisht se situata ekonomike e pafavorshme e vitit 2020, si rezultat i mbylljes së ekonomisë për shkak të </w:t>
      </w:r>
      <w:r w:rsidR="005F063F" w:rsidRPr="00830F4C">
        <w:rPr>
          <w:rFonts w:ascii="Garamond" w:hAnsi="Garamond"/>
        </w:rPr>
        <w:t>COVID</w:t>
      </w:r>
      <w:r w:rsidRPr="00830F4C">
        <w:rPr>
          <w:rFonts w:ascii="Garamond" w:hAnsi="Garamond"/>
        </w:rPr>
        <w:t>-19 reduktoi të ardhurat e buxhetit me -1 % të PBB-së, si rezultat i masave të ndërmarra në vijim, sidomos në fushën e politikave tatimore, rikuperimi ishte i shpejtë.</w:t>
      </w:r>
      <w:r w:rsidR="00D22EA5" w:rsidRPr="00830F4C">
        <w:rPr>
          <w:rFonts w:ascii="Garamond" w:hAnsi="Garamond"/>
        </w:rPr>
        <w:t xml:space="preserve"> </w:t>
      </w:r>
      <w:r w:rsidRPr="00830F4C">
        <w:rPr>
          <w:rFonts w:ascii="Garamond" w:hAnsi="Garamond"/>
        </w:rPr>
        <w:t xml:space="preserve">Nëpërmjet masave të marra në kuadër të draft SAAS </w:t>
      </w:r>
      <w:r w:rsidR="00120EA0" w:rsidRPr="00830F4C">
        <w:rPr>
          <w:rFonts w:ascii="Garamond" w:hAnsi="Garamond"/>
        </w:rPr>
        <w:t>2022–2026</w:t>
      </w:r>
      <w:r w:rsidRPr="00830F4C">
        <w:rPr>
          <w:rFonts w:ascii="Garamond" w:hAnsi="Garamond"/>
        </w:rPr>
        <w:t xml:space="preserve">, janë gjeneruar të ardhura shtesë me +0,7% të PBB-së në vitin 2023 krahasuar me vitin 2019, viti kur filloi </w:t>
      </w:r>
      <w:r w:rsidR="00236281" w:rsidRPr="00830F4C">
        <w:rPr>
          <w:rFonts w:ascii="Garamond" w:hAnsi="Garamond"/>
        </w:rPr>
        <w:t>procesi</w:t>
      </w:r>
      <w:r w:rsidRPr="00830F4C">
        <w:rPr>
          <w:rFonts w:ascii="Garamond" w:hAnsi="Garamond"/>
        </w:rPr>
        <w:t xml:space="preserve"> i SAA</w:t>
      </w:r>
      <w:r w:rsidR="005F063F" w:rsidRPr="00830F4C">
        <w:rPr>
          <w:rFonts w:ascii="Garamond" w:hAnsi="Garamond"/>
        </w:rPr>
        <w:t>-së</w:t>
      </w:r>
      <w:r w:rsidRPr="00830F4C">
        <w:rPr>
          <w:rFonts w:ascii="Garamond" w:hAnsi="Garamond"/>
        </w:rPr>
        <w:t>.</w:t>
      </w:r>
    </w:p>
    <w:p w14:paraId="58DCDC2D" w14:textId="2C745474" w:rsidR="002861E2" w:rsidRPr="00830F4C" w:rsidRDefault="002861E2" w:rsidP="00425DDE">
      <w:pPr>
        <w:ind w:firstLine="284"/>
        <w:jc w:val="both"/>
        <w:rPr>
          <w:rFonts w:ascii="Garamond" w:hAnsi="Garamond"/>
        </w:rPr>
      </w:pPr>
      <w:r w:rsidRPr="00830F4C">
        <w:rPr>
          <w:rFonts w:ascii="Garamond" w:hAnsi="Garamond"/>
        </w:rPr>
        <w:t>Zbatimi i masave të politikës fiskale sipas Rekomandimeve të FMN</w:t>
      </w:r>
      <w:r w:rsidR="005F063F" w:rsidRPr="00830F4C">
        <w:rPr>
          <w:rFonts w:ascii="Garamond" w:hAnsi="Garamond"/>
        </w:rPr>
        <w:t>-së</w:t>
      </w:r>
      <w:r w:rsidRPr="00830F4C">
        <w:rPr>
          <w:rFonts w:ascii="Garamond" w:hAnsi="Garamond"/>
        </w:rPr>
        <w:t xml:space="preserve">, masa të cilat u detajuan në draft Strategjinë Afatmesme </w:t>
      </w:r>
      <w:r w:rsidR="005F063F" w:rsidRPr="00830F4C">
        <w:rPr>
          <w:rFonts w:ascii="Garamond" w:hAnsi="Garamond"/>
        </w:rPr>
        <w:t>të</w:t>
      </w:r>
      <w:r w:rsidRPr="00830F4C">
        <w:rPr>
          <w:rFonts w:ascii="Garamond" w:hAnsi="Garamond"/>
        </w:rPr>
        <w:t xml:space="preserve"> të Ardhurave, </w:t>
      </w:r>
      <w:r w:rsidR="00120EA0" w:rsidRPr="00830F4C">
        <w:rPr>
          <w:rFonts w:ascii="Garamond" w:hAnsi="Garamond"/>
        </w:rPr>
        <w:t>2022–2026</w:t>
      </w:r>
      <w:r w:rsidRPr="00830F4C">
        <w:rPr>
          <w:rFonts w:ascii="Garamond" w:hAnsi="Garamond"/>
        </w:rPr>
        <w:t xml:space="preserve">, ka nisur me </w:t>
      </w:r>
      <w:r w:rsidR="00D22EA5" w:rsidRPr="00830F4C">
        <w:rPr>
          <w:rFonts w:ascii="Garamond" w:hAnsi="Garamond"/>
        </w:rPr>
        <w:t>“</w:t>
      </w:r>
      <w:r w:rsidRPr="00830F4C">
        <w:rPr>
          <w:rFonts w:ascii="Garamond" w:hAnsi="Garamond"/>
        </w:rPr>
        <w:t xml:space="preserve">Paketën </w:t>
      </w:r>
      <w:r w:rsidR="005F063F" w:rsidRPr="00830F4C">
        <w:rPr>
          <w:rFonts w:ascii="Garamond" w:hAnsi="Garamond"/>
        </w:rPr>
        <w:t>f</w:t>
      </w:r>
      <w:r w:rsidRPr="00830F4C">
        <w:rPr>
          <w:rFonts w:ascii="Garamond" w:hAnsi="Garamond"/>
        </w:rPr>
        <w:t>iskale 2022</w:t>
      </w:r>
      <w:r w:rsidR="00D22EA5" w:rsidRPr="00830F4C">
        <w:rPr>
          <w:rFonts w:ascii="Garamond" w:hAnsi="Garamond"/>
        </w:rPr>
        <w:t>”</w:t>
      </w:r>
      <w:r w:rsidRPr="00830F4C">
        <w:rPr>
          <w:rFonts w:ascii="Garamond" w:hAnsi="Garamond"/>
        </w:rPr>
        <w:t xml:space="preserve">, dhe ka vazhduar me </w:t>
      </w:r>
      <w:r w:rsidR="00D22EA5" w:rsidRPr="00830F4C">
        <w:rPr>
          <w:rFonts w:ascii="Garamond" w:hAnsi="Garamond"/>
        </w:rPr>
        <w:t>“</w:t>
      </w:r>
      <w:r w:rsidRPr="00830F4C">
        <w:rPr>
          <w:rFonts w:ascii="Garamond" w:hAnsi="Garamond"/>
        </w:rPr>
        <w:t xml:space="preserve">Paketën </w:t>
      </w:r>
      <w:r w:rsidR="005F063F" w:rsidRPr="00830F4C">
        <w:rPr>
          <w:rFonts w:ascii="Garamond" w:hAnsi="Garamond"/>
        </w:rPr>
        <w:t>f</w:t>
      </w:r>
      <w:r w:rsidRPr="00830F4C">
        <w:rPr>
          <w:rFonts w:ascii="Garamond" w:hAnsi="Garamond"/>
        </w:rPr>
        <w:t>iskale 2023</w:t>
      </w:r>
      <w:r w:rsidR="00D22EA5" w:rsidRPr="00830F4C">
        <w:rPr>
          <w:rFonts w:ascii="Garamond" w:hAnsi="Garamond"/>
        </w:rPr>
        <w:t>”</w:t>
      </w:r>
      <w:r w:rsidRPr="00830F4C">
        <w:rPr>
          <w:rFonts w:ascii="Garamond" w:hAnsi="Garamond"/>
        </w:rPr>
        <w:t xml:space="preserve"> dhe </w:t>
      </w:r>
      <w:r w:rsidR="00D22EA5" w:rsidRPr="00830F4C">
        <w:rPr>
          <w:rFonts w:ascii="Garamond" w:hAnsi="Garamond"/>
        </w:rPr>
        <w:t>“</w:t>
      </w:r>
      <w:r w:rsidRPr="00830F4C">
        <w:rPr>
          <w:rFonts w:ascii="Garamond" w:hAnsi="Garamond"/>
        </w:rPr>
        <w:t>Paketën fiskale 2024</w:t>
      </w:r>
      <w:r w:rsidR="00D22EA5" w:rsidRPr="00830F4C">
        <w:rPr>
          <w:rFonts w:ascii="Garamond" w:hAnsi="Garamond"/>
        </w:rPr>
        <w:t>”</w:t>
      </w:r>
      <w:r w:rsidRPr="00830F4C">
        <w:rPr>
          <w:rFonts w:ascii="Garamond" w:hAnsi="Garamond"/>
        </w:rPr>
        <w:t>.</w:t>
      </w:r>
    </w:p>
    <w:p w14:paraId="2BF78ED4" w14:textId="40EDEA26" w:rsidR="002861E2" w:rsidRPr="00830F4C" w:rsidRDefault="002861E2" w:rsidP="00425DDE">
      <w:pPr>
        <w:ind w:firstLine="284"/>
        <w:jc w:val="both"/>
        <w:rPr>
          <w:rFonts w:ascii="Garamond" w:hAnsi="Garamond"/>
        </w:rPr>
      </w:pPr>
      <w:r w:rsidRPr="00830F4C">
        <w:rPr>
          <w:rFonts w:ascii="Garamond" w:hAnsi="Garamond"/>
        </w:rPr>
        <w:t>Ndryshimet e ndërmarra në fushën e politikave dhe administrimit fiskal kanë synuar zgjerimin e bazës së tatimit, reduktimin e incentivave fiskale, rishikimin e tarifave tatimore të reduktuara dhe atyre preferenciale. Ndryshimet e realizuara përfshijnë legjislacionin e tatimeve indirekte (akcizat dhe</w:t>
      </w:r>
      <w:r w:rsidR="00DE65FB">
        <w:rPr>
          <w:rFonts w:ascii="Garamond" w:hAnsi="Garamond"/>
        </w:rPr>
        <w:t xml:space="preserve"> TVSh</w:t>
      </w:r>
      <w:r w:rsidRPr="00830F4C">
        <w:rPr>
          <w:rFonts w:ascii="Garamond" w:hAnsi="Garamond"/>
        </w:rPr>
        <w:t xml:space="preserve">-në), si dhe tatimet direkte mbi të ardhurat e entiteteve dhe personave fizike. Së fundi u miratua </w:t>
      </w:r>
      <w:r w:rsidR="005F063F" w:rsidRPr="00830F4C">
        <w:rPr>
          <w:rFonts w:ascii="Garamond" w:hAnsi="Garamond"/>
        </w:rPr>
        <w:t>l</w:t>
      </w:r>
      <w:r w:rsidRPr="00830F4C">
        <w:rPr>
          <w:rFonts w:ascii="Garamond" w:hAnsi="Garamond"/>
        </w:rPr>
        <w:t xml:space="preserve">igji i ri </w:t>
      </w:r>
      <w:r w:rsidR="00D22EA5" w:rsidRPr="00830F4C">
        <w:rPr>
          <w:rFonts w:ascii="Garamond" w:hAnsi="Garamond"/>
        </w:rPr>
        <w:t>“</w:t>
      </w:r>
      <w:r w:rsidRPr="00830F4C">
        <w:rPr>
          <w:rFonts w:ascii="Garamond" w:hAnsi="Garamond"/>
        </w:rPr>
        <w:t>Për tatimin mbi të ardhurat</w:t>
      </w:r>
      <w:r w:rsidR="00D22EA5" w:rsidRPr="00830F4C">
        <w:rPr>
          <w:rFonts w:ascii="Garamond" w:hAnsi="Garamond"/>
        </w:rPr>
        <w:t>”</w:t>
      </w:r>
      <w:r w:rsidRPr="00830F4C">
        <w:rPr>
          <w:rFonts w:ascii="Garamond" w:hAnsi="Garamond"/>
        </w:rPr>
        <w:t xml:space="preserve"> i cili modernizon tatimet direkte dhe zgjeron më tej bazën e tatimit. </w:t>
      </w:r>
    </w:p>
    <w:p w14:paraId="532F24BF" w14:textId="707B101A" w:rsidR="002861E2" w:rsidRPr="00830F4C" w:rsidRDefault="002861E2" w:rsidP="00425DDE">
      <w:pPr>
        <w:ind w:firstLine="284"/>
        <w:jc w:val="both"/>
        <w:rPr>
          <w:rFonts w:ascii="Garamond" w:hAnsi="Garamond"/>
        </w:rPr>
      </w:pPr>
      <w:r w:rsidRPr="00830F4C">
        <w:rPr>
          <w:rFonts w:ascii="Garamond" w:hAnsi="Garamond"/>
        </w:rPr>
        <w:t>Kjo Strategji Afatmesme e të Ardhurave për periudhën 2024</w:t>
      </w:r>
      <w:r w:rsidR="00120EA0" w:rsidRPr="00830F4C">
        <w:rPr>
          <w:rFonts w:ascii="Garamond" w:hAnsi="Garamond"/>
        </w:rPr>
        <w:t>–</w:t>
      </w:r>
      <w:r w:rsidRPr="00830F4C">
        <w:rPr>
          <w:rFonts w:ascii="Garamond" w:hAnsi="Garamond"/>
        </w:rPr>
        <w:t>2027, bazohet jo vetëm në përditësimin e draftit të mëparshëm të SAA 2022</w:t>
      </w:r>
      <w:r w:rsidR="00120EA0" w:rsidRPr="00830F4C">
        <w:rPr>
          <w:rFonts w:ascii="Garamond" w:hAnsi="Garamond"/>
        </w:rPr>
        <w:t>–</w:t>
      </w:r>
      <w:r w:rsidRPr="00830F4C">
        <w:rPr>
          <w:rFonts w:ascii="Garamond" w:hAnsi="Garamond"/>
        </w:rPr>
        <w:t>2026</w:t>
      </w:r>
      <w:r w:rsidR="005F063F" w:rsidRPr="00830F4C">
        <w:rPr>
          <w:rFonts w:ascii="Garamond" w:hAnsi="Garamond"/>
        </w:rPr>
        <w:t>,</w:t>
      </w:r>
      <w:r w:rsidRPr="00830F4C">
        <w:rPr>
          <w:rFonts w:ascii="Garamond" w:hAnsi="Garamond"/>
        </w:rPr>
        <w:t xml:space="preserve"> me fokus mirëadministrimin e taksave, por përfshin edhe kushtet e vëna në Planin e Rritjes së A</w:t>
      </w:r>
      <w:r w:rsidR="005F063F" w:rsidRPr="00830F4C">
        <w:rPr>
          <w:rFonts w:ascii="Garamond" w:hAnsi="Garamond"/>
        </w:rPr>
        <w:t>gj</w:t>
      </w:r>
      <w:r w:rsidRPr="00830F4C">
        <w:rPr>
          <w:rFonts w:ascii="Garamond" w:hAnsi="Garamond"/>
        </w:rPr>
        <w:t>endës së Reformave të KE-së</w:t>
      </w:r>
      <w:r w:rsidR="005F063F" w:rsidRPr="00830F4C">
        <w:rPr>
          <w:rFonts w:ascii="Garamond" w:hAnsi="Garamond"/>
        </w:rPr>
        <w:t>,</w:t>
      </w:r>
      <w:r w:rsidRPr="00830F4C">
        <w:rPr>
          <w:rFonts w:ascii="Garamond" w:hAnsi="Garamond"/>
        </w:rPr>
        <w:t xml:space="preserve"> si dhe masat për zbatimin e tyre. </w:t>
      </w:r>
    </w:p>
    <w:p w14:paraId="52A18309" w14:textId="67C55121" w:rsidR="002861E2" w:rsidRPr="00830F4C" w:rsidRDefault="002861E2" w:rsidP="00425DDE">
      <w:pPr>
        <w:ind w:firstLine="284"/>
        <w:jc w:val="both"/>
        <w:rPr>
          <w:rFonts w:ascii="Garamond" w:hAnsi="Garamond"/>
        </w:rPr>
      </w:pPr>
      <w:r w:rsidRPr="00830F4C">
        <w:rPr>
          <w:rFonts w:ascii="Garamond" w:hAnsi="Garamond"/>
        </w:rPr>
        <w:t>Gjatë viteve 2024</w:t>
      </w:r>
      <w:r w:rsidR="00120EA0" w:rsidRPr="00830F4C">
        <w:rPr>
          <w:rFonts w:ascii="Garamond" w:hAnsi="Garamond"/>
        </w:rPr>
        <w:t>–</w:t>
      </w:r>
      <w:r w:rsidRPr="00830F4C">
        <w:rPr>
          <w:rFonts w:ascii="Garamond" w:hAnsi="Garamond"/>
        </w:rPr>
        <w:t>2027, të ardhurat tatimore si pjesë e PBB-së vlerësohen të rriten me 1.8 % në 27.7% të PBB-së në vitin 2027, mbështetur nga masat e përfshira në këtë Strategji. Duke marrë një horizont më të gjatë, nga viti 2019 deri në vitin 2027, të ardhurat nga tatimore si pjesë e PBB-së vlerësohen të rriten me 2.5 %, rritje që pasqyron efektet e masave të zbatuara deri tani nga Strategjia e mëparshme, masat aktuale të propozuara në këtë Strategji</w:t>
      </w:r>
      <w:r w:rsidR="005F063F" w:rsidRPr="00830F4C">
        <w:rPr>
          <w:rFonts w:ascii="Garamond" w:hAnsi="Garamond"/>
        </w:rPr>
        <w:t>,</w:t>
      </w:r>
      <w:r w:rsidRPr="00830F4C">
        <w:rPr>
          <w:rFonts w:ascii="Garamond" w:hAnsi="Garamond"/>
        </w:rPr>
        <w:t xml:space="preserve"> si dhe faktorë të tjerë ekonomikë.’ Në terma afatgjatë, synohet që nëpërmjet zbatimit të masave shtesë që do </w:t>
      </w:r>
      <w:r w:rsidR="005F063F" w:rsidRPr="00830F4C">
        <w:rPr>
          <w:rFonts w:ascii="Garamond" w:hAnsi="Garamond"/>
        </w:rPr>
        <w:t xml:space="preserve">të </w:t>
      </w:r>
      <w:r w:rsidRPr="00830F4C">
        <w:rPr>
          <w:rFonts w:ascii="Garamond" w:hAnsi="Garamond"/>
        </w:rPr>
        <w:t>parashikohen në draft</w:t>
      </w:r>
      <w:r w:rsidR="005F063F" w:rsidRPr="00830F4C">
        <w:rPr>
          <w:rFonts w:ascii="Garamond" w:hAnsi="Garamond"/>
        </w:rPr>
        <w:t>s</w:t>
      </w:r>
      <w:r w:rsidRPr="00830F4C">
        <w:rPr>
          <w:rFonts w:ascii="Garamond" w:hAnsi="Garamond"/>
        </w:rPr>
        <w:t>trategjinë e rishikuar, të ardhurat totale të buxhetit në vitin 2030, ku përfshihen krahas të ardhurave tatimore edhe të ardhurat jotatimore dhe ato nga grantet, të arrijnë në mbi 30% të PBB-së, ku pjesa më e rëndësishme është rritja e të ardhurave nga përmirësimi i politikave të administrimit tatimor.</w:t>
      </w:r>
    </w:p>
    <w:p w14:paraId="192CCD55" w14:textId="17C66078" w:rsidR="002861E2" w:rsidRPr="00830F4C" w:rsidRDefault="002861E2" w:rsidP="00425DDE">
      <w:pPr>
        <w:ind w:firstLine="284"/>
        <w:jc w:val="both"/>
        <w:rPr>
          <w:rFonts w:ascii="Garamond" w:hAnsi="Garamond"/>
        </w:rPr>
      </w:pPr>
      <w:r w:rsidRPr="00830F4C">
        <w:rPr>
          <w:rFonts w:ascii="Garamond" w:hAnsi="Garamond"/>
        </w:rPr>
        <w:t>Reformat e parashikuara për periudhën 2024</w:t>
      </w:r>
      <w:r w:rsidR="00120EA0" w:rsidRPr="00830F4C">
        <w:rPr>
          <w:rFonts w:ascii="Garamond" w:hAnsi="Garamond"/>
        </w:rPr>
        <w:t>–</w:t>
      </w:r>
      <w:r w:rsidRPr="00830F4C">
        <w:rPr>
          <w:rFonts w:ascii="Garamond" w:hAnsi="Garamond"/>
        </w:rPr>
        <w:t>2027</w:t>
      </w:r>
      <w:r w:rsidR="005F063F" w:rsidRPr="00830F4C">
        <w:rPr>
          <w:rFonts w:ascii="Garamond" w:hAnsi="Garamond"/>
        </w:rPr>
        <w:t>,</w:t>
      </w:r>
      <w:r w:rsidRPr="00830F4C">
        <w:rPr>
          <w:rFonts w:ascii="Garamond" w:hAnsi="Garamond"/>
        </w:rPr>
        <w:t xml:space="preserve"> synojnë:</w:t>
      </w:r>
    </w:p>
    <w:p w14:paraId="66CE0048" w14:textId="42187F7D" w:rsidR="002861E2" w:rsidRPr="00830F4C" w:rsidRDefault="001652B9" w:rsidP="00425DDE">
      <w:pPr>
        <w:ind w:firstLine="284"/>
        <w:jc w:val="both"/>
        <w:rPr>
          <w:rFonts w:ascii="Garamond" w:hAnsi="Garamond"/>
        </w:rPr>
      </w:pPr>
      <w:r w:rsidRPr="00830F4C">
        <w:rPr>
          <w:rFonts w:ascii="Garamond" w:hAnsi="Garamond" w:cs="Symbol"/>
        </w:rPr>
        <w:t xml:space="preserve">- </w:t>
      </w:r>
      <w:r w:rsidR="002861E2" w:rsidRPr="00830F4C">
        <w:rPr>
          <w:rFonts w:ascii="Garamond" w:hAnsi="Garamond"/>
        </w:rPr>
        <w:t>të thellojnë më tej reformat në fushën e politikave dhe sidomos në drejtim të administrimit tatimor e doganor, duke bërë të mundur rritjen e neutralitetit të sistemit tatimor, eliminimin e deformimeve të krijuara në sistem, përmirësimin e nivelit të normave tatimore dhe rritjen e bazës së tatimit</w:t>
      </w:r>
      <w:r w:rsidR="005F063F" w:rsidRPr="00830F4C">
        <w:rPr>
          <w:rFonts w:ascii="Garamond" w:hAnsi="Garamond"/>
        </w:rPr>
        <w:t>;</w:t>
      </w:r>
    </w:p>
    <w:p w14:paraId="07EDB229" w14:textId="67524844" w:rsidR="002861E2" w:rsidRPr="00830F4C" w:rsidRDefault="001652B9" w:rsidP="00425DDE">
      <w:pPr>
        <w:ind w:firstLine="284"/>
        <w:jc w:val="both"/>
        <w:rPr>
          <w:rFonts w:ascii="Garamond" w:hAnsi="Garamond"/>
        </w:rPr>
      </w:pPr>
      <w:r w:rsidRPr="00830F4C">
        <w:rPr>
          <w:rFonts w:ascii="Garamond" w:hAnsi="Garamond" w:cs="Symbol"/>
        </w:rPr>
        <w:t xml:space="preserve">- </w:t>
      </w:r>
      <w:r w:rsidR="002861E2" w:rsidRPr="00830F4C">
        <w:rPr>
          <w:rFonts w:ascii="Garamond" w:hAnsi="Garamond"/>
        </w:rPr>
        <w:t>të informojnë dhe orientojnë vendim</w:t>
      </w:r>
      <w:r w:rsidR="00120EA0" w:rsidRPr="00830F4C">
        <w:rPr>
          <w:rFonts w:ascii="Garamond" w:hAnsi="Garamond"/>
        </w:rPr>
        <w:t>m</w:t>
      </w:r>
      <w:r w:rsidR="002861E2" w:rsidRPr="00830F4C">
        <w:rPr>
          <w:rFonts w:ascii="Garamond" w:hAnsi="Garamond"/>
        </w:rPr>
        <w:t>arrjen politike</w:t>
      </w:r>
      <w:r w:rsidR="005F063F" w:rsidRPr="00830F4C">
        <w:rPr>
          <w:rFonts w:ascii="Garamond" w:hAnsi="Garamond"/>
        </w:rPr>
        <w:t>,</w:t>
      </w:r>
      <w:r w:rsidR="002861E2" w:rsidRPr="00830F4C">
        <w:rPr>
          <w:rFonts w:ascii="Garamond" w:hAnsi="Garamond"/>
        </w:rPr>
        <w:t xml:space="preserve"> në lidhje me politikat fiskale të vendit, si dhe në vendim</w:t>
      </w:r>
      <w:r w:rsidR="00120EA0" w:rsidRPr="00830F4C">
        <w:rPr>
          <w:rFonts w:ascii="Garamond" w:hAnsi="Garamond"/>
        </w:rPr>
        <w:t>m</w:t>
      </w:r>
      <w:r w:rsidR="002861E2" w:rsidRPr="00830F4C">
        <w:rPr>
          <w:rFonts w:ascii="Garamond" w:hAnsi="Garamond"/>
        </w:rPr>
        <w:t>arrjet e operatorëve ekonomikë</w:t>
      </w:r>
      <w:r w:rsidR="005F063F" w:rsidRPr="00830F4C">
        <w:rPr>
          <w:rFonts w:ascii="Garamond" w:hAnsi="Garamond"/>
        </w:rPr>
        <w:t>,</w:t>
      </w:r>
      <w:r w:rsidR="002861E2" w:rsidRPr="00830F4C">
        <w:rPr>
          <w:rFonts w:ascii="Garamond" w:hAnsi="Garamond"/>
        </w:rPr>
        <w:t xml:space="preserve"> në lidhje me strategjitë e biznesit, të cilat kërkojnë qëndrueshmëri në politikat fiskale</w:t>
      </w:r>
      <w:r w:rsidR="005F063F" w:rsidRPr="00830F4C">
        <w:rPr>
          <w:rFonts w:ascii="Garamond" w:hAnsi="Garamond"/>
        </w:rPr>
        <w:t>,</w:t>
      </w:r>
      <w:r w:rsidR="002861E2" w:rsidRPr="00830F4C">
        <w:rPr>
          <w:rFonts w:ascii="Garamond" w:hAnsi="Garamond"/>
        </w:rPr>
        <w:t xml:space="preserve"> me qëllim programimin e veprimtarisë dhe aktiviteteve në terma afatgjatë</w:t>
      </w:r>
      <w:r w:rsidR="005F063F" w:rsidRPr="00830F4C">
        <w:rPr>
          <w:rFonts w:ascii="Garamond" w:hAnsi="Garamond"/>
        </w:rPr>
        <w:t>;</w:t>
      </w:r>
    </w:p>
    <w:p w14:paraId="44D886DE" w14:textId="5AF85D9D" w:rsidR="002861E2" w:rsidRPr="00830F4C" w:rsidRDefault="001652B9" w:rsidP="00425DDE">
      <w:pPr>
        <w:ind w:firstLine="284"/>
        <w:jc w:val="both"/>
        <w:rPr>
          <w:rFonts w:ascii="Garamond" w:hAnsi="Garamond"/>
        </w:rPr>
      </w:pPr>
      <w:r w:rsidRPr="00830F4C">
        <w:rPr>
          <w:rFonts w:ascii="Garamond" w:hAnsi="Garamond" w:cs="Symbol"/>
        </w:rPr>
        <w:t>-</w:t>
      </w:r>
      <w:r w:rsidR="0052377F" w:rsidRPr="00830F4C">
        <w:rPr>
          <w:rFonts w:ascii="Garamond" w:hAnsi="Garamond" w:cs="Symbol"/>
        </w:rPr>
        <w:t xml:space="preserve"> </w:t>
      </w:r>
      <w:r w:rsidR="006A23E9" w:rsidRPr="00830F4C">
        <w:rPr>
          <w:rFonts w:ascii="Garamond" w:hAnsi="Garamond"/>
        </w:rPr>
        <w:t>t’i</w:t>
      </w:r>
      <w:r w:rsidR="0052377F" w:rsidRPr="00830F4C">
        <w:rPr>
          <w:rFonts w:ascii="Garamond" w:hAnsi="Garamond"/>
        </w:rPr>
        <w:t xml:space="preserve"> </w:t>
      </w:r>
      <w:r w:rsidR="002861E2" w:rsidRPr="00830F4C">
        <w:rPr>
          <w:rFonts w:ascii="Garamond" w:hAnsi="Garamond"/>
        </w:rPr>
        <w:t>ofrojnë qeverisë një pasqyrë të qartë të nivelit të të ardhurave tatimore të pritshme në secilin vit të kësaj periudhe 4</w:t>
      </w:r>
      <w:r w:rsidR="005F063F" w:rsidRPr="00830F4C">
        <w:rPr>
          <w:rFonts w:ascii="Garamond" w:hAnsi="Garamond"/>
        </w:rPr>
        <w:t>-</w:t>
      </w:r>
      <w:r w:rsidR="002861E2" w:rsidRPr="00830F4C">
        <w:rPr>
          <w:rFonts w:ascii="Garamond" w:hAnsi="Garamond"/>
        </w:rPr>
        <w:t>vjeçare</w:t>
      </w:r>
      <w:r w:rsidR="005F063F" w:rsidRPr="00830F4C">
        <w:rPr>
          <w:rFonts w:ascii="Garamond" w:hAnsi="Garamond"/>
        </w:rPr>
        <w:t>;</w:t>
      </w:r>
    </w:p>
    <w:p w14:paraId="41BAC06D" w14:textId="169C9ED2" w:rsidR="002861E2" w:rsidRPr="00830F4C" w:rsidRDefault="001652B9" w:rsidP="00425DDE">
      <w:pPr>
        <w:ind w:firstLine="284"/>
        <w:jc w:val="both"/>
        <w:rPr>
          <w:rFonts w:ascii="Garamond" w:hAnsi="Garamond"/>
        </w:rPr>
      </w:pPr>
      <w:r w:rsidRPr="00830F4C">
        <w:rPr>
          <w:rFonts w:ascii="Garamond" w:hAnsi="Garamond" w:cs="Symbol"/>
        </w:rPr>
        <w:t>-</w:t>
      </w:r>
      <w:r w:rsidR="0052377F" w:rsidRPr="00830F4C">
        <w:rPr>
          <w:rFonts w:ascii="Garamond" w:hAnsi="Garamond" w:cs="Symbol"/>
        </w:rPr>
        <w:t xml:space="preserve"> </w:t>
      </w:r>
      <w:r w:rsidR="006A23E9" w:rsidRPr="00830F4C">
        <w:rPr>
          <w:rFonts w:ascii="Garamond" w:hAnsi="Garamond"/>
        </w:rPr>
        <w:t>t’i</w:t>
      </w:r>
      <w:r w:rsidR="0052377F" w:rsidRPr="00830F4C">
        <w:rPr>
          <w:rFonts w:ascii="Garamond" w:hAnsi="Garamond"/>
        </w:rPr>
        <w:t xml:space="preserve"> </w:t>
      </w:r>
      <w:r w:rsidR="002861E2" w:rsidRPr="00830F4C">
        <w:rPr>
          <w:rFonts w:ascii="Garamond" w:hAnsi="Garamond"/>
        </w:rPr>
        <w:t>ofrojnë operatorëve ekonomikë pamje të qartë dhe mbi të gjitha më shumë siguri, mbi mënyrën se si do të trajtohen dhe cilat do të jenë detyrimet tatimore</w:t>
      </w:r>
      <w:r w:rsidR="00DC2B94" w:rsidRPr="00830F4C">
        <w:rPr>
          <w:rFonts w:ascii="Garamond" w:hAnsi="Garamond"/>
        </w:rPr>
        <w:t>,</w:t>
      </w:r>
      <w:r w:rsidR="002861E2" w:rsidRPr="00830F4C">
        <w:rPr>
          <w:rFonts w:ascii="Garamond" w:hAnsi="Garamond"/>
        </w:rPr>
        <w:t xml:space="preserve"> në lidhje me vendimet që do ndërmarrin për investimet e tyre.</w:t>
      </w:r>
    </w:p>
    <w:p w14:paraId="3474DDE8" w14:textId="73554C08" w:rsidR="002861E2" w:rsidRPr="00830F4C" w:rsidRDefault="002861E2" w:rsidP="00DC2B94">
      <w:pPr>
        <w:ind w:firstLine="284"/>
        <w:jc w:val="both"/>
        <w:rPr>
          <w:rFonts w:ascii="Garamond" w:hAnsi="Garamond"/>
        </w:rPr>
      </w:pPr>
      <w:r w:rsidRPr="00830F4C">
        <w:rPr>
          <w:rFonts w:ascii="Garamond" w:hAnsi="Garamond"/>
        </w:rPr>
        <w:t>Për të ardhurat tatimore të cilat përfshijnë: i</w:t>
      </w:r>
      <w:r w:rsidR="00FF624C" w:rsidRPr="00830F4C">
        <w:rPr>
          <w:rFonts w:ascii="Garamond" w:hAnsi="Garamond"/>
        </w:rPr>
        <w:t xml:space="preserve">. </w:t>
      </w:r>
      <w:r w:rsidRPr="00830F4C">
        <w:rPr>
          <w:rFonts w:ascii="Garamond" w:hAnsi="Garamond"/>
        </w:rPr>
        <w:t>të ardhurat tatimore nga tatimet dhe doganat; ii</w:t>
      </w:r>
      <w:r w:rsidR="00FF624C" w:rsidRPr="00830F4C">
        <w:rPr>
          <w:rFonts w:ascii="Garamond" w:hAnsi="Garamond"/>
        </w:rPr>
        <w:t>.</w:t>
      </w:r>
      <w:r w:rsidRPr="00830F4C">
        <w:rPr>
          <w:rFonts w:ascii="Garamond" w:hAnsi="Garamond"/>
        </w:rPr>
        <w:t xml:space="preserve"> të ardhurat nga taksat vendore</w:t>
      </w:r>
      <w:r w:rsidR="00FF624C" w:rsidRPr="00830F4C">
        <w:rPr>
          <w:rFonts w:ascii="Garamond" w:hAnsi="Garamond"/>
        </w:rPr>
        <w:t>;</w:t>
      </w:r>
      <w:r w:rsidRPr="00830F4C">
        <w:rPr>
          <w:rFonts w:ascii="Garamond" w:hAnsi="Garamond"/>
        </w:rPr>
        <w:t xml:space="preserve"> dhe iii</w:t>
      </w:r>
      <w:r w:rsidR="00FF624C" w:rsidRPr="00830F4C">
        <w:rPr>
          <w:rFonts w:ascii="Garamond" w:hAnsi="Garamond"/>
        </w:rPr>
        <w:t>.</w:t>
      </w:r>
      <w:r w:rsidRPr="00830F4C">
        <w:rPr>
          <w:rFonts w:ascii="Garamond" w:hAnsi="Garamond"/>
        </w:rPr>
        <w:t xml:space="preserve"> të ardhurat nga kontributet e sigurimeve shoqërore dhe shëndetësore, në Strategji janë programuar një sërë masash të ndara në tr</w:t>
      </w:r>
      <w:r w:rsidR="00DC2B94" w:rsidRPr="00830F4C">
        <w:rPr>
          <w:rFonts w:ascii="Garamond" w:hAnsi="Garamond"/>
        </w:rPr>
        <w:t xml:space="preserve">i </w:t>
      </w:r>
      <w:r w:rsidRPr="00830F4C">
        <w:rPr>
          <w:rFonts w:ascii="Garamond" w:hAnsi="Garamond"/>
        </w:rPr>
        <w:t>shtylla kryesore:</w:t>
      </w:r>
    </w:p>
    <w:p w14:paraId="0271CBA0" w14:textId="77777777" w:rsidR="002861E2" w:rsidRPr="00830F4C" w:rsidRDefault="002861E2" w:rsidP="00DC2B94">
      <w:pPr>
        <w:ind w:firstLine="284"/>
        <w:jc w:val="both"/>
        <w:rPr>
          <w:rFonts w:ascii="Garamond" w:hAnsi="Garamond"/>
          <w:b/>
          <w:bCs/>
        </w:rPr>
      </w:pPr>
      <w:r w:rsidRPr="00830F4C">
        <w:rPr>
          <w:rFonts w:ascii="Garamond" w:hAnsi="Garamond"/>
          <w:b/>
          <w:bCs/>
        </w:rPr>
        <w:lastRenderedPageBreak/>
        <w:t>Shtylla 1: Rishikimi i politikës tatimore</w:t>
      </w:r>
    </w:p>
    <w:p w14:paraId="629D7165" w14:textId="77777777" w:rsidR="002861E2" w:rsidRPr="00830F4C" w:rsidRDefault="002861E2" w:rsidP="00DC2B94">
      <w:pPr>
        <w:ind w:firstLine="284"/>
        <w:jc w:val="both"/>
        <w:rPr>
          <w:rFonts w:ascii="Garamond" w:hAnsi="Garamond"/>
        </w:rPr>
      </w:pPr>
      <w:r w:rsidRPr="00830F4C">
        <w:rPr>
          <w:rFonts w:ascii="Garamond" w:hAnsi="Garamond"/>
        </w:rPr>
        <w:t>1.</w:t>
      </w:r>
      <w:r w:rsidR="001652B9" w:rsidRPr="00830F4C">
        <w:rPr>
          <w:rFonts w:ascii="Garamond" w:hAnsi="Garamond"/>
        </w:rPr>
        <w:t xml:space="preserve"> </w:t>
      </w:r>
      <w:r w:rsidRPr="00830F4C">
        <w:rPr>
          <w:rFonts w:ascii="Garamond" w:hAnsi="Garamond"/>
        </w:rPr>
        <w:t>Rishikimi i politikës tatimore të tatimeve indirekte (taksat mbi konsumin);</w:t>
      </w:r>
    </w:p>
    <w:p w14:paraId="4D141958" w14:textId="7492864B" w:rsidR="002861E2" w:rsidRPr="00830F4C" w:rsidRDefault="002861E2" w:rsidP="00DC2B94">
      <w:pPr>
        <w:ind w:firstLine="284"/>
        <w:jc w:val="both"/>
        <w:rPr>
          <w:rFonts w:ascii="Garamond" w:hAnsi="Garamond"/>
        </w:rPr>
      </w:pPr>
      <w:r w:rsidRPr="00830F4C">
        <w:rPr>
          <w:rFonts w:ascii="Garamond" w:hAnsi="Garamond"/>
        </w:rPr>
        <w:t>2.</w:t>
      </w:r>
      <w:r w:rsidR="001652B9" w:rsidRPr="00830F4C">
        <w:rPr>
          <w:rFonts w:ascii="Garamond" w:hAnsi="Garamond"/>
        </w:rPr>
        <w:t xml:space="preserve"> </w:t>
      </w:r>
      <w:r w:rsidRPr="00830F4C">
        <w:rPr>
          <w:rFonts w:ascii="Garamond" w:hAnsi="Garamond"/>
        </w:rPr>
        <w:t>Rishikimi i politikës tatimore të tatimeve</w:t>
      </w:r>
      <w:r w:rsidR="00FF624C" w:rsidRPr="00830F4C">
        <w:rPr>
          <w:rFonts w:ascii="Garamond" w:hAnsi="Garamond"/>
        </w:rPr>
        <w:t xml:space="preserve"> </w:t>
      </w:r>
      <w:r w:rsidRPr="00830F4C">
        <w:rPr>
          <w:rFonts w:ascii="Garamond" w:hAnsi="Garamond"/>
        </w:rPr>
        <w:t>direkte;</w:t>
      </w:r>
    </w:p>
    <w:p w14:paraId="171D13CC" w14:textId="77777777" w:rsidR="002861E2" w:rsidRPr="00830F4C" w:rsidRDefault="002861E2" w:rsidP="00DC2B94">
      <w:pPr>
        <w:ind w:firstLine="284"/>
        <w:jc w:val="both"/>
        <w:rPr>
          <w:rFonts w:ascii="Garamond" w:hAnsi="Garamond"/>
        </w:rPr>
      </w:pPr>
      <w:r w:rsidRPr="00830F4C">
        <w:rPr>
          <w:rFonts w:ascii="Garamond" w:hAnsi="Garamond"/>
        </w:rPr>
        <w:t>3.</w:t>
      </w:r>
      <w:r w:rsidR="001652B9" w:rsidRPr="00830F4C">
        <w:rPr>
          <w:rFonts w:ascii="Garamond" w:hAnsi="Garamond"/>
        </w:rPr>
        <w:t xml:space="preserve"> </w:t>
      </w:r>
      <w:r w:rsidRPr="00830F4C">
        <w:rPr>
          <w:rFonts w:ascii="Garamond" w:hAnsi="Garamond"/>
        </w:rPr>
        <w:t>Rishikimi i politikës tatimore të taksës mbi pasuritë e paluajtshme.</w:t>
      </w:r>
    </w:p>
    <w:p w14:paraId="518D2FE2" w14:textId="77777777" w:rsidR="002861E2" w:rsidRPr="00830F4C" w:rsidRDefault="002861E2" w:rsidP="00DC2B94">
      <w:pPr>
        <w:ind w:firstLine="284"/>
        <w:jc w:val="both"/>
        <w:rPr>
          <w:rFonts w:ascii="Garamond" w:hAnsi="Garamond"/>
          <w:b/>
          <w:bCs/>
        </w:rPr>
      </w:pPr>
      <w:r w:rsidRPr="00830F4C">
        <w:rPr>
          <w:rFonts w:ascii="Garamond" w:hAnsi="Garamond"/>
          <w:b/>
          <w:bCs/>
        </w:rPr>
        <w:t>Shtylla 2: Mirëadministrimi tatimor</w:t>
      </w:r>
    </w:p>
    <w:p w14:paraId="3072C27A" w14:textId="6A88484A" w:rsidR="002861E2" w:rsidRPr="00830F4C" w:rsidRDefault="002861E2" w:rsidP="00DC2B94">
      <w:pPr>
        <w:ind w:firstLine="284"/>
        <w:jc w:val="both"/>
        <w:rPr>
          <w:rFonts w:ascii="Garamond" w:hAnsi="Garamond"/>
        </w:rPr>
      </w:pPr>
      <w:r w:rsidRPr="00830F4C">
        <w:rPr>
          <w:rFonts w:ascii="Garamond" w:hAnsi="Garamond"/>
        </w:rPr>
        <w:t>1.</w:t>
      </w:r>
      <w:r w:rsidR="001652B9" w:rsidRPr="00830F4C">
        <w:rPr>
          <w:rFonts w:ascii="Garamond" w:hAnsi="Garamond"/>
        </w:rPr>
        <w:t xml:space="preserve"> </w:t>
      </w:r>
      <w:r w:rsidRPr="00830F4C">
        <w:rPr>
          <w:rFonts w:ascii="Garamond" w:hAnsi="Garamond"/>
        </w:rPr>
        <w:t>Zvogëlimi i hendekut të pajtueshmërisë në lidhje me</w:t>
      </w:r>
      <w:r w:rsidR="00DE65FB">
        <w:rPr>
          <w:rFonts w:ascii="Garamond" w:hAnsi="Garamond"/>
        </w:rPr>
        <w:t xml:space="preserve"> TVSh</w:t>
      </w:r>
      <w:r w:rsidRPr="00830F4C">
        <w:rPr>
          <w:rFonts w:ascii="Garamond" w:hAnsi="Garamond"/>
        </w:rPr>
        <w:t>-në;</w:t>
      </w:r>
    </w:p>
    <w:p w14:paraId="3D9B7FD6" w14:textId="77777777" w:rsidR="002861E2" w:rsidRPr="00830F4C" w:rsidRDefault="002861E2" w:rsidP="00DC2B94">
      <w:pPr>
        <w:ind w:firstLine="284"/>
        <w:jc w:val="both"/>
        <w:rPr>
          <w:rFonts w:ascii="Garamond" w:hAnsi="Garamond"/>
        </w:rPr>
      </w:pPr>
      <w:r w:rsidRPr="00830F4C">
        <w:rPr>
          <w:rFonts w:ascii="Garamond" w:hAnsi="Garamond"/>
        </w:rPr>
        <w:t>2.</w:t>
      </w:r>
      <w:r w:rsidR="001652B9" w:rsidRPr="00830F4C">
        <w:rPr>
          <w:rFonts w:ascii="Garamond" w:hAnsi="Garamond"/>
        </w:rPr>
        <w:t xml:space="preserve"> </w:t>
      </w:r>
      <w:r w:rsidRPr="00830F4C">
        <w:rPr>
          <w:rFonts w:ascii="Garamond" w:hAnsi="Garamond"/>
        </w:rPr>
        <w:t>Ulja e pagesave me para në dorë në ekonomi;</w:t>
      </w:r>
    </w:p>
    <w:p w14:paraId="11841374" w14:textId="77777777" w:rsidR="002861E2" w:rsidRPr="00830F4C" w:rsidRDefault="002861E2" w:rsidP="00DC2B94">
      <w:pPr>
        <w:ind w:firstLine="284"/>
        <w:jc w:val="both"/>
        <w:rPr>
          <w:rFonts w:ascii="Garamond" w:hAnsi="Garamond"/>
        </w:rPr>
      </w:pPr>
      <w:r w:rsidRPr="00830F4C">
        <w:rPr>
          <w:rFonts w:ascii="Garamond" w:hAnsi="Garamond"/>
        </w:rPr>
        <w:t>3.</w:t>
      </w:r>
      <w:r w:rsidR="001652B9" w:rsidRPr="00830F4C">
        <w:rPr>
          <w:rFonts w:ascii="Garamond" w:hAnsi="Garamond"/>
        </w:rPr>
        <w:t xml:space="preserve"> </w:t>
      </w:r>
      <w:r w:rsidRPr="00830F4C">
        <w:rPr>
          <w:rFonts w:ascii="Garamond" w:hAnsi="Garamond"/>
        </w:rPr>
        <w:t>Verifikimi i të ardhurave dhe kontrolli i pasurive të pajustifikuara;</w:t>
      </w:r>
    </w:p>
    <w:p w14:paraId="12EB1366" w14:textId="77777777" w:rsidR="002861E2" w:rsidRPr="00830F4C" w:rsidRDefault="002861E2" w:rsidP="00DC2B94">
      <w:pPr>
        <w:ind w:firstLine="284"/>
        <w:jc w:val="both"/>
        <w:rPr>
          <w:rFonts w:ascii="Garamond" w:hAnsi="Garamond"/>
        </w:rPr>
      </w:pPr>
      <w:r w:rsidRPr="00830F4C">
        <w:rPr>
          <w:rFonts w:ascii="Garamond" w:hAnsi="Garamond"/>
        </w:rPr>
        <w:t>4.</w:t>
      </w:r>
      <w:r w:rsidR="001652B9" w:rsidRPr="00830F4C">
        <w:rPr>
          <w:rFonts w:ascii="Garamond" w:hAnsi="Garamond"/>
        </w:rPr>
        <w:t xml:space="preserve"> </w:t>
      </w:r>
      <w:r w:rsidRPr="00830F4C">
        <w:rPr>
          <w:rFonts w:ascii="Garamond" w:hAnsi="Garamond"/>
        </w:rPr>
        <w:t>Zvogëlimi i shmangies tatimore;</w:t>
      </w:r>
    </w:p>
    <w:p w14:paraId="5F53E3C1" w14:textId="45D345D3" w:rsidR="002861E2" w:rsidRPr="00830F4C" w:rsidRDefault="002861E2" w:rsidP="00DC2B94">
      <w:pPr>
        <w:ind w:firstLine="284"/>
        <w:jc w:val="both"/>
        <w:rPr>
          <w:rFonts w:ascii="Garamond" w:hAnsi="Garamond"/>
        </w:rPr>
      </w:pPr>
      <w:r w:rsidRPr="00830F4C">
        <w:rPr>
          <w:rFonts w:ascii="Garamond" w:hAnsi="Garamond"/>
        </w:rPr>
        <w:t>5.</w:t>
      </w:r>
      <w:r w:rsidR="001652B9" w:rsidRPr="00830F4C">
        <w:rPr>
          <w:rFonts w:ascii="Garamond" w:hAnsi="Garamond"/>
        </w:rPr>
        <w:t xml:space="preserve"> </w:t>
      </w:r>
      <w:r w:rsidRPr="00830F4C">
        <w:rPr>
          <w:rFonts w:ascii="Garamond" w:hAnsi="Garamond"/>
        </w:rPr>
        <w:t>Reduktimi i punës së padeklaruar</w:t>
      </w:r>
      <w:r w:rsidR="00D22EA5" w:rsidRPr="00830F4C">
        <w:rPr>
          <w:rFonts w:ascii="Garamond" w:hAnsi="Garamond"/>
        </w:rPr>
        <w:t xml:space="preserve"> </w:t>
      </w:r>
      <w:r w:rsidRPr="00830F4C">
        <w:rPr>
          <w:rFonts w:ascii="Garamond" w:hAnsi="Garamond"/>
        </w:rPr>
        <w:t>dhe të nëndeklarimit të pagës reale;</w:t>
      </w:r>
    </w:p>
    <w:p w14:paraId="305549B1" w14:textId="3AE4E1A9" w:rsidR="002861E2" w:rsidRPr="00830F4C" w:rsidRDefault="002861E2" w:rsidP="00DC2B94">
      <w:pPr>
        <w:ind w:firstLine="284"/>
        <w:jc w:val="both"/>
        <w:rPr>
          <w:rFonts w:ascii="Garamond" w:hAnsi="Garamond"/>
        </w:rPr>
      </w:pPr>
      <w:r w:rsidRPr="00830F4C">
        <w:rPr>
          <w:rFonts w:ascii="Garamond" w:hAnsi="Garamond"/>
        </w:rPr>
        <w:t>6.</w:t>
      </w:r>
      <w:r w:rsidR="001652B9" w:rsidRPr="00830F4C">
        <w:rPr>
          <w:rFonts w:ascii="Garamond" w:hAnsi="Garamond"/>
        </w:rPr>
        <w:t xml:space="preserve"> </w:t>
      </w:r>
      <w:r w:rsidRPr="00830F4C">
        <w:rPr>
          <w:rFonts w:ascii="Garamond" w:hAnsi="Garamond"/>
        </w:rPr>
        <w:t xml:space="preserve">Reduktimi i kostove të </w:t>
      </w:r>
      <w:r w:rsidR="00FF624C" w:rsidRPr="00830F4C">
        <w:rPr>
          <w:rFonts w:ascii="Garamond" w:hAnsi="Garamond"/>
        </w:rPr>
        <w:t>pajtueshmërisë</w:t>
      </w:r>
      <w:r w:rsidRPr="00830F4C">
        <w:rPr>
          <w:rFonts w:ascii="Garamond" w:hAnsi="Garamond"/>
        </w:rPr>
        <w:t xml:space="preserve"> dhe rritja e sigurisë tatimore dhe besimit tek administrata tatimore; </w:t>
      </w:r>
    </w:p>
    <w:p w14:paraId="52F8D854" w14:textId="77777777" w:rsidR="002861E2" w:rsidRPr="00830F4C" w:rsidRDefault="002861E2" w:rsidP="00DC2B94">
      <w:pPr>
        <w:ind w:firstLine="284"/>
        <w:jc w:val="both"/>
        <w:rPr>
          <w:rFonts w:ascii="Garamond" w:hAnsi="Garamond"/>
        </w:rPr>
      </w:pPr>
      <w:r w:rsidRPr="00830F4C">
        <w:rPr>
          <w:rFonts w:ascii="Garamond" w:hAnsi="Garamond"/>
        </w:rPr>
        <w:t>7.</w:t>
      </w:r>
      <w:r w:rsidR="001652B9" w:rsidRPr="00830F4C">
        <w:rPr>
          <w:rFonts w:ascii="Garamond" w:hAnsi="Garamond"/>
        </w:rPr>
        <w:t xml:space="preserve"> </w:t>
      </w:r>
      <w:r w:rsidRPr="00830F4C">
        <w:rPr>
          <w:rFonts w:ascii="Garamond" w:hAnsi="Garamond"/>
        </w:rPr>
        <w:t xml:space="preserve">Përmirësimi i cilësisë së shërbimit të ofruar nga Administrata Tatimore (AT) nëpërmjet zhvillimit të kapaciteteve institucionale të administratës tatimore. </w:t>
      </w:r>
    </w:p>
    <w:p w14:paraId="2F8FDDDE" w14:textId="77777777" w:rsidR="002861E2" w:rsidRPr="00830F4C" w:rsidRDefault="002861E2" w:rsidP="00DC2B94">
      <w:pPr>
        <w:ind w:firstLine="284"/>
        <w:jc w:val="both"/>
        <w:rPr>
          <w:rFonts w:ascii="Garamond" w:hAnsi="Garamond"/>
        </w:rPr>
      </w:pPr>
      <w:r w:rsidRPr="00830F4C">
        <w:rPr>
          <w:rFonts w:ascii="Garamond" w:hAnsi="Garamond"/>
          <w:b/>
          <w:bCs/>
        </w:rPr>
        <w:t>Shtylla 3: Mirëadministrimi doganor</w:t>
      </w:r>
      <w:r w:rsidRPr="00830F4C">
        <w:rPr>
          <w:rFonts w:ascii="Garamond" w:hAnsi="Garamond"/>
        </w:rPr>
        <w:t xml:space="preserve"> </w:t>
      </w:r>
    </w:p>
    <w:p w14:paraId="3D3F4ED6" w14:textId="77777777" w:rsidR="002861E2" w:rsidRPr="00830F4C" w:rsidRDefault="002861E2" w:rsidP="00DC2B94">
      <w:pPr>
        <w:ind w:firstLine="284"/>
        <w:jc w:val="both"/>
        <w:rPr>
          <w:rFonts w:ascii="Garamond" w:hAnsi="Garamond"/>
        </w:rPr>
      </w:pPr>
      <w:r w:rsidRPr="00830F4C">
        <w:rPr>
          <w:rFonts w:ascii="Garamond" w:hAnsi="Garamond"/>
        </w:rPr>
        <w:t>1.</w:t>
      </w:r>
      <w:r w:rsidR="001652B9" w:rsidRPr="00830F4C">
        <w:rPr>
          <w:rFonts w:ascii="Garamond" w:hAnsi="Garamond"/>
        </w:rPr>
        <w:t xml:space="preserve"> </w:t>
      </w:r>
      <w:r w:rsidRPr="00830F4C">
        <w:rPr>
          <w:rFonts w:ascii="Garamond" w:hAnsi="Garamond"/>
        </w:rPr>
        <w:t>Modernizimi i proceseve të biznesit, duke përfshirë centralizimin e funksionit të profilizimit të riskut;</w:t>
      </w:r>
    </w:p>
    <w:p w14:paraId="40C042A1" w14:textId="77777777" w:rsidR="002861E2" w:rsidRPr="00830F4C" w:rsidRDefault="002861E2" w:rsidP="00DC2B94">
      <w:pPr>
        <w:ind w:firstLine="284"/>
        <w:jc w:val="both"/>
        <w:rPr>
          <w:rFonts w:ascii="Garamond" w:hAnsi="Garamond"/>
        </w:rPr>
      </w:pPr>
      <w:r w:rsidRPr="00830F4C">
        <w:rPr>
          <w:rFonts w:ascii="Garamond" w:hAnsi="Garamond"/>
        </w:rPr>
        <w:t>2.</w:t>
      </w:r>
      <w:r w:rsidR="001652B9" w:rsidRPr="00830F4C">
        <w:rPr>
          <w:rFonts w:ascii="Garamond" w:hAnsi="Garamond"/>
        </w:rPr>
        <w:t xml:space="preserve"> </w:t>
      </w:r>
      <w:r w:rsidRPr="00830F4C">
        <w:rPr>
          <w:rFonts w:ascii="Garamond" w:hAnsi="Garamond"/>
        </w:rPr>
        <w:t>Zhvillimi i aftësive të zgjeruara analitike të të dhënave;</w:t>
      </w:r>
    </w:p>
    <w:p w14:paraId="2AC900FE" w14:textId="444AE93B" w:rsidR="002861E2" w:rsidRPr="00830F4C" w:rsidRDefault="002861E2" w:rsidP="00DC2B94">
      <w:pPr>
        <w:ind w:firstLine="284"/>
        <w:jc w:val="both"/>
        <w:rPr>
          <w:rFonts w:ascii="Garamond" w:hAnsi="Garamond"/>
        </w:rPr>
      </w:pPr>
      <w:r w:rsidRPr="00830F4C">
        <w:rPr>
          <w:rFonts w:ascii="Garamond" w:hAnsi="Garamond"/>
        </w:rPr>
        <w:t>3.</w:t>
      </w:r>
      <w:r w:rsidR="001652B9" w:rsidRPr="00830F4C">
        <w:rPr>
          <w:rFonts w:ascii="Garamond" w:hAnsi="Garamond"/>
        </w:rPr>
        <w:t xml:space="preserve"> </w:t>
      </w:r>
      <w:r w:rsidRPr="00830F4C">
        <w:rPr>
          <w:rFonts w:ascii="Garamond" w:hAnsi="Garamond"/>
        </w:rPr>
        <w:t xml:space="preserve">Rritja e investimeve në zhvillimin e sistemeve të </w:t>
      </w:r>
      <w:r w:rsidR="00DC2B94" w:rsidRPr="00830F4C">
        <w:rPr>
          <w:rFonts w:ascii="Garamond" w:hAnsi="Garamond"/>
        </w:rPr>
        <w:t>teknologjisë së informacionit</w:t>
      </w:r>
      <w:r w:rsidRPr="00830F4C">
        <w:rPr>
          <w:rFonts w:ascii="Garamond" w:hAnsi="Garamond"/>
        </w:rPr>
        <w:t>;</w:t>
      </w:r>
    </w:p>
    <w:p w14:paraId="7C37D654" w14:textId="77777777" w:rsidR="002861E2" w:rsidRPr="00830F4C" w:rsidRDefault="002861E2" w:rsidP="00DC2B94">
      <w:pPr>
        <w:ind w:firstLine="284"/>
        <w:jc w:val="both"/>
        <w:rPr>
          <w:rFonts w:ascii="Garamond" w:hAnsi="Garamond"/>
        </w:rPr>
      </w:pPr>
      <w:r w:rsidRPr="00830F4C">
        <w:rPr>
          <w:rFonts w:ascii="Garamond" w:hAnsi="Garamond"/>
        </w:rPr>
        <w:t>4.</w:t>
      </w:r>
      <w:r w:rsidR="001652B9" w:rsidRPr="00830F4C">
        <w:rPr>
          <w:rFonts w:ascii="Garamond" w:hAnsi="Garamond"/>
        </w:rPr>
        <w:t xml:space="preserve"> </w:t>
      </w:r>
      <w:r w:rsidRPr="00830F4C">
        <w:rPr>
          <w:rFonts w:ascii="Garamond" w:hAnsi="Garamond"/>
        </w:rPr>
        <w:t>Zhvillimi dhe zbatimi plotësisht i një kornizë integriteti për të ndihmuar në ndërtimin e besimit të komunitetit;</w:t>
      </w:r>
    </w:p>
    <w:p w14:paraId="05264E5A" w14:textId="77777777" w:rsidR="002861E2" w:rsidRPr="00830F4C" w:rsidRDefault="002861E2" w:rsidP="00DC2B94">
      <w:pPr>
        <w:ind w:firstLine="284"/>
        <w:jc w:val="both"/>
        <w:rPr>
          <w:rFonts w:ascii="Garamond" w:hAnsi="Garamond"/>
        </w:rPr>
      </w:pPr>
      <w:r w:rsidRPr="00830F4C">
        <w:rPr>
          <w:rFonts w:ascii="Garamond" w:hAnsi="Garamond"/>
        </w:rPr>
        <w:t>5.</w:t>
      </w:r>
      <w:r w:rsidR="001652B9" w:rsidRPr="00830F4C">
        <w:rPr>
          <w:rFonts w:ascii="Garamond" w:hAnsi="Garamond"/>
        </w:rPr>
        <w:t xml:space="preserve"> </w:t>
      </w:r>
      <w:r w:rsidRPr="00830F4C">
        <w:rPr>
          <w:rFonts w:ascii="Garamond" w:hAnsi="Garamond"/>
        </w:rPr>
        <w:t>Rritja e numrit të operatorëve ekonomikë të autorizuar;</w:t>
      </w:r>
    </w:p>
    <w:p w14:paraId="299893A9" w14:textId="77777777" w:rsidR="002861E2" w:rsidRPr="00830F4C" w:rsidRDefault="002861E2" w:rsidP="00DC2B94">
      <w:pPr>
        <w:ind w:firstLine="284"/>
        <w:jc w:val="both"/>
        <w:rPr>
          <w:rFonts w:ascii="Garamond" w:hAnsi="Garamond"/>
        </w:rPr>
      </w:pPr>
      <w:r w:rsidRPr="00830F4C">
        <w:rPr>
          <w:rFonts w:ascii="Garamond" w:hAnsi="Garamond"/>
        </w:rPr>
        <w:t>6.</w:t>
      </w:r>
      <w:r w:rsidR="001652B9" w:rsidRPr="00830F4C">
        <w:rPr>
          <w:rFonts w:ascii="Garamond" w:hAnsi="Garamond"/>
        </w:rPr>
        <w:t xml:space="preserve"> </w:t>
      </w:r>
      <w:r w:rsidRPr="00830F4C">
        <w:rPr>
          <w:rFonts w:ascii="Garamond" w:hAnsi="Garamond"/>
        </w:rPr>
        <w:t>Implementimi i Dritares së Vetme Kombëtare (</w:t>
      </w:r>
      <w:r w:rsidRPr="00830F4C">
        <w:rPr>
          <w:rFonts w:ascii="Garamond" w:hAnsi="Garamond"/>
          <w:i/>
        </w:rPr>
        <w:t>National Single Window</w:t>
      </w:r>
      <w:r w:rsidRPr="00830F4C">
        <w:rPr>
          <w:rFonts w:ascii="Garamond" w:hAnsi="Garamond"/>
        </w:rPr>
        <w:t>);</w:t>
      </w:r>
    </w:p>
    <w:p w14:paraId="5D658060" w14:textId="77777777" w:rsidR="002861E2" w:rsidRPr="00830F4C" w:rsidRDefault="002861E2" w:rsidP="00DC2B94">
      <w:pPr>
        <w:ind w:firstLine="284"/>
        <w:jc w:val="both"/>
        <w:rPr>
          <w:rFonts w:ascii="Garamond" w:hAnsi="Garamond"/>
        </w:rPr>
      </w:pPr>
      <w:r w:rsidRPr="00830F4C">
        <w:rPr>
          <w:rFonts w:ascii="Garamond" w:hAnsi="Garamond"/>
        </w:rPr>
        <w:t>7.</w:t>
      </w:r>
      <w:r w:rsidR="001652B9" w:rsidRPr="00830F4C">
        <w:rPr>
          <w:rFonts w:ascii="Garamond" w:hAnsi="Garamond"/>
        </w:rPr>
        <w:t xml:space="preserve"> </w:t>
      </w:r>
      <w:r w:rsidRPr="00830F4C">
        <w:rPr>
          <w:rFonts w:ascii="Garamond" w:hAnsi="Garamond"/>
        </w:rPr>
        <w:t>Implementimi i Sistemit të Ri të Kompjuterizuar të Transitit (NCTS);</w:t>
      </w:r>
    </w:p>
    <w:p w14:paraId="19FAD5BE" w14:textId="77777777" w:rsidR="002861E2" w:rsidRPr="00830F4C" w:rsidRDefault="002861E2" w:rsidP="00DC2B94">
      <w:pPr>
        <w:ind w:firstLine="284"/>
        <w:jc w:val="both"/>
        <w:rPr>
          <w:rFonts w:ascii="Garamond" w:hAnsi="Garamond"/>
        </w:rPr>
      </w:pPr>
      <w:r w:rsidRPr="00830F4C">
        <w:rPr>
          <w:rFonts w:ascii="Garamond" w:hAnsi="Garamond"/>
        </w:rPr>
        <w:t>8.</w:t>
      </w:r>
      <w:r w:rsidR="001652B9" w:rsidRPr="00830F4C">
        <w:rPr>
          <w:rFonts w:ascii="Garamond" w:hAnsi="Garamond"/>
        </w:rPr>
        <w:t xml:space="preserve"> </w:t>
      </w:r>
      <w:r w:rsidRPr="00830F4C">
        <w:rPr>
          <w:rFonts w:ascii="Garamond" w:hAnsi="Garamond"/>
        </w:rPr>
        <w:t>Rritja e bashkëpunimit në luftën kundër informalitetit, kontrabandës, korrupsionit dhe importit të mallrave të falsifikuara;</w:t>
      </w:r>
    </w:p>
    <w:p w14:paraId="46E69EF5" w14:textId="77777777" w:rsidR="002861E2" w:rsidRPr="00830F4C" w:rsidRDefault="002861E2" w:rsidP="00DC2B94">
      <w:pPr>
        <w:ind w:firstLine="284"/>
        <w:jc w:val="both"/>
        <w:rPr>
          <w:rFonts w:ascii="Garamond" w:hAnsi="Garamond"/>
        </w:rPr>
      </w:pPr>
      <w:r w:rsidRPr="00830F4C">
        <w:rPr>
          <w:rFonts w:ascii="Garamond" w:hAnsi="Garamond"/>
        </w:rPr>
        <w:t>9.</w:t>
      </w:r>
      <w:r w:rsidR="001652B9" w:rsidRPr="00830F4C">
        <w:rPr>
          <w:rFonts w:ascii="Garamond" w:hAnsi="Garamond"/>
        </w:rPr>
        <w:t xml:space="preserve"> </w:t>
      </w:r>
      <w:r w:rsidRPr="00830F4C">
        <w:rPr>
          <w:rFonts w:ascii="Garamond" w:hAnsi="Garamond"/>
        </w:rPr>
        <w:t>Zgjerimi i shkëmbimit të informacionit me partnerët vendas dhe ndërkombëtarë për të përmirësuar profilin e riskut.</w:t>
      </w:r>
    </w:p>
    <w:p w14:paraId="186CFB0B" w14:textId="77777777" w:rsidR="002861E2" w:rsidRPr="00830F4C" w:rsidRDefault="002861E2" w:rsidP="00DC2B94">
      <w:pPr>
        <w:ind w:firstLine="284"/>
        <w:jc w:val="both"/>
        <w:rPr>
          <w:rFonts w:ascii="Garamond" w:hAnsi="Garamond"/>
        </w:rPr>
      </w:pPr>
    </w:p>
    <w:p w14:paraId="27E786E6" w14:textId="6F33FE11" w:rsidR="001652B9" w:rsidRPr="00AF1255" w:rsidRDefault="001652B9" w:rsidP="00DC2B94">
      <w:pPr>
        <w:ind w:firstLine="284"/>
        <w:jc w:val="both"/>
        <w:rPr>
          <w:rFonts w:ascii="Garamond" w:hAnsi="Garamond"/>
          <w:b/>
        </w:rPr>
      </w:pPr>
      <w:bookmarkStart w:id="2" w:name="_Toc185235073"/>
      <w:r w:rsidRPr="00AF1255">
        <w:rPr>
          <w:rFonts w:ascii="Garamond" w:hAnsi="Garamond"/>
          <w:b/>
        </w:rPr>
        <w:t xml:space="preserve">I. </w:t>
      </w:r>
      <w:r w:rsidR="00AF1255" w:rsidRPr="00AF1255">
        <w:rPr>
          <w:rFonts w:ascii="Garamond" w:hAnsi="Garamond"/>
          <w:b/>
        </w:rPr>
        <w:t>Hyrje</w:t>
      </w:r>
      <w:bookmarkEnd w:id="2"/>
    </w:p>
    <w:p w14:paraId="782EFE57" w14:textId="4AA9E508" w:rsidR="001652B9" w:rsidRPr="00830F4C" w:rsidRDefault="001652B9" w:rsidP="00DC2B94">
      <w:pPr>
        <w:ind w:firstLine="284"/>
        <w:jc w:val="both"/>
        <w:rPr>
          <w:rFonts w:ascii="Garamond" w:hAnsi="Garamond"/>
        </w:rPr>
      </w:pPr>
      <w:r w:rsidRPr="00830F4C">
        <w:rPr>
          <w:rFonts w:ascii="Garamond" w:hAnsi="Garamond"/>
        </w:rPr>
        <w:t>Vitet e fundit kanë qenë një periudhë prove për qëndrueshmërinë dhe elasticitetin e ekonomisë shqiptare. Përballë një sërë goditjesh të jashtëzakonshme, si tërmeti shkatërrues i vitit 2019, pandemia globale e COVID-19 në vitet 2020</w:t>
      </w:r>
      <w:r w:rsidR="00FF624C" w:rsidRPr="00830F4C">
        <w:rPr>
          <w:rFonts w:ascii="Garamond" w:hAnsi="Garamond"/>
        </w:rPr>
        <w:t>–</w:t>
      </w:r>
      <w:r w:rsidRPr="00830F4C">
        <w:rPr>
          <w:rFonts w:ascii="Garamond" w:hAnsi="Garamond"/>
        </w:rPr>
        <w:t>2021 dhe së fundmi pasojat e agresionit rus ndaj Ukrainës dhe kriza e çmimeve të energjisë, vendi ynë ka arritur të ruajë me sukses stabilitetin makroekonomik dhe të minimizojë dëmet afatgjata në ekonomi dhe mirëqenie.</w:t>
      </w:r>
    </w:p>
    <w:p w14:paraId="3DE0592D" w14:textId="3D7864FF" w:rsidR="001652B9" w:rsidRPr="00830F4C" w:rsidRDefault="001652B9" w:rsidP="00DC2B94">
      <w:pPr>
        <w:ind w:firstLine="284"/>
        <w:jc w:val="both"/>
        <w:rPr>
          <w:rFonts w:ascii="Garamond" w:hAnsi="Garamond"/>
        </w:rPr>
      </w:pPr>
      <w:r w:rsidRPr="00830F4C">
        <w:rPr>
          <w:rFonts w:ascii="Garamond" w:hAnsi="Garamond"/>
        </w:rPr>
        <w:t>Aftësia për t</w:t>
      </w:r>
      <w:r w:rsidR="00DC2B94" w:rsidRPr="00830F4C">
        <w:rPr>
          <w:rFonts w:ascii="Garamond" w:hAnsi="Garamond"/>
        </w:rPr>
        <w:t>’</w:t>
      </w:r>
      <w:r w:rsidRPr="00830F4C">
        <w:rPr>
          <w:rFonts w:ascii="Garamond" w:hAnsi="Garamond"/>
        </w:rPr>
        <w:t>u përshtatur me ndryshime kaq të mëdha në mjedisin e jashtëm, në një hark kohor kaq të shkurtër, dëshmon për maturitetin dhe kompetencën e institucioneve tona ekonomike dhe financiare, si dhe për miksin e duhur të politikave makroekonomike të ndjekura. Ndonëse goditjet ishin të forta dhe të menjëhershme, ndikimi i tyre u zbut ndjeshëm falë reagimit të shpejtë dhe të koordinuar të autoriteteve përgjegjëse, veçanërisht në fushën e politikës fiskale dhe asaj monetare.</w:t>
      </w:r>
    </w:p>
    <w:p w14:paraId="62C9D9B4" w14:textId="4EC751BE" w:rsidR="001652B9" w:rsidRPr="00830F4C" w:rsidRDefault="001652B9" w:rsidP="00DC2B94">
      <w:pPr>
        <w:ind w:firstLine="284"/>
        <w:jc w:val="both"/>
        <w:rPr>
          <w:rFonts w:ascii="Garamond" w:hAnsi="Garamond"/>
        </w:rPr>
      </w:pPr>
      <w:r w:rsidRPr="00830F4C">
        <w:rPr>
          <w:rFonts w:ascii="Garamond" w:hAnsi="Garamond"/>
        </w:rPr>
        <w:t>Viti 2020 shënoi recesionin e parë për ekonominë shqiptare që prej vitit 1997. Si rezultat i saj, të ardhurat tatimore u ulën me -1% të PBB-së krahasuar me vitin 2019, ndërkohë që të ardhurat totale të buxhetit u ulën me -1.3 % të PBB-së.</w:t>
      </w:r>
    </w:p>
    <w:p w14:paraId="74B1BDBB" w14:textId="4F97CE53" w:rsidR="001652B9" w:rsidRPr="00830F4C" w:rsidRDefault="001652B9" w:rsidP="00DC2B94">
      <w:pPr>
        <w:ind w:firstLine="284"/>
        <w:jc w:val="both"/>
        <w:rPr>
          <w:rFonts w:ascii="Garamond" w:hAnsi="Garamond"/>
        </w:rPr>
      </w:pPr>
      <w:r w:rsidRPr="00830F4C">
        <w:rPr>
          <w:rFonts w:ascii="Garamond" w:hAnsi="Garamond"/>
        </w:rPr>
        <w:t>Por tkurrja ekonomike rezultoi në fakt më e moderuar se parashikimet fillestare, dhe më e butë në krahasim me shumicën e vendeve të rajonit dhe Evropës. Kjo falë masave në kohë të duhur për të mbështetur bizneset, punësimin dhe shtresat në nevojë. Si rezultat, rimëkëmbja në vitin pasardhës 2021</w:t>
      </w:r>
      <w:r w:rsidR="00DC2B94" w:rsidRPr="00830F4C">
        <w:rPr>
          <w:rFonts w:ascii="Garamond" w:hAnsi="Garamond"/>
        </w:rPr>
        <w:t>,</w:t>
      </w:r>
      <w:r w:rsidRPr="00830F4C">
        <w:rPr>
          <w:rFonts w:ascii="Garamond" w:hAnsi="Garamond"/>
        </w:rPr>
        <w:t xml:space="preserve"> qe më e shpejtë dhe më e fuqishme, duke e rikthyer ekonominë në trajektoren e rritjes së qëndrueshme.</w:t>
      </w:r>
    </w:p>
    <w:p w14:paraId="61C8ABFD" w14:textId="72C44CE1" w:rsidR="001652B9" w:rsidRPr="00830F4C" w:rsidRDefault="001652B9" w:rsidP="001652B9">
      <w:pPr>
        <w:ind w:firstLine="284"/>
        <w:jc w:val="both"/>
        <w:rPr>
          <w:rFonts w:ascii="Garamond" w:hAnsi="Garamond"/>
        </w:rPr>
      </w:pPr>
      <w:r w:rsidRPr="00830F4C">
        <w:rPr>
          <w:rFonts w:ascii="Garamond" w:hAnsi="Garamond"/>
        </w:rPr>
        <w:t xml:space="preserve">Ecuria pozitive ka vijuar edhe në vitet në vazhdim. Gjatë vitit 2022, ekonomia shqiptare u rrit me mbi 4%, </w:t>
      </w:r>
      <w:r w:rsidR="00FF624C" w:rsidRPr="00830F4C">
        <w:rPr>
          <w:rFonts w:ascii="Garamond" w:hAnsi="Garamond"/>
        </w:rPr>
        <w:t>pavarësisht</w:t>
      </w:r>
      <w:r w:rsidRPr="00830F4C">
        <w:rPr>
          <w:rFonts w:ascii="Garamond" w:hAnsi="Garamond"/>
        </w:rPr>
        <w:t xml:space="preserve"> sfidave të reja në sektorin e energjisë dhe rritjes së pasigurisë globale. Edhe për vitin 2023 rritja ekonomike rezultoi relativisht e kënaqshme në rreth 3.4%, duke u mbështetur nga ecuria e favorshme e kërkesës së brendshme dhe sektorit të shërbimeve, veçanërisht turizmit.</w:t>
      </w:r>
    </w:p>
    <w:p w14:paraId="6A7AE8E4" w14:textId="40477C66" w:rsidR="001652B9" w:rsidRPr="00830F4C" w:rsidRDefault="001652B9" w:rsidP="001652B9">
      <w:pPr>
        <w:ind w:firstLine="284"/>
        <w:jc w:val="both"/>
        <w:rPr>
          <w:rFonts w:ascii="Garamond" w:hAnsi="Garamond"/>
        </w:rPr>
      </w:pPr>
      <w:r w:rsidRPr="00830F4C">
        <w:rPr>
          <w:rFonts w:ascii="Garamond" w:hAnsi="Garamond"/>
        </w:rPr>
        <w:t>Ecuria e agregat</w:t>
      </w:r>
      <w:r w:rsidR="00DC2B94" w:rsidRPr="00830F4C">
        <w:rPr>
          <w:rFonts w:ascii="Garamond" w:hAnsi="Garamond"/>
        </w:rPr>
        <w:t>e</w:t>
      </w:r>
      <w:r w:rsidRPr="00830F4C">
        <w:rPr>
          <w:rFonts w:ascii="Garamond" w:hAnsi="Garamond"/>
        </w:rPr>
        <w:t>ve kryesor</w:t>
      </w:r>
      <w:r w:rsidR="00DC2B94" w:rsidRPr="00830F4C">
        <w:rPr>
          <w:rFonts w:ascii="Garamond" w:hAnsi="Garamond"/>
        </w:rPr>
        <w:t>e</w:t>
      </w:r>
      <w:r w:rsidRPr="00830F4C">
        <w:rPr>
          <w:rFonts w:ascii="Garamond" w:hAnsi="Garamond"/>
        </w:rPr>
        <w:t xml:space="preserve"> makroekonomik</w:t>
      </w:r>
      <w:r w:rsidR="00DC2B94" w:rsidRPr="00830F4C">
        <w:rPr>
          <w:rFonts w:ascii="Garamond" w:hAnsi="Garamond"/>
        </w:rPr>
        <w:t>e</w:t>
      </w:r>
      <w:r w:rsidRPr="00830F4C">
        <w:rPr>
          <w:rFonts w:ascii="Garamond" w:hAnsi="Garamond"/>
        </w:rPr>
        <w:t xml:space="preserve"> e konfirmon këtë panoramë inkurajuese. Konsumi dhe investimet private, dy motorët kryesorë të kërkesës, kanë shënuar rritje të vazhdueshme, përkundër luhatjeve në besimin e konsumatorëve dhe biznesit. Eksportet e mallrave dhe shërbimeve, gjithashtu, kanë dhënë një kontribut pozitiv, sidomos falë një sezoni turistik rekord në dy vitet e fundit 2022 dhe 2023. Si rezultat, deficiti i llogarisë korrente ka shënuar përmirësim të ndjeshëm gjatë vitit të kaluar.</w:t>
      </w:r>
    </w:p>
    <w:p w14:paraId="084566D2" w14:textId="190C7608" w:rsidR="001652B9" w:rsidRPr="00830F4C" w:rsidRDefault="001652B9" w:rsidP="001652B9">
      <w:pPr>
        <w:ind w:firstLine="284"/>
        <w:jc w:val="both"/>
        <w:rPr>
          <w:rFonts w:ascii="Garamond" w:hAnsi="Garamond"/>
        </w:rPr>
      </w:pPr>
      <w:r w:rsidRPr="00830F4C">
        <w:rPr>
          <w:rFonts w:ascii="Garamond" w:hAnsi="Garamond"/>
        </w:rPr>
        <w:t xml:space="preserve">Zhvillimet në tregun e punës janë një tjetër dëshmi e rimëkëmbjes së qëndrueshme të aktivitetit ekonomik. Shkalla e papunësisë ka arritur nivelet më të ulëta historike gjatë vitit 2023, me rënie të vazhdueshme në çdo tremujor. Ky përmirësim ka përfshirë pothuajse të gjitha grupmoshat dhe rajonet, duke e bërë rimëkëmbjen më gjithëpërfshirëse. Në të njëjtën kohë, rritja e qëndrueshme e punësimit është shoqëruar me tendenca pozitive në pjesëmarrjen në forcat e punës, </w:t>
      </w:r>
      <w:r w:rsidR="00FF624C" w:rsidRPr="00830F4C">
        <w:rPr>
          <w:rFonts w:ascii="Garamond" w:hAnsi="Garamond"/>
        </w:rPr>
        <w:t>veçanërisht</w:t>
      </w:r>
      <w:r w:rsidRPr="00830F4C">
        <w:rPr>
          <w:rFonts w:ascii="Garamond" w:hAnsi="Garamond"/>
        </w:rPr>
        <w:t xml:space="preserve"> e spikatur te gratë dhe rinia, e cila tregon se ka ende hapësira të pashfrytëzuara për rritjen e mëtejshme.</w:t>
      </w:r>
    </w:p>
    <w:p w14:paraId="698640A8" w14:textId="0E18DE29" w:rsidR="001652B9" w:rsidRPr="00830F4C" w:rsidRDefault="001652B9" w:rsidP="001652B9">
      <w:pPr>
        <w:ind w:firstLine="284"/>
        <w:jc w:val="both"/>
        <w:rPr>
          <w:rFonts w:ascii="Garamond" w:hAnsi="Garamond"/>
        </w:rPr>
      </w:pPr>
      <w:r w:rsidRPr="00830F4C">
        <w:rPr>
          <w:rFonts w:ascii="Garamond" w:hAnsi="Garamond"/>
        </w:rPr>
        <w:t xml:space="preserve">Një tjetër sukses i rëndësishëm ka qenë menaxhimi i sfidës së inflacionit, e cila u përshkallëzua ndjeshëm gjatë vitit 2022 në të gjithë botën si pasojë e goditjeve në ofertën globale dhe rritjes së çmimeve të energjisë. Megjithatë, Shqipëria arriti ta mbajë nën kontroll më të mirë situatën krahasuar me shumicën e vendeve të rajonit dhe </w:t>
      </w:r>
      <w:r w:rsidR="00FF624C" w:rsidRPr="00830F4C">
        <w:rPr>
          <w:rFonts w:ascii="Garamond" w:hAnsi="Garamond"/>
        </w:rPr>
        <w:t>Evropës</w:t>
      </w:r>
      <w:r w:rsidRPr="00830F4C">
        <w:rPr>
          <w:rFonts w:ascii="Garamond" w:hAnsi="Garamond"/>
        </w:rPr>
        <w:t>. Kjo falë ndihmesës së kursit të këmbimit, i cili absorboi një pjesë domethënëse të pjesë të presioneve inflacioniste, si dhe besueshmërisë së fituar të politikës sonë monetare, e cila u ankorua qartazi në ruajtjen e stabilitetit të çmimeve, por edhe në saj të një politike fiskale qartësisht konsoliduese, e kështu tërësisht në harmoni dhe në ndihmesë të politikës monetare për të zbutur inflacionin.</w:t>
      </w:r>
    </w:p>
    <w:p w14:paraId="5E6B59FA" w14:textId="030B2325" w:rsidR="001652B9" w:rsidRPr="00830F4C" w:rsidRDefault="001652B9" w:rsidP="001652B9">
      <w:pPr>
        <w:ind w:firstLine="284"/>
        <w:jc w:val="both"/>
        <w:rPr>
          <w:rFonts w:ascii="Garamond" w:hAnsi="Garamond"/>
        </w:rPr>
      </w:pPr>
      <w:r w:rsidRPr="00830F4C">
        <w:rPr>
          <w:rFonts w:ascii="Garamond" w:hAnsi="Garamond"/>
        </w:rPr>
        <w:t xml:space="preserve">Ruajtja e ekuilibrave të shëndetshëm makroekonomikë </w:t>
      </w:r>
      <w:r w:rsidRPr="007228E3">
        <w:rPr>
          <w:rFonts w:ascii="Garamond" w:hAnsi="Garamond"/>
        </w:rPr>
        <w:t>është mbështetur në fondamentale</w:t>
      </w:r>
      <w:r w:rsidRPr="00830F4C">
        <w:rPr>
          <w:rFonts w:ascii="Garamond" w:hAnsi="Garamond"/>
        </w:rPr>
        <w:t xml:space="preserve"> edhe në konsolidimin e vazhdueshëm të financave publike. Megjithëse pandemia i dha një goditje të fortë parametrave fiskalë, veçanërisht në vitin 2020, por duke filluar nga viti 2021 ato kanë hyrë në një trajektore të qartë përmirësimi. Falë rimëkëmbjes së shpejtë të të ardhurave tatimore dhe kujdesit në menaxhimin e shpenzimeve, deficiti buxhetor ka shënuar rënie progresive, ndërsa raporti i borxhit publik është ulur me shpejtësi drejt niveleve para pandemisë që në vitin 2022 dhe gjatë vitit të shkuar 2023 niveli i borxhit publik zbriti në nivelin prej 58.2% të PBB</w:t>
      </w:r>
      <w:r w:rsidR="005F4EDC" w:rsidRPr="00830F4C">
        <w:rPr>
          <w:rFonts w:ascii="Garamond" w:hAnsi="Garamond"/>
        </w:rPr>
        <w:t>-së</w:t>
      </w:r>
      <w:r w:rsidRPr="00830F4C">
        <w:rPr>
          <w:rFonts w:ascii="Garamond" w:hAnsi="Garamond"/>
        </w:rPr>
        <w:t xml:space="preserve">, niveli më </w:t>
      </w:r>
      <w:r w:rsidR="005F4EDC" w:rsidRPr="00830F4C">
        <w:rPr>
          <w:rFonts w:ascii="Garamond" w:hAnsi="Garamond"/>
        </w:rPr>
        <w:t xml:space="preserve">i </w:t>
      </w:r>
      <w:r w:rsidRPr="00830F4C">
        <w:rPr>
          <w:rFonts w:ascii="Garamond" w:hAnsi="Garamond"/>
        </w:rPr>
        <w:t>ulët ky i shënuar që prej vitit 2010.</w:t>
      </w:r>
    </w:p>
    <w:p w14:paraId="5767A9B4" w14:textId="5520005E" w:rsidR="001652B9" w:rsidRPr="00830F4C" w:rsidRDefault="001652B9" w:rsidP="001652B9">
      <w:pPr>
        <w:ind w:firstLine="284"/>
        <w:jc w:val="both"/>
        <w:rPr>
          <w:rFonts w:ascii="Garamond" w:hAnsi="Garamond"/>
        </w:rPr>
      </w:pPr>
      <w:r w:rsidRPr="00830F4C">
        <w:rPr>
          <w:rFonts w:ascii="Garamond" w:hAnsi="Garamond"/>
        </w:rPr>
        <w:t>Konsolidimi fiskal do të vijojë të jetë një nga prioritetet kryesore të politikës sonë ekonomike edhe në periudhën afatmesme, në përputhje të plotë me rregullat fiskale të përcaktuara në ligjin organik të buxhetit. Duke filluar nga viti 2024,</w:t>
      </w:r>
      <w:r w:rsidR="00D22EA5" w:rsidRPr="00830F4C">
        <w:rPr>
          <w:rFonts w:ascii="Garamond" w:hAnsi="Garamond"/>
        </w:rPr>
        <w:t xml:space="preserve"> </w:t>
      </w:r>
      <w:r w:rsidRPr="00830F4C">
        <w:rPr>
          <w:rFonts w:ascii="Garamond" w:hAnsi="Garamond"/>
        </w:rPr>
        <w:t>synojmë të ruajmë një balancë primare pozitive, çka do të thotë që të ardhurat buxhetore do të jenë të mjaftueshme për të mbuluar të gjitha shpenzimet, duke përjashtuar pagesat e interesit për borxhin publik. Kjo do të sigurojë që borxhi në raport me PBB-në të vijojë trajektoren rënëse, me objektivin afatgjatë për ta ulur atë nën 50% të PBB-së.</w:t>
      </w:r>
    </w:p>
    <w:p w14:paraId="3EE64F15" w14:textId="7D72C461" w:rsidR="001652B9" w:rsidRPr="00830F4C" w:rsidRDefault="001652B9" w:rsidP="001652B9">
      <w:pPr>
        <w:ind w:firstLine="284"/>
        <w:jc w:val="both"/>
        <w:rPr>
          <w:rFonts w:ascii="Garamond" w:hAnsi="Garamond"/>
        </w:rPr>
      </w:pPr>
      <w:r w:rsidRPr="00830F4C">
        <w:rPr>
          <w:rFonts w:ascii="Garamond" w:hAnsi="Garamond"/>
        </w:rPr>
        <w:t>Ndërkohë, politika jonë fiskale do të ruajë gjithmonë një balancë midis nevojës për konsolidim dhe asaj për të mbështetur rritjen ekonomike nëpërmjet investimeve publike cilësore. Në periudhën afatmesme</w:t>
      </w:r>
      <w:r w:rsidR="00800B00" w:rsidRPr="00830F4C">
        <w:rPr>
          <w:rFonts w:ascii="Garamond" w:hAnsi="Garamond"/>
        </w:rPr>
        <w:t xml:space="preserve"> </w:t>
      </w:r>
      <w:r w:rsidR="00D22EA5" w:rsidRPr="00830F4C">
        <w:rPr>
          <w:rFonts w:ascii="Garamond" w:hAnsi="Garamond"/>
        </w:rPr>
        <w:t>2024–2027</w:t>
      </w:r>
      <w:r w:rsidRPr="00830F4C">
        <w:rPr>
          <w:rFonts w:ascii="Garamond" w:hAnsi="Garamond"/>
        </w:rPr>
        <w:t>, investimet kapitale publike synohen të qëndrojnë në nivelin mesatar prej mbi 5% të PBB-së në vit, duke u fokusuar në projekte me impakt të lartë në rritjen potenciale dhe produktivitetin e ekonomisë. Gjithashtu, do të vijojmë të përmirësojmë efikasitetin e shpenzimeve korrente, duke synuar rritjen e vazhdueshme të financimit për sektorët prioritarë</w:t>
      </w:r>
      <w:r w:rsidR="005F4EDC" w:rsidRPr="00830F4C">
        <w:rPr>
          <w:rFonts w:ascii="Garamond" w:hAnsi="Garamond"/>
        </w:rPr>
        <w:t>,</w:t>
      </w:r>
      <w:r w:rsidRPr="00830F4C">
        <w:rPr>
          <w:rFonts w:ascii="Garamond" w:hAnsi="Garamond"/>
        </w:rPr>
        <w:t xml:space="preserve"> si</w:t>
      </w:r>
      <w:r w:rsidR="005F4EDC" w:rsidRPr="00830F4C">
        <w:rPr>
          <w:rFonts w:ascii="Garamond" w:hAnsi="Garamond"/>
        </w:rPr>
        <w:t>:</w:t>
      </w:r>
      <w:r w:rsidRPr="00830F4C">
        <w:rPr>
          <w:rFonts w:ascii="Garamond" w:hAnsi="Garamond"/>
        </w:rPr>
        <w:t xml:space="preserve"> arsimi, shëndetësia dhe infrastruktura.</w:t>
      </w:r>
    </w:p>
    <w:p w14:paraId="2474B9AA" w14:textId="77777777" w:rsidR="001652B9" w:rsidRPr="00830F4C" w:rsidRDefault="001652B9" w:rsidP="001652B9">
      <w:pPr>
        <w:ind w:firstLine="284"/>
        <w:jc w:val="both"/>
        <w:rPr>
          <w:rFonts w:ascii="Garamond" w:hAnsi="Garamond"/>
        </w:rPr>
      </w:pPr>
      <w:r w:rsidRPr="00830F4C">
        <w:rPr>
          <w:rFonts w:ascii="Garamond" w:hAnsi="Garamond"/>
        </w:rPr>
        <w:t>Të gjitha këto zhvillime pozitive në sferën makroekonomike na japin besimin se ekonomia shqiptare gëzon sot një shkallë të lartë qëndrueshmërie dhe elasticiteti. Pavarësisht sfidave të jashtëzakonshme, ne kemi arritur të ruajmë e të përforcojmë fondamentet makroekonomike më jetike: qëndrueshmërinë e financave publike, stabilitetin e çmimeve dhe stabilitetin financiar. Kjo është baza e shëndoshë mbi të cilën mund të ndërtojmë hapin tonë të radhës drejt një modeli më të avancuar e gjithëpërfshirës të zhvillimit ekonomik e social.</w:t>
      </w:r>
    </w:p>
    <w:p w14:paraId="2D036ADA" w14:textId="6826060A" w:rsidR="001652B9" w:rsidRPr="00830F4C" w:rsidRDefault="001652B9" w:rsidP="001652B9">
      <w:pPr>
        <w:ind w:firstLine="284"/>
        <w:jc w:val="both"/>
        <w:rPr>
          <w:rFonts w:ascii="Garamond" w:hAnsi="Garamond"/>
        </w:rPr>
      </w:pPr>
      <w:r w:rsidRPr="00830F4C">
        <w:rPr>
          <w:rFonts w:ascii="Garamond" w:hAnsi="Garamond"/>
        </w:rPr>
        <w:t xml:space="preserve">E ardhmja kërkon që ta ngremë ekonominë dhe shoqërinë tonë në një nivel të ri, në përputhje me ambiciet tona për integrimin e plotë evropian. Kjo do </w:t>
      </w:r>
      <w:r w:rsidR="00975F96" w:rsidRPr="00830F4C">
        <w:rPr>
          <w:rFonts w:ascii="Garamond" w:hAnsi="Garamond"/>
        </w:rPr>
        <w:t xml:space="preserve">të </w:t>
      </w:r>
      <w:r w:rsidRPr="00830F4C">
        <w:rPr>
          <w:rFonts w:ascii="Garamond" w:hAnsi="Garamond"/>
        </w:rPr>
        <w:t>kërkojë një sistem fiskal dhe financiar më efikas, më të drejtë dhe më transparent, që u shërben sa më mirë nevojave të qytetarëve dhe bizneseve, duke siguruar në të njëjtën kohë burime të mjaftueshme dhe të qëndrueshme për ofrimin e të mirave dhe shërbimeve publike cilësore.</w:t>
      </w:r>
    </w:p>
    <w:p w14:paraId="7726FA98" w14:textId="77777777" w:rsidR="001652B9" w:rsidRPr="00830F4C" w:rsidRDefault="001652B9" w:rsidP="001652B9">
      <w:pPr>
        <w:ind w:firstLine="284"/>
        <w:jc w:val="both"/>
        <w:rPr>
          <w:rFonts w:ascii="Garamond" w:hAnsi="Garamond"/>
        </w:rPr>
      </w:pPr>
      <w:r w:rsidRPr="00830F4C">
        <w:rPr>
          <w:rFonts w:ascii="Garamond" w:hAnsi="Garamond"/>
        </w:rPr>
        <w:t>Strategjia Afatmesme e të Ardhurave, e detajuar në këtë dokument, përbën udhërrëfyesin tonë në këtë rrugëtim sfidues por shpresëdhënës. Ajo synon të rrisë në mënyrë të qëndrueshme të ardhurat buxhetore duke zgjeruar bazën e taksueshme, duke përmirësuar administrimin tatimor dhe duke luftuar evazionin fiskal, me synim arritjen gradualisht të një niveli të lartë të të ardhurave tatimore dhe atyre totale të buxhetit.</w:t>
      </w:r>
    </w:p>
    <w:p w14:paraId="2D688B69" w14:textId="04DF2E05" w:rsidR="001652B9" w:rsidRPr="00830F4C" w:rsidRDefault="001652B9" w:rsidP="001652B9">
      <w:pPr>
        <w:ind w:firstLine="284"/>
        <w:jc w:val="both"/>
        <w:rPr>
          <w:rFonts w:ascii="Garamond" w:hAnsi="Garamond"/>
          <w:iCs/>
        </w:rPr>
      </w:pPr>
      <w:r w:rsidRPr="00830F4C">
        <w:rPr>
          <w:rFonts w:ascii="Garamond" w:hAnsi="Garamond"/>
        </w:rPr>
        <w:t>Përtej synimit sasior, theks i veçantë do</w:t>
      </w:r>
      <w:r w:rsidR="0052377F" w:rsidRPr="00830F4C">
        <w:rPr>
          <w:rFonts w:ascii="Garamond" w:hAnsi="Garamond"/>
        </w:rPr>
        <w:t xml:space="preserve"> </w:t>
      </w:r>
      <w:r w:rsidR="006A23E9" w:rsidRPr="00830F4C">
        <w:rPr>
          <w:rFonts w:ascii="Garamond" w:hAnsi="Garamond"/>
        </w:rPr>
        <w:t>t’i</w:t>
      </w:r>
      <w:r w:rsidR="0052377F" w:rsidRPr="00830F4C">
        <w:rPr>
          <w:rFonts w:ascii="Garamond" w:hAnsi="Garamond"/>
        </w:rPr>
        <w:t xml:space="preserve"> </w:t>
      </w:r>
      <w:r w:rsidRPr="00830F4C">
        <w:rPr>
          <w:rFonts w:ascii="Garamond" w:hAnsi="Garamond"/>
        </w:rPr>
        <w:t xml:space="preserve">kushtohet edhe përmirësimit të vazhdueshëm cilësor të të ardhurave, duke synuar një sistem më të thjeshtë, më të qëndrueshëm dhe më miqësor me rritjen ekonomike. Politikat specifike do të detajohen në vijim të këtij dokumenti, por ndër objektivat kryesore përmendim </w:t>
      </w:r>
      <w:r w:rsidRPr="00830F4C">
        <w:rPr>
          <w:rFonts w:ascii="Garamond" w:hAnsi="Garamond"/>
          <w:iCs/>
        </w:rPr>
        <w:t>mobilizimin e të ardhurave përmes politikave të qëndrueshme fiskale dhe reformave administrative tatimore e doganore, duke thjeshtuar procedurat, kostot e pajtimit, luftën ndaj shmangieve dhe evazionit tatimor.</w:t>
      </w:r>
    </w:p>
    <w:p w14:paraId="1EB90E18" w14:textId="35ECB1FA" w:rsidR="001652B9" w:rsidRPr="00830F4C" w:rsidRDefault="001652B9" w:rsidP="001652B9">
      <w:pPr>
        <w:ind w:firstLine="284"/>
        <w:jc w:val="both"/>
        <w:rPr>
          <w:rFonts w:ascii="Garamond" w:hAnsi="Garamond"/>
        </w:rPr>
      </w:pPr>
      <w:r w:rsidRPr="00830F4C">
        <w:rPr>
          <w:rFonts w:ascii="Garamond" w:hAnsi="Garamond"/>
        </w:rPr>
        <w:t>Njëkohësisht, rritja e të ardhurave do të shoqërohet edhe me reforma në krahun e shpenzimeve, për të siguruar që burimet publike përdoren në mënyrën më efektive dhe efi</w:t>
      </w:r>
      <w:r w:rsidR="008C0C0F" w:rsidRPr="00830F4C">
        <w:rPr>
          <w:rFonts w:ascii="Garamond" w:hAnsi="Garamond"/>
        </w:rPr>
        <w:t>ci</w:t>
      </w:r>
      <w:r w:rsidRPr="00830F4C">
        <w:rPr>
          <w:rFonts w:ascii="Garamond" w:hAnsi="Garamond"/>
        </w:rPr>
        <w:t>ente, duke u dhënë përparësi investimeve në kapitalin njerëzor dhe projekteve</w:t>
      </w:r>
      <w:r w:rsidR="00D22EA5" w:rsidRPr="00830F4C">
        <w:rPr>
          <w:rFonts w:ascii="Garamond" w:hAnsi="Garamond"/>
        </w:rPr>
        <w:t xml:space="preserve"> </w:t>
      </w:r>
      <w:r w:rsidRPr="00830F4C">
        <w:rPr>
          <w:rFonts w:ascii="Garamond" w:hAnsi="Garamond"/>
        </w:rPr>
        <w:t>me impakt të lartë në rritjen ekonomike afatgjatë. Në këtë kontekst, prioritet do të kenë fusha</w:t>
      </w:r>
      <w:r w:rsidR="00B45460" w:rsidRPr="00830F4C">
        <w:rPr>
          <w:rFonts w:ascii="Garamond" w:hAnsi="Garamond"/>
        </w:rPr>
        <w:t>t</w:t>
      </w:r>
      <w:r w:rsidRPr="00830F4C">
        <w:rPr>
          <w:rFonts w:ascii="Garamond" w:hAnsi="Garamond"/>
        </w:rPr>
        <w:t xml:space="preserve"> me rëndësi strategjike</w:t>
      </w:r>
      <w:r w:rsidR="00B45460" w:rsidRPr="00830F4C">
        <w:rPr>
          <w:rFonts w:ascii="Garamond" w:hAnsi="Garamond"/>
        </w:rPr>
        <w:t>,</w:t>
      </w:r>
      <w:r w:rsidRPr="00830F4C">
        <w:rPr>
          <w:rFonts w:ascii="Garamond" w:hAnsi="Garamond"/>
        </w:rPr>
        <w:t xml:space="preserve"> si</w:t>
      </w:r>
      <w:r w:rsidR="00B45460" w:rsidRPr="00830F4C">
        <w:rPr>
          <w:rFonts w:ascii="Garamond" w:hAnsi="Garamond"/>
        </w:rPr>
        <w:t>:</w:t>
      </w:r>
      <w:r w:rsidRPr="00830F4C">
        <w:rPr>
          <w:rFonts w:ascii="Garamond" w:hAnsi="Garamond"/>
        </w:rPr>
        <w:t xml:space="preserve"> arsimi cilësor dhe gjithëpërfshirës, kujdesi shëndetësor, mbështetja për grupet vulnerabël dhe tranzicioni i gjelbër e di</w:t>
      </w:r>
      <w:r w:rsidR="008C0C0F" w:rsidRPr="00830F4C">
        <w:rPr>
          <w:rFonts w:ascii="Garamond" w:hAnsi="Garamond"/>
        </w:rPr>
        <w:t>gj</w:t>
      </w:r>
      <w:r w:rsidRPr="00830F4C">
        <w:rPr>
          <w:rFonts w:ascii="Garamond" w:hAnsi="Garamond"/>
        </w:rPr>
        <w:t>ital i ekonomisë.</w:t>
      </w:r>
    </w:p>
    <w:p w14:paraId="3C5E651E" w14:textId="77777777" w:rsidR="001652B9" w:rsidRPr="00830F4C" w:rsidRDefault="001652B9" w:rsidP="001652B9">
      <w:pPr>
        <w:ind w:firstLine="284"/>
        <w:jc w:val="both"/>
        <w:rPr>
          <w:rFonts w:ascii="Garamond" w:hAnsi="Garamond"/>
        </w:rPr>
      </w:pPr>
      <w:r w:rsidRPr="00830F4C">
        <w:rPr>
          <w:rFonts w:ascii="Garamond" w:hAnsi="Garamond"/>
        </w:rPr>
        <w:t>Hartimi dhe zbatimi i kësaj strategjie do të udhëhiqet nga parimet e ruajtjes së stabilitetit makroekonomik dhe financiar, respektimit të rregullave fiskale, transparencës së plotë me publikun dhe komunikimit e koordinimit të ngushtë me të gjithë aktorët dhe grupet e interesit. Ne besojmë se vetëm nëpërmjet një procesi gjithëpërfshirës dhe të përgjegjshëm mund të ndërtojmë konsensusin e nevojshëm shoqëror për reforma të tilla të rëndësishme e afatgjata.</w:t>
      </w:r>
    </w:p>
    <w:p w14:paraId="0C5A04CC" w14:textId="149B3E91" w:rsidR="001652B9" w:rsidRPr="00830F4C" w:rsidRDefault="001652B9" w:rsidP="001652B9">
      <w:pPr>
        <w:ind w:firstLine="284"/>
        <w:jc w:val="both"/>
        <w:rPr>
          <w:rFonts w:ascii="Garamond" w:hAnsi="Garamond"/>
        </w:rPr>
      </w:pPr>
      <w:r w:rsidRPr="00830F4C">
        <w:rPr>
          <w:rFonts w:ascii="Garamond" w:hAnsi="Garamond"/>
        </w:rPr>
        <w:t xml:space="preserve">Siç e kanë provuar edhe zhvillimet sfiduese të viteve të fundit, ekonomia dhe shoqëria jonë gëzojnë një shkallë të lartë rezistence dhe elasticiteti, si dhe një kuadër të shëndoshë politik që garanton stabilitetin dhe besueshmërinë e institucioneve. Pikërisht mbi këtë themel të fortë që kemi ngritur së bashku, jemi të bindur se mund ta çojmë Shqipërinë në etapën e radhës të zhvillimit dhe </w:t>
      </w:r>
      <w:r w:rsidR="00B45460" w:rsidRPr="00830F4C">
        <w:rPr>
          <w:rFonts w:ascii="Garamond" w:hAnsi="Garamond"/>
        </w:rPr>
        <w:t>mirëqenies</w:t>
      </w:r>
      <w:r w:rsidRPr="00830F4C">
        <w:rPr>
          <w:rFonts w:ascii="Garamond" w:hAnsi="Garamond"/>
        </w:rPr>
        <w:t xml:space="preserve"> së qëndrueshme, në rrugën tonë të integrimit të plotë në familjen evropiane.</w:t>
      </w:r>
    </w:p>
    <w:p w14:paraId="7476B1DD" w14:textId="56E3F15D" w:rsidR="001652B9" w:rsidRPr="00830F4C" w:rsidRDefault="001652B9" w:rsidP="00D22EA5">
      <w:pPr>
        <w:ind w:firstLine="284"/>
        <w:rPr>
          <w:rFonts w:ascii="Garamond" w:hAnsi="Garamond"/>
          <w:b/>
        </w:rPr>
      </w:pPr>
      <w:r w:rsidRPr="00830F4C">
        <w:rPr>
          <w:rFonts w:ascii="Garamond" w:hAnsi="Garamond"/>
          <w:b/>
        </w:rPr>
        <w:t>II</w:t>
      </w:r>
      <w:r w:rsidR="00FF624C" w:rsidRPr="00830F4C">
        <w:rPr>
          <w:rFonts w:ascii="Garamond" w:hAnsi="Garamond"/>
          <w:b/>
        </w:rPr>
        <w:t>.</w:t>
      </w:r>
      <w:r w:rsidRPr="00830F4C">
        <w:rPr>
          <w:rFonts w:ascii="Garamond" w:hAnsi="Garamond"/>
          <w:b/>
        </w:rPr>
        <w:t xml:space="preserve"> Nevoja për hartimin e Strategjisë Afatmesme të të Ardhurave </w:t>
      </w:r>
    </w:p>
    <w:p w14:paraId="08926E7D" w14:textId="01AF610B" w:rsidR="001652B9" w:rsidRPr="00830F4C" w:rsidRDefault="001652B9" w:rsidP="00D22EA5">
      <w:pPr>
        <w:ind w:firstLine="284"/>
        <w:rPr>
          <w:rFonts w:ascii="Garamond" w:hAnsi="Garamond"/>
          <w:b/>
        </w:rPr>
      </w:pPr>
      <w:r w:rsidRPr="00830F4C">
        <w:rPr>
          <w:rFonts w:ascii="Garamond" w:hAnsi="Garamond"/>
          <w:b/>
        </w:rPr>
        <w:t>II.1 Përputhshmëria me qëndrueshmërinë fiskale</w:t>
      </w:r>
    </w:p>
    <w:p w14:paraId="74A566FB" w14:textId="47B901C9" w:rsidR="001652B9" w:rsidRPr="00830F4C" w:rsidRDefault="001652B9" w:rsidP="00B45460">
      <w:pPr>
        <w:ind w:firstLine="284"/>
        <w:jc w:val="both"/>
        <w:rPr>
          <w:rFonts w:ascii="Garamond" w:hAnsi="Garamond"/>
        </w:rPr>
      </w:pPr>
      <w:r w:rsidRPr="00830F4C">
        <w:rPr>
          <w:rFonts w:ascii="Garamond" w:hAnsi="Garamond"/>
        </w:rPr>
        <w:t>Domosdoshmëria për përcaktimin e objektivave afatmesëm të të ardhurave buxhetore buron nga nevojat për financimin e shpenzime të buxhetit. Bazuar në Kuadrin Makroekonomik dhe Fiskal, 2025</w:t>
      </w:r>
      <w:r w:rsidR="00FF624C" w:rsidRPr="00830F4C">
        <w:rPr>
          <w:rFonts w:ascii="Garamond" w:hAnsi="Garamond"/>
        </w:rPr>
        <w:t>–</w:t>
      </w:r>
      <w:r w:rsidRPr="00830F4C">
        <w:rPr>
          <w:rFonts w:ascii="Garamond" w:hAnsi="Garamond"/>
        </w:rPr>
        <w:t>2027 të miratuar me VKM</w:t>
      </w:r>
      <w:r w:rsidR="00FF624C" w:rsidRPr="00830F4C">
        <w:rPr>
          <w:rFonts w:ascii="Garamond" w:hAnsi="Garamond"/>
        </w:rPr>
        <w:t>-në</w:t>
      </w:r>
      <w:r w:rsidRPr="00830F4C">
        <w:rPr>
          <w:rFonts w:ascii="Garamond" w:hAnsi="Garamond"/>
        </w:rPr>
        <w:t xml:space="preserve"> </w:t>
      </w:r>
      <w:r w:rsidR="00FF624C" w:rsidRPr="00830F4C">
        <w:rPr>
          <w:rFonts w:ascii="Garamond" w:hAnsi="Garamond"/>
        </w:rPr>
        <w:t>n</w:t>
      </w:r>
      <w:r w:rsidRPr="00830F4C">
        <w:rPr>
          <w:rFonts w:ascii="Garamond" w:hAnsi="Garamond"/>
        </w:rPr>
        <w:t>r. 399, datë 19.6.2024:</w:t>
      </w:r>
    </w:p>
    <w:p w14:paraId="086CA685" w14:textId="2C259F0F" w:rsidR="001652B9" w:rsidRPr="00830F4C" w:rsidRDefault="001652B9" w:rsidP="00B45460">
      <w:pPr>
        <w:ind w:firstLine="284"/>
        <w:jc w:val="both"/>
        <w:rPr>
          <w:rFonts w:ascii="Garamond" w:hAnsi="Garamond"/>
        </w:rPr>
      </w:pPr>
      <w:r w:rsidRPr="00830F4C">
        <w:rPr>
          <w:rFonts w:ascii="Garamond" w:hAnsi="Garamond" w:cs="Symbol"/>
        </w:rPr>
        <w:t xml:space="preserve">- </w:t>
      </w:r>
      <w:r w:rsidRPr="00830F4C">
        <w:rPr>
          <w:rFonts w:ascii="Garamond" w:hAnsi="Garamond"/>
        </w:rPr>
        <w:t xml:space="preserve">Burimet totale të qeverisë për t’u shpenzuar gjatë viteve 2025–2027 pritet të jenë mesatarisht në rreth 825 miliardë </w:t>
      </w:r>
      <w:r w:rsidR="00FF624C" w:rsidRPr="00830F4C">
        <w:rPr>
          <w:rFonts w:ascii="Garamond" w:hAnsi="Garamond"/>
        </w:rPr>
        <w:t>l</w:t>
      </w:r>
      <w:r w:rsidRPr="00830F4C">
        <w:rPr>
          <w:rFonts w:ascii="Garamond" w:hAnsi="Garamond"/>
        </w:rPr>
        <w:t>ekë në çdo vit ose mesatarisht rreth 30.7 për</w:t>
      </w:r>
      <w:r w:rsidR="00B45460" w:rsidRPr="00830F4C">
        <w:rPr>
          <w:rFonts w:ascii="Garamond" w:hAnsi="Garamond"/>
        </w:rPr>
        <w:t xml:space="preserve"> </w:t>
      </w:r>
      <w:r w:rsidRPr="00830F4C">
        <w:rPr>
          <w:rFonts w:ascii="Garamond" w:hAnsi="Garamond"/>
        </w:rPr>
        <w:t>qind e PBB</w:t>
      </w:r>
      <w:r w:rsidR="00FF624C" w:rsidRPr="00830F4C">
        <w:rPr>
          <w:rFonts w:ascii="Garamond" w:hAnsi="Garamond"/>
        </w:rPr>
        <w:t>-së</w:t>
      </w:r>
      <w:r w:rsidRPr="00830F4C">
        <w:rPr>
          <w:rFonts w:ascii="Garamond" w:hAnsi="Garamond"/>
        </w:rPr>
        <w:t>.</w:t>
      </w:r>
    </w:p>
    <w:p w14:paraId="4B3CEF31" w14:textId="69C63B7D" w:rsidR="001652B9" w:rsidRPr="00830F4C" w:rsidRDefault="001652B9" w:rsidP="00B45460">
      <w:pPr>
        <w:ind w:firstLine="284"/>
        <w:jc w:val="both"/>
        <w:rPr>
          <w:rFonts w:ascii="Garamond" w:hAnsi="Garamond"/>
        </w:rPr>
      </w:pPr>
      <w:r w:rsidRPr="00830F4C">
        <w:rPr>
          <w:rFonts w:ascii="Garamond" w:hAnsi="Garamond" w:cs="Symbol"/>
        </w:rPr>
        <w:t xml:space="preserve">- </w:t>
      </w:r>
      <w:r w:rsidRPr="00830F4C">
        <w:rPr>
          <w:rFonts w:ascii="Garamond" w:hAnsi="Garamond"/>
        </w:rPr>
        <w:t>Të ardhurat totale të buxhetit gjatë viteve 2025</w:t>
      </w:r>
      <w:r w:rsidR="00FF624C" w:rsidRPr="00830F4C">
        <w:rPr>
          <w:rFonts w:ascii="Garamond" w:hAnsi="Garamond"/>
        </w:rPr>
        <w:t>–</w:t>
      </w:r>
      <w:r w:rsidRPr="00830F4C">
        <w:rPr>
          <w:rFonts w:ascii="Garamond" w:hAnsi="Garamond"/>
        </w:rPr>
        <w:t>2027 parashikohet të jenë mesatarisht 778 miliardë lek</w:t>
      </w:r>
      <w:r w:rsidR="00FF624C" w:rsidRPr="00830F4C">
        <w:rPr>
          <w:rFonts w:ascii="Garamond" w:hAnsi="Garamond"/>
        </w:rPr>
        <w:t>ë</w:t>
      </w:r>
      <w:r w:rsidRPr="00830F4C">
        <w:rPr>
          <w:rFonts w:ascii="Garamond" w:hAnsi="Garamond"/>
        </w:rPr>
        <w:t xml:space="preserve"> çdo vit ose mesatarisht 28.9% e PBB</w:t>
      </w:r>
      <w:r w:rsidR="00B45460" w:rsidRPr="00830F4C">
        <w:rPr>
          <w:rFonts w:ascii="Garamond" w:hAnsi="Garamond"/>
        </w:rPr>
        <w:t>-së</w:t>
      </w:r>
      <w:r w:rsidRPr="00830F4C">
        <w:rPr>
          <w:rFonts w:ascii="Garamond" w:hAnsi="Garamond"/>
        </w:rPr>
        <w:t xml:space="preserve">. </w:t>
      </w:r>
    </w:p>
    <w:p w14:paraId="7BB11173" w14:textId="43A95F68" w:rsidR="001652B9" w:rsidRPr="00830F4C" w:rsidRDefault="001652B9" w:rsidP="00D22EA5">
      <w:pPr>
        <w:ind w:firstLine="284"/>
        <w:rPr>
          <w:rFonts w:ascii="Garamond" w:hAnsi="Garamond"/>
        </w:rPr>
      </w:pPr>
      <w:r w:rsidRPr="00830F4C">
        <w:rPr>
          <w:rFonts w:ascii="Garamond" w:hAnsi="Garamond" w:cs="Symbol"/>
        </w:rPr>
        <w:t xml:space="preserve">- </w:t>
      </w:r>
      <w:r w:rsidRPr="00830F4C">
        <w:rPr>
          <w:rFonts w:ascii="Garamond" w:hAnsi="Garamond"/>
        </w:rPr>
        <w:t>Të ardhurat tatimore për këtë periudhë parashikohen të jenë mesatarisht 737.6 miliardë lek</w:t>
      </w:r>
      <w:r w:rsidR="00B45460" w:rsidRPr="00830F4C">
        <w:rPr>
          <w:rFonts w:ascii="Garamond" w:hAnsi="Garamond"/>
        </w:rPr>
        <w:t>ë</w:t>
      </w:r>
      <w:r w:rsidRPr="00830F4C">
        <w:rPr>
          <w:rFonts w:ascii="Garamond" w:hAnsi="Garamond"/>
        </w:rPr>
        <w:t xml:space="preserve"> çdo vit ose 27.4 % e PBB</w:t>
      </w:r>
      <w:r w:rsidR="00B45460" w:rsidRPr="00830F4C">
        <w:rPr>
          <w:rFonts w:ascii="Garamond" w:hAnsi="Garamond"/>
        </w:rPr>
        <w:t>-së</w:t>
      </w:r>
      <w:r w:rsidRPr="00830F4C">
        <w:rPr>
          <w:rFonts w:ascii="Garamond" w:hAnsi="Garamond"/>
        </w:rPr>
        <w:t>. Të ardhurat tatimore parashikohen të jenë 27.7% në vitin 2027, me +2.5% e PBB</w:t>
      </w:r>
      <w:r w:rsidR="00B45460" w:rsidRPr="00830F4C">
        <w:rPr>
          <w:rFonts w:ascii="Garamond" w:hAnsi="Garamond"/>
        </w:rPr>
        <w:t>-së</w:t>
      </w:r>
      <w:r w:rsidRPr="00830F4C">
        <w:rPr>
          <w:rFonts w:ascii="Garamond" w:hAnsi="Garamond"/>
        </w:rPr>
        <w:t xml:space="preserve"> rritje në krahasim me vitin 2019, kur ishin 25.2% e PBB-së, dhe rreth 1.8% të PBB-së më shumë krahasuar me 2023</w:t>
      </w:r>
      <w:r w:rsidR="00B45460" w:rsidRPr="00830F4C">
        <w:rPr>
          <w:rFonts w:ascii="Garamond" w:hAnsi="Garamond"/>
        </w:rPr>
        <w:t>-shin</w:t>
      </w:r>
      <w:r w:rsidRPr="00830F4C">
        <w:rPr>
          <w:rFonts w:ascii="Garamond" w:hAnsi="Garamond"/>
        </w:rPr>
        <w:t>.</w:t>
      </w:r>
    </w:p>
    <w:p w14:paraId="52F76322" w14:textId="113EB5B3" w:rsidR="001652B9" w:rsidRPr="00830F4C" w:rsidRDefault="001652B9" w:rsidP="001652B9">
      <w:pPr>
        <w:pStyle w:val="Caption"/>
        <w:spacing w:after="0"/>
        <w:rPr>
          <w:rFonts w:ascii="Garamond" w:hAnsi="Garamond" w:cs="Times New Roman"/>
          <w:color w:val="auto"/>
          <w:sz w:val="20"/>
        </w:rPr>
      </w:pPr>
      <w:bookmarkStart w:id="3" w:name="_Toc185235117"/>
      <w:r w:rsidRPr="00830F4C">
        <w:rPr>
          <w:rFonts w:ascii="Garamond" w:hAnsi="Garamond" w:cs="Times New Roman"/>
          <w:color w:val="auto"/>
          <w:sz w:val="20"/>
        </w:rPr>
        <w:t xml:space="preserve">Grafik </w:t>
      </w:r>
      <w:r w:rsidRPr="00830F4C">
        <w:rPr>
          <w:rFonts w:ascii="Garamond" w:hAnsi="Garamond" w:cs="Times New Roman"/>
          <w:color w:val="auto"/>
          <w:sz w:val="20"/>
        </w:rPr>
        <w:fldChar w:fldCharType="begin"/>
      </w:r>
      <w:r w:rsidRPr="00830F4C">
        <w:rPr>
          <w:rFonts w:ascii="Garamond" w:hAnsi="Garamond" w:cs="Times New Roman"/>
          <w:color w:val="auto"/>
          <w:sz w:val="20"/>
        </w:rPr>
        <w:instrText xml:space="preserve"> SEQ Grafik \* ARABIC </w:instrText>
      </w:r>
      <w:r w:rsidRPr="00830F4C">
        <w:rPr>
          <w:rFonts w:ascii="Garamond" w:hAnsi="Garamond" w:cs="Times New Roman"/>
          <w:color w:val="auto"/>
          <w:sz w:val="20"/>
        </w:rPr>
        <w:fldChar w:fldCharType="separate"/>
      </w:r>
      <w:r w:rsidRPr="00830F4C">
        <w:rPr>
          <w:rFonts w:ascii="Garamond" w:hAnsi="Garamond" w:cs="Times New Roman"/>
          <w:color w:val="auto"/>
          <w:sz w:val="20"/>
        </w:rPr>
        <w:t>1</w:t>
      </w:r>
      <w:r w:rsidRPr="00830F4C">
        <w:rPr>
          <w:rFonts w:ascii="Garamond" w:hAnsi="Garamond" w:cs="Times New Roman"/>
          <w:color w:val="auto"/>
          <w:sz w:val="20"/>
        </w:rPr>
        <w:fldChar w:fldCharType="end"/>
      </w:r>
      <w:r w:rsidRPr="00830F4C">
        <w:rPr>
          <w:rFonts w:ascii="Garamond" w:hAnsi="Garamond" w:cs="Times New Roman"/>
          <w:color w:val="auto"/>
          <w:sz w:val="20"/>
        </w:rPr>
        <w:t>: Të ardhurat, shpenzimet dhe deficiti, për periudhën 2019</w:t>
      </w:r>
      <w:r w:rsidR="00B45460" w:rsidRPr="00830F4C">
        <w:rPr>
          <w:rFonts w:ascii="Garamond" w:hAnsi="Garamond" w:cs="Times New Roman"/>
          <w:color w:val="auto"/>
          <w:sz w:val="20"/>
        </w:rPr>
        <w:t>–</w:t>
      </w:r>
      <w:r w:rsidRPr="00830F4C">
        <w:rPr>
          <w:rFonts w:ascii="Garamond" w:hAnsi="Garamond" w:cs="Times New Roman"/>
          <w:color w:val="auto"/>
          <w:sz w:val="20"/>
        </w:rPr>
        <w:t>2027,</w:t>
      </w:r>
      <w:r w:rsidR="00D22EA5" w:rsidRPr="00830F4C">
        <w:rPr>
          <w:rFonts w:ascii="Garamond" w:hAnsi="Garamond" w:cs="Times New Roman"/>
          <w:color w:val="auto"/>
          <w:sz w:val="20"/>
        </w:rPr>
        <w:t xml:space="preserve"> </w:t>
      </w:r>
      <w:r w:rsidRPr="00830F4C">
        <w:rPr>
          <w:rFonts w:ascii="Garamond" w:hAnsi="Garamond" w:cs="Times New Roman"/>
          <w:color w:val="auto"/>
          <w:sz w:val="20"/>
        </w:rPr>
        <w:t>në % të PPB</w:t>
      </w:r>
      <w:bookmarkEnd w:id="3"/>
      <w:r w:rsidR="00B45460" w:rsidRPr="00830F4C">
        <w:rPr>
          <w:rFonts w:ascii="Garamond" w:hAnsi="Garamond"/>
        </w:rPr>
        <w:t>-së</w:t>
      </w:r>
    </w:p>
    <w:p w14:paraId="77A30104" w14:textId="77777777" w:rsidR="001652B9" w:rsidRPr="00830F4C" w:rsidRDefault="001652B9" w:rsidP="001652B9">
      <w:pPr>
        <w:jc w:val="center"/>
        <w:rPr>
          <w:rFonts w:ascii="Garamond" w:hAnsi="Garamond"/>
        </w:rPr>
      </w:pPr>
      <w:r w:rsidRPr="00830F4C">
        <w:rPr>
          <w:noProof/>
          <w:lang w:val="en-US"/>
        </w:rPr>
        <w:drawing>
          <wp:inline distT="0" distB="0" distL="0" distR="0" wp14:anchorId="184771CB" wp14:editId="07E529FA">
            <wp:extent cx="4937760" cy="2492850"/>
            <wp:effectExtent l="0" t="0" r="15240" b="3175"/>
            <wp:docPr id="1599368457" name="Chart 1">
              <a:extLst xmlns:a="http://schemas.openxmlformats.org/drawingml/2006/main">
                <a:ext uri="{FF2B5EF4-FFF2-40B4-BE49-F238E27FC236}">
                  <a16:creationId xmlns:a16="http://schemas.microsoft.com/office/drawing/2014/main" id="{4E9AF88C-C0DB-F5E1-28D1-0040CEE55B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36AE559" w14:textId="1C396E3E" w:rsidR="001652B9" w:rsidRPr="00830F4C" w:rsidRDefault="001652B9" w:rsidP="00723888">
      <w:pPr>
        <w:pStyle w:val="Caption"/>
        <w:spacing w:after="0"/>
        <w:ind w:firstLine="284"/>
        <w:rPr>
          <w:rFonts w:ascii="Garamond" w:hAnsi="Garamond" w:cs="Times New Roman"/>
          <w:color w:val="auto"/>
          <w:sz w:val="20"/>
        </w:rPr>
      </w:pPr>
      <w:r w:rsidRPr="00830F4C">
        <w:rPr>
          <w:rFonts w:ascii="Garamond" w:hAnsi="Garamond" w:cs="Times New Roman"/>
          <w:color w:val="auto"/>
          <w:sz w:val="20"/>
        </w:rPr>
        <w:t>Burimi: Ministria e Financave, Kuadri Makorekonomik, 2025</w:t>
      </w:r>
      <w:r w:rsidR="00DB1B60" w:rsidRPr="00830F4C">
        <w:rPr>
          <w:rFonts w:ascii="Garamond" w:hAnsi="Garamond" w:cs="Times New Roman"/>
          <w:color w:val="auto"/>
          <w:sz w:val="20"/>
        </w:rPr>
        <w:t>–</w:t>
      </w:r>
      <w:r w:rsidRPr="00830F4C">
        <w:rPr>
          <w:rFonts w:ascii="Garamond" w:hAnsi="Garamond" w:cs="Times New Roman"/>
          <w:color w:val="auto"/>
          <w:sz w:val="20"/>
        </w:rPr>
        <w:t>2027</w:t>
      </w:r>
    </w:p>
    <w:p w14:paraId="76ED5A93" w14:textId="00233A68" w:rsidR="001652B9" w:rsidRPr="00830F4C" w:rsidRDefault="001652B9" w:rsidP="001652B9">
      <w:pPr>
        <w:pStyle w:val="Caption"/>
        <w:spacing w:after="0"/>
        <w:ind w:firstLine="284"/>
        <w:jc w:val="both"/>
        <w:rPr>
          <w:rFonts w:ascii="Garamond" w:hAnsi="Garamond" w:cs="Times New Roman"/>
          <w:i w:val="0"/>
          <w:iCs w:val="0"/>
          <w:color w:val="auto"/>
          <w:sz w:val="24"/>
          <w:szCs w:val="24"/>
        </w:rPr>
      </w:pPr>
      <w:r w:rsidRPr="00830F4C">
        <w:rPr>
          <w:rFonts w:ascii="Garamond" w:hAnsi="Garamond" w:cs="Times New Roman"/>
          <w:i w:val="0"/>
          <w:iCs w:val="0"/>
          <w:color w:val="auto"/>
          <w:sz w:val="24"/>
          <w:szCs w:val="24"/>
        </w:rPr>
        <w:t xml:space="preserve">Sikurse duket qartë dhe nga </w:t>
      </w:r>
      <w:r w:rsidR="00DB1B60" w:rsidRPr="00830F4C">
        <w:rPr>
          <w:rFonts w:ascii="Garamond" w:hAnsi="Garamond" w:cs="Times New Roman"/>
          <w:i w:val="0"/>
          <w:iCs w:val="0"/>
          <w:color w:val="auto"/>
          <w:sz w:val="24"/>
          <w:szCs w:val="24"/>
        </w:rPr>
        <w:t>g</w:t>
      </w:r>
      <w:r w:rsidRPr="00830F4C">
        <w:rPr>
          <w:rFonts w:ascii="Garamond" w:hAnsi="Garamond" w:cs="Times New Roman"/>
          <w:i w:val="0"/>
          <w:iCs w:val="0"/>
          <w:color w:val="auto"/>
          <w:sz w:val="24"/>
          <w:szCs w:val="24"/>
        </w:rPr>
        <w:t>rafiku 1 më sipër, të ardhurat tatimore të planifikuara në periudhën 2025</w:t>
      </w:r>
      <w:r w:rsidR="00DB1B60" w:rsidRPr="00830F4C">
        <w:rPr>
          <w:rFonts w:ascii="Garamond" w:hAnsi="Garamond" w:cs="Times New Roman"/>
          <w:i w:val="0"/>
          <w:iCs w:val="0"/>
          <w:color w:val="auto"/>
          <w:sz w:val="24"/>
          <w:szCs w:val="24"/>
        </w:rPr>
        <w:t>–</w:t>
      </w:r>
      <w:r w:rsidRPr="00830F4C">
        <w:rPr>
          <w:rFonts w:ascii="Garamond" w:hAnsi="Garamond" w:cs="Times New Roman"/>
          <w:i w:val="0"/>
          <w:iCs w:val="0"/>
          <w:color w:val="auto"/>
          <w:sz w:val="24"/>
          <w:szCs w:val="24"/>
        </w:rPr>
        <w:t>2027, financojnë gjithnjë e më shumë vëllimin e shpenzimeve buxhetore përgjatë kësaj periudhe, duke mundësuar njëkohësisht dhe arritjen e objektivit për uljen e borxhit publik në terma realë. Për ilustrim, hendeku i financimit të shpenzimeve buxhetore nga të ardhurat tatimore në vitin 2020 rezultoi 7.9%, ndërsa për vitin 2027 parashikohet që ky hendek të shkojë në 2.3% e PBB</w:t>
      </w:r>
      <w:r w:rsidR="00DB1B60" w:rsidRPr="00830F4C">
        <w:rPr>
          <w:rFonts w:ascii="Garamond" w:hAnsi="Garamond"/>
          <w:i w:val="0"/>
          <w:color w:val="auto"/>
          <w:sz w:val="24"/>
          <w:szCs w:val="24"/>
        </w:rPr>
        <w:t>-së</w:t>
      </w:r>
      <w:r w:rsidRPr="00830F4C">
        <w:rPr>
          <w:rFonts w:ascii="Garamond" w:hAnsi="Garamond" w:cs="Times New Roman"/>
          <w:i w:val="0"/>
          <w:iCs w:val="0"/>
          <w:color w:val="auto"/>
          <w:sz w:val="24"/>
          <w:szCs w:val="24"/>
        </w:rPr>
        <w:t xml:space="preserve">. </w:t>
      </w:r>
    </w:p>
    <w:p w14:paraId="0AB8B20A" w14:textId="77777777" w:rsidR="001652B9" w:rsidRPr="00830F4C" w:rsidRDefault="001652B9" w:rsidP="001652B9">
      <w:pPr>
        <w:pStyle w:val="HTMLPreformatted"/>
        <w:spacing w:after="0" w:line="240" w:lineRule="auto"/>
        <w:ind w:firstLine="284"/>
        <w:jc w:val="both"/>
        <w:rPr>
          <w:rFonts w:ascii="Garamond" w:hAnsi="Garamond"/>
          <w:color w:val="auto"/>
          <w:sz w:val="24"/>
          <w:szCs w:val="24"/>
          <w:lang w:val="sq-AL"/>
        </w:rPr>
      </w:pPr>
      <w:r w:rsidRPr="00830F4C">
        <w:rPr>
          <w:rFonts w:ascii="Garamond" w:hAnsi="Garamond"/>
          <w:color w:val="auto"/>
          <w:sz w:val="24"/>
          <w:szCs w:val="24"/>
          <w:lang w:val="sq-AL"/>
        </w:rPr>
        <w:t xml:space="preserve">Vitet 2023 dhe 2024 janë vitet me rritjen me domethënëse të të ardhurave tatimore, përkatësisht me +0.6 % e PBB-së dhe +0.8 % e PBB-së krahasuar me vitet paraardhëse të tyre. Sikurse shpjegohet në detaje në vijim, për shkak të masave të ndërmarra në fushën e politikave fiskale, në dy vitet e fundit, kombinuar kjo me efektet e mirëadministrimit, viti 2024 ka shënuar vitin më të mirë fiskal, ndërkohë që, në vitet në vijim, pritet që impakti pozitiv në të ardhura do të jetë i fokusuar kryesisht në efektet e politikave të mirëadministrimit tatimor e doganor. </w:t>
      </w:r>
    </w:p>
    <w:p w14:paraId="6A92EE31" w14:textId="0431FA79" w:rsidR="001652B9" w:rsidRPr="00830F4C" w:rsidRDefault="001652B9" w:rsidP="001652B9">
      <w:pPr>
        <w:pStyle w:val="HTMLPreformatted"/>
        <w:spacing w:after="0" w:line="240" w:lineRule="auto"/>
        <w:ind w:firstLine="284"/>
        <w:jc w:val="both"/>
        <w:rPr>
          <w:rFonts w:ascii="Garamond" w:hAnsi="Garamond"/>
          <w:color w:val="auto"/>
          <w:sz w:val="24"/>
          <w:szCs w:val="24"/>
          <w:lang w:val="sq-AL"/>
        </w:rPr>
      </w:pPr>
      <w:r w:rsidRPr="00830F4C">
        <w:rPr>
          <w:rFonts w:ascii="Garamond" w:hAnsi="Garamond"/>
          <w:color w:val="auto"/>
          <w:sz w:val="24"/>
          <w:szCs w:val="24"/>
          <w:lang w:val="sq-AL"/>
        </w:rPr>
        <w:t>Arritja e objektivave ambicioze për rritjen e të ardhurave tatimore në nivelin 27.7% e PBB</w:t>
      </w:r>
      <w:r w:rsidR="00DB1B60" w:rsidRPr="00830F4C">
        <w:rPr>
          <w:rFonts w:ascii="Garamond" w:hAnsi="Garamond"/>
          <w:color w:val="auto"/>
          <w:sz w:val="24"/>
          <w:szCs w:val="24"/>
          <w:lang w:val="sq-AL"/>
        </w:rPr>
        <w:t>-së</w:t>
      </w:r>
      <w:r w:rsidRPr="00830F4C">
        <w:rPr>
          <w:rFonts w:ascii="Garamond" w:hAnsi="Garamond"/>
          <w:color w:val="auto"/>
          <w:sz w:val="24"/>
          <w:szCs w:val="24"/>
          <w:lang w:val="sq-AL"/>
        </w:rPr>
        <w:t xml:space="preserve"> në 2027, garantohet nga masat e projektuara dhe që do realizohen sipas kësaj Strategjie.</w:t>
      </w:r>
    </w:p>
    <w:p w14:paraId="21C8AF5C" w14:textId="2DD84466" w:rsidR="001652B9" w:rsidRPr="00830F4C" w:rsidRDefault="001652B9" w:rsidP="001652B9">
      <w:pPr>
        <w:pStyle w:val="HTMLPreformatted"/>
        <w:spacing w:after="0" w:line="240" w:lineRule="auto"/>
        <w:ind w:firstLine="284"/>
        <w:jc w:val="both"/>
        <w:rPr>
          <w:rFonts w:ascii="Garamond" w:hAnsi="Garamond"/>
          <w:color w:val="auto"/>
          <w:sz w:val="24"/>
          <w:szCs w:val="24"/>
          <w:lang w:val="sq-AL"/>
        </w:rPr>
      </w:pPr>
      <w:r w:rsidRPr="00830F4C">
        <w:rPr>
          <w:rFonts w:ascii="Garamond" w:hAnsi="Garamond"/>
          <w:color w:val="auto"/>
          <w:sz w:val="24"/>
          <w:szCs w:val="24"/>
          <w:lang w:val="sq-AL"/>
        </w:rPr>
        <w:t>Objektivi i rritjes së të ardhurave tatimore për</w:t>
      </w:r>
      <w:r w:rsidR="00800B00" w:rsidRPr="00830F4C">
        <w:rPr>
          <w:rFonts w:ascii="Garamond" w:hAnsi="Garamond"/>
          <w:color w:val="auto"/>
          <w:sz w:val="24"/>
          <w:szCs w:val="24"/>
          <w:lang w:val="sq-AL"/>
        </w:rPr>
        <w:t xml:space="preserve"> </w:t>
      </w:r>
      <w:r w:rsidR="00D22EA5" w:rsidRPr="00830F4C">
        <w:rPr>
          <w:rFonts w:ascii="Garamond" w:hAnsi="Garamond"/>
          <w:color w:val="auto"/>
          <w:sz w:val="24"/>
          <w:szCs w:val="24"/>
          <w:lang w:val="sq-AL"/>
        </w:rPr>
        <w:t>2024–2027</w:t>
      </w:r>
      <w:r w:rsidRPr="00830F4C">
        <w:rPr>
          <w:rFonts w:ascii="Garamond" w:hAnsi="Garamond"/>
          <w:color w:val="auto"/>
          <w:sz w:val="24"/>
          <w:szCs w:val="24"/>
          <w:lang w:val="sq-AL"/>
        </w:rPr>
        <w:t xml:space="preserve"> është 1.8% e PBB-së krahasuar me 2023 dhe 2.5% e PBB-së krahasuar me 2019, sikurse paraqitet në tabelën më poshtë.</w:t>
      </w:r>
    </w:p>
    <w:p w14:paraId="2AFC22EE" w14:textId="1B1F1FE8" w:rsidR="001652B9" w:rsidRPr="00830F4C" w:rsidRDefault="001652B9" w:rsidP="00723888">
      <w:pPr>
        <w:pStyle w:val="Caption"/>
        <w:spacing w:after="0"/>
        <w:ind w:firstLine="284"/>
        <w:rPr>
          <w:rFonts w:ascii="Garamond" w:hAnsi="Garamond" w:cs="Times New Roman"/>
          <w:color w:val="auto"/>
          <w:sz w:val="20"/>
          <w:szCs w:val="20"/>
        </w:rPr>
      </w:pPr>
      <w:bookmarkStart w:id="4" w:name="_Toc185235126"/>
      <w:r w:rsidRPr="00830F4C">
        <w:rPr>
          <w:rFonts w:ascii="Garamond" w:hAnsi="Garamond" w:cs="Times New Roman"/>
          <w:color w:val="auto"/>
          <w:sz w:val="20"/>
          <w:szCs w:val="20"/>
        </w:rPr>
        <w:t xml:space="preserve">Tabela </w:t>
      </w:r>
      <w:r w:rsidRPr="00830F4C">
        <w:rPr>
          <w:rFonts w:ascii="Garamond" w:hAnsi="Garamond" w:cs="Times New Roman"/>
          <w:color w:val="auto"/>
          <w:sz w:val="20"/>
          <w:szCs w:val="20"/>
        </w:rPr>
        <w:fldChar w:fldCharType="begin"/>
      </w:r>
      <w:r w:rsidRPr="00830F4C">
        <w:rPr>
          <w:rFonts w:ascii="Garamond" w:hAnsi="Garamond" w:cs="Times New Roman"/>
          <w:color w:val="auto"/>
          <w:sz w:val="20"/>
          <w:szCs w:val="20"/>
        </w:rPr>
        <w:instrText xml:space="preserve"> SEQ Tabela \* ARABIC </w:instrText>
      </w:r>
      <w:r w:rsidRPr="00830F4C">
        <w:rPr>
          <w:rFonts w:ascii="Garamond" w:hAnsi="Garamond" w:cs="Times New Roman"/>
          <w:color w:val="auto"/>
          <w:sz w:val="20"/>
          <w:szCs w:val="20"/>
        </w:rPr>
        <w:fldChar w:fldCharType="separate"/>
      </w:r>
      <w:r w:rsidRPr="00830F4C">
        <w:rPr>
          <w:rFonts w:ascii="Garamond" w:hAnsi="Garamond" w:cs="Times New Roman"/>
          <w:color w:val="auto"/>
          <w:sz w:val="20"/>
          <w:szCs w:val="20"/>
        </w:rPr>
        <w:t>1</w:t>
      </w:r>
      <w:r w:rsidRPr="00830F4C">
        <w:rPr>
          <w:rFonts w:ascii="Garamond" w:hAnsi="Garamond" w:cs="Times New Roman"/>
          <w:color w:val="auto"/>
          <w:sz w:val="20"/>
          <w:szCs w:val="20"/>
        </w:rPr>
        <w:fldChar w:fldCharType="end"/>
      </w:r>
      <w:r w:rsidRPr="00830F4C">
        <w:rPr>
          <w:rFonts w:ascii="Garamond" w:hAnsi="Garamond" w:cs="Times New Roman"/>
          <w:color w:val="auto"/>
          <w:sz w:val="20"/>
          <w:szCs w:val="20"/>
        </w:rPr>
        <w:t>: Rritja e të ardhurave tatimore në përqindje të PBB</w:t>
      </w:r>
      <w:r w:rsidR="00DB1B60" w:rsidRPr="00830F4C">
        <w:rPr>
          <w:rFonts w:ascii="Garamond" w:hAnsi="Garamond"/>
          <w:color w:val="auto"/>
          <w:sz w:val="20"/>
          <w:szCs w:val="20"/>
        </w:rPr>
        <w:t>-së</w:t>
      </w:r>
      <w:r w:rsidRPr="00830F4C">
        <w:rPr>
          <w:rFonts w:ascii="Garamond" w:hAnsi="Garamond" w:cs="Times New Roman"/>
          <w:color w:val="auto"/>
          <w:sz w:val="20"/>
          <w:szCs w:val="20"/>
        </w:rPr>
        <w:t>, 2019, 2023 dhe 2027</w:t>
      </w:r>
      <w:bookmarkEnd w:id="4"/>
    </w:p>
    <w:tbl>
      <w:tblPr>
        <w:tblStyle w:val="TableGrid"/>
        <w:tblW w:w="0" w:type="auto"/>
        <w:tblInd w:w="607" w:type="dxa"/>
        <w:tblLook w:val="04A0" w:firstRow="1" w:lastRow="0" w:firstColumn="1" w:lastColumn="0" w:noHBand="0" w:noVBand="1"/>
      </w:tblPr>
      <w:tblGrid>
        <w:gridCol w:w="1327"/>
        <w:gridCol w:w="1331"/>
        <w:gridCol w:w="1806"/>
        <w:gridCol w:w="2217"/>
        <w:gridCol w:w="2062"/>
      </w:tblGrid>
      <w:tr w:rsidR="001652B9" w:rsidRPr="00830F4C" w14:paraId="30FCF0B9" w14:textId="77777777" w:rsidTr="00DB1B60">
        <w:trPr>
          <w:trHeight w:val="20"/>
        </w:trPr>
        <w:tc>
          <w:tcPr>
            <w:tcW w:w="0" w:type="auto"/>
          </w:tcPr>
          <w:p w14:paraId="25D4DB61" w14:textId="5AEF898C" w:rsidR="001652B9" w:rsidRPr="00830F4C" w:rsidRDefault="001652B9" w:rsidP="001652B9">
            <w:pPr>
              <w:pStyle w:val="HTMLPreformatted"/>
              <w:spacing w:after="0" w:line="240" w:lineRule="auto"/>
              <w:jc w:val="center"/>
              <w:rPr>
                <w:rFonts w:ascii="Garamond" w:hAnsi="Garamond"/>
                <w:b/>
                <w:color w:val="auto"/>
                <w:lang w:val="sq-AL"/>
              </w:rPr>
            </w:pPr>
            <w:r w:rsidRPr="00830F4C">
              <w:rPr>
                <w:rFonts w:ascii="Garamond" w:hAnsi="Garamond"/>
                <w:b/>
                <w:color w:val="auto"/>
                <w:lang w:val="sq-AL"/>
              </w:rPr>
              <w:t xml:space="preserve">Të ardhura </w:t>
            </w:r>
            <w:r w:rsidR="00FF624C" w:rsidRPr="00830F4C">
              <w:rPr>
                <w:rFonts w:ascii="Garamond" w:hAnsi="Garamond"/>
                <w:b/>
                <w:color w:val="auto"/>
                <w:lang w:val="sq-AL"/>
              </w:rPr>
              <w:t>t</w:t>
            </w:r>
            <w:r w:rsidRPr="00830F4C">
              <w:rPr>
                <w:rFonts w:ascii="Garamond" w:hAnsi="Garamond"/>
                <w:b/>
                <w:color w:val="auto"/>
                <w:lang w:val="sq-AL"/>
              </w:rPr>
              <w:t>atimore 2019</w:t>
            </w:r>
          </w:p>
        </w:tc>
        <w:tc>
          <w:tcPr>
            <w:tcW w:w="0" w:type="auto"/>
          </w:tcPr>
          <w:p w14:paraId="71F0E6AF" w14:textId="74C48FCB" w:rsidR="001652B9" w:rsidRPr="00830F4C" w:rsidRDefault="001652B9" w:rsidP="001652B9">
            <w:pPr>
              <w:pStyle w:val="HTMLPreformatted"/>
              <w:spacing w:after="0" w:line="240" w:lineRule="auto"/>
              <w:jc w:val="center"/>
              <w:rPr>
                <w:rFonts w:ascii="Garamond" w:hAnsi="Garamond"/>
                <w:b/>
                <w:color w:val="auto"/>
                <w:lang w:val="sq-AL"/>
              </w:rPr>
            </w:pPr>
            <w:r w:rsidRPr="00830F4C">
              <w:rPr>
                <w:rFonts w:ascii="Garamond" w:hAnsi="Garamond"/>
                <w:b/>
                <w:color w:val="auto"/>
                <w:lang w:val="sq-AL"/>
              </w:rPr>
              <w:t xml:space="preserve">Të ardhura </w:t>
            </w:r>
            <w:r w:rsidR="00FF624C" w:rsidRPr="00830F4C">
              <w:rPr>
                <w:rFonts w:ascii="Garamond" w:hAnsi="Garamond"/>
                <w:b/>
                <w:color w:val="auto"/>
                <w:lang w:val="sq-AL"/>
              </w:rPr>
              <w:t>t</w:t>
            </w:r>
            <w:r w:rsidRPr="00830F4C">
              <w:rPr>
                <w:rFonts w:ascii="Garamond" w:hAnsi="Garamond"/>
                <w:b/>
                <w:color w:val="auto"/>
                <w:lang w:val="sq-AL"/>
              </w:rPr>
              <w:t>atimore 2023</w:t>
            </w:r>
          </w:p>
        </w:tc>
        <w:tc>
          <w:tcPr>
            <w:tcW w:w="0" w:type="auto"/>
          </w:tcPr>
          <w:p w14:paraId="41CECE98" w14:textId="33CD65FE" w:rsidR="001652B9" w:rsidRPr="00830F4C" w:rsidRDefault="001652B9" w:rsidP="001652B9">
            <w:pPr>
              <w:pStyle w:val="HTMLPreformatted"/>
              <w:spacing w:after="0" w:line="240" w:lineRule="auto"/>
              <w:jc w:val="center"/>
              <w:rPr>
                <w:rFonts w:ascii="Garamond" w:hAnsi="Garamond"/>
                <w:b/>
                <w:color w:val="auto"/>
                <w:lang w:val="sq-AL"/>
              </w:rPr>
            </w:pPr>
            <w:r w:rsidRPr="00830F4C">
              <w:rPr>
                <w:rFonts w:ascii="Garamond" w:hAnsi="Garamond"/>
                <w:b/>
                <w:color w:val="auto"/>
                <w:lang w:val="sq-AL"/>
              </w:rPr>
              <w:t>Të ardhurat tatimore 2027</w:t>
            </w:r>
            <w:r w:rsidR="00FF624C" w:rsidRPr="00830F4C">
              <w:rPr>
                <w:rFonts w:ascii="Garamond" w:hAnsi="Garamond"/>
                <w:b/>
                <w:color w:val="auto"/>
                <w:lang w:val="sq-AL"/>
              </w:rPr>
              <w:t>,</w:t>
            </w:r>
            <w:r w:rsidRPr="00830F4C">
              <w:rPr>
                <w:rFonts w:ascii="Garamond" w:hAnsi="Garamond"/>
                <w:b/>
                <w:color w:val="auto"/>
                <w:lang w:val="sq-AL"/>
              </w:rPr>
              <w:t xml:space="preserve"> </w:t>
            </w:r>
            <w:r w:rsidR="00FF624C" w:rsidRPr="00830F4C">
              <w:rPr>
                <w:rFonts w:ascii="Garamond" w:hAnsi="Garamond"/>
                <w:b/>
                <w:color w:val="auto"/>
                <w:lang w:val="sq-AL"/>
              </w:rPr>
              <w:t>o</w:t>
            </w:r>
            <w:r w:rsidRPr="00830F4C">
              <w:rPr>
                <w:rFonts w:ascii="Garamond" w:hAnsi="Garamond"/>
                <w:b/>
                <w:color w:val="auto"/>
                <w:lang w:val="sq-AL"/>
              </w:rPr>
              <w:t>bjektivi i synuar</w:t>
            </w:r>
          </w:p>
        </w:tc>
        <w:tc>
          <w:tcPr>
            <w:tcW w:w="0" w:type="auto"/>
            <w:shd w:val="clear" w:color="auto" w:fill="F2DBDB" w:themeFill="accent2" w:themeFillTint="33"/>
          </w:tcPr>
          <w:p w14:paraId="35D88359" w14:textId="35584243" w:rsidR="001652B9" w:rsidRPr="00830F4C" w:rsidRDefault="001652B9" w:rsidP="001652B9">
            <w:pPr>
              <w:pStyle w:val="HTMLPreformatted"/>
              <w:spacing w:after="0" w:line="240" w:lineRule="auto"/>
              <w:jc w:val="center"/>
              <w:rPr>
                <w:rFonts w:ascii="Garamond" w:hAnsi="Garamond"/>
                <w:b/>
                <w:color w:val="auto"/>
                <w:lang w:val="sq-AL"/>
              </w:rPr>
            </w:pPr>
            <w:r w:rsidRPr="00830F4C">
              <w:rPr>
                <w:rFonts w:ascii="Garamond" w:hAnsi="Garamond"/>
                <w:b/>
                <w:color w:val="auto"/>
                <w:lang w:val="sq-AL"/>
              </w:rPr>
              <w:t xml:space="preserve">Rritja e të ardhurave </w:t>
            </w:r>
            <w:r w:rsidR="00FF624C" w:rsidRPr="00830F4C">
              <w:rPr>
                <w:rFonts w:ascii="Garamond" w:hAnsi="Garamond"/>
                <w:b/>
                <w:color w:val="auto"/>
                <w:lang w:val="sq-AL"/>
              </w:rPr>
              <w:t>t</w:t>
            </w:r>
            <w:r w:rsidRPr="00830F4C">
              <w:rPr>
                <w:rFonts w:ascii="Garamond" w:hAnsi="Garamond"/>
                <w:b/>
                <w:color w:val="auto"/>
                <w:lang w:val="sq-AL"/>
              </w:rPr>
              <w:t>atimore (</w:t>
            </w:r>
            <w:r w:rsidR="00FF624C" w:rsidRPr="00830F4C">
              <w:rPr>
                <w:rFonts w:ascii="Garamond" w:hAnsi="Garamond"/>
                <w:b/>
                <w:color w:val="auto"/>
                <w:lang w:val="sq-AL"/>
              </w:rPr>
              <w:t>d</w:t>
            </w:r>
            <w:r w:rsidRPr="00830F4C">
              <w:rPr>
                <w:rFonts w:ascii="Garamond" w:hAnsi="Garamond"/>
                <w:b/>
                <w:color w:val="auto"/>
                <w:lang w:val="sq-AL"/>
              </w:rPr>
              <w:t>iferenca 2027</w:t>
            </w:r>
            <w:r w:rsidR="00FF624C" w:rsidRPr="00830F4C">
              <w:rPr>
                <w:rFonts w:ascii="Garamond" w:hAnsi="Garamond"/>
                <w:b/>
                <w:lang w:val="sq-AL"/>
              </w:rPr>
              <w:t>–</w:t>
            </w:r>
            <w:r w:rsidRPr="00830F4C">
              <w:rPr>
                <w:rFonts w:ascii="Garamond" w:hAnsi="Garamond"/>
                <w:b/>
                <w:color w:val="auto"/>
                <w:lang w:val="sq-AL"/>
              </w:rPr>
              <w:t>2023)</w:t>
            </w:r>
          </w:p>
        </w:tc>
        <w:tc>
          <w:tcPr>
            <w:tcW w:w="0" w:type="auto"/>
            <w:shd w:val="clear" w:color="auto" w:fill="F2DBDB" w:themeFill="accent2" w:themeFillTint="33"/>
          </w:tcPr>
          <w:p w14:paraId="4E33B6E9" w14:textId="1E6DFCFA" w:rsidR="001652B9" w:rsidRPr="00830F4C" w:rsidRDefault="001652B9" w:rsidP="001652B9">
            <w:pPr>
              <w:pStyle w:val="HTMLPreformatted"/>
              <w:spacing w:after="0" w:line="240" w:lineRule="auto"/>
              <w:jc w:val="center"/>
              <w:rPr>
                <w:rFonts w:ascii="Garamond" w:hAnsi="Garamond"/>
                <w:b/>
                <w:color w:val="auto"/>
                <w:lang w:val="sq-AL"/>
              </w:rPr>
            </w:pPr>
            <w:r w:rsidRPr="00830F4C">
              <w:rPr>
                <w:rFonts w:ascii="Garamond" w:hAnsi="Garamond"/>
                <w:b/>
                <w:color w:val="auto"/>
                <w:lang w:val="sq-AL"/>
              </w:rPr>
              <w:t xml:space="preserve">Rritja e të ardhurave </w:t>
            </w:r>
            <w:r w:rsidR="00FF624C" w:rsidRPr="00830F4C">
              <w:rPr>
                <w:rFonts w:ascii="Garamond" w:hAnsi="Garamond"/>
                <w:b/>
                <w:color w:val="auto"/>
                <w:lang w:val="sq-AL"/>
              </w:rPr>
              <w:t>t</w:t>
            </w:r>
            <w:r w:rsidRPr="00830F4C">
              <w:rPr>
                <w:rFonts w:ascii="Garamond" w:hAnsi="Garamond"/>
                <w:b/>
                <w:color w:val="auto"/>
                <w:lang w:val="sq-AL"/>
              </w:rPr>
              <w:t>atimore (</w:t>
            </w:r>
            <w:r w:rsidR="00FF624C" w:rsidRPr="00830F4C">
              <w:rPr>
                <w:rFonts w:ascii="Garamond" w:hAnsi="Garamond"/>
                <w:b/>
                <w:color w:val="auto"/>
                <w:lang w:val="sq-AL"/>
              </w:rPr>
              <w:t>d</w:t>
            </w:r>
            <w:r w:rsidRPr="00830F4C">
              <w:rPr>
                <w:rFonts w:ascii="Garamond" w:hAnsi="Garamond"/>
                <w:b/>
                <w:color w:val="auto"/>
                <w:lang w:val="sq-AL"/>
              </w:rPr>
              <w:t>iferenca 2027</w:t>
            </w:r>
            <w:r w:rsidR="00FF624C" w:rsidRPr="00830F4C">
              <w:rPr>
                <w:rFonts w:ascii="Garamond" w:hAnsi="Garamond"/>
                <w:b/>
                <w:lang w:val="sq-AL"/>
              </w:rPr>
              <w:t>–</w:t>
            </w:r>
            <w:r w:rsidRPr="00830F4C">
              <w:rPr>
                <w:rFonts w:ascii="Garamond" w:hAnsi="Garamond"/>
                <w:b/>
                <w:color w:val="auto"/>
                <w:lang w:val="sq-AL"/>
              </w:rPr>
              <w:t>2019)</w:t>
            </w:r>
          </w:p>
        </w:tc>
      </w:tr>
      <w:tr w:rsidR="001652B9" w:rsidRPr="00830F4C" w14:paraId="43A8D3FB" w14:textId="77777777" w:rsidTr="00DB1B60">
        <w:trPr>
          <w:trHeight w:val="20"/>
        </w:trPr>
        <w:tc>
          <w:tcPr>
            <w:tcW w:w="0" w:type="auto"/>
            <w:vAlign w:val="center"/>
          </w:tcPr>
          <w:p w14:paraId="72ABA825" w14:textId="0A0AD072" w:rsidR="001652B9" w:rsidRPr="00830F4C" w:rsidRDefault="001652B9" w:rsidP="00DB1B60">
            <w:pPr>
              <w:pStyle w:val="HTMLPreformatted"/>
              <w:spacing w:after="0" w:line="240" w:lineRule="auto"/>
              <w:jc w:val="center"/>
              <w:rPr>
                <w:rFonts w:ascii="Garamond" w:hAnsi="Garamond"/>
                <w:color w:val="auto"/>
                <w:lang w:val="sq-AL"/>
              </w:rPr>
            </w:pPr>
            <w:r w:rsidRPr="00830F4C">
              <w:rPr>
                <w:rFonts w:ascii="Garamond" w:hAnsi="Garamond"/>
                <w:color w:val="auto"/>
                <w:lang w:val="sq-AL"/>
              </w:rPr>
              <w:t>25.2% e PBB</w:t>
            </w:r>
            <w:r w:rsidR="00DB1B60" w:rsidRPr="00830F4C">
              <w:rPr>
                <w:rFonts w:ascii="Garamond" w:hAnsi="Garamond"/>
                <w:color w:val="auto"/>
                <w:lang w:val="sq-AL"/>
              </w:rPr>
              <w:t>-së</w:t>
            </w:r>
          </w:p>
        </w:tc>
        <w:tc>
          <w:tcPr>
            <w:tcW w:w="0" w:type="auto"/>
            <w:vAlign w:val="center"/>
          </w:tcPr>
          <w:p w14:paraId="3E5E8376" w14:textId="46CEE3ED" w:rsidR="001652B9" w:rsidRPr="00830F4C" w:rsidRDefault="001652B9" w:rsidP="00DB1B60">
            <w:pPr>
              <w:pStyle w:val="HTMLPreformatted"/>
              <w:spacing w:after="0" w:line="240" w:lineRule="auto"/>
              <w:jc w:val="center"/>
              <w:rPr>
                <w:rFonts w:ascii="Garamond" w:hAnsi="Garamond"/>
                <w:color w:val="auto"/>
                <w:lang w:val="sq-AL"/>
              </w:rPr>
            </w:pPr>
            <w:r w:rsidRPr="00830F4C">
              <w:rPr>
                <w:rFonts w:ascii="Garamond" w:hAnsi="Garamond"/>
                <w:color w:val="auto"/>
                <w:lang w:val="sq-AL"/>
              </w:rPr>
              <w:t>25.9% e PBB</w:t>
            </w:r>
            <w:r w:rsidR="00DB1B60" w:rsidRPr="00830F4C">
              <w:rPr>
                <w:rFonts w:ascii="Garamond" w:hAnsi="Garamond"/>
                <w:color w:val="auto"/>
                <w:lang w:val="sq-AL"/>
              </w:rPr>
              <w:t>-së</w:t>
            </w:r>
          </w:p>
        </w:tc>
        <w:tc>
          <w:tcPr>
            <w:tcW w:w="0" w:type="auto"/>
            <w:vAlign w:val="center"/>
          </w:tcPr>
          <w:p w14:paraId="4AE60E9F" w14:textId="7A9BD1DC" w:rsidR="001652B9" w:rsidRPr="00830F4C" w:rsidRDefault="001652B9" w:rsidP="00DB1B60">
            <w:pPr>
              <w:pStyle w:val="HTMLPreformatted"/>
              <w:spacing w:after="0" w:line="240" w:lineRule="auto"/>
              <w:jc w:val="center"/>
              <w:rPr>
                <w:rFonts w:ascii="Garamond" w:hAnsi="Garamond"/>
                <w:color w:val="auto"/>
                <w:lang w:val="sq-AL"/>
              </w:rPr>
            </w:pPr>
            <w:r w:rsidRPr="00830F4C">
              <w:rPr>
                <w:rFonts w:ascii="Garamond" w:hAnsi="Garamond"/>
                <w:color w:val="auto"/>
                <w:lang w:val="sq-AL"/>
              </w:rPr>
              <w:t xml:space="preserve">27.7% </w:t>
            </w:r>
            <w:r w:rsidR="00DB1B60" w:rsidRPr="00830F4C">
              <w:rPr>
                <w:rFonts w:ascii="Garamond" w:hAnsi="Garamond"/>
                <w:color w:val="auto"/>
                <w:lang w:val="sq-AL"/>
              </w:rPr>
              <w:t xml:space="preserve">e </w:t>
            </w:r>
            <w:r w:rsidRPr="00830F4C">
              <w:rPr>
                <w:rFonts w:ascii="Garamond" w:hAnsi="Garamond"/>
                <w:color w:val="auto"/>
                <w:lang w:val="sq-AL"/>
              </w:rPr>
              <w:t>PBB</w:t>
            </w:r>
            <w:r w:rsidR="00DB1B60" w:rsidRPr="00830F4C">
              <w:rPr>
                <w:rFonts w:ascii="Garamond" w:hAnsi="Garamond"/>
                <w:color w:val="auto"/>
                <w:lang w:val="sq-AL"/>
              </w:rPr>
              <w:t>-së</w:t>
            </w:r>
          </w:p>
        </w:tc>
        <w:tc>
          <w:tcPr>
            <w:tcW w:w="0" w:type="auto"/>
            <w:shd w:val="clear" w:color="auto" w:fill="F2DBDB" w:themeFill="accent2" w:themeFillTint="33"/>
            <w:vAlign w:val="center"/>
          </w:tcPr>
          <w:p w14:paraId="76CBD1E9" w14:textId="77777777" w:rsidR="001652B9" w:rsidRPr="00830F4C" w:rsidRDefault="001652B9" w:rsidP="00DB1B60">
            <w:pPr>
              <w:pStyle w:val="HTMLPreformatted"/>
              <w:numPr>
                <w:ilvl w:val="1"/>
                <w:numId w:val="1"/>
              </w:numPr>
              <w:autoSpaceDE/>
              <w:autoSpaceDN/>
              <w:adjustRightInd/>
              <w:spacing w:after="0" w:line="240" w:lineRule="auto"/>
              <w:ind w:left="0" w:firstLine="0"/>
              <w:jc w:val="center"/>
              <w:rPr>
                <w:rFonts w:ascii="Garamond" w:hAnsi="Garamond"/>
                <w:color w:val="auto"/>
                <w:lang w:val="sq-AL"/>
              </w:rPr>
            </w:pPr>
            <w:r w:rsidRPr="00830F4C">
              <w:rPr>
                <w:rFonts w:ascii="Garamond" w:hAnsi="Garamond"/>
                <w:color w:val="auto"/>
                <w:lang w:val="sq-AL"/>
              </w:rPr>
              <w:t>%</w:t>
            </w:r>
          </w:p>
        </w:tc>
        <w:tc>
          <w:tcPr>
            <w:tcW w:w="0" w:type="auto"/>
            <w:shd w:val="clear" w:color="auto" w:fill="F2DBDB" w:themeFill="accent2" w:themeFillTint="33"/>
            <w:vAlign w:val="center"/>
          </w:tcPr>
          <w:p w14:paraId="0440C3EB" w14:textId="77777777" w:rsidR="001652B9" w:rsidRPr="00830F4C" w:rsidRDefault="001652B9" w:rsidP="00DB1B60">
            <w:pPr>
              <w:pStyle w:val="HTMLPreformatted"/>
              <w:spacing w:after="0" w:line="240" w:lineRule="auto"/>
              <w:jc w:val="center"/>
              <w:rPr>
                <w:rFonts w:ascii="Garamond" w:hAnsi="Garamond"/>
                <w:color w:val="auto"/>
                <w:lang w:val="sq-AL"/>
              </w:rPr>
            </w:pPr>
            <w:r w:rsidRPr="00830F4C">
              <w:rPr>
                <w:rFonts w:ascii="Garamond" w:hAnsi="Garamond"/>
                <w:color w:val="auto"/>
                <w:lang w:val="sq-AL"/>
              </w:rPr>
              <w:t>2.5 %</w:t>
            </w:r>
          </w:p>
        </w:tc>
      </w:tr>
    </w:tbl>
    <w:p w14:paraId="3ED91435" w14:textId="43239799" w:rsidR="00DB49D5" w:rsidRPr="00830F4C" w:rsidRDefault="00DB49D5" w:rsidP="00DB49D5">
      <w:pPr>
        <w:autoSpaceDE w:val="0"/>
        <w:autoSpaceDN w:val="0"/>
        <w:adjustRightInd w:val="0"/>
        <w:ind w:firstLine="284"/>
        <w:jc w:val="both"/>
        <w:rPr>
          <w:rFonts w:ascii="Garamond" w:eastAsiaTheme="minorHAnsi" w:hAnsi="Garamond"/>
        </w:rPr>
      </w:pPr>
      <w:r w:rsidRPr="00830F4C">
        <w:rPr>
          <w:rFonts w:ascii="Garamond" w:eastAsiaTheme="minorHAnsi" w:hAnsi="Garamond"/>
        </w:rPr>
        <w:t>Duke marrë në konsideratë se politika fiskale përdoret edhe për të stimuluar dhe zhvilluar sektorë të ndryshëm të ekonomisë, synohet që nëpërmjet kësaj strategjie të ndërmerren masa të forta që të mund të financojnë me rreth +2.5% të PBB</w:t>
      </w:r>
      <w:r w:rsidR="00FF624C" w:rsidRPr="00830F4C">
        <w:rPr>
          <w:rFonts w:ascii="Garamond" w:eastAsiaTheme="minorHAnsi" w:hAnsi="Garamond"/>
        </w:rPr>
        <w:t>-së</w:t>
      </w:r>
      <w:r w:rsidRPr="00830F4C">
        <w:rPr>
          <w:rFonts w:ascii="Garamond" w:eastAsiaTheme="minorHAnsi" w:hAnsi="Garamond"/>
        </w:rPr>
        <w:t xml:space="preserve"> nevojat shtesë buxhetore, duke rritur kështu financimin e politikave sektoriale.</w:t>
      </w:r>
    </w:p>
    <w:p w14:paraId="28E90ECC" w14:textId="7BBAAA48" w:rsidR="00DB49D5" w:rsidRPr="00830F4C" w:rsidRDefault="00DB49D5" w:rsidP="00DB49D5">
      <w:pPr>
        <w:autoSpaceDE w:val="0"/>
        <w:autoSpaceDN w:val="0"/>
        <w:adjustRightInd w:val="0"/>
        <w:ind w:firstLine="284"/>
        <w:jc w:val="both"/>
        <w:rPr>
          <w:rFonts w:ascii="Garamond" w:eastAsiaTheme="minorHAnsi" w:hAnsi="Garamond"/>
        </w:rPr>
      </w:pPr>
      <w:r w:rsidRPr="00830F4C">
        <w:rPr>
          <w:rFonts w:ascii="Garamond" w:eastAsiaTheme="minorHAnsi" w:hAnsi="Garamond"/>
        </w:rPr>
        <w:t>Tr</w:t>
      </w:r>
      <w:r w:rsidR="00DB1B60" w:rsidRPr="00830F4C">
        <w:rPr>
          <w:rFonts w:ascii="Garamond" w:eastAsiaTheme="minorHAnsi" w:hAnsi="Garamond"/>
        </w:rPr>
        <w:t>i</w:t>
      </w:r>
      <w:r w:rsidRPr="00830F4C">
        <w:rPr>
          <w:rFonts w:ascii="Garamond" w:eastAsiaTheme="minorHAnsi" w:hAnsi="Garamond"/>
        </w:rPr>
        <w:t xml:space="preserve"> janë grupet përbërëse të të ardhurave të buxhetit të shtetit: </w:t>
      </w:r>
    </w:p>
    <w:p w14:paraId="0FE95DE9" w14:textId="0A7BA809" w:rsidR="00DB49D5" w:rsidRPr="00830F4C" w:rsidRDefault="00DB49D5" w:rsidP="00DB49D5">
      <w:pPr>
        <w:autoSpaceDE w:val="0"/>
        <w:autoSpaceDN w:val="0"/>
        <w:adjustRightInd w:val="0"/>
        <w:ind w:firstLine="284"/>
        <w:jc w:val="both"/>
        <w:rPr>
          <w:rFonts w:ascii="Garamond" w:eastAsiaTheme="minorHAnsi" w:hAnsi="Garamond"/>
        </w:rPr>
      </w:pPr>
      <w:r w:rsidRPr="00830F4C">
        <w:rPr>
          <w:rFonts w:ascii="Garamond" w:eastAsiaTheme="minorHAnsi" w:hAnsi="Garamond"/>
        </w:rPr>
        <w:t>1</w:t>
      </w:r>
      <w:r w:rsidR="00723888" w:rsidRPr="00830F4C">
        <w:rPr>
          <w:rFonts w:ascii="Garamond" w:eastAsiaTheme="minorHAnsi" w:hAnsi="Garamond"/>
        </w:rPr>
        <w:t>.</w:t>
      </w:r>
      <w:r w:rsidRPr="00830F4C">
        <w:rPr>
          <w:rFonts w:ascii="Garamond" w:eastAsiaTheme="minorHAnsi" w:hAnsi="Garamond"/>
        </w:rPr>
        <w:t xml:space="preserve"> </w:t>
      </w:r>
      <w:r w:rsidR="00DB1B60" w:rsidRPr="00830F4C">
        <w:rPr>
          <w:rFonts w:ascii="Garamond" w:eastAsiaTheme="minorHAnsi" w:hAnsi="Garamond"/>
        </w:rPr>
        <w:t xml:space="preserve">Të </w:t>
      </w:r>
      <w:r w:rsidRPr="00830F4C">
        <w:rPr>
          <w:rFonts w:ascii="Garamond" w:eastAsiaTheme="minorHAnsi" w:hAnsi="Garamond"/>
        </w:rPr>
        <w:t>ardhurat nga grantet</w:t>
      </w:r>
      <w:r w:rsidR="00DB1B60" w:rsidRPr="00830F4C">
        <w:rPr>
          <w:rFonts w:ascii="Garamond" w:eastAsiaTheme="minorHAnsi" w:hAnsi="Garamond"/>
        </w:rPr>
        <w:t>;</w:t>
      </w:r>
    </w:p>
    <w:p w14:paraId="06C47729" w14:textId="2CF7C159" w:rsidR="00DB49D5" w:rsidRPr="00830F4C" w:rsidRDefault="00DB49D5" w:rsidP="00DB49D5">
      <w:pPr>
        <w:autoSpaceDE w:val="0"/>
        <w:autoSpaceDN w:val="0"/>
        <w:adjustRightInd w:val="0"/>
        <w:ind w:firstLine="284"/>
        <w:jc w:val="both"/>
        <w:rPr>
          <w:rFonts w:ascii="Garamond" w:eastAsiaTheme="minorHAnsi" w:hAnsi="Garamond"/>
        </w:rPr>
      </w:pPr>
      <w:r w:rsidRPr="00830F4C">
        <w:rPr>
          <w:rFonts w:ascii="Garamond" w:eastAsiaTheme="minorHAnsi" w:hAnsi="Garamond"/>
        </w:rPr>
        <w:t>2</w:t>
      </w:r>
      <w:r w:rsidR="00723888" w:rsidRPr="00830F4C">
        <w:rPr>
          <w:rFonts w:ascii="Garamond" w:eastAsiaTheme="minorHAnsi" w:hAnsi="Garamond"/>
        </w:rPr>
        <w:t>.</w:t>
      </w:r>
      <w:r w:rsidRPr="00830F4C">
        <w:rPr>
          <w:rFonts w:ascii="Garamond" w:eastAsiaTheme="minorHAnsi" w:hAnsi="Garamond"/>
        </w:rPr>
        <w:t xml:space="preserve"> </w:t>
      </w:r>
      <w:r w:rsidR="00DB1B60" w:rsidRPr="00830F4C">
        <w:rPr>
          <w:rFonts w:ascii="Garamond" w:eastAsiaTheme="minorHAnsi" w:hAnsi="Garamond"/>
        </w:rPr>
        <w:t xml:space="preserve">Të </w:t>
      </w:r>
      <w:r w:rsidRPr="00830F4C">
        <w:rPr>
          <w:rFonts w:ascii="Garamond" w:eastAsiaTheme="minorHAnsi" w:hAnsi="Garamond"/>
        </w:rPr>
        <w:t>ardhurat tatimore</w:t>
      </w:r>
      <w:r w:rsidR="00DB1B60" w:rsidRPr="00830F4C">
        <w:rPr>
          <w:rFonts w:ascii="Garamond" w:eastAsiaTheme="minorHAnsi" w:hAnsi="Garamond"/>
        </w:rPr>
        <w:t>;</w:t>
      </w:r>
      <w:r w:rsidRPr="00830F4C">
        <w:rPr>
          <w:rFonts w:ascii="Garamond" w:eastAsiaTheme="minorHAnsi" w:hAnsi="Garamond"/>
        </w:rPr>
        <w:t xml:space="preserve"> dhe</w:t>
      </w:r>
    </w:p>
    <w:p w14:paraId="3A1C0642" w14:textId="4B1DE1FB" w:rsidR="00DB49D5" w:rsidRPr="00830F4C" w:rsidRDefault="00DB49D5" w:rsidP="00DB49D5">
      <w:pPr>
        <w:autoSpaceDE w:val="0"/>
        <w:autoSpaceDN w:val="0"/>
        <w:adjustRightInd w:val="0"/>
        <w:ind w:firstLine="284"/>
        <w:jc w:val="both"/>
        <w:rPr>
          <w:rFonts w:ascii="Garamond" w:eastAsiaTheme="minorHAnsi" w:hAnsi="Garamond"/>
        </w:rPr>
      </w:pPr>
      <w:r w:rsidRPr="00830F4C">
        <w:rPr>
          <w:rFonts w:ascii="Garamond" w:eastAsiaTheme="minorHAnsi" w:hAnsi="Garamond"/>
        </w:rPr>
        <w:t>3</w:t>
      </w:r>
      <w:r w:rsidR="00723888" w:rsidRPr="00830F4C">
        <w:rPr>
          <w:rFonts w:ascii="Garamond" w:eastAsiaTheme="minorHAnsi" w:hAnsi="Garamond"/>
        </w:rPr>
        <w:t>.</w:t>
      </w:r>
      <w:r w:rsidRPr="00830F4C">
        <w:rPr>
          <w:rFonts w:ascii="Garamond" w:eastAsiaTheme="minorHAnsi" w:hAnsi="Garamond"/>
        </w:rPr>
        <w:t xml:space="preserve"> </w:t>
      </w:r>
      <w:r w:rsidR="00DB1B60" w:rsidRPr="00830F4C">
        <w:rPr>
          <w:rFonts w:ascii="Garamond" w:eastAsiaTheme="minorHAnsi" w:hAnsi="Garamond"/>
        </w:rPr>
        <w:t>Të</w:t>
      </w:r>
      <w:r w:rsidRPr="00830F4C">
        <w:rPr>
          <w:rFonts w:ascii="Garamond" w:eastAsiaTheme="minorHAnsi" w:hAnsi="Garamond"/>
        </w:rPr>
        <w:t xml:space="preserve"> ardhurat jotatimore.</w:t>
      </w:r>
    </w:p>
    <w:p w14:paraId="6028EBD0" w14:textId="77777777" w:rsidR="00DB49D5" w:rsidRPr="00830F4C" w:rsidRDefault="00DB49D5" w:rsidP="00DB49D5">
      <w:pPr>
        <w:autoSpaceDE w:val="0"/>
        <w:autoSpaceDN w:val="0"/>
        <w:adjustRightInd w:val="0"/>
        <w:ind w:firstLine="284"/>
        <w:jc w:val="both"/>
        <w:rPr>
          <w:rFonts w:ascii="Garamond" w:eastAsiaTheme="minorHAnsi" w:hAnsi="Garamond"/>
        </w:rPr>
      </w:pPr>
      <w:r w:rsidRPr="00830F4C">
        <w:rPr>
          <w:rFonts w:ascii="Garamond" w:eastAsiaTheme="minorHAnsi" w:hAnsi="Garamond"/>
        </w:rPr>
        <w:t xml:space="preserve">Të ardhurat tatimore përbëjnë grupin më të madh të të ardhurave, me 93% të të ardhurave të buxhetit të shtetit. </w:t>
      </w:r>
    </w:p>
    <w:p w14:paraId="1CEB829A" w14:textId="30154DEB" w:rsidR="00DB49D5" w:rsidRPr="00830F4C" w:rsidRDefault="00DB49D5" w:rsidP="00DB49D5">
      <w:pPr>
        <w:autoSpaceDE w:val="0"/>
        <w:autoSpaceDN w:val="0"/>
        <w:adjustRightInd w:val="0"/>
        <w:ind w:firstLine="284"/>
        <w:jc w:val="both"/>
        <w:rPr>
          <w:rFonts w:ascii="Garamond" w:eastAsiaTheme="minorHAnsi" w:hAnsi="Garamond"/>
        </w:rPr>
      </w:pPr>
      <w:r w:rsidRPr="00830F4C">
        <w:rPr>
          <w:rFonts w:ascii="Garamond" w:eastAsiaTheme="minorHAnsi" w:hAnsi="Garamond"/>
        </w:rPr>
        <w:t>Të ardhurat tatimore përbëhen nga tr</w:t>
      </w:r>
      <w:r w:rsidR="00DB1B60" w:rsidRPr="00830F4C">
        <w:rPr>
          <w:rFonts w:ascii="Garamond" w:eastAsiaTheme="minorHAnsi" w:hAnsi="Garamond"/>
        </w:rPr>
        <w:t>i</w:t>
      </w:r>
      <w:r w:rsidRPr="00830F4C">
        <w:rPr>
          <w:rFonts w:ascii="Garamond" w:eastAsiaTheme="minorHAnsi" w:hAnsi="Garamond"/>
        </w:rPr>
        <w:t xml:space="preserve"> grupe të ardhura</w:t>
      </w:r>
      <w:r w:rsidR="00DB1B60" w:rsidRPr="00830F4C">
        <w:rPr>
          <w:rFonts w:ascii="Garamond" w:eastAsiaTheme="minorHAnsi" w:hAnsi="Garamond"/>
        </w:rPr>
        <w:t>sh</w:t>
      </w:r>
      <w:r w:rsidRPr="00830F4C">
        <w:rPr>
          <w:rFonts w:ascii="Garamond" w:eastAsiaTheme="minorHAnsi" w:hAnsi="Garamond"/>
        </w:rPr>
        <w:t>: të ardhurat nga tatimet dhe doganat, të ardhurat nga pushteti vendor dhe të ardhurat nga kontributet.</w:t>
      </w:r>
    </w:p>
    <w:p w14:paraId="11FE00FA" w14:textId="77777777" w:rsidR="00DB49D5" w:rsidRPr="00830F4C" w:rsidRDefault="00DB49D5" w:rsidP="00723888">
      <w:pPr>
        <w:pStyle w:val="Caption"/>
        <w:spacing w:after="0"/>
        <w:rPr>
          <w:rFonts w:ascii="Times New Roman" w:hAnsi="Times New Roman" w:cs="Times New Roman"/>
          <w:color w:val="auto"/>
          <w:sz w:val="20"/>
        </w:rPr>
      </w:pPr>
      <w:bookmarkStart w:id="5" w:name="_Toc185235118"/>
      <w:r w:rsidRPr="00830F4C">
        <w:rPr>
          <w:rFonts w:ascii="Times New Roman" w:hAnsi="Times New Roman" w:cs="Times New Roman"/>
          <w:color w:val="auto"/>
          <w:sz w:val="20"/>
        </w:rPr>
        <w:t xml:space="preserve">Grafik </w:t>
      </w:r>
      <w:r w:rsidRPr="00830F4C">
        <w:rPr>
          <w:rFonts w:ascii="Times New Roman" w:hAnsi="Times New Roman" w:cs="Times New Roman"/>
          <w:color w:val="auto"/>
          <w:sz w:val="20"/>
        </w:rPr>
        <w:fldChar w:fldCharType="begin"/>
      </w:r>
      <w:r w:rsidRPr="00830F4C">
        <w:rPr>
          <w:rFonts w:ascii="Times New Roman" w:hAnsi="Times New Roman" w:cs="Times New Roman"/>
          <w:color w:val="auto"/>
          <w:sz w:val="20"/>
        </w:rPr>
        <w:instrText xml:space="preserve"> SEQ Grafik \* ARABIC </w:instrText>
      </w:r>
      <w:r w:rsidRPr="00830F4C">
        <w:rPr>
          <w:rFonts w:ascii="Times New Roman" w:hAnsi="Times New Roman" w:cs="Times New Roman"/>
          <w:color w:val="auto"/>
          <w:sz w:val="20"/>
        </w:rPr>
        <w:fldChar w:fldCharType="separate"/>
      </w:r>
      <w:r w:rsidRPr="00830F4C">
        <w:rPr>
          <w:rFonts w:ascii="Times New Roman" w:hAnsi="Times New Roman" w:cs="Times New Roman"/>
          <w:color w:val="auto"/>
          <w:sz w:val="20"/>
        </w:rPr>
        <w:t>2</w:t>
      </w:r>
      <w:r w:rsidRPr="00830F4C">
        <w:rPr>
          <w:rFonts w:ascii="Times New Roman" w:hAnsi="Times New Roman" w:cs="Times New Roman"/>
          <w:color w:val="auto"/>
          <w:sz w:val="20"/>
        </w:rPr>
        <w:fldChar w:fldCharType="end"/>
      </w:r>
      <w:r w:rsidRPr="00830F4C">
        <w:rPr>
          <w:rFonts w:ascii="Times New Roman" w:hAnsi="Times New Roman" w:cs="Times New Roman"/>
          <w:color w:val="auto"/>
          <w:sz w:val="20"/>
        </w:rPr>
        <w:t>: Përbërja e të ardhurave të buxhetit të shtetit, viti 2023</w:t>
      </w:r>
      <w:bookmarkEnd w:id="5"/>
    </w:p>
    <w:p w14:paraId="58781EAE" w14:textId="77777777" w:rsidR="00DB49D5" w:rsidRPr="00830F4C" w:rsidRDefault="00DB49D5" w:rsidP="001652B9">
      <w:pPr>
        <w:rPr>
          <w:rFonts w:ascii="Garamond" w:hAnsi="Garamond"/>
        </w:rPr>
      </w:pPr>
      <w:r w:rsidRPr="00830F4C">
        <w:rPr>
          <w:noProof/>
          <w:lang w:val="en-US"/>
        </w:rPr>
        <w:drawing>
          <wp:inline distT="0" distB="0" distL="0" distR="0" wp14:anchorId="7D881C41" wp14:editId="69B0F1E8">
            <wp:extent cx="5794872" cy="1674495"/>
            <wp:effectExtent l="0" t="0" r="15875" b="1905"/>
            <wp:docPr id="128586724" name="Chart 128586724">
              <a:extLst xmlns:a="http://schemas.openxmlformats.org/drawingml/2006/main">
                <a:ext uri="{FF2B5EF4-FFF2-40B4-BE49-F238E27FC236}">
                  <a16:creationId xmlns:a16="http://schemas.microsoft.com/office/drawing/2014/main" id="{25614C76-64BA-4E1C-B718-1B0786ABD0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33DEB54" w14:textId="77777777" w:rsidR="00DB49D5" w:rsidRPr="00830F4C" w:rsidRDefault="00DB49D5" w:rsidP="00723888">
      <w:pPr>
        <w:pStyle w:val="Caption"/>
        <w:spacing w:after="0"/>
        <w:rPr>
          <w:rFonts w:ascii="Times New Roman" w:hAnsi="Times New Roman" w:cs="Times New Roman"/>
          <w:color w:val="auto"/>
          <w:sz w:val="28"/>
          <w:szCs w:val="24"/>
        </w:rPr>
      </w:pPr>
      <w:bookmarkStart w:id="6" w:name="_Toc185235119"/>
      <w:r w:rsidRPr="00830F4C">
        <w:rPr>
          <w:rFonts w:ascii="Times New Roman" w:hAnsi="Times New Roman" w:cs="Times New Roman"/>
          <w:color w:val="auto"/>
          <w:sz w:val="20"/>
        </w:rPr>
        <w:t xml:space="preserve">Grafik </w:t>
      </w:r>
      <w:r w:rsidRPr="00830F4C">
        <w:rPr>
          <w:rFonts w:ascii="Times New Roman" w:hAnsi="Times New Roman" w:cs="Times New Roman"/>
          <w:color w:val="auto"/>
          <w:sz w:val="20"/>
        </w:rPr>
        <w:fldChar w:fldCharType="begin"/>
      </w:r>
      <w:r w:rsidRPr="00830F4C">
        <w:rPr>
          <w:rFonts w:ascii="Times New Roman" w:hAnsi="Times New Roman" w:cs="Times New Roman"/>
          <w:color w:val="auto"/>
          <w:sz w:val="20"/>
        </w:rPr>
        <w:instrText xml:space="preserve"> SEQ Grafik \* ARABIC </w:instrText>
      </w:r>
      <w:r w:rsidRPr="00830F4C">
        <w:rPr>
          <w:rFonts w:ascii="Times New Roman" w:hAnsi="Times New Roman" w:cs="Times New Roman"/>
          <w:color w:val="auto"/>
          <w:sz w:val="20"/>
        </w:rPr>
        <w:fldChar w:fldCharType="separate"/>
      </w:r>
      <w:r w:rsidRPr="00830F4C">
        <w:rPr>
          <w:rFonts w:ascii="Times New Roman" w:hAnsi="Times New Roman" w:cs="Times New Roman"/>
          <w:color w:val="auto"/>
          <w:sz w:val="20"/>
        </w:rPr>
        <w:t>3</w:t>
      </w:r>
      <w:r w:rsidRPr="00830F4C">
        <w:rPr>
          <w:rFonts w:ascii="Times New Roman" w:hAnsi="Times New Roman" w:cs="Times New Roman"/>
          <w:color w:val="auto"/>
          <w:sz w:val="20"/>
        </w:rPr>
        <w:fldChar w:fldCharType="end"/>
      </w:r>
      <w:r w:rsidRPr="00830F4C">
        <w:rPr>
          <w:rFonts w:ascii="Times New Roman" w:hAnsi="Times New Roman" w:cs="Times New Roman"/>
          <w:color w:val="auto"/>
          <w:sz w:val="20"/>
        </w:rPr>
        <w:t>: Përbërja e të ardhurave tatimore, viti 2023</w:t>
      </w:r>
      <w:bookmarkEnd w:id="6"/>
    </w:p>
    <w:p w14:paraId="4979C17E" w14:textId="77777777" w:rsidR="00DB49D5" w:rsidRPr="00830F4C" w:rsidRDefault="00DB49D5" w:rsidP="00DB49D5">
      <w:r w:rsidRPr="00830F4C">
        <w:rPr>
          <w:noProof/>
          <w:lang w:val="en-US"/>
        </w:rPr>
        <w:drawing>
          <wp:inline distT="0" distB="0" distL="0" distR="0" wp14:anchorId="443D3AB5" wp14:editId="7C01FB08">
            <wp:extent cx="5781675" cy="1431925"/>
            <wp:effectExtent l="0" t="0" r="9525" b="15875"/>
            <wp:docPr id="183854467" name="Chart 183854467">
              <a:extLst xmlns:a="http://schemas.openxmlformats.org/drawingml/2006/main">
                <a:ext uri="{FF2B5EF4-FFF2-40B4-BE49-F238E27FC236}">
                  <a16:creationId xmlns:a16="http://schemas.microsoft.com/office/drawing/2014/main" id="{623D2517-4A4A-44F4-AE57-5077FB8AFD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F00DFA7" w14:textId="77777777" w:rsidR="00DB49D5" w:rsidRPr="00830F4C" w:rsidRDefault="00DB49D5" w:rsidP="00723888">
      <w:pPr>
        <w:pStyle w:val="Caption"/>
        <w:spacing w:after="0"/>
        <w:rPr>
          <w:rFonts w:ascii="Times New Roman" w:hAnsi="Times New Roman" w:cs="Times New Roman"/>
          <w:color w:val="auto"/>
          <w:sz w:val="20"/>
        </w:rPr>
      </w:pPr>
      <w:bookmarkStart w:id="7" w:name="_Toc185235120"/>
      <w:r w:rsidRPr="00830F4C">
        <w:rPr>
          <w:rFonts w:ascii="Times New Roman" w:hAnsi="Times New Roman" w:cs="Times New Roman"/>
          <w:color w:val="auto"/>
          <w:sz w:val="20"/>
        </w:rPr>
        <w:t xml:space="preserve">Grafik </w:t>
      </w:r>
      <w:r w:rsidRPr="00830F4C">
        <w:rPr>
          <w:rFonts w:ascii="Times New Roman" w:hAnsi="Times New Roman" w:cs="Times New Roman"/>
          <w:color w:val="auto"/>
          <w:sz w:val="20"/>
        </w:rPr>
        <w:fldChar w:fldCharType="begin"/>
      </w:r>
      <w:r w:rsidRPr="00830F4C">
        <w:rPr>
          <w:rFonts w:ascii="Times New Roman" w:hAnsi="Times New Roman" w:cs="Times New Roman"/>
          <w:color w:val="auto"/>
          <w:sz w:val="20"/>
        </w:rPr>
        <w:instrText xml:space="preserve"> SEQ Grafik \* ARABIC </w:instrText>
      </w:r>
      <w:r w:rsidRPr="00830F4C">
        <w:rPr>
          <w:rFonts w:ascii="Times New Roman" w:hAnsi="Times New Roman" w:cs="Times New Roman"/>
          <w:color w:val="auto"/>
          <w:sz w:val="20"/>
        </w:rPr>
        <w:fldChar w:fldCharType="separate"/>
      </w:r>
      <w:r w:rsidRPr="00830F4C">
        <w:rPr>
          <w:rFonts w:ascii="Times New Roman" w:hAnsi="Times New Roman" w:cs="Times New Roman"/>
          <w:color w:val="auto"/>
          <w:sz w:val="20"/>
        </w:rPr>
        <w:t>4</w:t>
      </w:r>
      <w:r w:rsidRPr="00830F4C">
        <w:rPr>
          <w:rFonts w:ascii="Times New Roman" w:hAnsi="Times New Roman" w:cs="Times New Roman"/>
          <w:color w:val="auto"/>
          <w:sz w:val="20"/>
        </w:rPr>
        <w:fldChar w:fldCharType="end"/>
      </w:r>
      <w:r w:rsidRPr="00830F4C">
        <w:rPr>
          <w:rFonts w:ascii="Times New Roman" w:hAnsi="Times New Roman" w:cs="Times New Roman"/>
          <w:color w:val="auto"/>
          <w:sz w:val="20"/>
        </w:rPr>
        <w:t xml:space="preserve"> :Struktura e të ardhurave nga tatimet dhe doganat, 2023</w:t>
      </w:r>
      <w:bookmarkEnd w:id="7"/>
    </w:p>
    <w:p w14:paraId="3F91048D" w14:textId="77777777" w:rsidR="00DB49D5" w:rsidRPr="00830F4C" w:rsidRDefault="00DB49D5" w:rsidP="00DB49D5">
      <w:r w:rsidRPr="00830F4C">
        <w:rPr>
          <w:noProof/>
          <w:lang w:val="en-US"/>
        </w:rPr>
        <w:drawing>
          <wp:inline distT="0" distB="0" distL="0" distR="0" wp14:anchorId="73085478" wp14:editId="219D7575">
            <wp:extent cx="5781675" cy="1162050"/>
            <wp:effectExtent l="0" t="0" r="9525" b="0"/>
            <wp:docPr id="1945584740" name="Chart 1945584740">
              <a:extLst xmlns:a="http://schemas.openxmlformats.org/drawingml/2006/main">
                <a:ext uri="{FF2B5EF4-FFF2-40B4-BE49-F238E27FC236}">
                  <a16:creationId xmlns:a16="http://schemas.microsoft.com/office/drawing/2014/main" id="{32A00100-54B8-4EBD-94B8-07328C5C43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9686ADE" w14:textId="77777777" w:rsidR="00DB49D5" w:rsidRPr="00830F4C" w:rsidRDefault="00DB49D5" w:rsidP="00DB49D5">
      <w:pPr>
        <w:rPr>
          <w:rFonts w:ascii="Garamond" w:hAnsi="Garamond"/>
          <w:i/>
          <w:sz w:val="20"/>
          <w:szCs w:val="20"/>
        </w:rPr>
      </w:pPr>
      <w:r w:rsidRPr="00830F4C">
        <w:rPr>
          <w:rFonts w:ascii="Garamond" w:hAnsi="Garamond"/>
          <w:i/>
          <w:sz w:val="20"/>
          <w:szCs w:val="20"/>
        </w:rPr>
        <w:t>Burimi: Ministria e Financave</w:t>
      </w:r>
    </w:p>
    <w:p w14:paraId="75D891B9" w14:textId="4F78C799" w:rsidR="00DB49D5" w:rsidRPr="00830F4C" w:rsidRDefault="00DB49D5" w:rsidP="00DB49D5">
      <w:pPr>
        <w:ind w:firstLine="284"/>
        <w:jc w:val="both"/>
        <w:rPr>
          <w:rFonts w:ascii="Garamond" w:hAnsi="Garamond"/>
        </w:rPr>
      </w:pPr>
      <w:r w:rsidRPr="00830F4C">
        <w:rPr>
          <w:rFonts w:ascii="Garamond" w:hAnsi="Garamond"/>
        </w:rPr>
        <w:t xml:space="preserve">Strategjia parashikon </w:t>
      </w:r>
      <w:r w:rsidR="00FF624C" w:rsidRPr="00830F4C">
        <w:rPr>
          <w:rFonts w:ascii="Garamond" w:hAnsi="Garamond"/>
        </w:rPr>
        <w:t>ndërmarrjen</w:t>
      </w:r>
      <w:r w:rsidRPr="00830F4C">
        <w:rPr>
          <w:rFonts w:ascii="Garamond" w:hAnsi="Garamond"/>
        </w:rPr>
        <w:t xml:space="preserve"> e reformave në fushën e politikave dhe administrimit fiskal, të cilat do të prekin të tre përbërësit kryesorë të të ardhurave tatimore, dhe konkretisht: të ardhurat nga tatimet dhe doganat; të ardhurat nga taksat lokale; dhe të ardhurat nga fondet speciale, që përfshijnë kontributet e sigurimeve shoqërore dhe shëndetësore, për të siguruar rritjen e synuar.</w:t>
      </w:r>
    </w:p>
    <w:p w14:paraId="105B6690" w14:textId="03FFB12C" w:rsidR="00DB49D5" w:rsidRPr="00830F4C" w:rsidRDefault="00DB49D5" w:rsidP="00DB49D5">
      <w:pPr>
        <w:ind w:firstLine="284"/>
        <w:jc w:val="both"/>
        <w:rPr>
          <w:rFonts w:ascii="Garamond" w:hAnsi="Garamond"/>
        </w:rPr>
      </w:pPr>
      <w:r w:rsidRPr="00830F4C">
        <w:rPr>
          <w:rFonts w:ascii="Garamond" w:hAnsi="Garamond"/>
        </w:rPr>
        <w:t xml:space="preserve">Nisur nga pesha që </w:t>
      </w:r>
      <w:r w:rsidR="00FF624C" w:rsidRPr="00830F4C">
        <w:rPr>
          <w:rFonts w:ascii="Garamond" w:hAnsi="Garamond"/>
        </w:rPr>
        <w:t>zënë</w:t>
      </w:r>
      <w:r w:rsidRPr="00830F4C">
        <w:rPr>
          <w:rFonts w:ascii="Garamond" w:hAnsi="Garamond"/>
        </w:rPr>
        <w:t xml:space="preserve"> të ardhurat e buxhetit në raport me PBB-në dhe veçanërisht të ardhurat që gjenerohen nga sistemi i tatimeve, taksave dhe kontributeve të detyrueshme, e kombinuar kjo me nivelin e normave tatimore, përjashtimeve dhe incentivave sektoriale, rezulton se Shqipëria ka hapësirë për të rritur të ardhurat e buxhetit, të cilat duhet të derivojnë si nga ndryshimet e domosdoshme në politikat fiskale, por kryesisht nga përmirësimet në administrimin e të ardhurave nga tatimet dhe taksat.</w:t>
      </w:r>
    </w:p>
    <w:p w14:paraId="1D7A5BA3" w14:textId="7BCC673F" w:rsidR="00DB49D5" w:rsidRPr="00830F4C" w:rsidRDefault="00DB49D5" w:rsidP="00DB49D5">
      <w:pPr>
        <w:ind w:firstLine="284"/>
        <w:jc w:val="both"/>
        <w:rPr>
          <w:rFonts w:ascii="Garamond" w:hAnsi="Garamond"/>
          <w:b/>
        </w:rPr>
      </w:pPr>
      <w:r w:rsidRPr="00830F4C">
        <w:rPr>
          <w:rFonts w:ascii="Garamond" w:hAnsi="Garamond"/>
          <w:b/>
        </w:rPr>
        <w:t xml:space="preserve">II.2 Problematika e identifikuar në </w:t>
      </w:r>
      <w:r w:rsidR="00D22EA5" w:rsidRPr="00830F4C">
        <w:rPr>
          <w:rFonts w:ascii="Garamond" w:hAnsi="Garamond"/>
          <w:b/>
        </w:rPr>
        <w:t>“</w:t>
      </w:r>
      <w:r w:rsidRPr="00830F4C">
        <w:rPr>
          <w:rFonts w:ascii="Garamond" w:hAnsi="Garamond"/>
          <w:b/>
        </w:rPr>
        <w:t>pajtueshmërinë tatimore</w:t>
      </w:r>
      <w:r w:rsidR="00D22EA5" w:rsidRPr="00830F4C">
        <w:rPr>
          <w:rFonts w:ascii="Garamond" w:hAnsi="Garamond"/>
          <w:b/>
        </w:rPr>
        <w:t>”</w:t>
      </w:r>
    </w:p>
    <w:p w14:paraId="7A1A2DF7" w14:textId="488EE312" w:rsidR="00DB49D5" w:rsidRPr="00830F4C" w:rsidRDefault="00DB49D5" w:rsidP="00DB49D5">
      <w:pPr>
        <w:ind w:firstLine="284"/>
        <w:jc w:val="both"/>
        <w:rPr>
          <w:rFonts w:ascii="Garamond" w:hAnsi="Garamond"/>
          <w:b/>
        </w:rPr>
      </w:pPr>
      <w:r w:rsidRPr="00830F4C">
        <w:rPr>
          <w:rFonts w:ascii="Garamond" w:hAnsi="Garamond"/>
          <w:b/>
        </w:rPr>
        <w:t>II.2.1 Rritja e pajtueshmërisë vullnetare të tatimpaguesve</w:t>
      </w:r>
    </w:p>
    <w:p w14:paraId="59624DF2" w14:textId="4EE45C3C" w:rsidR="00DB49D5" w:rsidRPr="00830F4C" w:rsidRDefault="00DB49D5" w:rsidP="00DB49D5">
      <w:pPr>
        <w:ind w:firstLine="284"/>
        <w:jc w:val="both"/>
        <w:rPr>
          <w:rFonts w:ascii="Garamond" w:hAnsi="Garamond"/>
        </w:rPr>
      </w:pPr>
      <w:r w:rsidRPr="00830F4C">
        <w:rPr>
          <w:rFonts w:ascii="Garamond" w:hAnsi="Garamond"/>
        </w:rPr>
        <w:t xml:space="preserve">Qeveria shqiptare ka bërë përpjekje të vazhdueshme në uljen e informalitetit dhe minimizimin e </w:t>
      </w:r>
      <w:r w:rsidRPr="007228E3">
        <w:rPr>
          <w:rFonts w:ascii="Garamond" w:hAnsi="Garamond"/>
        </w:rPr>
        <w:t>fenome</w:t>
      </w:r>
      <w:r w:rsidR="00DB1B60" w:rsidRPr="007228E3">
        <w:rPr>
          <w:rFonts w:ascii="Garamond" w:hAnsi="Garamond"/>
        </w:rPr>
        <w:t>ne</w:t>
      </w:r>
      <w:r w:rsidRPr="007228E3">
        <w:rPr>
          <w:rFonts w:ascii="Garamond" w:hAnsi="Garamond"/>
        </w:rPr>
        <w:t>ve</w:t>
      </w:r>
      <w:r w:rsidRPr="00830F4C">
        <w:rPr>
          <w:rFonts w:ascii="Garamond" w:hAnsi="Garamond"/>
        </w:rPr>
        <w:t xml:space="preserve"> të shmangieve tatimore nga tatimpaguesit.</w:t>
      </w:r>
    </w:p>
    <w:p w14:paraId="2B552870" w14:textId="40B0650C" w:rsidR="00DB49D5" w:rsidRPr="00830F4C" w:rsidRDefault="00DB49D5" w:rsidP="00DB49D5">
      <w:pPr>
        <w:ind w:firstLine="284"/>
        <w:jc w:val="both"/>
        <w:rPr>
          <w:rFonts w:ascii="Garamond" w:hAnsi="Garamond"/>
        </w:rPr>
      </w:pPr>
      <w:r w:rsidRPr="00830F4C">
        <w:rPr>
          <w:rFonts w:ascii="Garamond" w:hAnsi="Garamond"/>
        </w:rPr>
        <w:t xml:space="preserve">Reformat kundër informalitetit kanë vazhduar të jenë prioritet për qeverinë shqiptare. Shërbimet tatimore </w:t>
      </w:r>
      <w:r w:rsidRPr="00830F4C">
        <w:rPr>
          <w:rFonts w:ascii="Garamond" w:hAnsi="Garamond"/>
          <w:i/>
        </w:rPr>
        <w:t>online</w:t>
      </w:r>
      <w:r w:rsidRPr="00830F4C">
        <w:rPr>
          <w:rFonts w:ascii="Garamond" w:hAnsi="Garamond"/>
        </w:rPr>
        <w:t xml:space="preserve"> kanë krijuar mundësi që taksapaguesit dhe individët të marrin shërbimin e kërkuar, duke rritur nivelin e pajtimit me ligjin tatimor, kursyer kohë, burime njerëzore dhe kosto administrative. Aktualisht, 100% e shërbimeve tatimore dhe deklaratave janë </w:t>
      </w:r>
      <w:r w:rsidRPr="00830F4C">
        <w:rPr>
          <w:rFonts w:ascii="Garamond" w:hAnsi="Garamond"/>
          <w:i/>
        </w:rPr>
        <w:t>online</w:t>
      </w:r>
      <w:r w:rsidRPr="00830F4C">
        <w:rPr>
          <w:rFonts w:ascii="Garamond" w:hAnsi="Garamond"/>
        </w:rPr>
        <w:t xml:space="preserve">. Ndërsa, </w:t>
      </w:r>
      <w:r w:rsidR="00FF624C" w:rsidRPr="00830F4C">
        <w:rPr>
          <w:rFonts w:ascii="Garamond" w:hAnsi="Garamond"/>
        </w:rPr>
        <w:t>administrata</w:t>
      </w:r>
      <w:r w:rsidRPr="00830F4C">
        <w:rPr>
          <w:rFonts w:ascii="Garamond" w:hAnsi="Garamond"/>
        </w:rPr>
        <w:t xml:space="preserve"> doganore funksionon </w:t>
      </w:r>
      <w:r w:rsidR="00D22EA5" w:rsidRPr="00830F4C">
        <w:rPr>
          <w:rFonts w:ascii="Garamond" w:hAnsi="Garamond"/>
        </w:rPr>
        <w:t>“</w:t>
      </w:r>
      <w:r w:rsidRPr="00830F4C">
        <w:rPr>
          <w:rFonts w:ascii="Garamond" w:hAnsi="Garamond"/>
        </w:rPr>
        <w:t>pa letër</w:t>
      </w:r>
      <w:r w:rsidR="00D22EA5" w:rsidRPr="00830F4C">
        <w:rPr>
          <w:rFonts w:ascii="Garamond" w:hAnsi="Garamond"/>
        </w:rPr>
        <w:t>”</w:t>
      </w:r>
      <w:r w:rsidRPr="00830F4C">
        <w:rPr>
          <w:rFonts w:ascii="Garamond" w:hAnsi="Garamond"/>
        </w:rPr>
        <w:t xml:space="preserve"> (</w:t>
      </w:r>
      <w:r w:rsidRPr="00830F4C">
        <w:rPr>
          <w:rFonts w:ascii="Garamond" w:hAnsi="Garamond"/>
          <w:i/>
        </w:rPr>
        <w:t>paperless</w:t>
      </w:r>
      <w:r w:rsidRPr="00830F4C">
        <w:rPr>
          <w:rFonts w:ascii="Garamond" w:hAnsi="Garamond"/>
        </w:rPr>
        <w:t>) që nga viti 2018.</w:t>
      </w:r>
    </w:p>
    <w:p w14:paraId="7CFD1D43" w14:textId="000A116E" w:rsidR="00DB49D5" w:rsidRPr="00830F4C" w:rsidRDefault="00DB49D5" w:rsidP="00DB49D5">
      <w:pPr>
        <w:ind w:firstLine="284"/>
        <w:jc w:val="both"/>
        <w:rPr>
          <w:rFonts w:ascii="Garamond" w:hAnsi="Garamond"/>
        </w:rPr>
      </w:pPr>
      <w:r w:rsidRPr="00830F4C">
        <w:rPr>
          <w:rFonts w:ascii="Garamond" w:hAnsi="Garamond"/>
        </w:rPr>
        <w:t>Gjithashtu, ndër vite, administrata tatimore ka përdorur forma të ndryshme të luftës ndaj informalitetit</w:t>
      </w:r>
      <w:r w:rsidR="00DB1B60" w:rsidRPr="00830F4C">
        <w:rPr>
          <w:rFonts w:ascii="Garamond" w:hAnsi="Garamond"/>
        </w:rPr>
        <w:t>,</w:t>
      </w:r>
      <w:r w:rsidRPr="00830F4C">
        <w:rPr>
          <w:rFonts w:ascii="Garamond" w:hAnsi="Garamond"/>
        </w:rPr>
        <w:t xml:space="preserve"> si Plane Operacionale për sektorë specifikë</w:t>
      </w:r>
      <w:r w:rsidR="00DB1B60" w:rsidRPr="00830F4C">
        <w:rPr>
          <w:rFonts w:ascii="Garamond" w:hAnsi="Garamond"/>
        </w:rPr>
        <w:t>,</w:t>
      </w:r>
      <w:r w:rsidRPr="00830F4C">
        <w:rPr>
          <w:rFonts w:ascii="Garamond" w:hAnsi="Garamond"/>
        </w:rPr>
        <w:t xml:space="preserve"> të tillë si</w:t>
      </w:r>
      <w:r w:rsidR="00DB1B60" w:rsidRPr="00830F4C">
        <w:rPr>
          <w:rFonts w:ascii="Garamond" w:hAnsi="Garamond"/>
        </w:rPr>
        <w:t>:</w:t>
      </w:r>
      <w:r w:rsidRPr="00830F4C">
        <w:rPr>
          <w:rFonts w:ascii="Garamond" w:hAnsi="Garamond"/>
        </w:rPr>
        <w:t xml:space="preserve"> turizmi, hidrokarburet, ndërtimi, etj</w:t>
      </w:r>
      <w:r w:rsidR="00FF624C" w:rsidRPr="00830F4C">
        <w:rPr>
          <w:rFonts w:ascii="Garamond" w:hAnsi="Garamond"/>
        </w:rPr>
        <w:t>.</w:t>
      </w:r>
      <w:r w:rsidRPr="00830F4C">
        <w:rPr>
          <w:rFonts w:ascii="Garamond" w:hAnsi="Garamond"/>
        </w:rPr>
        <w:t>, fushata për tërheqjen e kuponit tatimor, forma të ndryshme komunikimi me tatimpaguesit për rritjen e përputhshmërisë si letra të personalizuara, etj.</w:t>
      </w:r>
    </w:p>
    <w:p w14:paraId="1558859C" w14:textId="6213B3CE" w:rsidR="00DB49D5" w:rsidRPr="00830F4C" w:rsidRDefault="00DB49D5" w:rsidP="00DB49D5">
      <w:pPr>
        <w:ind w:firstLine="284"/>
        <w:jc w:val="both"/>
        <w:rPr>
          <w:rFonts w:ascii="Garamond" w:hAnsi="Garamond"/>
        </w:rPr>
      </w:pPr>
      <w:r w:rsidRPr="00830F4C">
        <w:rPr>
          <w:rFonts w:ascii="Garamond" w:hAnsi="Garamond"/>
        </w:rPr>
        <w:t>Lufta kundër informalitetit ka vazhduar përmes zgjerimit dhe futjes së sistemeve të IT-së dhe di</w:t>
      </w:r>
      <w:r w:rsidR="00FF624C" w:rsidRPr="00830F4C">
        <w:rPr>
          <w:rFonts w:ascii="Garamond" w:hAnsi="Garamond"/>
        </w:rPr>
        <w:t>gj</w:t>
      </w:r>
      <w:r w:rsidRPr="00830F4C">
        <w:rPr>
          <w:rFonts w:ascii="Garamond" w:hAnsi="Garamond"/>
        </w:rPr>
        <w:t>italizimit. Gjatë viteve të fundit është investuar në krijimin e sistemeve dhe di</w:t>
      </w:r>
      <w:r w:rsidR="00FF624C" w:rsidRPr="00830F4C">
        <w:rPr>
          <w:rFonts w:ascii="Garamond" w:hAnsi="Garamond"/>
        </w:rPr>
        <w:t>gj</w:t>
      </w:r>
      <w:r w:rsidRPr="00830F4C">
        <w:rPr>
          <w:rFonts w:ascii="Garamond" w:hAnsi="Garamond"/>
        </w:rPr>
        <w:t>italizimin e proceseve të punës për të dy</w:t>
      </w:r>
      <w:r w:rsidR="00DB1B60" w:rsidRPr="00830F4C">
        <w:rPr>
          <w:rFonts w:ascii="Garamond" w:hAnsi="Garamond"/>
        </w:rPr>
        <w:t>ja</w:t>
      </w:r>
      <w:r w:rsidRPr="00830F4C">
        <w:rPr>
          <w:rFonts w:ascii="Garamond" w:hAnsi="Garamond"/>
        </w:rPr>
        <w:t xml:space="preserve"> administratat, me qëllim shmangien </w:t>
      </w:r>
      <w:r w:rsidR="00DB1B60" w:rsidRPr="00830F4C">
        <w:rPr>
          <w:rFonts w:ascii="Garamond" w:hAnsi="Garamond"/>
        </w:rPr>
        <w:t xml:space="preserve">e </w:t>
      </w:r>
      <w:r w:rsidRPr="00830F4C">
        <w:rPr>
          <w:rFonts w:ascii="Garamond" w:hAnsi="Garamond"/>
        </w:rPr>
        <w:t xml:space="preserve">kontakteve direkte mes punonjësve të administratave dhe bizneseve, si dhe për lehtësimin e të bërit biznes nëpërmjet uljes së kohës dhe kostove të pajtimit për bizneset. Arritja më e rëndësishme ishte zbatimi i sistemit të fiskalizimit, duke përfshirë </w:t>
      </w:r>
      <w:r w:rsidR="00D22EA5" w:rsidRPr="00830F4C">
        <w:rPr>
          <w:rFonts w:ascii="Garamond" w:hAnsi="Garamond"/>
        </w:rPr>
        <w:t>“</w:t>
      </w:r>
      <w:r w:rsidRPr="00830F4C">
        <w:rPr>
          <w:rFonts w:ascii="Garamond" w:hAnsi="Garamond"/>
          <w:i/>
        </w:rPr>
        <w:t>e-invoice</w:t>
      </w:r>
      <w:r w:rsidR="00D22EA5" w:rsidRPr="00830F4C">
        <w:rPr>
          <w:rFonts w:ascii="Garamond" w:hAnsi="Garamond"/>
        </w:rPr>
        <w:t>”</w:t>
      </w:r>
      <w:r w:rsidRPr="00830F4C">
        <w:rPr>
          <w:rFonts w:ascii="Garamond" w:hAnsi="Garamond"/>
        </w:rPr>
        <w:t>, si rezultat i të cilit të ardhurat nga tatimi mbi vlerën e shtuar janë rritur. Fiskalizimi si reforma më madhore e implementuar nga Administrata Tatimore gjatë viteve të fundit, ndryshoi rrënjësisht mënyrën e faturimit, duke krijuar mundësi për të monitoruar faturimet ndërmjet operatorëve ekonomikë</w:t>
      </w:r>
      <w:r w:rsidR="00DB1B60" w:rsidRPr="00830F4C">
        <w:rPr>
          <w:rFonts w:ascii="Garamond" w:hAnsi="Garamond"/>
        </w:rPr>
        <w:t>,</w:t>
      </w:r>
      <w:r w:rsidRPr="00830F4C">
        <w:rPr>
          <w:rFonts w:ascii="Garamond" w:hAnsi="Garamond"/>
        </w:rPr>
        <w:t xml:space="preserve"> si dhe deklarimet pranë administratës tatimore në kohë reale. Hapat pozitivë në administrim dhe kryesisht</w:t>
      </w:r>
      <w:r w:rsidR="00D22EA5" w:rsidRPr="00830F4C">
        <w:rPr>
          <w:rFonts w:ascii="Garamond" w:hAnsi="Garamond"/>
        </w:rPr>
        <w:t xml:space="preserve"> </w:t>
      </w:r>
      <w:r w:rsidRPr="00830F4C">
        <w:rPr>
          <w:rFonts w:ascii="Garamond" w:hAnsi="Garamond"/>
        </w:rPr>
        <w:t>fiskalizimi si proces, kanë ndikuar në rritjen e të ardhurave të brendshme gjatë vitit 2023 dhe në periudhën vijuese të vitit 2024.</w:t>
      </w:r>
    </w:p>
    <w:p w14:paraId="000A654D" w14:textId="12B1CD9B" w:rsidR="00DB49D5" w:rsidRPr="00830F4C" w:rsidRDefault="00DB49D5" w:rsidP="00DB49D5">
      <w:pPr>
        <w:ind w:firstLine="284"/>
        <w:jc w:val="both"/>
        <w:rPr>
          <w:rFonts w:ascii="Garamond" w:hAnsi="Garamond"/>
        </w:rPr>
      </w:pPr>
      <w:r w:rsidRPr="00830F4C">
        <w:rPr>
          <w:rFonts w:ascii="Garamond" w:hAnsi="Garamond"/>
        </w:rPr>
        <w:t>Megjithatë, informaliteti vazhdon të jetë prezent si një fenomen i konsoliduar në një periudhë 30</w:t>
      </w:r>
      <w:r w:rsidR="00DB1B60" w:rsidRPr="00830F4C">
        <w:rPr>
          <w:rFonts w:ascii="Garamond" w:hAnsi="Garamond"/>
        </w:rPr>
        <w:t>-</w:t>
      </w:r>
      <w:r w:rsidRPr="00830F4C">
        <w:rPr>
          <w:rFonts w:ascii="Garamond" w:hAnsi="Garamond"/>
        </w:rPr>
        <w:t xml:space="preserve">vjeçare, </w:t>
      </w:r>
      <w:r w:rsidR="00FF624C" w:rsidRPr="00830F4C">
        <w:rPr>
          <w:rFonts w:ascii="Garamond" w:hAnsi="Garamond"/>
        </w:rPr>
        <w:t>me gjithë</w:t>
      </w:r>
      <w:r w:rsidRPr="00830F4C">
        <w:rPr>
          <w:rFonts w:ascii="Garamond" w:hAnsi="Garamond"/>
        </w:rPr>
        <w:t xml:space="preserve"> reformat e ndërmarra dhe sistemet e prezantuara për të eliminuar ndërveprimin korruptiv ndërmjet bizneseve dhe strukturave të administratave tatimore e doganore. </w:t>
      </w:r>
    </w:p>
    <w:p w14:paraId="29DCF438" w14:textId="33E86135" w:rsidR="00DB49D5" w:rsidRPr="00830F4C" w:rsidRDefault="00DB49D5" w:rsidP="00DB49D5">
      <w:pPr>
        <w:ind w:firstLine="284"/>
        <w:jc w:val="both"/>
        <w:rPr>
          <w:rFonts w:ascii="Garamond" w:hAnsi="Garamond"/>
          <w:b/>
          <w:i/>
          <w:iCs/>
        </w:rPr>
      </w:pPr>
      <w:r w:rsidRPr="00830F4C">
        <w:rPr>
          <w:rFonts w:ascii="Garamond" w:hAnsi="Garamond"/>
          <w:b/>
        </w:rPr>
        <w:t>II.2.2</w:t>
      </w:r>
      <w:r w:rsidR="00DB1B60" w:rsidRPr="00830F4C">
        <w:rPr>
          <w:rFonts w:ascii="Garamond" w:hAnsi="Garamond"/>
          <w:b/>
        </w:rPr>
        <w:t xml:space="preserve"> </w:t>
      </w:r>
      <w:r w:rsidRPr="00830F4C">
        <w:rPr>
          <w:rFonts w:ascii="Garamond" w:hAnsi="Garamond"/>
          <w:b/>
        </w:rPr>
        <w:t>Politikat tatimore – Përjashtimet dhe normat e reduktuara</w:t>
      </w:r>
    </w:p>
    <w:p w14:paraId="1C91D97F" w14:textId="515BE7ED" w:rsidR="00DB49D5" w:rsidRPr="00830F4C" w:rsidRDefault="00DB49D5" w:rsidP="00DB49D5">
      <w:pPr>
        <w:ind w:firstLine="284"/>
        <w:jc w:val="both"/>
        <w:rPr>
          <w:rFonts w:ascii="Garamond" w:hAnsi="Garamond"/>
        </w:rPr>
      </w:pPr>
      <w:r w:rsidRPr="00830F4C">
        <w:rPr>
          <w:rFonts w:ascii="Garamond" w:hAnsi="Garamond"/>
        </w:rPr>
        <w:t xml:space="preserve">Që prej vitit 2019, Ministria e Financave harton dhe publikon Raportin e </w:t>
      </w:r>
      <w:r w:rsidR="00D22EA5" w:rsidRPr="00830F4C">
        <w:rPr>
          <w:rFonts w:ascii="Garamond" w:hAnsi="Garamond"/>
        </w:rPr>
        <w:t>“</w:t>
      </w:r>
      <w:r w:rsidRPr="00830F4C">
        <w:rPr>
          <w:rFonts w:ascii="Garamond" w:hAnsi="Garamond"/>
        </w:rPr>
        <w:t xml:space="preserve">Shpenzimeve </w:t>
      </w:r>
      <w:r w:rsidR="00DB1B60" w:rsidRPr="00830F4C">
        <w:rPr>
          <w:rFonts w:ascii="Garamond" w:hAnsi="Garamond"/>
        </w:rPr>
        <w:t>t</w:t>
      </w:r>
      <w:r w:rsidRPr="00830F4C">
        <w:rPr>
          <w:rFonts w:ascii="Garamond" w:hAnsi="Garamond"/>
        </w:rPr>
        <w:t>atimore</w:t>
      </w:r>
      <w:r w:rsidR="00D22EA5" w:rsidRPr="00830F4C">
        <w:rPr>
          <w:rFonts w:ascii="Garamond" w:hAnsi="Garamond"/>
        </w:rPr>
        <w:t>”</w:t>
      </w:r>
      <w:r w:rsidRPr="00830F4C">
        <w:rPr>
          <w:rFonts w:ascii="Garamond" w:hAnsi="Garamond"/>
        </w:rPr>
        <w:t xml:space="preserve">. Ky raport llogarit nivelin teorik të të ardhurave nga tatimet dhe taksat, me supozimin që </w:t>
      </w:r>
      <w:r w:rsidR="00FF624C" w:rsidRPr="00830F4C">
        <w:rPr>
          <w:rFonts w:ascii="Garamond" w:hAnsi="Garamond"/>
        </w:rPr>
        <w:t>çdo</w:t>
      </w:r>
      <w:r w:rsidRPr="00830F4C">
        <w:rPr>
          <w:rFonts w:ascii="Garamond" w:hAnsi="Garamond"/>
        </w:rPr>
        <w:t xml:space="preserve"> bazë tatimore të taksohet me normën standar</w:t>
      </w:r>
      <w:r w:rsidR="00FF624C" w:rsidRPr="00830F4C">
        <w:rPr>
          <w:rFonts w:ascii="Garamond" w:hAnsi="Garamond"/>
        </w:rPr>
        <w:t>d</w:t>
      </w:r>
      <w:r w:rsidRPr="00830F4C">
        <w:rPr>
          <w:rFonts w:ascii="Garamond" w:hAnsi="Garamond"/>
        </w:rPr>
        <w:t>e të tatimit, pra llogarit diferencat ndërmjet normës standar</w:t>
      </w:r>
      <w:r w:rsidR="00FF624C" w:rsidRPr="00830F4C">
        <w:rPr>
          <w:rFonts w:ascii="Garamond" w:hAnsi="Garamond"/>
        </w:rPr>
        <w:t>d</w:t>
      </w:r>
      <w:r w:rsidRPr="00830F4C">
        <w:rPr>
          <w:rFonts w:ascii="Garamond" w:hAnsi="Garamond"/>
        </w:rPr>
        <w:t>e me normat e reduktuara dhe përjashtimet, të shumëzuara këto me bazën e tatimit. Aktualisht, janë prodhuar dy raporte: Raporti i Shpenzimeve Tatimore 2019</w:t>
      </w:r>
      <w:r w:rsidR="00FF624C" w:rsidRPr="00830F4C">
        <w:rPr>
          <w:rFonts w:ascii="Garamond" w:hAnsi="Garamond"/>
        </w:rPr>
        <w:t>–</w:t>
      </w:r>
      <w:r w:rsidRPr="00830F4C">
        <w:rPr>
          <w:rFonts w:ascii="Garamond" w:hAnsi="Garamond"/>
        </w:rPr>
        <w:t>2020</w:t>
      </w:r>
      <w:r w:rsidRPr="00830F4C">
        <w:rPr>
          <w:rStyle w:val="FootnoteReference"/>
          <w:rFonts w:ascii="Garamond" w:hAnsi="Garamond"/>
        </w:rPr>
        <w:footnoteReference w:id="3"/>
      </w:r>
      <w:r w:rsidRPr="00830F4C">
        <w:rPr>
          <w:rFonts w:ascii="Garamond" w:hAnsi="Garamond"/>
        </w:rPr>
        <w:t xml:space="preserve"> dhe Raporti i Shpenzimeve Tatimore 2021</w:t>
      </w:r>
      <w:r w:rsidR="00FF624C" w:rsidRPr="00830F4C">
        <w:rPr>
          <w:rFonts w:ascii="Garamond" w:hAnsi="Garamond"/>
        </w:rPr>
        <w:t>–</w:t>
      </w:r>
      <w:r w:rsidRPr="00830F4C">
        <w:rPr>
          <w:rFonts w:ascii="Garamond" w:hAnsi="Garamond"/>
        </w:rPr>
        <w:t>2022.</w:t>
      </w:r>
    </w:p>
    <w:p w14:paraId="22519363" w14:textId="541FE50F" w:rsidR="00DB49D5" w:rsidRPr="00830F4C" w:rsidRDefault="00DB49D5" w:rsidP="00DB49D5">
      <w:pPr>
        <w:ind w:firstLine="284"/>
        <w:jc w:val="both"/>
        <w:rPr>
          <w:rFonts w:ascii="Garamond" w:hAnsi="Garamond"/>
        </w:rPr>
      </w:pPr>
      <w:r w:rsidRPr="00830F4C">
        <w:rPr>
          <w:rFonts w:ascii="Garamond" w:hAnsi="Garamond"/>
        </w:rPr>
        <w:t xml:space="preserve">Këto raporte pasqyrojnë nivelin e </w:t>
      </w:r>
      <w:r w:rsidR="00D22EA5" w:rsidRPr="00830F4C">
        <w:rPr>
          <w:rFonts w:ascii="Garamond" w:hAnsi="Garamond"/>
        </w:rPr>
        <w:t>“</w:t>
      </w:r>
      <w:r w:rsidR="0088379B" w:rsidRPr="00830F4C">
        <w:rPr>
          <w:rFonts w:ascii="Garamond" w:hAnsi="Garamond"/>
        </w:rPr>
        <w:t xml:space="preserve">Shpenzimeve </w:t>
      </w:r>
      <w:r w:rsidRPr="00830F4C">
        <w:rPr>
          <w:rFonts w:ascii="Garamond" w:hAnsi="Garamond"/>
        </w:rPr>
        <w:t>tatimore</w:t>
      </w:r>
      <w:r w:rsidR="00D22EA5" w:rsidRPr="00830F4C">
        <w:rPr>
          <w:rFonts w:ascii="Garamond" w:hAnsi="Garamond"/>
        </w:rPr>
        <w:t>”</w:t>
      </w:r>
      <w:r w:rsidRPr="00830F4C">
        <w:rPr>
          <w:rFonts w:ascii="Garamond" w:hAnsi="Garamond"/>
        </w:rPr>
        <w:t xml:space="preserve"> sipas kuadrit fiskal në fuqi dhe llogarisin </w:t>
      </w:r>
      <w:r w:rsidRPr="00830F4C">
        <w:rPr>
          <w:rFonts w:ascii="Garamond" w:hAnsi="Garamond"/>
          <w:u w:val="single"/>
        </w:rPr>
        <w:t>të ardhurat e munguara</w:t>
      </w:r>
      <w:r w:rsidRPr="00830F4C">
        <w:rPr>
          <w:rFonts w:ascii="Garamond" w:hAnsi="Garamond"/>
        </w:rPr>
        <w:t xml:space="preserve"> në buxhet si rezultat i përjashtimeve tatimore dhe normave të ndryshme tatimore nga ato standarde, të cilat burojnë nga Tatimi mbi Vlerën e Shtuar (TVSH), Tatimi mbi Fitimin (TF), Tatimi i Thjeshtuar mbi Fitimin (TTHF) dhe </w:t>
      </w:r>
      <w:r w:rsidR="00DB1B60" w:rsidRPr="00830F4C">
        <w:rPr>
          <w:rFonts w:ascii="Garamond" w:hAnsi="Garamond"/>
        </w:rPr>
        <w:t>akciza</w:t>
      </w:r>
      <w:r w:rsidRPr="00830F4C">
        <w:rPr>
          <w:rFonts w:ascii="Garamond" w:hAnsi="Garamond"/>
        </w:rPr>
        <w:t>. Gjithashtu</w:t>
      </w:r>
      <w:r w:rsidR="00DB1B60" w:rsidRPr="00830F4C">
        <w:rPr>
          <w:rFonts w:ascii="Garamond" w:hAnsi="Garamond"/>
        </w:rPr>
        <w:t>,</w:t>
      </w:r>
      <w:r w:rsidRPr="00830F4C">
        <w:rPr>
          <w:rFonts w:ascii="Garamond" w:hAnsi="Garamond"/>
        </w:rPr>
        <w:t xml:space="preserve"> këto raporte pasqyrojnë edhe disa analiza më të detajuara për</w:t>
      </w:r>
      <w:r w:rsidR="00FF624C" w:rsidRPr="00830F4C">
        <w:rPr>
          <w:rFonts w:ascii="Garamond" w:hAnsi="Garamond"/>
        </w:rPr>
        <w:t xml:space="preserve"> </w:t>
      </w:r>
      <w:r w:rsidRPr="00830F4C">
        <w:rPr>
          <w:rFonts w:ascii="Garamond" w:hAnsi="Garamond"/>
        </w:rPr>
        <w:t>sa lidhet me këto shpenzime tatimore.</w:t>
      </w:r>
    </w:p>
    <w:p w14:paraId="2E9003EC" w14:textId="1BEE0100" w:rsidR="00DB49D5" w:rsidRPr="00830F4C" w:rsidRDefault="00DB49D5" w:rsidP="00DB49D5">
      <w:pPr>
        <w:ind w:firstLine="284"/>
        <w:jc w:val="both"/>
        <w:rPr>
          <w:rFonts w:ascii="Garamond" w:hAnsi="Garamond"/>
        </w:rPr>
      </w:pPr>
      <w:r w:rsidRPr="00830F4C">
        <w:rPr>
          <w:rFonts w:ascii="Garamond" w:hAnsi="Garamond"/>
        </w:rPr>
        <w:t>Raportet e Shpenzimeve Tatimore janë bërë</w:t>
      </w:r>
      <w:r w:rsidR="00DB1B60" w:rsidRPr="00830F4C">
        <w:rPr>
          <w:rFonts w:ascii="Garamond" w:hAnsi="Garamond"/>
        </w:rPr>
        <w:t>,</w:t>
      </w:r>
      <w:r w:rsidRPr="00830F4C">
        <w:rPr>
          <w:rFonts w:ascii="Garamond" w:hAnsi="Garamond"/>
        </w:rPr>
        <w:t xml:space="preserve"> gjithashtu</w:t>
      </w:r>
      <w:r w:rsidR="00DB1B60" w:rsidRPr="00830F4C">
        <w:rPr>
          <w:rFonts w:ascii="Garamond" w:hAnsi="Garamond"/>
        </w:rPr>
        <w:t>,</w:t>
      </w:r>
      <w:r w:rsidRPr="00830F4C">
        <w:rPr>
          <w:rFonts w:ascii="Garamond" w:hAnsi="Garamond"/>
        </w:rPr>
        <w:t xml:space="preserve"> pjesë e relacioneve të </w:t>
      </w:r>
      <w:r w:rsidR="00DB1B60" w:rsidRPr="00830F4C">
        <w:rPr>
          <w:rFonts w:ascii="Garamond" w:hAnsi="Garamond"/>
        </w:rPr>
        <w:t xml:space="preserve">projektbuxhetit </w:t>
      </w:r>
      <w:r w:rsidRPr="00830F4C">
        <w:rPr>
          <w:rFonts w:ascii="Garamond" w:hAnsi="Garamond"/>
        </w:rPr>
        <w:t>të vitit pasardhës, me synimin e sensibilizimit të ligjvënësve për të ardhurat që i mungojnë buxhetit të shtetit nga përjashtimet apo tarifat e reduktuara tatimore.</w:t>
      </w:r>
    </w:p>
    <w:p w14:paraId="65F34F19" w14:textId="0FB23526" w:rsidR="00DB49D5" w:rsidRPr="00830F4C" w:rsidRDefault="00DB49D5" w:rsidP="00DB49D5">
      <w:pPr>
        <w:ind w:firstLine="284"/>
        <w:jc w:val="both"/>
        <w:rPr>
          <w:rFonts w:ascii="Garamond" w:hAnsi="Garamond"/>
        </w:rPr>
      </w:pPr>
      <w:r w:rsidRPr="00830F4C">
        <w:rPr>
          <w:rFonts w:ascii="Garamond" w:hAnsi="Garamond"/>
        </w:rPr>
        <w:t xml:space="preserve">Raporti i </w:t>
      </w:r>
      <w:r w:rsidR="00D22EA5" w:rsidRPr="00830F4C">
        <w:rPr>
          <w:rFonts w:ascii="Garamond" w:hAnsi="Garamond"/>
        </w:rPr>
        <w:t>“</w:t>
      </w:r>
      <w:r w:rsidRPr="00830F4C">
        <w:rPr>
          <w:rFonts w:ascii="Garamond" w:hAnsi="Garamond"/>
        </w:rPr>
        <w:t>Shpenzimeve Tatimore 2021</w:t>
      </w:r>
      <w:r w:rsidR="00236281" w:rsidRPr="00830F4C">
        <w:rPr>
          <w:rFonts w:ascii="Garamond" w:hAnsi="Garamond"/>
        </w:rPr>
        <w:t>–</w:t>
      </w:r>
      <w:r w:rsidRPr="00830F4C">
        <w:rPr>
          <w:rFonts w:ascii="Garamond" w:hAnsi="Garamond"/>
        </w:rPr>
        <w:t>2022</w:t>
      </w:r>
      <w:r w:rsidR="00D22EA5" w:rsidRPr="00830F4C">
        <w:rPr>
          <w:rFonts w:ascii="Garamond" w:hAnsi="Garamond"/>
        </w:rPr>
        <w:t>”</w:t>
      </w:r>
      <w:r w:rsidRPr="00830F4C">
        <w:rPr>
          <w:rFonts w:ascii="Garamond" w:hAnsi="Garamond"/>
        </w:rPr>
        <w:t xml:space="preserve"> tregon se vlera e të ardhurave të munguara si rezultat i evazionit, përjashtimeve, zbatimit të normave të reduktuara, të quajtura ndryshe </w:t>
      </w:r>
      <w:r w:rsidR="00D22EA5" w:rsidRPr="00830F4C">
        <w:rPr>
          <w:rFonts w:ascii="Garamond" w:hAnsi="Garamond"/>
        </w:rPr>
        <w:t>“</w:t>
      </w:r>
      <w:r w:rsidR="00DB1B60" w:rsidRPr="00830F4C">
        <w:rPr>
          <w:rFonts w:ascii="Garamond" w:hAnsi="Garamond"/>
        </w:rPr>
        <w:t xml:space="preserve">Shpenzime </w:t>
      </w:r>
      <w:r w:rsidRPr="00830F4C">
        <w:rPr>
          <w:rFonts w:ascii="Garamond" w:hAnsi="Garamond"/>
        </w:rPr>
        <w:t>tatimore</w:t>
      </w:r>
      <w:r w:rsidR="00D22EA5" w:rsidRPr="00830F4C">
        <w:rPr>
          <w:rFonts w:ascii="Garamond" w:hAnsi="Garamond"/>
        </w:rPr>
        <w:t>”</w:t>
      </w:r>
      <w:r w:rsidRPr="00830F4C">
        <w:rPr>
          <w:rFonts w:ascii="Garamond" w:hAnsi="Garamond"/>
        </w:rPr>
        <w:t xml:space="preserve">, për vitin 2022 llogaritet rreth 101,68 miliardë lekë ose 4.76 % e Produktit të Brendshëm Bruto të vendit. Rreth 82,6% e </w:t>
      </w:r>
      <w:r w:rsidR="00D22EA5" w:rsidRPr="00830F4C">
        <w:rPr>
          <w:rFonts w:ascii="Garamond" w:hAnsi="Garamond"/>
        </w:rPr>
        <w:t>“</w:t>
      </w:r>
      <w:r w:rsidR="00DB1B60" w:rsidRPr="00830F4C">
        <w:rPr>
          <w:rFonts w:ascii="Garamond" w:hAnsi="Garamond"/>
        </w:rPr>
        <w:t xml:space="preserve">Shpenzimeve </w:t>
      </w:r>
      <w:r w:rsidRPr="00830F4C">
        <w:rPr>
          <w:rFonts w:ascii="Garamond" w:hAnsi="Garamond"/>
        </w:rPr>
        <w:t>tatimore</w:t>
      </w:r>
      <w:r w:rsidR="00D22EA5" w:rsidRPr="00830F4C">
        <w:rPr>
          <w:rFonts w:ascii="Garamond" w:hAnsi="Garamond"/>
        </w:rPr>
        <w:t>”</w:t>
      </w:r>
      <w:r w:rsidRPr="00830F4C">
        <w:rPr>
          <w:rFonts w:ascii="Garamond" w:hAnsi="Garamond"/>
        </w:rPr>
        <w:t xml:space="preserve"> rrjedhin nga përjashtimet, aplikimi i shkallëve të reduktuara dhe kufiri minimal i regjistrimit për</w:t>
      </w:r>
      <w:r w:rsidR="00DE65FB">
        <w:rPr>
          <w:rFonts w:ascii="Garamond" w:hAnsi="Garamond"/>
        </w:rPr>
        <w:t xml:space="preserve"> TVSh</w:t>
      </w:r>
      <w:r w:rsidRPr="00830F4C">
        <w:rPr>
          <w:rFonts w:ascii="Garamond" w:hAnsi="Garamond"/>
        </w:rPr>
        <w:t>-së. Ky rezultat është i pritshëm pasi të ardhurat nga</w:t>
      </w:r>
      <w:r w:rsidR="00DE65FB">
        <w:rPr>
          <w:rFonts w:ascii="Garamond" w:hAnsi="Garamond"/>
        </w:rPr>
        <w:t xml:space="preserve"> TVSh</w:t>
      </w:r>
      <w:r w:rsidRPr="00830F4C">
        <w:rPr>
          <w:rFonts w:ascii="Garamond" w:hAnsi="Garamond"/>
        </w:rPr>
        <w:t>-ja zënë peshën kryesore në portofolin e të ardhurave tatimore. Shpenzimet tatimore, që krijohen nga përjashtimet apo aplikimet e normave të reduktuara në tatimet e tjera, si</w:t>
      </w:r>
      <w:r w:rsidR="00DB1B60" w:rsidRPr="00830F4C">
        <w:rPr>
          <w:rFonts w:ascii="Garamond" w:hAnsi="Garamond"/>
        </w:rPr>
        <w:t>:</w:t>
      </w:r>
      <w:r w:rsidRPr="00830F4C">
        <w:rPr>
          <w:rFonts w:ascii="Garamond" w:hAnsi="Garamond"/>
        </w:rPr>
        <w:t xml:space="preserve"> </w:t>
      </w:r>
      <w:r w:rsidR="00DB1B60" w:rsidRPr="00830F4C">
        <w:rPr>
          <w:rFonts w:ascii="Garamond" w:hAnsi="Garamond"/>
        </w:rPr>
        <w:t>akciza,</w:t>
      </w:r>
      <w:r w:rsidRPr="00830F4C">
        <w:rPr>
          <w:rFonts w:ascii="Garamond" w:hAnsi="Garamond"/>
        </w:rPr>
        <w:t xml:space="preserve"> Tatimi mbi të ardhurat, Tatimi mbi fitimin korporativ, variojnë nga 0.5%–1% të PBB-së, ku pas</w:t>
      </w:r>
      <w:r w:rsidR="00DE65FB">
        <w:rPr>
          <w:rFonts w:ascii="Garamond" w:hAnsi="Garamond"/>
        </w:rPr>
        <w:t xml:space="preserve"> TVSh</w:t>
      </w:r>
      <w:r w:rsidRPr="00830F4C">
        <w:rPr>
          <w:rFonts w:ascii="Garamond" w:hAnsi="Garamond"/>
        </w:rPr>
        <w:t>-së, vlera më e lartë e shpenzimeve tatimore me rreth 16%, vjen nga norma 0% e tatimit mbi fitimin e bizneseve të vogla.</w:t>
      </w:r>
    </w:p>
    <w:p w14:paraId="422E4E2B" w14:textId="1977F95A" w:rsidR="00DB49D5" w:rsidRPr="00830F4C" w:rsidRDefault="00DB49D5" w:rsidP="00DB49D5">
      <w:pPr>
        <w:ind w:firstLine="284"/>
        <w:jc w:val="both"/>
        <w:rPr>
          <w:rFonts w:ascii="Garamond" w:hAnsi="Garamond"/>
        </w:rPr>
      </w:pPr>
      <w:r w:rsidRPr="00830F4C">
        <w:rPr>
          <w:rFonts w:ascii="Garamond" w:hAnsi="Garamond"/>
        </w:rPr>
        <w:t>Në tabelën në vijim pasqyrohet në mënyrë të detajuar shpenzimet tatimore për vitet 2021</w:t>
      </w:r>
      <w:r w:rsidR="00236281" w:rsidRPr="00830F4C">
        <w:rPr>
          <w:rFonts w:ascii="Garamond" w:hAnsi="Garamond"/>
        </w:rPr>
        <w:t>–</w:t>
      </w:r>
      <w:r w:rsidRPr="00830F4C">
        <w:rPr>
          <w:rFonts w:ascii="Garamond" w:hAnsi="Garamond"/>
        </w:rPr>
        <w:t xml:space="preserve">2022. Vihet re se kemi një rënie të nivelit të shpenzimit tatimor në lidhje me </w:t>
      </w:r>
      <w:r w:rsidR="00DB1B60" w:rsidRPr="00830F4C">
        <w:rPr>
          <w:rFonts w:ascii="Garamond" w:hAnsi="Garamond"/>
        </w:rPr>
        <w:t>a</w:t>
      </w:r>
      <w:r w:rsidRPr="00830F4C">
        <w:rPr>
          <w:rFonts w:ascii="Garamond" w:hAnsi="Garamond"/>
        </w:rPr>
        <w:t>kcizën dhe</w:t>
      </w:r>
      <w:r w:rsidR="00DE65FB">
        <w:rPr>
          <w:rFonts w:ascii="Garamond" w:hAnsi="Garamond"/>
        </w:rPr>
        <w:t xml:space="preserve"> TVSh</w:t>
      </w:r>
      <w:r w:rsidRPr="00830F4C">
        <w:rPr>
          <w:rFonts w:ascii="Garamond" w:hAnsi="Garamond"/>
        </w:rPr>
        <w:t>-në, kjo dhe si shkak i rishikimit të disa normave të reduktuara dhe përjashtimeve për këto tatime. Ndërkohë, si shkak i rritjes së numrit të bizneseve me tatim 0% dhe i rritjes së nivelit të fitimit të tatueshëm të tyre, shpenzimet tatimore të tatimit mbi fitimin janë në rritje.</w:t>
      </w:r>
    </w:p>
    <w:p w14:paraId="0579AA88" w14:textId="513B2374" w:rsidR="00DB49D5" w:rsidRPr="00830F4C" w:rsidRDefault="00DB49D5" w:rsidP="00723888">
      <w:pPr>
        <w:pStyle w:val="Caption"/>
        <w:keepNext/>
        <w:spacing w:after="0"/>
        <w:ind w:firstLine="284"/>
        <w:rPr>
          <w:rFonts w:ascii="Garamond" w:hAnsi="Garamond"/>
          <w:color w:val="auto"/>
          <w:sz w:val="20"/>
          <w:szCs w:val="20"/>
        </w:rPr>
      </w:pPr>
      <w:bookmarkStart w:id="8" w:name="_Toc172642651"/>
      <w:bookmarkStart w:id="9" w:name="_Toc185235127"/>
      <w:r w:rsidRPr="00830F4C">
        <w:rPr>
          <w:rFonts w:ascii="Garamond" w:hAnsi="Garamond"/>
          <w:color w:val="auto"/>
          <w:sz w:val="20"/>
          <w:szCs w:val="20"/>
        </w:rPr>
        <w:t xml:space="preserve">Tabela </w:t>
      </w:r>
      <w:r w:rsidRPr="00830F4C">
        <w:rPr>
          <w:rFonts w:ascii="Garamond" w:hAnsi="Garamond"/>
          <w:color w:val="auto"/>
          <w:sz w:val="20"/>
          <w:szCs w:val="20"/>
        </w:rPr>
        <w:fldChar w:fldCharType="begin"/>
      </w:r>
      <w:r w:rsidRPr="00830F4C">
        <w:rPr>
          <w:rFonts w:ascii="Garamond" w:hAnsi="Garamond"/>
          <w:color w:val="auto"/>
          <w:sz w:val="20"/>
          <w:szCs w:val="20"/>
        </w:rPr>
        <w:instrText xml:space="preserve"> SEQ Tabela \* ARABIC </w:instrText>
      </w:r>
      <w:r w:rsidRPr="00830F4C">
        <w:rPr>
          <w:rFonts w:ascii="Garamond" w:hAnsi="Garamond"/>
          <w:color w:val="auto"/>
          <w:sz w:val="20"/>
          <w:szCs w:val="20"/>
        </w:rPr>
        <w:fldChar w:fldCharType="separate"/>
      </w:r>
      <w:r w:rsidRPr="00830F4C">
        <w:rPr>
          <w:rFonts w:ascii="Garamond" w:hAnsi="Garamond"/>
          <w:color w:val="auto"/>
          <w:sz w:val="20"/>
          <w:szCs w:val="20"/>
        </w:rPr>
        <w:t>2</w:t>
      </w:r>
      <w:r w:rsidRPr="00830F4C">
        <w:rPr>
          <w:rFonts w:ascii="Garamond" w:hAnsi="Garamond"/>
          <w:color w:val="auto"/>
          <w:sz w:val="20"/>
          <w:szCs w:val="20"/>
        </w:rPr>
        <w:fldChar w:fldCharType="end"/>
      </w:r>
      <w:r w:rsidRPr="00830F4C">
        <w:rPr>
          <w:rFonts w:ascii="Garamond" w:hAnsi="Garamond" w:cs="Times New Roman"/>
          <w:color w:val="auto"/>
          <w:sz w:val="20"/>
          <w:szCs w:val="20"/>
        </w:rPr>
        <w:t>:</w:t>
      </w:r>
      <w:r w:rsidR="00FF624C" w:rsidRPr="00830F4C">
        <w:rPr>
          <w:rFonts w:ascii="Garamond" w:hAnsi="Garamond" w:cs="Times New Roman"/>
          <w:color w:val="auto"/>
          <w:sz w:val="20"/>
          <w:szCs w:val="20"/>
        </w:rPr>
        <w:t xml:space="preserve"> </w:t>
      </w:r>
      <w:r w:rsidRPr="00830F4C">
        <w:rPr>
          <w:rFonts w:ascii="Garamond" w:hAnsi="Garamond" w:cs="Times New Roman"/>
          <w:color w:val="auto"/>
          <w:sz w:val="20"/>
          <w:szCs w:val="20"/>
        </w:rPr>
        <w:t>Shpenzimi tatimor, vitet 2021 dhe 2022</w:t>
      </w:r>
      <w:bookmarkEnd w:id="8"/>
      <w:r w:rsidRPr="00830F4C">
        <w:rPr>
          <w:rFonts w:ascii="Garamond" w:hAnsi="Garamond" w:cs="Times New Roman"/>
          <w:color w:val="auto"/>
          <w:sz w:val="20"/>
          <w:szCs w:val="20"/>
        </w:rPr>
        <w:t xml:space="preserve">, në </w:t>
      </w:r>
      <w:r w:rsidR="00D22EA5" w:rsidRPr="00830F4C">
        <w:rPr>
          <w:rFonts w:ascii="Garamond" w:hAnsi="Garamond" w:cs="Times New Roman"/>
          <w:color w:val="auto"/>
          <w:sz w:val="20"/>
          <w:szCs w:val="20"/>
        </w:rPr>
        <w:t xml:space="preserve">miliardë </w:t>
      </w:r>
      <w:r w:rsidRPr="00830F4C">
        <w:rPr>
          <w:rFonts w:ascii="Garamond" w:hAnsi="Garamond" w:cs="Times New Roman"/>
          <w:color w:val="auto"/>
          <w:sz w:val="20"/>
          <w:szCs w:val="20"/>
        </w:rPr>
        <w:t>lekë dhe në % të PBB</w:t>
      </w:r>
      <w:bookmarkEnd w:id="9"/>
      <w:r w:rsidR="00DB1B60" w:rsidRPr="00830F4C">
        <w:rPr>
          <w:rFonts w:ascii="Garamond" w:hAnsi="Garamond"/>
          <w:color w:val="auto"/>
          <w:sz w:val="20"/>
          <w:szCs w:val="20"/>
        </w:rPr>
        <w:t>-së</w:t>
      </w:r>
    </w:p>
    <w:p w14:paraId="278FCDE4" w14:textId="77777777" w:rsidR="00DB49D5" w:rsidRPr="00830F4C" w:rsidRDefault="00DB49D5" w:rsidP="00DB49D5">
      <w:pPr>
        <w:pBdr>
          <w:top w:val="nil"/>
          <w:left w:val="nil"/>
          <w:bottom w:val="nil"/>
          <w:right w:val="nil"/>
          <w:between w:val="nil"/>
          <w:bar w:val="nil"/>
        </w:pBdr>
        <w:jc w:val="both"/>
      </w:pPr>
      <w:r w:rsidRPr="00830F4C">
        <w:rPr>
          <w:noProof/>
          <w:lang w:val="en-US"/>
        </w:rPr>
        <w:drawing>
          <wp:inline distT="0" distB="0" distL="0" distR="0" wp14:anchorId="30AFD8B4" wp14:editId="65194B01">
            <wp:extent cx="5730875" cy="1134110"/>
            <wp:effectExtent l="0" t="0" r="3175" b="8890"/>
            <wp:docPr id="1805086780" name="Picture 1805086780" descr="A graph of numbers and percent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graph of numbers and percentages&#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0875" cy="1134110"/>
                    </a:xfrm>
                    <a:prstGeom prst="rect">
                      <a:avLst/>
                    </a:prstGeom>
                    <a:noFill/>
                  </pic:spPr>
                </pic:pic>
              </a:graphicData>
            </a:graphic>
          </wp:inline>
        </w:drawing>
      </w:r>
    </w:p>
    <w:p w14:paraId="52DA7D4B" w14:textId="77777777" w:rsidR="00DB49D5" w:rsidRPr="00830F4C" w:rsidRDefault="00DB49D5" w:rsidP="00DB49D5">
      <w:pPr>
        <w:pBdr>
          <w:top w:val="nil"/>
          <w:left w:val="nil"/>
          <w:bottom w:val="nil"/>
          <w:right w:val="nil"/>
          <w:between w:val="nil"/>
          <w:bar w:val="nil"/>
        </w:pBdr>
        <w:ind w:firstLine="284"/>
        <w:jc w:val="both"/>
        <w:rPr>
          <w:rFonts w:ascii="Garamond" w:hAnsi="Garamond"/>
        </w:rPr>
      </w:pPr>
      <w:r w:rsidRPr="00830F4C">
        <w:rPr>
          <w:rFonts w:ascii="Garamond" w:hAnsi="Garamond"/>
        </w:rPr>
        <w:t>- Tatimi mbi Vlerën e Shtuar</w:t>
      </w:r>
    </w:p>
    <w:p w14:paraId="23057B71" w14:textId="7B3C68E2" w:rsidR="00DB49D5" w:rsidRPr="00830F4C" w:rsidRDefault="00DB49D5" w:rsidP="00DB49D5">
      <w:pPr>
        <w:pBdr>
          <w:top w:val="nil"/>
          <w:left w:val="nil"/>
          <w:bottom w:val="nil"/>
          <w:right w:val="nil"/>
          <w:between w:val="nil"/>
          <w:bar w:val="nil"/>
        </w:pBdr>
        <w:ind w:firstLine="284"/>
        <w:jc w:val="both"/>
        <w:rPr>
          <w:rFonts w:ascii="Garamond" w:hAnsi="Garamond"/>
        </w:rPr>
      </w:pPr>
      <w:r w:rsidRPr="00830F4C">
        <w:rPr>
          <w:rFonts w:ascii="Garamond" w:hAnsi="Garamond"/>
        </w:rPr>
        <w:t>Nëse, çdo mall ose shërbim do të ngarkohej me normën standarde të tatimit, të ardhurat teorike nga</w:t>
      </w:r>
      <w:r w:rsidR="00DE65FB">
        <w:rPr>
          <w:rFonts w:ascii="Garamond" w:hAnsi="Garamond"/>
        </w:rPr>
        <w:t xml:space="preserve"> TVSh</w:t>
      </w:r>
      <w:r w:rsidRPr="00830F4C">
        <w:rPr>
          <w:rFonts w:ascii="Garamond" w:hAnsi="Garamond"/>
        </w:rPr>
        <w:t xml:space="preserve">-ja do ishin 367.6 miliardë lekë. Në fakt janë arkëtuar 191,4 miliardë lekë, ose 52,1% e shumës teorike. Diferenca 176,2 miliardë lekë që nuk arkëtohet i takon </w:t>
      </w:r>
      <w:r w:rsidR="00D22EA5" w:rsidRPr="00830F4C">
        <w:rPr>
          <w:rFonts w:ascii="Garamond" w:hAnsi="Garamond"/>
        </w:rPr>
        <w:t>“</w:t>
      </w:r>
      <w:r w:rsidR="00DB1B60" w:rsidRPr="00830F4C">
        <w:rPr>
          <w:rFonts w:ascii="Garamond" w:hAnsi="Garamond"/>
        </w:rPr>
        <w:t xml:space="preserve">Shpenzimeve </w:t>
      </w:r>
      <w:r w:rsidRPr="00830F4C">
        <w:rPr>
          <w:rFonts w:ascii="Garamond" w:hAnsi="Garamond"/>
        </w:rPr>
        <w:t>tatimore</w:t>
      </w:r>
      <w:r w:rsidR="00D22EA5" w:rsidRPr="00830F4C">
        <w:rPr>
          <w:rFonts w:ascii="Garamond" w:hAnsi="Garamond"/>
        </w:rPr>
        <w:t>”</w:t>
      </w:r>
      <w:r w:rsidRPr="00830F4C">
        <w:rPr>
          <w:rFonts w:ascii="Garamond" w:hAnsi="Garamond"/>
        </w:rPr>
        <w:t>, si dhe</w:t>
      </w:r>
      <w:r w:rsidR="00DE65FB">
        <w:rPr>
          <w:rFonts w:ascii="Garamond" w:hAnsi="Garamond"/>
        </w:rPr>
        <w:t xml:space="preserve"> TVSh</w:t>
      </w:r>
      <w:r w:rsidRPr="00830F4C">
        <w:rPr>
          <w:rFonts w:ascii="Garamond" w:hAnsi="Garamond"/>
        </w:rPr>
        <w:t xml:space="preserve">-së së humbur për shkak të nënraportimit/informalitetit/evazionit. </w:t>
      </w:r>
    </w:p>
    <w:p w14:paraId="245D65AF" w14:textId="652BBA5B" w:rsidR="00DB49D5" w:rsidRPr="00830F4C" w:rsidRDefault="00DB49D5" w:rsidP="00DB49D5">
      <w:pPr>
        <w:pBdr>
          <w:top w:val="nil"/>
          <w:left w:val="nil"/>
          <w:bottom w:val="nil"/>
          <w:right w:val="nil"/>
          <w:between w:val="nil"/>
          <w:bar w:val="nil"/>
        </w:pBdr>
        <w:ind w:firstLine="284"/>
        <w:jc w:val="both"/>
        <w:rPr>
          <w:rFonts w:ascii="Garamond" w:hAnsi="Garamond"/>
        </w:rPr>
      </w:pPr>
      <w:r w:rsidRPr="00830F4C">
        <w:rPr>
          <w:rFonts w:ascii="Garamond" w:hAnsi="Garamond"/>
        </w:rPr>
        <w:t>Shpenzimet tatimore nga</w:t>
      </w:r>
      <w:r w:rsidR="00DE65FB">
        <w:rPr>
          <w:rFonts w:ascii="Garamond" w:hAnsi="Garamond"/>
        </w:rPr>
        <w:t xml:space="preserve"> TVSh</w:t>
      </w:r>
      <w:r w:rsidRPr="00830F4C">
        <w:rPr>
          <w:rFonts w:ascii="Garamond" w:hAnsi="Garamond"/>
        </w:rPr>
        <w:t>-ja për vitin 2021 dhe 2022, pasqyrohen në mënyrë të përmbledhur në tabelën në vijim.</w:t>
      </w:r>
    </w:p>
    <w:p w14:paraId="2E12B6ED" w14:textId="60927714" w:rsidR="00DB49D5" w:rsidRPr="00830F4C" w:rsidRDefault="00DB49D5" w:rsidP="00723888">
      <w:pPr>
        <w:pStyle w:val="Caption"/>
        <w:keepNext/>
        <w:spacing w:after="0"/>
        <w:ind w:firstLine="284"/>
        <w:rPr>
          <w:rFonts w:ascii="Garamond" w:hAnsi="Garamond"/>
          <w:color w:val="auto"/>
          <w:sz w:val="20"/>
          <w:szCs w:val="24"/>
        </w:rPr>
      </w:pPr>
      <w:bookmarkStart w:id="10" w:name="_Toc172642652"/>
      <w:bookmarkStart w:id="11" w:name="_Toc185235128"/>
      <w:r w:rsidRPr="00830F4C">
        <w:rPr>
          <w:rFonts w:ascii="Garamond" w:hAnsi="Garamond"/>
          <w:color w:val="auto"/>
          <w:sz w:val="20"/>
          <w:szCs w:val="24"/>
        </w:rPr>
        <w:t xml:space="preserve">Tabela </w:t>
      </w:r>
      <w:r w:rsidRPr="00830F4C">
        <w:rPr>
          <w:rFonts w:ascii="Garamond" w:hAnsi="Garamond"/>
          <w:color w:val="auto"/>
          <w:sz w:val="20"/>
          <w:szCs w:val="24"/>
        </w:rPr>
        <w:fldChar w:fldCharType="begin"/>
      </w:r>
      <w:r w:rsidRPr="00830F4C">
        <w:rPr>
          <w:rFonts w:ascii="Garamond" w:hAnsi="Garamond"/>
          <w:color w:val="auto"/>
          <w:sz w:val="20"/>
          <w:szCs w:val="24"/>
        </w:rPr>
        <w:instrText xml:space="preserve"> SEQ Tabela \* ARABIC </w:instrText>
      </w:r>
      <w:r w:rsidRPr="00830F4C">
        <w:rPr>
          <w:rFonts w:ascii="Garamond" w:hAnsi="Garamond"/>
          <w:color w:val="auto"/>
          <w:sz w:val="20"/>
          <w:szCs w:val="24"/>
        </w:rPr>
        <w:fldChar w:fldCharType="separate"/>
      </w:r>
      <w:r w:rsidRPr="00830F4C">
        <w:rPr>
          <w:rFonts w:ascii="Garamond" w:hAnsi="Garamond"/>
          <w:color w:val="auto"/>
          <w:sz w:val="20"/>
          <w:szCs w:val="24"/>
        </w:rPr>
        <w:t>3</w:t>
      </w:r>
      <w:r w:rsidRPr="00830F4C">
        <w:rPr>
          <w:rFonts w:ascii="Garamond" w:hAnsi="Garamond"/>
          <w:color w:val="auto"/>
          <w:sz w:val="20"/>
          <w:szCs w:val="24"/>
        </w:rPr>
        <w:fldChar w:fldCharType="end"/>
      </w:r>
      <w:r w:rsidRPr="00830F4C">
        <w:rPr>
          <w:rFonts w:ascii="Garamond" w:hAnsi="Garamond"/>
          <w:color w:val="auto"/>
          <w:sz w:val="20"/>
          <w:szCs w:val="24"/>
        </w:rPr>
        <w:t>:</w:t>
      </w:r>
      <w:r w:rsidRPr="00830F4C">
        <w:rPr>
          <w:rFonts w:ascii="Garamond" w:hAnsi="Garamond" w:cs="Times New Roman"/>
          <w:color w:val="auto"/>
          <w:sz w:val="20"/>
          <w:szCs w:val="24"/>
        </w:rPr>
        <w:t xml:space="preserve"> Shpenzimi tatimor i</w:t>
      </w:r>
      <w:r w:rsidR="00DE65FB">
        <w:rPr>
          <w:rFonts w:ascii="Garamond" w:hAnsi="Garamond" w:cs="Times New Roman"/>
          <w:color w:val="auto"/>
          <w:sz w:val="20"/>
          <w:szCs w:val="24"/>
        </w:rPr>
        <w:t xml:space="preserve"> TVSh</w:t>
      </w:r>
      <w:r w:rsidRPr="00830F4C">
        <w:rPr>
          <w:rFonts w:ascii="Garamond" w:hAnsi="Garamond" w:cs="Times New Roman"/>
          <w:color w:val="auto"/>
          <w:sz w:val="20"/>
          <w:szCs w:val="24"/>
        </w:rPr>
        <w:t>-së në vitet 2021 dhe 2022</w:t>
      </w:r>
      <w:bookmarkEnd w:id="10"/>
      <w:bookmarkEnd w:id="11"/>
    </w:p>
    <w:tbl>
      <w:tblPr>
        <w:tblStyle w:val="GridTable1Light-Accent21"/>
        <w:tblW w:w="9242" w:type="dxa"/>
        <w:tblLook w:val="04A0" w:firstRow="1" w:lastRow="0" w:firstColumn="1" w:lastColumn="0" w:noHBand="0" w:noVBand="1"/>
      </w:tblPr>
      <w:tblGrid>
        <w:gridCol w:w="4968"/>
        <w:gridCol w:w="1077"/>
        <w:gridCol w:w="926"/>
        <w:gridCol w:w="1406"/>
        <w:gridCol w:w="865"/>
      </w:tblGrid>
      <w:tr w:rsidR="00DB49D5" w:rsidRPr="00830F4C" w14:paraId="53D5E0D1" w14:textId="77777777" w:rsidTr="00DB1B60">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4968" w:type="dxa"/>
            <w:vMerge w:val="restart"/>
            <w:noWrap/>
            <w:vAlign w:val="center"/>
          </w:tcPr>
          <w:p w14:paraId="1F007F76" w14:textId="77777777" w:rsidR="00DB49D5" w:rsidRPr="00830F4C" w:rsidRDefault="00DB49D5" w:rsidP="00DB1B60">
            <w:pPr>
              <w:jc w:val="center"/>
              <w:rPr>
                <w:rFonts w:ascii="Garamond" w:hAnsi="Garamond"/>
                <w:bCs w:val="0"/>
                <w:sz w:val="20"/>
                <w:szCs w:val="20"/>
              </w:rPr>
            </w:pPr>
            <w:r w:rsidRPr="00830F4C">
              <w:rPr>
                <w:rFonts w:ascii="Garamond" w:hAnsi="Garamond"/>
                <w:bCs w:val="0"/>
                <w:sz w:val="20"/>
                <w:szCs w:val="20"/>
              </w:rPr>
              <w:t>Shpenzimi tatimor</w:t>
            </w:r>
          </w:p>
        </w:tc>
        <w:tc>
          <w:tcPr>
            <w:tcW w:w="2003" w:type="dxa"/>
            <w:gridSpan w:val="2"/>
            <w:noWrap/>
            <w:vAlign w:val="center"/>
          </w:tcPr>
          <w:p w14:paraId="712691C7" w14:textId="77777777" w:rsidR="00DB49D5" w:rsidRPr="00830F4C" w:rsidRDefault="00DB49D5" w:rsidP="00DB1B60">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rPr>
            </w:pPr>
            <w:r w:rsidRPr="00830F4C">
              <w:rPr>
                <w:rFonts w:ascii="Garamond" w:hAnsi="Garamond"/>
                <w:sz w:val="20"/>
                <w:szCs w:val="20"/>
              </w:rPr>
              <w:t>2021</w:t>
            </w:r>
          </w:p>
        </w:tc>
        <w:tc>
          <w:tcPr>
            <w:tcW w:w="2271" w:type="dxa"/>
            <w:gridSpan w:val="2"/>
            <w:vAlign w:val="center"/>
          </w:tcPr>
          <w:p w14:paraId="6FB37D2B" w14:textId="77777777" w:rsidR="00DB49D5" w:rsidRPr="00830F4C" w:rsidRDefault="00DB49D5" w:rsidP="00DB1B60">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szCs w:val="20"/>
              </w:rPr>
            </w:pPr>
            <w:r w:rsidRPr="00830F4C">
              <w:rPr>
                <w:rFonts w:ascii="Garamond" w:hAnsi="Garamond"/>
                <w:sz w:val="20"/>
                <w:szCs w:val="20"/>
              </w:rPr>
              <w:t>2022</w:t>
            </w:r>
          </w:p>
        </w:tc>
      </w:tr>
      <w:tr w:rsidR="00DB49D5" w:rsidRPr="00830F4C" w14:paraId="3002261E" w14:textId="77777777" w:rsidTr="00DB1B60">
        <w:trPr>
          <w:trHeight w:val="283"/>
        </w:trPr>
        <w:tc>
          <w:tcPr>
            <w:cnfStyle w:val="001000000000" w:firstRow="0" w:lastRow="0" w:firstColumn="1" w:lastColumn="0" w:oddVBand="0" w:evenVBand="0" w:oddHBand="0" w:evenHBand="0" w:firstRowFirstColumn="0" w:firstRowLastColumn="0" w:lastRowFirstColumn="0" w:lastRowLastColumn="0"/>
            <w:tcW w:w="4968" w:type="dxa"/>
            <w:vMerge/>
            <w:noWrap/>
            <w:vAlign w:val="center"/>
            <w:hideMark/>
          </w:tcPr>
          <w:p w14:paraId="4F1E980D" w14:textId="77777777" w:rsidR="00DB49D5" w:rsidRPr="00830F4C" w:rsidRDefault="00DB49D5" w:rsidP="00DB1B60">
            <w:pPr>
              <w:jc w:val="center"/>
              <w:rPr>
                <w:rFonts w:ascii="Garamond" w:hAnsi="Garamond"/>
                <w:b w:val="0"/>
                <w:bCs w:val="0"/>
                <w:sz w:val="20"/>
                <w:szCs w:val="20"/>
              </w:rPr>
            </w:pPr>
          </w:p>
        </w:tc>
        <w:tc>
          <w:tcPr>
            <w:tcW w:w="1077" w:type="dxa"/>
            <w:noWrap/>
            <w:vAlign w:val="center"/>
            <w:hideMark/>
          </w:tcPr>
          <w:p w14:paraId="63BC1AAA" w14:textId="5AE735E7" w:rsidR="00DB49D5" w:rsidRPr="00830F4C" w:rsidRDefault="00DB49D5" w:rsidP="00DB1B60">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20"/>
                <w:szCs w:val="20"/>
              </w:rPr>
            </w:pPr>
            <w:r w:rsidRPr="00830F4C">
              <w:rPr>
                <w:rFonts w:ascii="Garamond" w:hAnsi="Garamond"/>
                <w:b/>
                <w:bCs/>
                <w:sz w:val="20"/>
                <w:szCs w:val="20"/>
              </w:rPr>
              <w:t>Mil</w:t>
            </w:r>
            <w:r w:rsidR="00DB1B60" w:rsidRPr="00830F4C">
              <w:rPr>
                <w:rFonts w:ascii="Garamond" w:hAnsi="Garamond"/>
                <w:b/>
                <w:bCs/>
                <w:sz w:val="20"/>
                <w:szCs w:val="20"/>
              </w:rPr>
              <w:t>.</w:t>
            </w:r>
            <w:r w:rsidRPr="00830F4C">
              <w:rPr>
                <w:rFonts w:ascii="Garamond" w:hAnsi="Garamond"/>
                <w:b/>
                <w:bCs/>
                <w:sz w:val="20"/>
                <w:szCs w:val="20"/>
              </w:rPr>
              <w:t xml:space="preserve"> </w:t>
            </w:r>
            <w:r w:rsidR="00DB1B60" w:rsidRPr="00830F4C">
              <w:rPr>
                <w:rFonts w:ascii="Garamond" w:hAnsi="Garamond"/>
                <w:b/>
                <w:bCs/>
                <w:sz w:val="20"/>
                <w:szCs w:val="20"/>
              </w:rPr>
              <w:t>l</w:t>
            </w:r>
            <w:r w:rsidRPr="00830F4C">
              <w:rPr>
                <w:rFonts w:ascii="Garamond" w:hAnsi="Garamond"/>
                <w:b/>
                <w:bCs/>
                <w:sz w:val="20"/>
                <w:szCs w:val="20"/>
              </w:rPr>
              <w:t>ek</w:t>
            </w:r>
          </w:p>
        </w:tc>
        <w:tc>
          <w:tcPr>
            <w:tcW w:w="926" w:type="dxa"/>
            <w:vAlign w:val="center"/>
          </w:tcPr>
          <w:p w14:paraId="4257D3D5" w14:textId="77777777" w:rsidR="00DB49D5" w:rsidRPr="00830F4C" w:rsidRDefault="00DB49D5" w:rsidP="00DB1B60">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20"/>
                <w:szCs w:val="20"/>
              </w:rPr>
            </w:pPr>
            <w:r w:rsidRPr="00830F4C">
              <w:rPr>
                <w:rFonts w:ascii="Garamond" w:hAnsi="Garamond"/>
                <w:b/>
                <w:sz w:val="20"/>
                <w:szCs w:val="20"/>
              </w:rPr>
              <w:t>%</w:t>
            </w:r>
          </w:p>
        </w:tc>
        <w:tc>
          <w:tcPr>
            <w:tcW w:w="1406" w:type="dxa"/>
            <w:vAlign w:val="center"/>
          </w:tcPr>
          <w:p w14:paraId="3E6677AF" w14:textId="579A70D3" w:rsidR="00DB49D5" w:rsidRPr="00830F4C" w:rsidRDefault="00DB49D5" w:rsidP="00DB1B60">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20"/>
                <w:szCs w:val="20"/>
              </w:rPr>
            </w:pPr>
            <w:r w:rsidRPr="00830F4C">
              <w:rPr>
                <w:rFonts w:ascii="Garamond" w:hAnsi="Garamond"/>
                <w:b/>
                <w:bCs/>
                <w:sz w:val="20"/>
                <w:szCs w:val="20"/>
              </w:rPr>
              <w:t>Mil</w:t>
            </w:r>
            <w:r w:rsidR="00DB1B60" w:rsidRPr="00830F4C">
              <w:rPr>
                <w:rFonts w:ascii="Garamond" w:hAnsi="Garamond"/>
                <w:b/>
                <w:bCs/>
                <w:sz w:val="20"/>
                <w:szCs w:val="20"/>
              </w:rPr>
              <w:t>.</w:t>
            </w:r>
            <w:r w:rsidRPr="00830F4C">
              <w:rPr>
                <w:rFonts w:ascii="Garamond" w:hAnsi="Garamond"/>
                <w:b/>
                <w:bCs/>
                <w:sz w:val="20"/>
                <w:szCs w:val="20"/>
              </w:rPr>
              <w:t xml:space="preserve"> </w:t>
            </w:r>
            <w:r w:rsidR="00DB1B60" w:rsidRPr="00830F4C">
              <w:rPr>
                <w:rFonts w:ascii="Garamond" w:hAnsi="Garamond"/>
                <w:b/>
                <w:bCs/>
                <w:sz w:val="20"/>
                <w:szCs w:val="20"/>
              </w:rPr>
              <w:t>l</w:t>
            </w:r>
            <w:r w:rsidRPr="00830F4C">
              <w:rPr>
                <w:rFonts w:ascii="Garamond" w:hAnsi="Garamond"/>
                <w:b/>
                <w:bCs/>
                <w:sz w:val="20"/>
                <w:szCs w:val="20"/>
              </w:rPr>
              <w:t>ek</w:t>
            </w:r>
          </w:p>
        </w:tc>
        <w:tc>
          <w:tcPr>
            <w:tcW w:w="865" w:type="dxa"/>
          </w:tcPr>
          <w:p w14:paraId="7C0A3E3A"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20"/>
                <w:szCs w:val="20"/>
              </w:rPr>
            </w:pPr>
            <w:r w:rsidRPr="00830F4C">
              <w:rPr>
                <w:rFonts w:ascii="Garamond" w:hAnsi="Garamond"/>
                <w:b/>
                <w:sz w:val="20"/>
                <w:szCs w:val="20"/>
              </w:rPr>
              <w:t>%</w:t>
            </w:r>
          </w:p>
        </w:tc>
      </w:tr>
      <w:tr w:rsidR="00DB49D5" w:rsidRPr="00830F4C" w14:paraId="1F8DF09A" w14:textId="77777777" w:rsidTr="00DB49D5">
        <w:trPr>
          <w:trHeight w:val="283"/>
        </w:trPr>
        <w:tc>
          <w:tcPr>
            <w:cnfStyle w:val="001000000000" w:firstRow="0" w:lastRow="0" w:firstColumn="1" w:lastColumn="0" w:oddVBand="0" w:evenVBand="0" w:oddHBand="0" w:evenHBand="0" w:firstRowFirstColumn="0" w:firstRowLastColumn="0" w:lastRowFirstColumn="0" w:lastRowLastColumn="0"/>
            <w:tcW w:w="4968" w:type="dxa"/>
            <w:noWrap/>
            <w:hideMark/>
          </w:tcPr>
          <w:p w14:paraId="5D7D07DE" w14:textId="77777777" w:rsidR="00DB49D5" w:rsidRPr="00830F4C" w:rsidRDefault="00DB49D5" w:rsidP="00DB49D5">
            <w:pPr>
              <w:rPr>
                <w:rFonts w:ascii="Garamond" w:hAnsi="Garamond"/>
                <w:b w:val="0"/>
                <w:sz w:val="20"/>
                <w:szCs w:val="20"/>
              </w:rPr>
            </w:pPr>
            <w:r w:rsidRPr="00830F4C">
              <w:rPr>
                <w:rFonts w:ascii="Garamond" w:hAnsi="Garamond"/>
                <w:b w:val="0"/>
                <w:sz w:val="20"/>
                <w:szCs w:val="20"/>
              </w:rPr>
              <w:t>Nga normat e reduktuara, përjashtimet dhe pasuritë e paluajtshme</w:t>
            </w:r>
          </w:p>
        </w:tc>
        <w:tc>
          <w:tcPr>
            <w:tcW w:w="1077" w:type="dxa"/>
            <w:noWrap/>
            <w:hideMark/>
          </w:tcPr>
          <w:p w14:paraId="20A3A79E"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830F4C">
              <w:rPr>
                <w:rFonts w:ascii="Garamond" w:hAnsi="Garamond"/>
                <w:sz w:val="20"/>
                <w:szCs w:val="20"/>
              </w:rPr>
              <w:t>27,695</w:t>
            </w:r>
          </w:p>
        </w:tc>
        <w:tc>
          <w:tcPr>
            <w:tcW w:w="926" w:type="dxa"/>
          </w:tcPr>
          <w:p w14:paraId="41621551"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830F4C">
              <w:rPr>
                <w:rFonts w:ascii="Garamond" w:hAnsi="Garamond"/>
                <w:sz w:val="20"/>
                <w:szCs w:val="20"/>
              </w:rPr>
              <w:t>36.2</w:t>
            </w:r>
          </w:p>
        </w:tc>
        <w:tc>
          <w:tcPr>
            <w:tcW w:w="1406" w:type="dxa"/>
          </w:tcPr>
          <w:p w14:paraId="6AD891C0"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830F4C">
              <w:rPr>
                <w:rFonts w:ascii="Garamond" w:hAnsi="Garamond"/>
                <w:sz w:val="20"/>
                <w:szCs w:val="20"/>
              </w:rPr>
              <w:t>29,340</w:t>
            </w:r>
          </w:p>
        </w:tc>
        <w:tc>
          <w:tcPr>
            <w:tcW w:w="865" w:type="dxa"/>
          </w:tcPr>
          <w:p w14:paraId="115C5DFA"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830F4C">
              <w:rPr>
                <w:rFonts w:ascii="Garamond" w:hAnsi="Garamond"/>
                <w:sz w:val="20"/>
                <w:szCs w:val="20"/>
              </w:rPr>
              <w:t>34.9</w:t>
            </w:r>
          </w:p>
        </w:tc>
      </w:tr>
      <w:tr w:rsidR="00DB49D5" w:rsidRPr="00830F4C" w14:paraId="3DF164FA" w14:textId="77777777" w:rsidTr="00DB49D5">
        <w:trPr>
          <w:trHeight w:val="283"/>
        </w:trPr>
        <w:tc>
          <w:tcPr>
            <w:cnfStyle w:val="001000000000" w:firstRow="0" w:lastRow="0" w:firstColumn="1" w:lastColumn="0" w:oddVBand="0" w:evenVBand="0" w:oddHBand="0" w:evenHBand="0" w:firstRowFirstColumn="0" w:firstRowLastColumn="0" w:lastRowFirstColumn="0" w:lastRowLastColumn="0"/>
            <w:tcW w:w="4968" w:type="dxa"/>
            <w:noWrap/>
            <w:hideMark/>
          </w:tcPr>
          <w:p w14:paraId="235400F0" w14:textId="4A898A5B" w:rsidR="00DB49D5" w:rsidRPr="00830F4C" w:rsidRDefault="00DB1B60" w:rsidP="00DB1B60">
            <w:pPr>
              <w:pStyle w:val="ListParagraph"/>
              <w:spacing w:after="0" w:line="240" w:lineRule="auto"/>
              <w:ind w:left="0"/>
              <w:rPr>
                <w:rFonts w:ascii="Garamond" w:eastAsia="Times New Roman" w:hAnsi="Garamond" w:cs="Times New Roman"/>
                <w:b w:val="0"/>
                <w:bCs w:val="0"/>
                <w:sz w:val="20"/>
                <w:szCs w:val="20"/>
              </w:rPr>
            </w:pPr>
            <w:r w:rsidRPr="00830F4C">
              <w:rPr>
                <w:rFonts w:ascii="Garamond" w:eastAsia="Times New Roman" w:hAnsi="Garamond" w:cs="Times New Roman"/>
                <w:b w:val="0"/>
                <w:bCs w:val="0"/>
                <w:sz w:val="20"/>
                <w:szCs w:val="20"/>
              </w:rPr>
              <w:t xml:space="preserve">a) </w:t>
            </w:r>
            <w:r w:rsidR="00DB49D5" w:rsidRPr="00830F4C">
              <w:rPr>
                <w:rFonts w:ascii="Garamond" w:eastAsia="Times New Roman" w:hAnsi="Garamond" w:cs="Times New Roman"/>
                <w:b w:val="0"/>
                <w:bCs w:val="0"/>
                <w:sz w:val="20"/>
                <w:szCs w:val="20"/>
              </w:rPr>
              <w:t>Normat e Reduktuara (furnizimi i akomodimit, reklamat nga media audiovizive, furnizimi i librave, etj</w:t>
            </w:r>
            <w:r w:rsidR="00FF624C" w:rsidRPr="00830F4C">
              <w:rPr>
                <w:rFonts w:ascii="Garamond" w:eastAsia="Times New Roman" w:hAnsi="Garamond" w:cs="Times New Roman"/>
                <w:b w:val="0"/>
                <w:bCs w:val="0"/>
                <w:sz w:val="20"/>
                <w:szCs w:val="20"/>
              </w:rPr>
              <w:t>.</w:t>
            </w:r>
            <w:r w:rsidR="00DB49D5" w:rsidRPr="00830F4C">
              <w:rPr>
                <w:rFonts w:ascii="Garamond" w:eastAsia="Times New Roman" w:hAnsi="Garamond" w:cs="Times New Roman"/>
                <w:b w:val="0"/>
                <w:bCs w:val="0"/>
                <w:sz w:val="20"/>
                <w:szCs w:val="20"/>
              </w:rPr>
              <w:t>)</w:t>
            </w:r>
          </w:p>
        </w:tc>
        <w:tc>
          <w:tcPr>
            <w:tcW w:w="1077" w:type="dxa"/>
            <w:noWrap/>
            <w:hideMark/>
          </w:tcPr>
          <w:p w14:paraId="68B4CB7B"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830F4C">
              <w:rPr>
                <w:rFonts w:ascii="Garamond" w:hAnsi="Garamond"/>
                <w:sz w:val="20"/>
                <w:szCs w:val="20"/>
              </w:rPr>
              <w:t>1,443</w:t>
            </w:r>
          </w:p>
        </w:tc>
        <w:tc>
          <w:tcPr>
            <w:tcW w:w="926" w:type="dxa"/>
          </w:tcPr>
          <w:p w14:paraId="7AEF14C8"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830F4C">
              <w:rPr>
                <w:rFonts w:ascii="Garamond" w:hAnsi="Garamond"/>
                <w:sz w:val="20"/>
                <w:szCs w:val="20"/>
              </w:rPr>
              <w:t>1.9</w:t>
            </w:r>
          </w:p>
        </w:tc>
        <w:tc>
          <w:tcPr>
            <w:tcW w:w="1406" w:type="dxa"/>
          </w:tcPr>
          <w:p w14:paraId="40FD3A76"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830F4C">
              <w:rPr>
                <w:rFonts w:ascii="Garamond" w:hAnsi="Garamond"/>
                <w:sz w:val="20"/>
                <w:szCs w:val="20"/>
              </w:rPr>
              <w:t>1,883</w:t>
            </w:r>
          </w:p>
        </w:tc>
        <w:tc>
          <w:tcPr>
            <w:tcW w:w="865" w:type="dxa"/>
          </w:tcPr>
          <w:p w14:paraId="4DB899CE"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830F4C">
              <w:rPr>
                <w:rFonts w:ascii="Garamond" w:hAnsi="Garamond"/>
                <w:sz w:val="20"/>
                <w:szCs w:val="20"/>
              </w:rPr>
              <w:t>2.2</w:t>
            </w:r>
          </w:p>
        </w:tc>
      </w:tr>
      <w:tr w:rsidR="00DB49D5" w:rsidRPr="00830F4C" w14:paraId="72DD0810" w14:textId="77777777" w:rsidTr="00DB49D5">
        <w:trPr>
          <w:trHeight w:val="283"/>
        </w:trPr>
        <w:tc>
          <w:tcPr>
            <w:cnfStyle w:val="001000000000" w:firstRow="0" w:lastRow="0" w:firstColumn="1" w:lastColumn="0" w:oddVBand="0" w:evenVBand="0" w:oddHBand="0" w:evenHBand="0" w:firstRowFirstColumn="0" w:firstRowLastColumn="0" w:lastRowFirstColumn="0" w:lastRowLastColumn="0"/>
            <w:tcW w:w="4968" w:type="dxa"/>
            <w:noWrap/>
            <w:hideMark/>
          </w:tcPr>
          <w:p w14:paraId="70BBAF4C" w14:textId="5E44B832" w:rsidR="00DB49D5" w:rsidRPr="00830F4C" w:rsidRDefault="00DB1B60" w:rsidP="00DB1B60">
            <w:pPr>
              <w:pStyle w:val="ListParagraph"/>
              <w:spacing w:after="0" w:line="240" w:lineRule="auto"/>
              <w:ind w:left="0"/>
              <w:rPr>
                <w:rFonts w:ascii="Garamond" w:eastAsia="Times New Roman" w:hAnsi="Garamond" w:cs="Times New Roman"/>
                <w:b w:val="0"/>
                <w:bCs w:val="0"/>
                <w:sz w:val="20"/>
                <w:szCs w:val="20"/>
              </w:rPr>
            </w:pPr>
            <w:r w:rsidRPr="00830F4C">
              <w:rPr>
                <w:rFonts w:ascii="Garamond" w:eastAsia="Times New Roman" w:hAnsi="Garamond" w:cs="Times New Roman"/>
                <w:b w:val="0"/>
                <w:bCs w:val="0"/>
                <w:sz w:val="20"/>
                <w:szCs w:val="20"/>
              </w:rPr>
              <w:t xml:space="preserve">b) </w:t>
            </w:r>
            <w:r w:rsidR="00DB49D5" w:rsidRPr="00830F4C">
              <w:rPr>
                <w:rFonts w:ascii="Garamond" w:eastAsia="Times New Roman" w:hAnsi="Garamond" w:cs="Times New Roman"/>
                <w:b w:val="0"/>
                <w:bCs w:val="0"/>
                <w:sz w:val="20"/>
                <w:szCs w:val="20"/>
              </w:rPr>
              <w:t xml:space="preserve">Përjashtimet (furnizimi i arsimit, shëndetësisë, barnave, </w:t>
            </w:r>
            <w:r w:rsidR="00FF624C" w:rsidRPr="00830F4C">
              <w:rPr>
                <w:rFonts w:ascii="Garamond" w:eastAsia="Times New Roman" w:hAnsi="Garamond" w:cs="Times New Roman"/>
                <w:b w:val="0"/>
                <w:bCs w:val="0"/>
                <w:sz w:val="20"/>
                <w:szCs w:val="20"/>
              </w:rPr>
              <w:t>lojërat</w:t>
            </w:r>
            <w:r w:rsidR="00DB49D5" w:rsidRPr="00830F4C">
              <w:rPr>
                <w:rFonts w:ascii="Garamond" w:eastAsia="Times New Roman" w:hAnsi="Garamond" w:cs="Times New Roman"/>
                <w:b w:val="0"/>
                <w:bCs w:val="0"/>
                <w:sz w:val="20"/>
                <w:szCs w:val="20"/>
              </w:rPr>
              <w:t xml:space="preserve"> e fatit, </w:t>
            </w:r>
            <w:r w:rsidR="00FF624C" w:rsidRPr="00830F4C">
              <w:rPr>
                <w:rFonts w:ascii="Garamond" w:eastAsia="Times New Roman" w:hAnsi="Garamond" w:cs="Times New Roman"/>
                <w:b w:val="0"/>
                <w:bCs w:val="0"/>
                <w:sz w:val="20"/>
                <w:szCs w:val="20"/>
              </w:rPr>
              <w:t>shërbimet</w:t>
            </w:r>
            <w:r w:rsidR="00DB49D5" w:rsidRPr="00830F4C">
              <w:rPr>
                <w:rFonts w:ascii="Garamond" w:eastAsia="Times New Roman" w:hAnsi="Garamond" w:cs="Times New Roman"/>
                <w:b w:val="0"/>
                <w:bCs w:val="0"/>
                <w:sz w:val="20"/>
                <w:szCs w:val="20"/>
              </w:rPr>
              <w:t xml:space="preserve"> financiare, etj</w:t>
            </w:r>
            <w:r w:rsidR="00FF624C" w:rsidRPr="00830F4C">
              <w:rPr>
                <w:rFonts w:ascii="Garamond" w:eastAsia="Times New Roman" w:hAnsi="Garamond" w:cs="Times New Roman"/>
                <w:b w:val="0"/>
                <w:bCs w:val="0"/>
                <w:sz w:val="20"/>
                <w:szCs w:val="20"/>
              </w:rPr>
              <w:t>.</w:t>
            </w:r>
            <w:r w:rsidR="00DB49D5" w:rsidRPr="00830F4C">
              <w:rPr>
                <w:rFonts w:ascii="Garamond" w:eastAsia="Times New Roman" w:hAnsi="Garamond" w:cs="Times New Roman"/>
                <w:b w:val="0"/>
                <w:bCs w:val="0"/>
                <w:sz w:val="20"/>
                <w:szCs w:val="20"/>
              </w:rPr>
              <w:t>)</w:t>
            </w:r>
          </w:p>
        </w:tc>
        <w:tc>
          <w:tcPr>
            <w:tcW w:w="1077" w:type="dxa"/>
            <w:noWrap/>
            <w:hideMark/>
          </w:tcPr>
          <w:p w14:paraId="6B40E6B3"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830F4C">
              <w:rPr>
                <w:rFonts w:ascii="Garamond" w:hAnsi="Garamond"/>
                <w:sz w:val="20"/>
                <w:szCs w:val="20"/>
              </w:rPr>
              <w:t>21,324</w:t>
            </w:r>
          </w:p>
        </w:tc>
        <w:tc>
          <w:tcPr>
            <w:tcW w:w="926" w:type="dxa"/>
          </w:tcPr>
          <w:p w14:paraId="33DF570A"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830F4C">
              <w:rPr>
                <w:rFonts w:ascii="Garamond" w:hAnsi="Garamond"/>
                <w:sz w:val="20"/>
                <w:szCs w:val="20"/>
              </w:rPr>
              <w:t>27.8</w:t>
            </w:r>
          </w:p>
        </w:tc>
        <w:tc>
          <w:tcPr>
            <w:tcW w:w="1406" w:type="dxa"/>
          </w:tcPr>
          <w:p w14:paraId="1A1AF7C5"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830F4C">
              <w:rPr>
                <w:rFonts w:ascii="Garamond" w:hAnsi="Garamond"/>
                <w:sz w:val="20"/>
                <w:szCs w:val="20"/>
              </w:rPr>
              <w:t>24,351</w:t>
            </w:r>
          </w:p>
        </w:tc>
        <w:tc>
          <w:tcPr>
            <w:tcW w:w="865" w:type="dxa"/>
          </w:tcPr>
          <w:p w14:paraId="17A011F1"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830F4C">
              <w:rPr>
                <w:rFonts w:ascii="Garamond" w:hAnsi="Garamond"/>
                <w:sz w:val="20"/>
                <w:szCs w:val="20"/>
              </w:rPr>
              <w:t>29.0</w:t>
            </w:r>
          </w:p>
        </w:tc>
      </w:tr>
      <w:tr w:rsidR="00DB49D5" w:rsidRPr="00830F4C" w14:paraId="6C4D1BA0" w14:textId="77777777" w:rsidTr="00DB49D5">
        <w:trPr>
          <w:trHeight w:val="283"/>
        </w:trPr>
        <w:tc>
          <w:tcPr>
            <w:cnfStyle w:val="001000000000" w:firstRow="0" w:lastRow="0" w:firstColumn="1" w:lastColumn="0" w:oddVBand="0" w:evenVBand="0" w:oddHBand="0" w:evenHBand="0" w:firstRowFirstColumn="0" w:firstRowLastColumn="0" w:lastRowFirstColumn="0" w:lastRowLastColumn="0"/>
            <w:tcW w:w="4968" w:type="dxa"/>
            <w:noWrap/>
            <w:hideMark/>
          </w:tcPr>
          <w:p w14:paraId="248B52E3" w14:textId="0DA1E34D" w:rsidR="00DB49D5" w:rsidRPr="00830F4C" w:rsidRDefault="00DB1B60" w:rsidP="00DB1B60">
            <w:pPr>
              <w:pStyle w:val="ListParagraph"/>
              <w:spacing w:after="0" w:line="240" w:lineRule="auto"/>
              <w:ind w:left="0"/>
              <w:rPr>
                <w:rFonts w:ascii="Garamond" w:eastAsia="Times New Roman" w:hAnsi="Garamond" w:cs="Times New Roman"/>
                <w:b w:val="0"/>
                <w:bCs w:val="0"/>
                <w:sz w:val="20"/>
                <w:szCs w:val="20"/>
              </w:rPr>
            </w:pPr>
            <w:r w:rsidRPr="00830F4C">
              <w:rPr>
                <w:rFonts w:ascii="Garamond" w:eastAsia="Times New Roman" w:hAnsi="Garamond" w:cs="Times New Roman"/>
                <w:b w:val="0"/>
                <w:bCs w:val="0"/>
                <w:sz w:val="20"/>
                <w:szCs w:val="20"/>
              </w:rPr>
              <w:t xml:space="preserve">c) </w:t>
            </w:r>
            <w:r w:rsidR="00DB49D5" w:rsidRPr="00830F4C">
              <w:rPr>
                <w:rFonts w:ascii="Garamond" w:eastAsia="Times New Roman" w:hAnsi="Garamond" w:cs="Times New Roman"/>
                <w:b w:val="0"/>
                <w:bCs w:val="0"/>
                <w:sz w:val="20"/>
                <w:szCs w:val="20"/>
              </w:rPr>
              <w:t>Pasuritë e paluajtshme</w:t>
            </w:r>
          </w:p>
        </w:tc>
        <w:tc>
          <w:tcPr>
            <w:tcW w:w="1077" w:type="dxa"/>
            <w:noWrap/>
            <w:hideMark/>
          </w:tcPr>
          <w:p w14:paraId="0FF798B9"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830F4C">
              <w:rPr>
                <w:rFonts w:ascii="Garamond" w:hAnsi="Garamond"/>
                <w:sz w:val="20"/>
                <w:szCs w:val="20"/>
              </w:rPr>
              <w:t>4,929</w:t>
            </w:r>
          </w:p>
        </w:tc>
        <w:tc>
          <w:tcPr>
            <w:tcW w:w="926" w:type="dxa"/>
          </w:tcPr>
          <w:p w14:paraId="28AAA4E9"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830F4C">
              <w:rPr>
                <w:rFonts w:ascii="Garamond" w:hAnsi="Garamond"/>
                <w:sz w:val="20"/>
                <w:szCs w:val="20"/>
              </w:rPr>
              <w:t>6.4</w:t>
            </w:r>
          </w:p>
        </w:tc>
        <w:tc>
          <w:tcPr>
            <w:tcW w:w="1406" w:type="dxa"/>
          </w:tcPr>
          <w:p w14:paraId="35853EDC"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830F4C">
              <w:rPr>
                <w:rFonts w:ascii="Garamond" w:hAnsi="Garamond"/>
                <w:sz w:val="20"/>
                <w:szCs w:val="20"/>
              </w:rPr>
              <w:t>3,106</w:t>
            </w:r>
          </w:p>
        </w:tc>
        <w:tc>
          <w:tcPr>
            <w:tcW w:w="865" w:type="dxa"/>
          </w:tcPr>
          <w:p w14:paraId="53C94AF3"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830F4C">
              <w:rPr>
                <w:rFonts w:ascii="Garamond" w:hAnsi="Garamond"/>
                <w:sz w:val="20"/>
                <w:szCs w:val="20"/>
              </w:rPr>
              <w:t>3.7</w:t>
            </w:r>
          </w:p>
        </w:tc>
      </w:tr>
      <w:tr w:rsidR="00DB49D5" w:rsidRPr="00830F4C" w14:paraId="61D2BA4A" w14:textId="77777777" w:rsidTr="00DB49D5">
        <w:trPr>
          <w:trHeight w:val="283"/>
        </w:trPr>
        <w:tc>
          <w:tcPr>
            <w:cnfStyle w:val="001000000000" w:firstRow="0" w:lastRow="0" w:firstColumn="1" w:lastColumn="0" w:oddVBand="0" w:evenVBand="0" w:oddHBand="0" w:evenHBand="0" w:firstRowFirstColumn="0" w:firstRowLastColumn="0" w:lastRowFirstColumn="0" w:lastRowLastColumn="0"/>
            <w:tcW w:w="4968" w:type="dxa"/>
            <w:noWrap/>
            <w:hideMark/>
          </w:tcPr>
          <w:p w14:paraId="6529B0AD" w14:textId="0927F2DF" w:rsidR="00DB49D5" w:rsidRPr="00830F4C" w:rsidRDefault="00DB49D5" w:rsidP="00DB49D5">
            <w:pPr>
              <w:rPr>
                <w:rFonts w:ascii="Garamond" w:hAnsi="Garamond"/>
                <w:b w:val="0"/>
                <w:sz w:val="20"/>
                <w:szCs w:val="20"/>
              </w:rPr>
            </w:pPr>
            <w:r w:rsidRPr="00830F4C">
              <w:rPr>
                <w:rFonts w:ascii="Garamond" w:hAnsi="Garamond"/>
                <w:b w:val="0"/>
                <w:sz w:val="20"/>
                <w:szCs w:val="20"/>
              </w:rPr>
              <w:t>Shpenzimi tatimor nga bizneset e vogla nën kufirin e</w:t>
            </w:r>
            <w:r w:rsidR="00DE65FB">
              <w:rPr>
                <w:rFonts w:ascii="Garamond" w:hAnsi="Garamond"/>
                <w:b w:val="0"/>
                <w:sz w:val="20"/>
                <w:szCs w:val="20"/>
              </w:rPr>
              <w:t xml:space="preserve"> TVSh</w:t>
            </w:r>
            <w:r w:rsidRPr="00830F4C">
              <w:rPr>
                <w:rFonts w:ascii="Garamond" w:hAnsi="Garamond"/>
                <w:b w:val="0"/>
                <w:sz w:val="20"/>
                <w:szCs w:val="20"/>
              </w:rPr>
              <w:t>-së, nga prodhimet vetjake dhe të tjera</w:t>
            </w:r>
          </w:p>
        </w:tc>
        <w:tc>
          <w:tcPr>
            <w:tcW w:w="1077" w:type="dxa"/>
            <w:noWrap/>
            <w:hideMark/>
          </w:tcPr>
          <w:p w14:paraId="0B6BB7E4"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830F4C">
              <w:rPr>
                <w:rFonts w:ascii="Garamond" w:hAnsi="Garamond"/>
                <w:sz w:val="20"/>
                <w:szCs w:val="20"/>
              </w:rPr>
              <w:t>48,894</w:t>
            </w:r>
          </w:p>
        </w:tc>
        <w:tc>
          <w:tcPr>
            <w:tcW w:w="926" w:type="dxa"/>
          </w:tcPr>
          <w:p w14:paraId="3E7A4D8A"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830F4C">
              <w:rPr>
                <w:rFonts w:ascii="Garamond" w:hAnsi="Garamond"/>
                <w:sz w:val="20"/>
                <w:szCs w:val="20"/>
              </w:rPr>
              <w:t>63.8</w:t>
            </w:r>
          </w:p>
        </w:tc>
        <w:tc>
          <w:tcPr>
            <w:tcW w:w="1406" w:type="dxa"/>
          </w:tcPr>
          <w:p w14:paraId="74FD8B4F"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830F4C">
              <w:rPr>
                <w:rFonts w:ascii="Garamond" w:hAnsi="Garamond"/>
                <w:sz w:val="20"/>
                <w:szCs w:val="20"/>
              </w:rPr>
              <w:t>54,664</w:t>
            </w:r>
          </w:p>
        </w:tc>
        <w:tc>
          <w:tcPr>
            <w:tcW w:w="865" w:type="dxa"/>
          </w:tcPr>
          <w:p w14:paraId="3DD65048"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830F4C">
              <w:rPr>
                <w:rFonts w:ascii="Garamond" w:hAnsi="Garamond"/>
                <w:sz w:val="20"/>
                <w:szCs w:val="20"/>
              </w:rPr>
              <w:t>65.1</w:t>
            </w:r>
          </w:p>
        </w:tc>
      </w:tr>
      <w:tr w:rsidR="00DB49D5" w:rsidRPr="00830F4C" w14:paraId="093C2954" w14:textId="77777777" w:rsidTr="00DB49D5">
        <w:trPr>
          <w:trHeight w:val="283"/>
        </w:trPr>
        <w:tc>
          <w:tcPr>
            <w:cnfStyle w:val="001000000000" w:firstRow="0" w:lastRow="0" w:firstColumn="1" w:lastColumn="0" w:oddVBand="0" w:evenVBand="0" w:oddHBand="0" w:evenHBand="0" w:firstRowFirstColumn="0" w:firstRowLastColumn="0" w:lastRowFirstColumn="0" w:lastRowLastColumn="0"/>
            <w:tcW w:w="4968" w:type="dxa"/>
            <w:noWrap/>
            <w:hideMark/>
          </w:tcPr>
          <w:p w14:paraId="6C418471" w14:textId="77777777" w:rsidR="00DB49D5" w:rsidRPr="00830F4C" w:rsidRDefault="00DB49D5" w:rsidP="00DB49D5">
            <w:pPr>
              <w:rPr>
                <w:rFonts w:ascii="Garamond" w:hAnsi="Garamond"/>
                <w:bCs w:val="0"/>
                <w:sz w:val="20"/>
                <w:szCs w:val="20"/>
              </w:rPr>
            </w:pPr>
            <w:r w:rsidRPr="00830F4C">
              <w:rPr>
                <w:rFonts w:ascii="Garamond" w:hAnsi="Garamond"/>
                <w:bCs w:val="0"/>
                <w:sz w:val="20"/>
                <w:szCs w:val="20"/>
              </w:rPr>
              <w:t>Totali i shpenzimeve tatimore</w:t>
            </w:r>
          </w:p>
        </w:tc>
        <w:tc>
          <w:tcPr>
            <w:tcW w:w="1077" w:type="dxa"/>
            <w:noWrap/>
            <w:hideMark/>
          </w:tcPr>
          <w:p w14:paraId="2882E1E8"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20"/>
                <w:szCs w:val="20"/>
              </w:rPr>
            </w:pPr>
            <w:r w:rsidRPr="00830F4C">
              <w:rPr>
                <w:rFonts w:ascii="Garamond" w:hAnsi="Garamond"/>
                <w:b/>
                <w:sz w:val="20"/>
                <w:szCs w:val="20"/>
              </w:rPr>
              <w:t>76,589</w:t>
            </w:r>
          </w:p>
        </w:tc>
        <w:tc>
          <w:tcPr>
            <w:tcW w:w="926" w:type="dxa"/>
          </w:tcPr>
          <w:p w14:paraId="402148B0"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830F4C">
              <w:rPr>
                <w:rFonts w:ascii="Garamond" w:hAnsi="Garamond"/>
                <w:sz w:val="20"/>
                <w:szCs w:val="20"/>
              </w:rPr>
              <w:t>100</w:t>
            </w:r>
          </w:p>
        </w:tc>
        <w:tc>
          <w:tcPr>
            <w:tcW w:w="1406" w:type="dxa"/>
          </w:tcPr>
          <w:p w14:paraId="57EE65BF"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20"/>
                <w:szCs w:val="20"/>
              </w:rPr>
            </w:pPr>
            <w:r w:rsidRPr="00830F4C">
              <w:rPr>
                <w:rFonts w:ascii="Garamond" w:hAnsi="Garamond"/>
                <w:b/>
                <w:sz w:val="20"/>
                <w:szCs w:val="20"/>
              </w:rPr>
              <w:t>84,004</w:t>
            </w:r>
          </w:p>
        </w:tc>
        <w:tc>
          <w:tcPr>
            <w:tcW w:w="865" w:type="dxa"/>
          </w:tcPr>
          <w:p w14:paraId="6FC23A1C"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20"/>
                <w:szCs w:val="20"/>
              </w:rPr>
            </w:pPr>
            <w:r w:rsidRPr="00830F4C">
              <w:rPr>
                <w:rFonts w:ascii="Garamond" w:hAnsi="Garamond"/>
                <w:b/>
                <w:bCs/>
                <w:sz w:val="20"/>
                <w:szCs w:val="20"/>
              </w:rPr>
              <w:t>100</w:t>
            </w:r>
          </w:p>
        </w:tc>
      </w:tr>
    </w:tbl>
    <w:p w14:paraId="640A3762" w14:textId="77777777" w:rsidR="00DB49D5" w:rsidRPr="00830F4C" w:rsidRDefault="00DB49D5" w:rsidP="00DB49D5">
      <w:pPr>
        <w:pBdr>
          <w:top w:val="nil"/>
          <w:left w:val="nil"/>
          <w:bottom w:val="nil"/>
          <w:right w:val="nil"/>
          <w:between w:val="nil"/>
          <w:bar w:val="nil"/>
        </w:pBdr>
        <w:ind w:firstLine="284"/>
        <w:jc w:val="both"/>
        <w:rPr>
          <w:rFonts w:ascii="Garamond" w:hAnsi="Garamond"/>
        </w:rPr>
      </w:pPr>
      <w:r w:rsidRPr="00830F4C">
        <w:rPr>
          <w:rFonts w:ascii="Garamond" w:hAnsi="Garamond"/>
        </w:rPr>
        <w:t>- Tatimi mbi të ardhurat e korporatës dhe biznesit (tatimi mbi fitimin)</w:t>
      </w:r>
    </w:p>
    <w:p w14:paraId="76FB8975" w14:textId="0B8F8A6C" w:rsidR="00DB49D5" w:rsidRDefault="00DB49D5" w:rsidP="00DB49D5">
      <w:pPr>
        <w:pBdr>
          <w:top w:val="nil"/>
          <w:left w:val="nil"/>
          <w:bottom w:val="nil"/>
          <w:right w:val="nil"/>
          <w:between w:val="nil"/>
          <w:bar w:val="nil"/>
        </w:pBdr>
        <w:ind w:firstLine="284"/>
        <w:jc w:val="both"/>
        <w:rPr>
          <w:rFonts w:ascii="Garamond" w:hAnsi="Garamond"/>
        </w:rPr>
      </w:pPr>
      <w:r w:rsidRPr="00830F4C">
        <w:rPr>
          <w:rFonts w:ascii="Garamond" w:hAnsi="Garamond"/>
        </w:rPr>
        <w:t>Nëse do të aplikohej norma standarde 15% e tatimit mbi fitimin për të gjithë bizneset, të ardhurat tatimore teorike nga ky tatim për vitin 2022 do të ishin 64,3 miliardë lekë, nga 47.9 miliardë lekë (rreth 34% më shumë). Kjo diferencë prej 16.4 miliardë lekë vjen si shkak i tatimit 0% dhe normave të reduktuara tatimore të tatimit mbi fitimin, duke pa</w:t>
      </w:r>
      <w:r w:rsidR="00FF624C" w:rsidRPr="00830F4C">
        <w:rPr>
          <w:rFonts w:ascii="Garamond" w:hAnsi="Garamond"/>
        </w:rPr>
        <w:t>s</w:t>
      </w:r>
      <w:r w:rsidRPr="00830F4C">
        <w:rPr>
          <w:rFonts w:ascii="Garamond" w:hAnsi="Garamond"/>
        </w:rPr>
        <w:t>ur kështu një ndikim negativ me 0.77% të PBB-së. Shpenzimet tatimore nga tatimi mbi fitimin për vitin 2021 dhe 2022, pasqyrohen në mënyrë të përmbledhur në tabelën në vijim.</w:t>
      </w:r>
    </w:p>
    <w:p w14:paraId="307CB167" w14:textId="77777777" w:rsidR="00097E66" w:rsidRDefault="00097E66" w:rsidP="00DB49D5">
      <w:pPr>
        <w:pBdr>
          <w:top w:val="nil"/>
          <w:left w:val="nil"/>
          <w:bottom w:val="nil"/>
          <w:right w:val="nil"/>
          <w:between w:val="nil"/>
          <w:bar w:val="nil"/>
        </w:pBdr>
        <w:ind w:firstLine="284"/>
        <w:jc w:val="both"/>
        <w:rPr>
          <w:rFonts w:ascii="Garamond" w:hAnsi="Garamond"/>
        </w:rPr>
      </w:pPr>
    </w:p>
    <w:p w14:paraId="3AAE8506" w14:textId="77777777" w:rsidR="00097E66" w:rsidRDefault="00097E66" w:rsidP="00DB49D5">
      <w:pPr>
        <w:pBdr>
          <w:top w:val="nil"/>
          <w:left w:val="nil"/>
          <w:bottom w:val="nil"/>
          <w:right w:val="nil"/>
          <w:between w:val="nil"/>
          <w:bar w:val="nil"/>
        </w:pBdr>
        <w:ind w:firstLine="284"/>
        <w:jc w:val="both"/>
        <w:rPr>
          <w:rFonts w:ascii="Garamond" w:hAnsi="Garamond"/>
        </w:rPr>
      </w:pPr>
    </w:p>
    <w:p w14:paraId="54321164" w14:textId="77777777" w:rsidR="00097E66" w:rsidRDefault="00097E66" w:rsidP="00DB49D5">
      <w:pPr>
        <w:pBdr>
          <w:top w:val="nil"/>
          <w:left w:val="nil"/>
          <w:bottom w:val="nil"/>
          <w:right w:val="nil"/>
          <w:between w:val="nil"/>
          <w:bar w:val="nil"/>
        </w:pBdr>
        <w:ind w:firstLine="284"/>
        <w:jc w:val="both"/>
        <w:rPr>
          <w:rFonts w:ascii="Garamond" w:hAnsi="Garamond"/>
        </w:rPr>
      </w:pPr>
    </w:p>
    <w:p w14:paraId="6C1009B6" w14:textId="77777777" w:rsidR="00097E66" w:rsidRDefault="00097E66" w:rsidP="00DB49D5">
      <w:pPr>
        <w:pBdr>
          <w:top w:val="nil"/>
          <w:left w:val="nil"/>
          <w:bottom w:val="nil"/>
          <w:right w:val="nil"/>
          <w:between w:val="nil"/>
          <w:bar w:val="nil"/>
        </w:pBdr>
        <w:ind w:firstLine="284"/>
        <w:jc w:val="both"/>
        <w:rPr>
          <w:rFonts w:ascii="Garamond" w:hAnsi="Garamond"/>
        </w:rPr>
      </w:pPr>
    </w:p>
    <w:p w14:paraId="3E516BA0" w14:textId="77777777" w:rsidR="00097E66" w:rsidRDefault="00097E66" w:rsidP="00DB49D5">
      <w:pPr>
        <w:pBdr>
          <w:top w:val="nil"/>
          <w:left w:val="nil"/>
          <w:bottom w:val="nil"/>
          <w:right w:val="nil"/>
          <w:between w:val="nil"/>
          <w:bar w:val="nil"/>
        </w:pBdr>
        <w:ind w:firstLine="284"/>
        <w:jc w:val="both"/>
        <w:rPr>
          <w:rFonts w:ascii="Garamond" w:hAnsi="Garamond"/>
        </w:rPr>
      </w:pPr>
    </w:p>
    <w:p w14:paraId="549AB12A" w14:textId="77777777" w:rsidR="00097E66" w:rsidRDefault="00097E66" w:rsidP="00DB49D5">
      <w:pPr>
        <w:pBdr>
          <w:top w:val="nil"/>
          <w:left w:val="nil"/>
          <w:bottom w:val="nil"/>
          <w:right w:val="nil"/>
          <w:between w:val="nil"/>
          <w:bar w:val="nil"/>
        </w:pBdr>
        <w:ind w:firstLine="284"/>
        <w:jc w:val="both"/>
        <w:rPr>
          <w:rFonts w:ascii="Garamond" w:hAnsi="Garamond"/>
        </w:rPr>
      </w:pPr>
    </w:p>
    <w:p w14:paraId="4D8B8281" w14:textId="77777777" w:rsidR="00097E66" w:rsidRPr="00830F4C" w:rsidRDefault="00097E66" w:rsidP="00DB49D5">
      <w:pPr>
        <w:pBdr>
          <w:top w:val="nil"/>
          <w:left w:val="nil"/>
          <w:bottom w:val="nil"/>
          <w:right w:val="nil"/>
          <w:between w:val="nil"/>
          <w:bar w:val="nil"/>
        </w:pBdr>
        <w:ind w:firstLine="284"/>
        <w:jc w:val="both"/>
        <w:rPr>
          <w:rFonts w:ascii="Garamond" w:hAnsi="Garamond"/>
        </w:rPr>
      </w:pPr>
    </w:p>
    <w:p w14:paraId="2AD54C0F" w14:textId="424AC70E" w:rsidR="00DB49D5" w:rsidRPr="00830F4C" w:rsidRDefault="00DB49D5" w:rsidP="00723888">
      <w:pPr>
        <w:pStyle w:val="Caption"/>
        <w:keepNext/>
        <w:spacing w:after="0"/>
        <w:ind w:firstLine="284"/>
        <w:rPr>
          <w:rFonts w:ascii="Garamond" w:hAnsi="Garamond"/>
          <w:color w:val="auto"/>
          <w:sz w:val="20"/>
          <w:szCs w:val="20"/>
        </w:rPr>
      </w:pPr>
      <w:bookmarkStart w:id="12" w:name="_Toc172642653"/>
      <w:bookmarkStart w:id="13" w:name="_Toc185235129"/>
      <w:r w:rsidRPr="00830F4C">
        <w:rPr>
          <w:rFonts w:ascii="Garamond" w:hAnsi="Garamond"/>
          <w:color w:val="auto"/>
          <w:sz w:val="20"/>
          <w:szCs w:val="20"/>
        </w:rPr>
        <w:t xml:space="preserve">Tabela </w:t>
      </w:r>
      <w:r w:rsidRPr="00830F4C">
        <w:rPr>
          <w:rFonts w:ascii="Garamond" w:hAnsi="Garamond"/>
          <w:color w:val="auto"/>
          <w:sz w:val="20"/>
          <w:szCs w:val="20"/>
        </w:rPr>
        <w:fldChar w:fldCharType="begin"/>
      </w:r>
      <w:r w:rsidRPr="00830F4C">
        <w:rPr>
          <w:rFonts w:ascii="Garamond" w:hAnsi="Garamond"/>
          <w:color w:val="auto"/>
          <w:sz w:val="20"/>
          <w:szCs w:val="20"/>
        </w:rPr>
        <w:instrText xml:space="preserve"> SEQ Tabela \* ARABIC </w:instrText>
      </w:r>
      <w:r w:rsidRPr="00830F4C">
        <w:rPr>
          <w:rFonts w:ascii="Garamond" w:hAnsi="Garamond"/>
          <w:color w:val="auto"/>
          <w:sz w:val="20"/>
          <w:szCs w:val="20"/>
        </w:rPr>
        <w:fldChar w:fldCharType="separate"/>
      </w:r>
      <w:r w:rsidRPr="00830F4C">
        <w:rPr>
          <w:rFonts w:ascii="Garamond" w:hAnsi="Garamond"/>
          <w:color w:val="auto"/>
          <w:sz w:val="20"/>
          <w:szCs w:val="20"/>
        </w:rPr>
        <w:t>4</w:t>
      </w:r>
      <w:r w:rsidRPr="00830F4C">
        <w:rPr>
          <w:rFonts w:ascii="Garamond" w:hAnsi="Garamond"/>
          <w:color w:val="auto"/>
          <w:sz w:val="20"/>
          <w:szCs w:val="20"/>
        </w:rPr>
        <w:fldChar w:fldCharType="end"/>
      </w:r>
      <w:r w:rsidRPr="00830F4C">
        <w:rPr>
          <w:rFonts w:ascii="Garamond" w:hAnsi="Garamond" w:cs="Times New Roman"/>
          <w:color w:val="auto"/>
          <w:sz w:val="20"/>
          <w:szCs w:val="20"/>
        </w:rPr>
        <w:t>:</w:t>
      </w:r>
      <w:r w:rsidR="00F520DF" w:rsidRPr="00830F4C">
        <w:rPr>
          <w:rFonts w:ascii="Garamond" w:hAnsi="Garamond" w:cs="Times New Roman"/>
          <w:color w:val="auto"/>
          <w:sz w:val="20"/>
          <w:szCs w:val="20"/>
        </w:rPr>
        <w:t xml:space="preserve"> </w:t>
      </w:r>
      <w:r w:rsidRPr="00830F4C">
        <w:rPr>
          <w:rFonts w:ascii="Garamond" w:hAnsi="Garamond" w:cs="Times New Roman"/>
          <w:color w:val="auto"/>
          <w:sz w:val="20"/>
          <w:szCs w:val="20"/>
        </w:rPr>
        <w:t>Shpenzimi tatimor i tatimi</w:t>
      </w:r>
      <w:r w:rsidR="008652F1" w:rsidRPr="00830F4C">
        <w:rPr>
          <w:rFonts w:ascii="Garamond" w:hAnsi="Garamond" w:cs="Times New Roman"/>
          <w:color w:val="auto"/>
          <w:sz w:val="20"/>
          <w:szCs w:val="20"/>
        </w:rPr>
        <w:t>t</w:t>
      </w:r>
      <w:r w:rsidRPr="00830F4C">
        <w:rPr>
          <w:rFonts w:ascii="Garamond" w:hAnsi="Garamond" w:cs="Times New Roman"/>
          <w:color w:val="auto"/>
          <w:sz w:val="20"/>
          <w:szCs w:val="20"/>
        </w:rPr>
        <w:t xml:space="preserve"> mbi fitimin në vitet 2021 dhe 2022</w:t>
      </w:r>
      <w:bookmarkEnd w:id="12"/>
      <w:bookmarkEnd w:id="13"/>
    </w:p>
    <w:tbl>
      <w:tblPr>
        <w:tblStyle w:val="GridTable1Light-Accent211"/>
        <w:tblW w:w="9360" w:type="dxa"/>
        <w:tblLook w:val="04A0" w:firstRow="1" w:lastRow="0" w:firstColumn="1" w:lastColumn="0" w:noHBand="0" w:noVBand="1"/>
      </w:tblPr>
      <w:tblGrid>
        <w:gridCol w:w="2250"/>
        <w:gridCol w:w="1440"/>
        <w:gridCol w:w="2340"/>
        <w:gridCol w:w="2070"/>
        <w:gridCol w:w="1260"/>
      </w:tblGrid>
      <w:tr w:rsidR="00DB49D5" w:rsidRPr="00830F4C" w14:paraId="67BAB830" w14:textId="77777777" w:rsidTr="00F520DF">
        <w:trPr>
          <w:cnfStyle w:val="100000000000" w:firstRow="1" w:lastRow="0" w:firstColumn="0" w:lastColumn="0" w:oddVBand="0" w:evenVBand="0" w:oddHBand="0"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2250" w:type="dxa"/>
            <w:vAlign w:val="center"/>
            <w:hideMark/>
          </w:tcPr>
          <w:p w14:paraId="53D3AD58" w14:textId="77777777" w:rsidR="00DB49D5" w:rsidRPr="00830F4C" w:rsidRDefault="00DB49D5" w:rsidP="00F520DF">
            <w:pPr>
              <w:jc w:val="center"/>
              <w:rPr>
                <w:rFonts w:ascii="Garamond" w:hAnsi="Garamond"/>
                <w:b w:val="0"/>
                <w:sz w:val="20"/>
              </w:rPr>
            </w:pPr>
            <w:r w:rsidRPr="00830F4C">
              <w:rPr>
                <w:rFonts w:ascii="Garamond" w:hAnsi="Garamond"/>
                <w:sz w:val="20"/>
              </w:rPr>
              <w:t>Niveli i qarkullimit</w:t>
            </w:r>
          </w:p>
        </w:tc>
        <w:tc>
          <w:tcPr>
            <w:tcW w:w="1440" w:type="dxa"/>
            <w:vAlign w:val="center"/>
            <w:hideMark/>
          </w:tcPr>
          <w:p w14:paraId="7AADF743" w14:textId="49C33A8E" w:rsidR="00DB49D5" w:rsidRPr="00830F4C" w:rsidRDefault="00DB49D5" w:rsidP="00F520DF">
            <w:pPr>
              <w:jc w:val="center"/>
              <w:cnfStyle w:val="100000000000" w:firstRow="1" w:lastRow="0" w:firstColumn="0" w:lastColumn="0" w:oddVBand="0" w:evenVBand="0" w:oddHBand="0" w:evenHBand="0" w:firstRowFirstColumn="0" w:firstRowLastColumn="0" w:lastRowFirstColumn="0" w:lastRowLastColumn="0"/>
              <w:rPr>
                <w:rFonts w:ascii="Garamond" w:hAnsi="Garamond"/>
                <w:b w:val="0"/>
                <w:sz w:val="20"/>
              </w:rPr>
            </w:pPr>
            <w:r w:rsidRPr="00830F4C">
              <w:rPr>
                <w:rFonts w:ascii="Garamond" w:hAnsi="Garamond"/>
                <w:sz w:val="20"/>
              </w:rPr>
              <w:t xml:space="preserve">Norma </w:t>
            </w:r>
            <w:r w:rsidR="00FF624C" w:rsidRPr="00830F4C">
              <w:rPr>
                <w:rFonts w:ascii="Garamond" w:hAnsi="Garamond"/>
                <w:sz w:val="20"/>
              </w:rPr>
              <w:t>t</w:t>
            </w:r>
            <w:r w:rsidRPr="00830F4C">
              <w:rPr>
                <w:rFonts w:ascii="Garamond" w:hAnsi="Garamond"/>
                <w:sz w:val="20"/>
              </w:rPr>
              <w:t>atimore</w:t>
            </w:r>
          </w:p>
        </w:tc>
        <w:tc>
          <w:tcPr>
            <w:tcW w:w="2340" w:type="dxa"/>
            <w:vAlign w:val="center"/>
            <w:hideMark/>
          </w:tcPr>
          <w:p w14:paraId="7EF3AD90" w14:textId="77777777" w:rsidR="00DB49D5" w:rsidRPr="00830F4C" w:rsidRDefault="00DB49D5" w:rsidP="00F520DF">
            <w:pPr>
              <w:jc w:val="center"/>
              <w:cnfStyle w:val="100000000000" w:firstRow="1" w:lastRow="0" w:firstColumn="0" w:lastColumn="0" w:oddVBand="0" w:evenVBand="0" w:oddHBand="0" w:evenHBand="0" w:firstRowFirstColumn="0" w:firstRowLastColumn="0" w:lastRowFirstColumn="0" w:lastRowLastColumn="0"/>
              <w:rPr>
                <w:rFonts w:ascii="Garamond" w:hAnsi="Garamond"/>
                <w:b w:val="0"/>
                <w:sz w:val="20"/>
              </w:rPr>
            </w:pPr>
            <w:r w:rsidRPr="00830F4C">
              <w:rPr>
                <w:rFonts w:ascii="Garamond" w:hAnsi="Garamond"/>
                <w:sz w:val="20"/>
              </w:rPr>
              <w:t>Numri i bizneseve deklaruese</w:t>
            </w:r>
          </w:p>
        </w:tc>
        <w:tc>
          <w:tcPr>
            <w:tcW w:w="2070" w:type="dxa"/>
            <w:vAlign w:val="center"/>
            <w:hideMark/>
          </w:tcPr>
          <w:p w14:paraId="655660A0" w14:textId="3EB0E3D8" w:rsidR="00DB49D5" w:rsidRPr="00830F4C" w:rsidRDefault="00DB49D5" w:rsidP="00F520DF">
            <w:pPr>
              <w:jc w:val="center"/>
              <w:cnfStyle w:val="100000000000" w:firstRow="1" w:lastRow="0" w:firstColumn="0" w:lastColumn="0" w:oddVBand="0" w:evenVBand="0" w:oddHBand="0" w:evenHBand="0" w:firstRowFirstColumn="0" w:firstRowLastColumn="0" w:lastRowFirstColumn="0" w:lastRowLastColumn="0"/>
              <w:rPr>
                <w:rFonts w:ascii="Garamond" w:hAnsi="Garamond"/>
                <w:b w:val="0"/>
                <w:sz w:val="20"/>
              </w:rPr>
            </w:pPr>
            <w:r w:rsidRPr="00830F4C">
              <w:rPr>
                <w:rFonts w:ascii="Garamond" w:hAnsi="Garamond"/>
                <w:sz w:val="20"/>
              </w:rPr>
              <w:t xml:space="preserve">Shpenzimi </w:t>
            </w:r>
            <w:r w:rsidR="00FF624C" w:rsidRPr="00830F4C">
              <w:rPr>
                <w:rFonts w:ascii="Garamond" w:hAnsi="Garamond"/>
                <w:sz w:val="20"/>
              </w:rPr>
              <w:t>t</w:t>
            </w:r>
            <w:r w:rsidRPr="00830F4C">
              <w:rPr>
                <w:rFonts w:ascii="Garamond" w:hAnsi="Garamond"/>
                <w:sz w:val="20"/>
              </w:rPr>
              <w:t>atimor</w:t>
            </w:r>
          </w:p>
        </w:tc>
        <w:tc>
          <w:tcPr>
            <w:tcW w:w="1260" w:type="dxa"/>
            <w:vAlign w:val="center"/>
            <w:hideMark/>
          </w:tcPr>
          <w:p w14:paraId="3DC5C8F2" w14:textId="77777777" w:rsidR="00DB49D5" w:rsidRPr="00830F4C" w:rsidRDefault="00DB49D5" w:rsidP="00F520DF">
            <w:pPr>
              <w:jc w:val="center"/>
              <w:cnfStyle w:val="100000000000" w:firstRow="1" w:lastRow="0" w:firstColumn="0" w:lastColumn="0" w:oddVBand="0" w:evenVBand="0" w:oddHBand="0" w:evenHBand="0" w:firstRowFirstColumn="0" w:firstRowLastColumn="0" w:lastRowFirstColumn="0" w:lastRowLastColumn="0"/>
              <w:rPr>
                <w:rFonts w:ascii="Garamond" w:hAnsi="Garamond"/>
                <w:b w:val="0"/>
                <w:sz w:val="20"/>
              </w:rPr>
            </w:pPr>
            <w:r w:rsidRPr="00830F4C">
              <w:rPr>
                <w:rFonts w:ascii="Garamond" w:hAnsi="Garamond"/>
                <w:sz w:val="20"/>
              </w:rPr>
              <w:t>% e PBB</w:t>
            </w:r>
            <w:r w:rsidR="00FF624C" w:rsidRPr="00830F4C">
              <w:rPr>
                <w:rFonts w:ascii="Garamond" w:hAnsi="Garamond"/>
                <w:sz w:val="20"/>
              </w:rPr>
              <w:t>-së</w:t>
            </w:r>
          </w:p>
        </w:tc>
      </w:tr>
      <w:tr w:rsidR="00DB49D5" w:rsidRPr="00830F4C" w14:paraId="4A1884CB" w14:textId="77777777" w:rsidTr="001B0E93">
        <w:trPr>
          <w:trHeight w:val="330"/>
        </w:trPr>
        <w:tc>
          <w:tcPr>
            <w:cnfStyle w:val="001000000000" w:firstRow="0" w:lastRow="0" w:firstColumn="1" w:lastColumn="0" w:oddVBand="0" w:evenVBand="0" w:oddHBand="0" w:evenHBand="0" w:firstRowFirstColumn="0" w:firstRowLastColumn="0" w:lastRowFirstColumn="0" w:lastRowLastColumn="0"/>
            <w:tcW w:w="3690" w:type="dxa"/>
            <w:gridSpan w:val="2"/>
            <w:noWrap/>
            <w:hideMark/>
          </w:tcPr>
          <w:p w14:paraId="01390632" w14:textId="77777777" w:rsidR="00DB49D5" w:rsidRPr="00830F4C" w:rsidRDefault="00DB49D5" w:rsidP="00DB49D5">
            <w:pPr>
              <w:jc w:val="center"/>
              <w:rPr>
                <w:rFonts w:ascii="Garamond" w:hAnsi="Garamond"/>
                <w:b w:val="0"/>
                <w:sz w:val="20"/>
              </w:rPr>
            </w:pPr>
            <w:r w:rsidRPr="00830F4C">
              <w:rPr>
                <w:rFonts w:ascii="Garamond" w:hAnsi="Garamond"/>
                <w:sz w:val="20"/>
              </w:rPr>
              <w:t>Viti 2021</w:t>
            </w:r>
          </w:p>
        </w:tc>
        <w:tc>
          <w:tcPr>
            <w:tcW w:w="2340" w:type="dxa"/>
            <w:hideMark/>
          </w:tcPr>
          <w:p w14:paraId="03AF7034"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20"/>
              </w:rPr>
            </w:pPr>
            <w:r w:rsidRPr="00830F4C">
              <w:rPr>
                <w:rFonts w:ascii="Garamond" w:hAnsi="Garamond"/>
                <w:b/>
                <w:sz w:val="20"/>
              </w:rPr>
              <w:t>137,755</w:t>
            </w:r>
          </w:p>
        </w:tc>
        <w:tc>
          <w:tcPr>
            <w:tcW w:w="2070" w:type="dxa"/>
            <w:hideMark/>
          </w:tcPr>
          <w:p w14:paraId="7C702BAB"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20"/>
              </w:rPr>
            </w:pPr>
            <w:r w:rsidRPr="00830F4C">
              <w:rPr>
                <w:rFonts w:ascii="Garamond" w:hAnsi="Garamond"/>
                <w:b/>
                <w:sz w:val="20"/>
              </w:rPr>
              <w:t>13,018,282,002</w:t>
            </w:r>
          </w:p>
        </w:tc>
        <w:tc>
          <w:tcPr>
            <w:tcW w:w="1260" w:type="dxa"/>
            <w:hideMark/>
          </w:tcPr>
          <w:p w14:paraId="76482DF8"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20"/>
              </w:rPr>
            </w:pPr>
            <w:r w:rsidRPr="00830F4C">
              <w:rPr>
                <w:rFonts w:ascii="Garamond" w:hAnsi="Garamond"/>
                <w:b/>
                <w:sz w:val="20"/>
              </w:rPr>
              <w:t>0.7</w:t>
            </w:r>
          </w:p>
        </w:tc>
      </w:tr>
      <w:tr w:rsidR="00DB49D5" w:rsidRPr="00830F4C" w14:paraId="7F66E0A9" w14:textId="77777777" w:rsidTr="001B0E93">
        <w:trPr>
          <w:trHeight w:val="315"/>
        </w:trPr>
        <w:tc>
          <w:tcPr>
            <w:cnfStyle w:val="001000000000" w:firstRow="0" w:lastRow="0" w:firstColumn="1" w:lastColumn="0" w:oddVBand="0" w:evenVBand="0" w:oddHBand="0" w:evenHBand="0" w:firstRowFirstColumn="0" w:firstRowLastColumn="0" w:lastRowFirstColumn="0" w:lastRowLastColumn="0"/>
            <w:tcW w:w="2250" w:type="dxa"/>
            <w:noWrap/>
            <w:hideMark/>
          </w:tcPr>
          <w:p w14:paraId="29AB49C5" w14:textId="77777777" w:rsidR="00DB49D5" w:rsidRPr="00830F4C" w:rsidRDefault="00DB49D5" w:rsidP="00DB49D5">
            <w:pPr>
              <w:jc w:val="center"/>
              <w:rPr>
                <w:rFonts w:ascii="Garamond" w:hAnsi="Garamond"/>
                <w:b w:val="0"/>
                <w:sz w:val="20"/>
              </w:rPr>
            </w:pPr>
            <w:r w:rsidRPr="00830F4C">
              <w:rPr>
                <w:rFonts w:ascii="Garamond" w:hAnsi="Garamond"/>
                <w:b w:val="0"/>
                <w:sz w:val="20"/>
              </w:rPr>
              <w:t>0 – 14,000,000</w:t>
            </w:r>
          </w:p>
        </w:tc>
        <w:tc>
          <w:tcPr>
            <w:tcW w:w="1440" w:type="dxa"/>
            <w:noWrap/>
            <w:hideMark/>
          </w:tcPr>
          <w:p w14:paraId="2B39E53B"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0%</w:t>
            </w:r>
          </w:p>
        </w:tc>
        <w:tc>
          <w:tcPr>
            <w:tcW w:w="2340" w:type="dxa"/>
            <w:noWrap/>
            <w:hideMark/>
          </w:tcPr>
          <w:p w14:paraId="671BDA07"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125,056</w:t>
            </w:r>
          </w:p>
        </w:tc>
        <w:tc>
          <w:tcPr>
            <w:tcW w:w="2070" w:type="dxa"/>
            <w:noWrap/>
            <w:hideMark/>
          </w:tcPr>
          <w:p w14:paraId="32883754"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12,226,625,997</w:t>
            </w:r>
          </w:p>
        </w:tc>
        <w:tc>
          <w:tcPr>
            <w:tcW w:w="1260" w:type="dxa"/>
            <w:hideMark/>
          </w:tcPr>
          <w:p w14:paraId="2EBF63DD"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0.66</w:t>
            </w:r>
          </w:p>
        </w:tc>
      </w:tr>
      <w:tr w:rsidR="00DB49D5" w:rsidRPr="00830F4C" w14:paraId="36C65C15" w14:textId="77777777" w:rsidTr="001B0E93">
        <w:trPr>
          <w:trHeight w:val="315"/>
        </w:trPr>
        <w:tc>
          <w:tcPr>
            <w:cnfStyle w:val="001000000000" w:firstRow="0" w:lastRow="0" w:firstColumn="1" w:lastColumn="0" w:oddVBand="0" w:evenVBand="0" w:oddHBand="0" w:evenHBand="0" w:firstRowFirstColumn="0" w:firstRowLastColumn="0" w:lastRowFirstColumn="0" w:lastRowLastColumn="0"/>
            <w:tcW w:w="2250" w:type="dxa"/>
            <w:noWrap/>
            <w:hideMark/>
          </w:tcPr>
          <w:p w14:paraId="28C5A942" w14:textId="77777777" w:rsidR="00DB49D5" w:rsidRPr="00830F4C" w:rsidRDefault="00DB49D5" w:rsidP="00DB49D5">
            <w:pPr>
              <w:jc w:val="center"/>
              <w:rPr>
                <w:rFonts w:ascii="Garamond" w:hAnsi="Garamond"/>
                <w:b w:val="0"/>
                <w:sz w:val="20"/>
              </w:rPr>
            </w:pPr>
            <w:r w:rsidRPr="00830F4C">
              <w:rPr>
                <w:rFonts w:ascii="Garamond" w:hAnsi="Garamond"/>
                <w:b w:val="0"/>
                <w:sz w:val="20"/>
              </w:rPr>
              <w:t>Mbi 14,000,000</w:t>
            </w:r>
          </w:p>
        </w:tc>
        <w:tc>
          <w:tcPr>
            <w:tcW w:w="1440" w:type="dxa"/>
            <w:noWrap/>
            <w:hideMark/>
          </w:tcPr>
          <w:p w14:paraId="41FB182D"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15%</w:t>
            </w:r>
          </w:p>
        </w:tc>
        <w:tc>
          <w:tcPr>
            <w:tcW w:w="2340" w:type="dxa"/>
            <w:noWrap/>
            <w:hideMark/>
          </w:tcPr>
          <w:p w14:paraId="58DB4FF6"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12,699</w:t>
            </w:r>
          </w:p>
        </w:tc>
        <w:tc>
          <w:tcPr>
            <w:tcW w:w="2070" w:type="dxa"/>
            <w:noWrap/>
            <w:hideMark/>
          </w:tcPr>
          <w:p w14:paraId="7097737F"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791,656,005</w:t>
            </w:r>
          </w:p>
        </w:tc>
        <w:tc>
          <w:tcPr>
            <w:tcW w:w="1260" w:type="dxa"/>
            <w:hideMark/>
          </w:tcPr>
          <w:p w14:paraId="7D36B4E3"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0.04</w:t>
            </w:r>
          </w:p>
        </w:tc>
      </w:tr>
      <w:tr w:rsidR="00DB49D5" w:rsidRPr="00830F4C" w14:paraId="37343255" w14:textId="77777777" w:rsidTr="001B0E93">
        <w:trPr>
          <w:trHeight w:val="315"/>
        </w:trPr>
        <w:tc>
          <w:tcPr>
            <w:cnfStyle w:val="001000000000" w:firstRow="0" w:lastRow="0" w:firstColumn="1" w:lastColumn="0" w:oddVBand="0" w:evenVBand="0" w:oddHBand="0" w:evenHBand="0" w:firstRowFirstColumn="0" w:firstRowLastColumn="0" w:lastRowFirstColumn="0" w:lastRowLastColumn="0"/>
            <w:tcW w:w="3690" w:type="dxa"/>
            <w:gridSpan w:val="2"/>
            <w:noWrap/>
            <w:hideMark/>
          </w:tcPr>
          <w:p w14:paraId="72C74F98" w14:textId="77777777" w:rsidR="00DB49D5" w:rsidRPr="00830F4C" w:rsidRDefault="00DB49D5" w:rsidP="00DB49D5">
            <w:pPr>
              <w:jc w:val="center"/>
              <w:rPr>
                <w:rFonts w:ascii="Garamond" w:hAnsi="Garamond"/>
                <w:b w:val="0"/>
                <w:sz w:val="20"/>
              </w:rPr>
            </w:pPr>
            <w:r w:rsidRPr="00830F4C">
              <w:rPr>
                <w:rFonts w:ascii="Garamond" w:hAnsi="Garamond"/>
                <w:sz w:val="20"/>
              </w:rPr>
              <w:t>Viti 2022</w:t>
            </w:r>
          </w:p>
        </w:tc>
        <w:tc>
          <w:tcPr>
            <w:tcW w:w="2340" w:type="dxa"/>
            <w:hideMark/>
          </w:tcPr>
          <w:p w14:paraId="63455C5F"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20"/>
              </w:rPr>
            </w:pPr>
            <w:r w:rsidRPr="00830F4C">
              <w:rPr>
                <w:rFonts w:ascii="Garamond" w:hAnsi="Garamond"/>
                <w:b/>
                <w:sz w:val="20"/>
              </w:rPr>
              <w:t>141,623</w:t>
            </w:r>
          </w:p>
        </w:tc>
        <w:tc>
          <w:tcPr>
            <w:tcW w:w="2070" w:type="dxa"/>
            <w:hideMark/>
          </w:tcPr>
          <w:p w14:paraId="76F5A6EA"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20"/>
              </w:rPr>
            </w:pPr>
            <w:r w:rsidRPr="00830F4C">
              <w:rPr>
                <w:rFonts w:ascii="Garamond" w:hAnsi="Garamond"/>
                <w:b/>
                <w:sz w:val="20"/>
              </w:rPr>
              <w:t>16,403,644,459</w:t>
            </w:r>
          </w:p>
        </w:tc>
        <w:tc>
          <w:tcPr>
            <w:tcW w:w="1260" w:type="dxa"/>
            <w:hideMark/>
          </w:tcPr>
          <w:p w14:paraId="49114942"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20"/>
              </w:rPr>
            </w:pPr>
            <w:r w:rsidRPr="00830F4C">
              <w:rPr>
                <w:rFonts w:ascii="Garamond" w:hAnsi="Garamond"/>
                <w:b/>
                <w:sz w:val="20"/>
              </w:rPr>
              <w:t>0.77</w:t>
            </w:r>
          </w:p>
        </w:tc>
      </w:tr>
      <w:tr w:rsidR="00DB49D5" w:rsidRPr="00830F4C" w14:paraId="02F73CAE" w14:textId="77777777" w:rsidTr="001B0E93">
        <w:trPr>
          <w:trHeight w:val="315"/>
        </w:trPr>
        <w:tc>
          <w:tcPr>
            <w:cnfStyle w:val="001000000000" w:firstRow="0" w:lastRow="0" w:firstColumn="1" w:lastColumn="0" w:oddVBand="0" w:evenVBand="0" w:oddHBand="0" w:evenHBand="0" w:firstRowFirstColumn="0" w:firstRowLastColumn="0" w:lastRowFirstColumn="0" w:lastRowLastColumn="0"/>
            <w:tcW w:w="2250" w:type="dxa"/>
            <w:noWrap/>
            <w:hideMark/>
          </w:tcPr>
          <w:p w14:paraId="687BBA0C" w14:textId="77777777" w:rsidR="00DB49D5" w:rsidRPr="00830F4C" w:rsidRDefault="00DB49D5" w:rsidP="00DB49D5">
            <w:pPr>
              <w:jc w:val="center"/>
              <w:rPr>
                <w:rFonts w:ascii="Garamond" w:hAnsi="Garamond"/>
                <w:b w:val="0"/>
                <w:sz w:val="20"/>
              </w:rPr>
            </w:pPr>
            <w:r w:rsidRPr="00830F4C">
              <w:rPr>
                <w:rFonts w:ascii="Garamond" w:hAnsi="Garamond"/>
                <w:b w:val="0"/>
                <w:sz w:val="20"/>
              </w:rPr>
              <w:t>0 – 14,000,000</w:t>
            </w:r>
          </w:p>
        </w:tc>
        <w:tc>
          <w:tcPr>
            <w:tcW w:w="1440" w:type="dxa"/>
            <w:noWrap/>
            <w:hideMark/>
          </w:tcPr>
          <w:p w14:paraId="6D9D5006"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0%</w:t>
            </w:r>
          </w:p>
        </w:tc>
        <w:tc>
          <w:tcPr>
            <w:tcW w:w="2340" w:type="dxa"/>
            <w:noWrap/>
            <w:hideMark/>
          </w:tcPr>
          <w:p w14:paraId="4713E513"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128,035</w:t>
            </w:r>
          </w:p>
        </w:tc>
        <w:tc>
          <w:tcPr>
            <w:tcW w:w="2070" w:type="dxa"/>
            <w:noWrap/>
            <w:hideMark/>
          </w:tcPr>
          <w:p w14:paraId="6147DD25"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15,447,672,131</w:t>
            </w:r>
          </w:p>
        </w:tc>
        <w:tc>
          <w:tcPr>
            <w:tcW w:w="1260" w:type="dxa"/>
            <w:hideMark/>
          </w:tcPr>
          <w:p w14:paraId="1CFBCD14"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0.72</w:t>
            </w:r>
          </w:p>
        </w:tc>
      </w:tr>
      <w:tr w:rsidR="00DB49D5" w:rsidRPr="00830F4C" w14:paraId="080C7EF7" w14:textId="77777777" w:rsidTr="001B0E93">
        <w:trPr>
          <w:trHeight w:val="315"/>
        </w:trPr>
        <w:tc>
          <w:tcPr>
            <w:cnfStyle w:val="001000000000" w:firstRow="0" w:lastRow="0" w:firstColumn="1" w:lastColumn="0" w:oddVBand="0" w:evenVBand="0" w:oddHBand="0" w:evenHBand="0" w:firstRowFirstColumn="0" w:firstRowLastColumn="0" w:lastRowFirstColumn="0" w:lastRowLastColumn="0"/>
            <w:tcW w:w="2250" w:type="dxa"/>
            <w:noWrap/>
            <w:hideMark/>
          </w:tcPr>
          <w:p w14:paraId="61DF8C77" w14:textId="77777777" w:rsidR="00DB49D5" w:rsidRPr="00830F4C" w:rsidRDefault="00DB49D5" w:rsidP="00DB49D5">
            <w:pPr>
              <w:jc w:val="center"/>
              <w:rPr>
                <w:rFonts w:ascii="Garamond" w:hAnsi="Garamond"/>
                <w:b w:val="0"/>
                <w:sz w:val="20"/>
              </w:rPr>
            </w:pPr>
            <w:r w:rsidRPr="00830F4C">
              <w:rPr>
                <w:rFonts w:ascii="Garamond" w:hAnsi="Garamond"/>
                <w:b w:val="0"/>
                <w:sz w:val="20"/>
              </w:rPr>
              <w:t>Mbi 14,000,000</w:t>
            </w:r>
          </w:p>
        </w:tc>
        <w:tc>
          <w:tcPr>
            <w:tcW w:w="1440" w:type="dxa"/>
            <w:noWrap/>
            <w:hideMark/>
          </w:tcPr>
          <w:p w14:paraId="581CA658"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15%</w:t>
            </w:r>
          </w:p>
        </w:tc>
        <w:tc>
          <w:tcPr>
            <w:tcW w:w="2340" w:type="dxa"/>
            <w:noWrap/>
            <w:hideMark/>
          </w:tcPr>
          <w:p w14:paraId="5E266B23"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13,588</w:t>
            </w:r>
          </w:p>
        </w:tc>
        <w:tc>
          <w:tcPr>
            <w:tcW w:w="2070" w:type="dxa"/>
            <w:noWrap/>
            <w:hideMark/>
          </w:tcPr>
          <w:p w14:paraId="02E91082"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955,972,328</w:t>
            </w:r>
          </w:p>
        </w:tc>
        <w:tc>
          <w:tcPr>
            <w:tcW w:w="1260" w:type="dxa"/>
            <w:hideMark/>
          </w:tcPr>
          <w:p w14:paraId="422B0931" w14:textId="77777777" w:rsidR="00DB49D5" w:rsidRPr="00830F4C" w:rsidRDefault="00DB49D5" w:rsidP="00DB49D5">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0.05</w:t>
            </w:r>
          </w:p>
        </w:tc>
      </w:tr>
    </w:tbl>
    <w:p w14:paraId="626F6BE5" w14:textId="7092BFD6" w:rsidR="00646D6F" w:rsidRPr="00830F4C" w:rsidRDefault="00646D6F" w:rsidP="00646D6F">
      <w:pPr>
        <w:ind w:firstLine="284"/>
        <w:jc w:val="both"/>
        <w:rPr>
          <w:rFonts w:ascii="Garamond" w:hAnsi="Garamond"/>
        </w:rPr>
      </w:pPr>
      <w:bookmarkStart w:id="14" w:name="_Hlk187057277"/>
      <w:r w:rsidRPr="00830F4C">
        <w:rPr>
          <w:rFonts w:ascii="Garamond" w:hAnsi="Garamond"/>
        </w:rPr>
        <w:t>Raporti i Shpenzimeve tatimore 2021</w:t>
      </w:r>
      <w:r w:rsidR="00236281" w:rsidRPr="00830F4C">
        <w:rPr>
          <w:rFonts w:ascii="Garamond" w:hAnsi="Garamond"/>
        </w:rPr>
        <w:t>–</w:t>
      </w:r>
      <w:r w:rsidRPr="00830F4C">
        <w:rPr>
          <w:rFonts w:ascii="Garamond" w:hAnsi="Garamond"/>
        </w:rPr>
        <w:t xml:space="preserve">2022 tregon se vlera e </w:t>
      </w:r>
      <w:r w:rsidR="00D22EA5" w:rsidRPr="00830F4C">
        <w:rPr>
          <w:rFonts w:ascii="Garamond" w:hAnsi="Garamond"/>
        </w:rPr>
        <w:t>“</w:t>
      </w:r>
      <w:r w:rsidR="00F520DF" w:rsidRPr="00830F4C">
        <w:rPr>
          <w:rFonts w:ascii="Garamond" w:hAnsi="Garamond"/>
        </w:rPr>
        <w:t xml:space="preserve">Shpenzimeve </w:t>
      </w:r>
      <w:r w:rsidRPr="00830F4C">
        <w:rPr>
          <w:rFonts w:ascii="Garamond" w:hAnsi="Garamond"/>
        </w:rPr>
        <w:t>tatimore</w:t>
      </w:r>
      <w:r w:rsidR="00D22EA5" w:rsidRPr="00830F4C">
        <w:rPr>
          <w:rFonts w:ascii="Garamond" w:hAnsi="Garamond"/>
        </w:rPr>
        <w:t>”</w:t>
      </w:r>
      <w:r w:rsidRPr="00830F4C">
        <w:rPr>
          <w:rFonts w:ascii="Garamond" w:hAnsi="Garamond"/>
        </w:rPr>
        <w:t>, për vitin 2021 llogaritet rreth 91 miliardë lekë ose 4.90% e Produktit të Brendshëm Bruto (PBB). Nga totali i shpenzimeve tatimore rezulton se rreth 84.16% e tyre i përkasin</w:t>
      </w:r>
      <w:r w:rsidR="00DE65FB">
        <w:rPr>
          <w:rFonts w:ascii="Garamond" w:hAnsi="Garamond"/>
        </w:rPr>
        <w:t xml:space="preserve"> TVSh</w:t>
      </w:r>
      <w:r w:rsidRPr="00830F4C">
        <w:rPr>
          <w:rFonts w:ascii="Garamond" w:hAnsi="Garamond"/>
        </w:rPr>
        <w:t>-së, për shkak të përjashtimeve, aplikimit të normave të reduktuara, kufirit të lartë të regjistrimit në</w:t>
      </w:r>
      <w:r w:rsidR="00DE65FB">
        <w:rPr>
          <w:rFonts w:ascii="Garamond" w:hAnsi="Garamond"/>
        </w:rPr>
        <w:t xml:space="preserve"> TVSh</w:t>
      </w:r>
      <w:r w:rsidRPr="00830F4C">
        <w:rPr>
          <w:rFonts w:ascii="Garamond" w:hAnsi="Garamond"/>
        </w:rPr>
        <w:t>, si dhe nga përjashtimi i prodhimit bujqësor vetjak. Rezultatet e shpenzimit tatimor për vitin 2022, si përqindje e PBB-së, janë paraqiten në rënie krahasuar ato të vitit 2021, ku në total vlera e shpenzimeve tatimore, për vitin 2022 llogaritet rreth 101.68 miliardë lekë ose 4.76% e PBB-së. Ndërkohë, shpenzimi tatimor i secilit tatim përkatësisht, shpenzimi tatimor i</w:t>
      </w:r>
      <w:r w:rsidR="00DE65FB">
        <w:rPr>
          <w:rFonts w:ascii="Garamond" w:hAnsi="Garamond"/>
        </w:rPr>
        <w:t xml:space="preserve"> TVSh</w:t>
      </w:r>
      <w:r w:rsidRPr="00830F4C">
        <w:rPr>
          <w:rFonts w:ascii="Garamond" w:hAnsi="Garamond"/>
        </w:rPr>
        <w:t>-së është rreth 3.93% e PBB-së, i tatimit mbi fitimin dhe tatimit të thjeshtuar mbi fitimin është 0.77% e PBB-së, ndërsa shpenzimi tatimor nga akciza është rreth 0.06% e PBB-së.</w:t>
      </w:r>
    </w:p>
    <w:p w14:paraId="678B29CC" w14:textId="3D3102C5" w:rsidR="00646D6F" w:rsidRPr="00830F4C" w:rsidRDefault="00646D6F" w:rsidP="00646D6F">
      <w:pPr>
        <w:pStyle w:val="Heading2"/>
        <w:spacing w:before="0"/>
        <w:ind w:firstLine="284"/>
        <w:rPr>
          <w:rFonts w:ascii="Garamond" w:hAnsi="Garamond" w:cs="Times New Roman"/>
          <w:b/>
          <w:color w:val="auto"/>
          <w:sz w:val="24"/>
          <w:szCs w:val="24"/>
        </w:rPr>
      </w:pPr>
      <w:bookmarkStart w:id="15" w:name="_Toc173483095"/>
      <w:bookmarkStart w:id="16" w:name="_Toc185235079"/>
      <w:r w:rsidRPr="00830F4C">
        <w:rPr>
          <w:rFonts w:ascii="Garamond" w:hAnsi="Garamond" w:cs="Times New Roman"/>
          <w:b/>
          <w:color w:val="auto"/>
          <w:sz w:val="24"/>
          <w:szCs w:val="24"/>
        </w:rPr>
        <w:t>II.3 Politikat fiskale të ndërmarra gjatë 2013</w:t>
      </w:r>
      <w:r w:rsidR="00F520DF" w:rsidRPr="00830F4C">
        <w:rPr>
          <w:rFonts w:ascii="Garamond" w:hAnsi="Garamond" w:cs="Times New Roman"/>
          <w:b/>
          <w:color w:val="auto"/>
          <w:sz w:val="24"/>
          <w:szCs w:val="24"/>
        </w:rPr>
        <w:t>–</w:t>
      </w:r>
      <w:r w:rsidRPr="00830F4C">
        <w:rPr>
          <w:rFonts w:ascii="Garamond" w:hAnsi="Garamond" w:cs="Times New Roman"/>
          <w:b/>
          <w:color w:val="auto"/>
          <w:sz w:val="24"/>
          <w:szCs w:val="24"/>
        </w:rPr>
        <w:t>2023</w:t>
      </w:r>
      <w:bookmarkEnd w:id="15"/>
      <w:bookmarkEnd w:id="16"/>
      <w:r w:rsidR="00F520DF" w:rsidRPr="00830F4C">
        <w:rPr>
          <w:rFonts w:ascii="Garamond" w:hAnsi="Garamond" w:cs="Times New Roman"/>
          <w:b/>
          <w:color w:val="auto"/>
          <w:sz w:val="24"/>
          <w:szCs w:val="24"/>
        </w:rPr>
        <w:t>-shit</w:t>
      </w:r>
    </w:p>
    <w:p w14:paraId="60CF6FBE" w14:textId="73E0572E" w:rsidR="00646D6F" w:rsidRPr="00830F4C" w:rsidRDefault="00646D6F" w:rsidP="00646D6F">
      <w:pPr>
        <w:ind w:firstLine="284"/>
        <w:jc w:val="both"/>
        <w:rPr>
          <w:rFonts w:ascii="Garamond" w:hAnsi="Garamond"/>
        </w:rPr>
      </w:pPr>
      <w:r w:rsidRPr="00830F4C">
        <w:rPr>
          <w:rFonts w:ascii="Garamond" w:hAnsi="Garamond"/>
        </w:rPr>
        <w:t>Për shkak të rënies së të ardhurave të buxhetit të shtetit, dhe sidomos të të ardhurave tatimore, pas vitit 2013</w:t>
      </w:r>
      <w:r w:rsidR="00D22EA5" w:rsidRPr="00830F4C">
        <w:rPr>
          <w:rFonts w:ascii="Garamond" w:hAnsi="Garamond"/>
        </w:rPr>
        <w:t xml:space="preserve"> </w:t>
      </w:r>
      <w:r w:rsidRPr="00830F4C">
        <w:rPr>
          <w:rFonts w:ascii="Garamond" w:hAnsi="Garamond"/>
        </w:rPr>
        <w:t>janë ndërmarrë</w:t>
      </w:r>
      <w:r w:rsidR="00D22EA5" w:rsidRPr="00830F4C">
        <w:rPr>
          <w:rFonts w:ascii="Garamond" w:hAnsi="Garamond"/>
        </w:rPr>
        <w:t xml:space="preserve"> </w:t>
      </w:r>
      <w:r w:rsidRPr="00830F4C">
        <w:rPr>
          <w:rFonts w:ascii="Garamond" w:hAnsi="Garamond"/>
        </w:rPr>
        <w:t>reforma dhe ndryshime të rëndësishme në fushën e politikave dhe administrimit tatimor, me qëllim rritjen e të ardhurave, reduktimin e defiçitit buxhetor, pagesën e detyrimeve të prapambetura dhe uljen graduale të borxhit publik. Reforma në fushën e të ardhurave konsistoi kryesisht në:</w:t>
      </w:r>
    </w:p>
    <w:p w14:paraId="10FEB6CD" w14:textId="797F5B2B" w:rsidR="00646D6F" w:rsidRPr="00830F4C" w:rsidRDefault="00646D6F" w:rsidP="00646D6F">
      <w:pPr>
        <w:ind w:firstLine="284"/>
        <w:jc w:val="both"/>
        <w:rPr>
          <w:rFonts w:ascii="Garamond" w:hAnsi="Garamond"/>
        </w:rPr>
      </w:pPr>
      <w:r w:rsidRPr="00830F4C">
        <w:rPr>
          <w:rFonts w:ascii="Garamond" w:hAnsi="Garamond"/>
        </w:rPr>
        <w:t xml:space="preserve">- zëvendësimin e taksës së sheshtë mbi të ardhurat me taksën progresive, duke zbatuar parimin </w:t>
      </w:r>
      <w:r w:rsidR="00D22EA5" w:rsidRPr="00830F4C">
        <w:rPr>
          <w:rFonts w:ascii="Garamond" w:hAnsi="Garamond"/>
        </w:rPr>
        <w:t>“</w:t>
      </w:r>
      <w:r w:rsidRPr="00830F4C">
        <w:rPr>
          <w:rFonts w:ascii="Garamond" w:hAnsi="Garamond"/>
        </w:rPr>
        <w:t>kush fiton më shumë, paguan një pjesë më të madhe nga të ardhurat në formën e tatimeve dhe taksave</w:t>
      </w:r>
      <w:r w:rsidR="00D22EA5" w:rsidRPr="00830F4C">
        <w:rPr>
          <w:rFonts w:ascii="Garamond" w:hAnsi="Garamond"/>
        </w:rPr>
        <w:t>”</w:t>
      </w:r>
      <w:r w:rsidRPr="00830F4C">
        <w:rPr>
          <w:rFonts w:ascii="Garamond" w:hAnsi="Garamond"/>
        </w:rPr>
        <w:t>;</w:t>
      </w:r>
    </w:p>
    <w:p w14:paraId="16B783BB" w14:textId="1C4410B7" w:rsidR="00646D6F" w:rsidRPr="00830F4C" w:rsidRDefault="00646D6F" w:rsidP="00646D6F">
      <w:pPr>
        <w:ind w:firstLine="284"/>
        <w:jc w:val="both"/>
        <w:rPr>
          <w:rFonts w:ascii="Garamond" w:hAnsi="Garamond"/>
        </w:rPr>
      </w:pPr>
      <w:r w:rsidRPr="00830F4C">
        <w:rPr>
          <w:rFonts w:ascii="Garamond" w:hAnsi="Garamond"/>
        </w:rPr>
        <w:t>- rritjen e normës së tatimit mbi fitimin korporativ për kompanitë e mëdha;</w:t>
      </w:r>
    </w:p>
    <w:p w14:paraId="19456BB0" w14:textId="693F4A26" w:rsidR="00646D6F" w:rsidRPr="00830F4C" w:rsidRDefault="00646D6F" w:rsidP="00646D6F">
      <w:pPr>
        <w:ind w:firstLine="284"/>
        <w:jc w:val="both"/>
        <w:rPr>
          <w:rFonts w:ascii="Garamond" w:hAnsi="Garamond"/>
        </w:rPr>
      </w:pPr>
      <w:r w:rsidRPr="00830F4C">
        <w:rPr>
          <w:rFonts w:ascii="Garamond" w:hAnsi="Garamond"/>
        </w:rPr>
        <w:t>- rritjen graduale të</w:t>
      </w:r>
      <w:r w:rsidR="00D22EA5" w:rsidRPr="00830F4C">
        <w:rPr>
          <w:rFonts w:ascii="Garamond" w:hAnsi="Garamond"/>
        </w:rPr>
        <w:t xml:space="preserve"> </w:t>
      </w:r>
      <w:r w:rsidRPr="00830F4C">
        <w:rPr>
          <w:rFonts w:ascii="Garamond" w:hAnsi="Garamond"/>
        </w:rPr>
        <w:t>ngarkesës fiskale për mallrat e akcizës, kryesisht për produktin cigare.</w:t>
      </w:r>
    </w:p>
    <w:p w14:paraId="1740EEBF" w14:textId="77777777" w:rsidR="00646D6F" w:rsidRPr="00830F4C" w:rsidRDefault="00646D6F" w:rsidP="00646D6F">
      <w:pPr>
        <w:ind w:firstLine="284"/>
        <w:jc w:val="both"/>
        <w:rPr>
          <w:rFonts w:ascii="Garamond" w:hAnsi="Garamond"/>
        </w:rPr>
      </w:pPr>
      <w:r w:rsidRPr="00830F4C">
        <w:rPr>
          <w:rFonts w:ascii="Garamond" w:hAnsi="Garamond"/>
        </w:rPr>
        <w:t>Ndryshimet në politikat fiskale ndihmuan në rritjen e të ardhurave tatimore, të cilat në vitin 2017 arritën në 25,7% e PBB-së nga 22,2% e PBB-së në vitin 2013, para politikave të reja fiskale. Ndërkohë në vijim, qeveria ndërmori një sërë masash lehtësuese në politikat fiskale, përfshirë:</w:t>
      </w:r>
    </w:p>
    <w:p w14:paraId="3113C485" w14:textId="3A472DAC" w:rsidR="00646D6F" w:rsidRPr="00830F4C" w:rsidRDefault="00646D6F" w:rsidP="00646D6F">
      <w:pPr>
        <w:ind w:firstLine="284"/>
        <w:jc w:val="both"/>
        <w:rPr>
          <w:rFonts w:ascii="Garamond" w:hAnsi="Garamond"/>
        </w:rPr>
      </w:pPr>
      <w:r w:rsidRPr="00830F4C">
        <w:rPr>
          <w:rFonts w:ascii="Garamond" w:hAnsi="Garamond"/>
        </w:rPr>
        <w:t>- tatimin zero për</w:t>
      </w:r>
      <w:r w:rsidR="00F520DF" w:rsidRPr="00830F4C">
        <w:rPr>
          <w:rFonts w:ascii="Garamond" w:hAnsi="Garamond"/>
        </w:rPr>
        <w:t xml:space="preserve"> </w:t>
      </w:r>
      <w:r w:rsidRPr="00830F4C">
        <w:rPr>
          <w:rFonts w:ascii="Garamond" w:hAnsi="Garamond"/>
        </w:rPr>
        <w:t>qind</w:t>
      </w:r>
      <w:r w:rsidR="00D22EA5" w:rsidRPr="00830F4C">
        <w:rPr>
          <w:rFonts w:ascii="Garamond" w:hAnsi="Garamond"/>
        </w:rPr>
        <w:t xml:space="preserve"> </w:t>
      </w:r>
      <w:r w:rsidRPr="00830F4C">
        <w:rPr>
          <w:rFonts w:ascii="Garamond" w:hAnsi="Garamond"/>
        </w:rPr>
        <w:t xml:space="preserve">për bizneset e vogla me të ardhura deri </w:t>
      </w:r>
      <w:r w:rsidR="00F520DF" w:rsidRPr="00830F4C">
        <w:rPr>
          <w:rFonts w:ascii="Garamond" w:hAnsi="Garamond"/>
        </w:rPr>
        <w:t xml:space="preserve">në </w:t>
      </w:r>
      <w:r w:rsidRPr="00830F4C">
        <w:rPr>
          <w:rFonts w:ascii="Garamond" w:hAnsi="Garamond"/>
        </w:rPr>
        <w:t>5 milionë lekë në vit;</w:t>
      </w:r>
    </w:p>
    <w:p w14:paraId="5E66DF75" w14:textId="0EE3D73B" w:rsidR="00646D6F" w:rsidRPr="00830F4C" w:rsidRDefault="00646D6F" w:rsidP="00646D6F">
      <w:pPr>
        <w:ind w:firstLine="284"/>
        <w:jc w:val="both"/>
        <w:rPr>
          <w:rFonts w:ascii="Garamond" w:hAnsi="Garamond"/>
        </w:rPr>
      </w:pPr>
      <w:r w:rsidRPr="00830F4C">
        <w:rPr>
          <w:rFonts w:ascii="Garamond" w:hAnsi="Garamond"/>
        </w:rPr>
        <w:t xml:space="preserve">- normë të reduktuar tatimi 5% për sipërmarrjet me të ardhura deri </w:t>
      </w:r>
      <w:r w:rsidR="00F520DF" w:rsidRPr="00830F4C">
        <w:rPr>
          <w:rFonts w:ascii="Garamond" w:hAnsi="Garamond"/>
        </w:rPr>
        <w:t xml:space="preserve">në </w:t>
      </w:r>
      <w:r w:rsidRPr="00830F4C">
        <w:rPr>
          <w:rFonts w:ascii="Garamond" w:hAnsi="Garamond"/>
        </w:rPr>
        <w:t>14 milionë lekë;</w:t>
      </w:r>
    </w:p>
    <w:p w14:paraId="2B976DBD" w14:textId="73689576" w:rsidR="00646D6F" w:rsidRPr="00830F4C" w:rsidRDefault="00646D6F" w:rsidP="00646D6F">
      <w:pPr>
        <w:ind w:firstLine="284"/>
        <w:jc w:val="both"/>
        <w:rPr>
          <w:rFonts w:ascii="Garamond" w:hAnsi="Garamond"/>
        </w:rPr>
      </w:pPr>
      <w:r w:rsidRPr="00830F4C">
        <w:rPr>
          <w:rFonts w:ascii="Garamond" w:hAnsi="Garamond"/>
        </w:rPr>
        <w:t>- norma të reduktuara preferenciale për sektorë dhe industri prioritare në zhvillimin e vendit</w:t>
      </w:r>
      <w:r w:rsidR="00F520DF" w:rsidRPr="00830F4C">
        <w:rPr>
          <w:rFonts w:ascii="Garamond" w:hAnsi="Garamond"/>
        </w:rPr>
        <w:t>,</w:t>
      </w:r>
      <w:r w:rsidRPr="00830F4C">
        <w:rPr>
          <w:rFonts w:ascii="Garamond" w:hAnsi="Garamond"/>
        </w:rPr>
        <w:t xml:space="preserve"> si</w:t>
      </w:r>
      <w:r w:rsidR="00F520DF" w:rsidRPr="00830F4C">
        <w:rPr>
          <w:rFonts w:ascii="Garamond" w:hAnsi="Garamond"/>
        </w:rPr>
        <w:t>:</w:t>
      </w:r>
      <w:r w:rsidRPr="00830F4C">
        <w:rPr>
          <w:rFonts w:ascii="Garamond" w:hAnsi="Garamond"/>
        </w:rPr>
        <w:t xml:space="preserve"> turizmi elitar, agroturizmi, teknologjia e informacionit, industria automotive;</w:t>
      </w:r>
    </w:p>
    <w:p w14:paraId="6B59A427" w14:textId="634EDC51" w:rsidR="00646D6F" w:rsidRPr="00830F4C" w:rsidRDefault="00F520DF" w:rsidP="00646D6F">
      <w:pPr>
        <w:pStyle w:val="ListParagraph"/>
        <w:spacing w:after="0" w:line="240" w:lineRule="auto"/>
        <w:ind w:left="0" w:firstLine="284"/>
        <w:jc w:val="both"/>
        <w:rPr>
          <w:rFonts w:ascii="Garamond" w:hAnsi="Garamond" w:cs="Times New Roman"/>
          <w:sz w:val="24"/>
          <w:szCs w:val="24"/>
        </w:rPr>
      </w:pPr>
      <w:r w:rsidRPr="00830F4C">
        <w:rPr>
          <w:rFonts w:ascii="Garamond" w:hAnsi="Garamond" w:cs="Times New Roman"/>
          <w:sz w:val="24"/>
          <w:szCs w:val="24"/>
        </w:rPr>
        <w:t xml:space="preserve">- </w:t>
      </w:r>
      <w:r w:rsidR="00646D6F" w:rsidRPr="00830F4C">
        <w:rPr>
          <w:rFonts w:ascii="Garamond" w:hAnsi="Garamond" w:cs="Times New Roman"/>
          <w:sz w:val="24"/>
          <w:szCs w:val="24"/>
        </w:rPr>
        <w:t>përjashtimin nga</w:t>
      </w:r>
      <w:r w:rsidR="00DE65FB">
        <w:rPr>
          <w:rFonts w:ascii="Garamond" w:hAnsi="Garamond" w:cs="Times New Roman"/>
          <w:sz w:val="24"/>
          <w:szCs w:val="24"/>
        </w:rPr>
        <w:t xml:space="preserve"> TVSh</w:t>
      </w:r>
      <w:r w:rsidR="00646D6F" w:rsidRPr="00830F4C">
        <w:rPr>
          <w:rFonts w:ascii="Garamond" w:hAnsi="Garamond" w:cs="Times New Roman"/>
          <w:sz w:val="24"/>
          <w:szCs w:val="24"/>
        </w:rPr>
        <w:t>-ja të një sërë mallrash (inputeve dhe makineri bujqësore, etj</w:t>
      </w:r>
      <w:r w:rsidR="00FF624C" w:rsidRPr="00830F4C">
        <w:rPr>
          <w:rFonts w:ascii="Garamond" w:hAnsi="Garamond" w:cs="Times New Roman"/>
          <w:sz w:val="24"/>
          <w:szCs w:val="24"/>
        </w:rPr>
        <w:t>.</w:t>
      </w:r>
      <w:r w:rsidR="00646D6F" w:rsidRPr="00830F4C">
        <w:rPr>
          <w:rFonts w:ascii="Garamond" w:hAnsi="Garamond" w:cs="Times New Roman"/>
          <w:sz w:val="24"/>
          <w:szCs w:val="24"/>
        </w:rPr>
        <w:t>), apo importeve të tjera në funksion të zhvillimit të turizmit.</w:t>
      </w:r>
    </w:p>
    <w:p w14:paraId="68FB6AB8" w14:textId="710225E1" w:rsidR="00646D6F" w:rsidRPr="00830F4C" w:rsidRDefault="00646D6F" w:rsidP="00646D6F">
      <w:pPr>
        <w:ind w:firstLine="284"/>
        <w:jc w:val="both"/>
        <w:rPr>
          <w:rFonts w:ascii="Garamond" w:hAnsi="Garamond"/>
          <w:bCs/>
        </w:rPr>
      </w:pPr>
      <w:r w:rsidRPr="00830F4C">
        <w:rPr>
          <w:rFonts w:ascii="Garamond" w:hAnsi="Garamond"/>
        </w:rPr>
        <w:t>Në vitet në vijim, për shkak të një sërë ngjarjesh të paparashikuara si: i</w:t>
      </w:r>
      <w:r w:rsidR="00FF624C" w:rsidRPr="00830F4C">
        <w:rPr>
          <w:rFonts w:ascii="Garamond" w:hAnsi="Garamond"/>
        </w:rPr>
        <w:t>.</w:t>
      </w:r>
      <w:r w:rsidRPr="00830F4C">
        <w:rPr>
          <w:rFonts w:ascii="Garamond" w:hAnsi="Garamond"/>
        </w:rPr>
        <w:t xml:space="preserve"> efektet negative në ekonomi të situatës </w:t>
      </w:r>
      <w:r w:rsidR="00FF624C" w:rsidRPr="00830F4C">
        <w:rPr>
          <w:rFonts w:ascii="Garamond" w:hAnsi="Garamond"/>
        </w:rPr>
        <w:t>energjetike</w:t>
      </w:r>
      <w:r w:rsidRPr="00830F4C">
        <w:rPr>
          <w:rFonts w:ascii="Garamond" w:hAnsi="Garamond"/>
        </w:rPr>
        <w:t xml:space="preserve"> për shkak të thatësirës; ii</w:t>
      </w:r>
      <w:r w:rsidR="00FF624C" w:rsidRPr="00830F4C">
        <w:rPr>
          <w:rFonts w:ascii="Garamond" w:hAnsi="Garamond"/>
        </w:rPr>
        <w:t>.</w:t>
      </w:r>
      <w:r w:rsidRPr="00830F4C">
        <w:rPr>
          <w:rFonts w:ascii="Garamond" w:hAnsi="Garamond"/>
        </w:rPr>
        <w:t xml:space="preserve"> pasojave të fatkeqësisë natyrore për shkak të tërmetit dhe pandemisë; </w:t>
      </w:r>
      <w:r w:rsidR="00FF624C" w:rsidRPr="00EC5D4C">
        <w:rPr>
          <w:rFonts w:ascii="Garamond" w:hAnsi="Garamond"/>
        </w:rPr>
        <w:t>iii.</w:t>
      </w:r>
      <w:r w:rsidRPr="00830F4C">
        <w:rPr>
          <w:rFonts w:ascii="Garamond" w:hAnsi="Garamond"/>
        </w:rPr>
        <w:t xml:space="preserve"> efekteve negative për shkak të mbylljes së ekonomisë si pasojë e </w:t>
      </w:r>
      <w:r w:rsidR="00F520DF" w:rsidRPr="00830F4C">
        <w:rPr>
          <w:rFonts w:ascii="Garamond" w:hAnsi="Garamond"/>
        </w:rPr>
        <w:t>p</w:t>
      </w:r>
      <w:r w:rsidRPr="00830F4C">
        <w:rPr>
          <w:rFonts w:ascii="Garamond" w:hAnsi="Garamond"/>
        </w:rPr>
        <w:t xml:space="preserve">andemisë së </w:t>
      </w:r>
      <w:r w:rsidR="00FF624C" w:rsidRPr="00830F4C">
        <w:rPr>
          <w:rFonts w:ascii="Garamond" w:hAnsi="Garamond"/>
        </w:rPr>
        <w:t>COVID-</w:t>
      </w:r>
      <w:r w:rsidRPr="00830F4C">
        <w:rPr>
          <w:rFonts w:ascii="Garamond" w:hAnsi="Garamond"/>
        </w:rPr>
        <w:t>19, kanë rezultuar në ulje të të ardhurave të buxhetit të shtetit dhe veçanërisht të të ardhurave tatimore që gjenerohen nga sistemi tatimor, të cilat në fund të vitit 2020 rezultuan në 24,2 % të PBB-së, ose -1% të PBB-së më pak se në vitin 2019.</w:t>
      </w:r>
      <w:r w:rsidRPr="00830F4C">
        <w:rPr>
          <w:rFonts w:ascii="Garamond" w:eastAsia="Calibri" w:hAnsi="Garamond"/>
        </w:rPr>
        <w:t xml:space="preserve"> Gjatë vitit 2020 një sërë aktesh ligjore janë ndërmarrë</w:t>
      </w:r>
      <w:r w:rsidR="003C72BE" w:rsidRPr="00830F4C">
        <w:rPr>
          <w:rFonts w:ascii="Garamond" w:eastAsia="Calibri" w:hAnsi="Garamond"/>
        </w:rPr>
        <w:t>,</w:t>
      </w:r>
      <w:r w:rsidRPr="00830F4C">
        <w:rPr>
          <w:rFonts w:ascii="Garamond" w:eastAsia="Calibri" w:hAnsi="Garamond"/>
        </w:rPr>
        <w:t xml:space="preserve"> me qëllim zbutjen e efekteve financiare të shkaktuara nga </w:t>
      </w:r>
      <w:r w:rsidR="003C72BE" w:rsidRPr="00830F4C">
        <w:rPr>
          <w:rFonts w:ascii="Garamond" w:eastAsia="Calibri" w:hAnsi="Garamond"/>
        </w:rPr>
        <w:t>p</w:t>
      </w:r>
      <w:r w:rsidRPr="00830F4C">
        <w:rPr>
          <w:rFonts w:ascii="Garamond" w:eastAsia="Calibri" w:hAnsi="Garamond"/>
        </w:rPr>
        <w:t xml:space="preserve">andemia e </w:t>
      </w:r>
      <w:r w:rsidR="003C72BE" w:rsidRPr="00830F4C">
        <w:rPr>
          <w:rFonts w:ascii="Garamond" w:eastAsia="Calibri" w:hAnsi="Garamond"/>
        </w:rPr>
        <w:t>COVID</w:t>
      </w:r>
      <w:r w:rsidRPr="00830F4C">
        <w:rPr>
          <w:rFonts w:ascii="Garamond" w:eastAsia="Calibri" w:hAnsi="Garamond"/>
        </w:rPr>
        <w:t>-19 mbi veprimtarinë e bizneseve dhe të ardhurave individuale.</w:t>
      </w:r>
      <w:r w:rsidR="00D22EA5" w:rsidRPr="00830F4C">
        <w:rPr>
          <w:rFonts w:ascii="Garamond" w:eastAsia="Calibri" w:hAnsi="Garamond"/>
        </w:rPr>
        <w:t xml:space="preserve"> </w:t>
      </w:r>
      <w:r w:rsidRPr="00830F4C">
        <w:rPr>
          <w:rFonts w:ascii="Garamond" w:hAnsi="Garamond"/>
        </w:rPr>
        <w:t xml:space="preserve">Nga </w:t>
      </w:r>
      <w:r w:rsidR="003C72BE" w:rsidRPr="00830F4C">
        <w:rPr>
          <w:rFonts w:ascii="Garamond" w:hAnsi="Garamond"/>
        </w:rPr>
        <w:t>j</w:t>
      </w:r>
      <w:r w:rsidRPr="00830F4C">
        <w:rPr>
          <w:rFonts w:ascii="Garamond" w:hAnsi="Garamond"/>
        </w:rPr>
        <w:t>anari i vitit 2022, Shqipëria ka filluar zbatimin e masave të parashikuara për t</w:t>
      </w:r>
      <w:r w:rsidR="0088379B">
        <w:rPr>
          <w:rFonts w:ascii="Garamond" w:hAnsi="Garamond"/>
        </w:rPr>
        <w:t>’</w:t>
      </w:r>
      <w:r w:rsidRPr="00830F4C">
        <w:rPr>
          <w:rFonts w:ascii="Garamond" w:hAnsi="Garamond"/>
        </w:rPr>
        <w:t>u zbatuar në kuadrin e Strategjisë.</w:t>
      </w:r>
      <w:r w:rsidR="00D22EA5" w:rsidRPr="00830F4C">
        <w:rPr>
          <w:rFonts w:ascii="Garamond" w:hAnsi="Garamond"/>
        </w:rPr>
        <w:t xml:space="preserve"> </w:t>
      </w:r>
      <w:r w:rsidRPr="00830F4C">
        <w:rPr>
          <w:rFonts w:ascii="Garamond" w:hAnsi="Garamond"/>
        </w:rPr>
        <w:t>Si rezultat i tejkalimit të problematikës së krijuar nga faktorët e paparashikuar dhe masave fiskale të ndërmarra, të ardhurat tatimore në vitin 2023 janë rritur me +0.7 % të PBB-së krahasuar me vitin 2019, dhe në vitin 2024 do arrijnë në 26.7 % e PBB-së, nga 25.2 % në vitin 2019.</w:t>
      </w:r>
      <w:r w:rsidR="00D22EA5" w:rsidRPr="00830F4C">
        <w:rPr>
          <w:rFonts w:ascii="Garamond" w:hAnsi="Garamond"/>
        </w:rPr>
        <w:t xml:space="preserve"> </w:t>
      </w:r>
      <w:r w:rsidRPr="00830F4C">
        <w:rPr>
          <w:rFonts w:ascii="Garamond" w:hAnsi="Garamond"/>
        </w:rPr>
        <w:t>Fillimi i zbatimit të masave të politikës fiskale sipas Rekomandimeve të FMN</w:t>
      </w:r>
      <w:r w:rsidR="003C72BE" w:rsidRPr="00830F4C">
        <w:rPr>
          <w:rFonts w:ascii="Garamond" w:hAnsi="Garamond"/>
        </w:rPr>
        <w:t>-së</w:t>
      </w:r>
      <w:r w:rsidRPr="00830F4C">
        <w:rPr>
          <w:rFonts w:ascii="Garamond" w:hAnsi="Garamond"/>
        </w:rPr>
        <w:t xml:space="preserve"> dhe detajimi i tyre në vite, ka filluar me </w:t>
      </w:r>
      <w:r w:rsidR="00D22EA5" w:rsidRPr="00830F4C">
        <w:rPr>
          <w:rFonts w:ascii="Garamond" w:hAnsi="Garamond"/>
        </w:rPr>
        <w:t>“</w:t>
      </w:r>
      <w:r w:rsidRPr="00830F4C">
        <w:rPr>
          <w:rFonts w:ascii="Garamond" w:hAnsi="Garamond"/>
        </w:rPr>
        <w:t>Paketën Fiskale 2022</w:t>
      </w:r>
      <w:r w:rsidR="00D22EA5" w:rsidRPr="00830F4C">
        <w:rPr>
          <w:rFonts w:ascii="Garamond" w:hAnsi="Garamond"/>
        </w:rPr>
        <w:t>”</w:t>
      </w:r>
      <w:r w:rsidRPr="00830F4C">
        <w:rPr>
          <w:rFonts w:ascii="Garamond" w:hAnsi="Garamond"/>
        </w:rPr>
        <w:t xml:space="preserve">, dhe ka vazhduar me </w:t>
      </w:r>
      <w:r w:rsidR="00D22EA5" w:rsidRPr="00830F4C">
        <w:rPr>
          <w:rFonts w:ascii="Garamond" w:hAnsi="Garamond"/>
        </w:rPr>
        <w:t>“</w:t>
      </w:r>
      <w:r w:rsidRPr="00830F4C">
        <w:rPr>
          <w:rFonts w:ascii="Garamond" w:hAnsi="Garamond"/>
        </w:rPr>
        <w:t>Paketën Fiskale 2023</w:t>
      </w:r>
      <w:r w:rsidR="00D22EA5" w:rsidRPr="00830F4C">
        <w:rPr>
          <w:rFonts w:ascii="Garamond" w:hAnsi="Garamond"/>
        </w:rPr>
        <w:t>”</w:t>
      </w:r>
      <w:r w:rsidRPr="00830F4C">
        <w:rPr>
          <w:rFonts w:ascii="Garamond" w:hAnsi="Garamond"/>
        </w:rPr>
        <w:t xml:space="preserve"> dhe </w:t>
      </w:r>
      <w:r w:rsidR="00D22EA5" w:rsidRPr="00830F4C">
        <w:rPr>
          <w:rFonts w:ascii="Garamond" w:hAnsi="Garamond"/>
        </w:rPr>
        <w:t>“</w:t>
      </w:r>
      <w:r w:rsidRPr="00830F4C">
        <w:rPr>
          <w:rFonts w:ascii="Garamond" w:hAnsi="Garamond"/>
        </w:rPr>
        <w:t xml:space="preserve">Paketën </w:t>
      </w:r>
      <w:r w:rsidR="003C72BE" w:rsidRPr="00830F4C">
        <w:rPr>
          <w:rFonts w:ascii="Garamond" w:hAnsi="Garamond"/>
        </w:rPr>
        <w:t xml:space="preserve">Fiskale </w:t>
      </w:r>
      <w:r w:rsidRPr="00830F4C">
        <w:rPr>
          <w:rFonts w:ascii="Garamond" w:hAnsi="Garamond"/>
        </w:rPr>
        <w:t>2024</w:t>
      </w:r>
      <w:r w:rsidR="00D22EA5" w:rsidRPr="00830F4C">
        <w:rPr>
          <w:rFonts w:ascii="Garamond" w:hAnsi="Garamond"/>
        </w:rPr>
        <w:t>”</w:t>
      </w:r>
      <w:r w:rsidRPr="00830F4C">
        <w:rPr>
          <w:rFonts w:ascii="Garamond" w:hAnsi="Garamond"/>
        </w:rPr>
        <w:t xml:space="preserve">. Ndryshimet e ndërmarra në fushën e politikave fiskale kanë synuar zgjerimin e bazës së tatimit, reduktimin e incentivave fiskale të panevojshme apo që e kanë përmbushur qëllimin për të cilin ishin </w:t>
      </w:r>
      <w:r w:rsidR="003C72BE" w:rsidRPr="00830F4C">
        <w:rPr>
          <w:rFonts w:ascii="Garamond" w:hAnsi="Garamond"/>
        </w:rPr>
        <w:t>dizenjuar</w:t>
      </w:r>
      <w:r w:rsidRPr="00830F4C">
        <w:rPr>
          <w:rFonts w:ascii="Garamond" w:hAnsi="Garamond"/>
        </w:rPr>
        <w:t>, si dhe shfuqizimin e tarifave tatimore të reduktuara dhe preferenciale pa thelb ekonomik.</w:t>
      </w:r>
      <w:r w:rsidR="00FF624C" w:rsidRPr="00830F4C">
        <w:rPr>
          <w:rFonts w:ascii="Garamond" w:hAnsi="Garamond"/>
        </w:rPr>
        <w:t xml:space="preserve"> </w:t>
      </w:r>
      <w:r w:rsidRPr="00830F4C">
        <w:rPr>
          <w:rFonts w:ascii="Garamond" w:hAnsi="Garamond"/>
        </w:rPr>
        <w:t xml:space="preserve">Ndryshimet e realizuara përfshijnë legjislacionin e tatimeve/taksave indirekte (TVSH-në dhe akcizat), si dhe tatimet direkte mbi të ardhurat e entiteteve dhe personave fizike. Së fundi u miratua </w:t>
      </w:r>
      <w:r w:rsidR="003C72BE" w:rsidRPr="00830F4C">
        <w:rPr>
          <w:rFonts w:ascii="Garamond" w:hAnsi="Garamond"/>
        </w:rPr>
        <w:t>l</w:t>
      </w:r>
      <w:r w:rsidRPr="00830F4C">
        <w:rPr>
          <w:rFonts w:ascii="Garamond" w:hAnsi="Garamond"/>
        </w:rPr>
        <w:t xml:space="preserve">igji i ri </w:t>
      </w:r>
      <w:r w:rsidR="00D22EA5" w:rsidRPr="00830F4C">
        <w:rPr>
          <w:rFonts w:ascii="Garamond" w:hAnsi="Garamond"/>
        </w:rPr>
        <w:t>“</w:t>
      </w:r>
      <w:r w:rsidRPr="00830F4C">
        <w:rPr>
          <w:rFonts w:ascii="Garamond" w:hAnsi="Garamond"/>
        </w:rPr>
        <w:t>Për tatimin mbi të ardhurat</w:t>
      </w:r>
      <w:r w:rsidR="00D22EA5" w:rsidRPr="00830F4C">
        <w:rPr>
          <w:rFonts w:ascii="Garamond" w:hAnsi="Garamond"/>
        </w:rPr>
        <w:t>”</w:t>
      </w:r>
      <w:r w:rsidR="003C72BE" w:rsidRPr="00830F4C">
        <w:rPr>
          <w:rFonts w:ascii="Garamond" w:hAnsi="Garamond"/>
        </w:rPr>
        <w:t>,</w:t>
      </w:r>
      <w:r w:rsidRPr="00830F4C">
        <w:rPr>
          <w:rFonts w:ascii="Garamond" w:hAnsi="Garamond"/>
        </w:rPr>
        <w:t xml:space="preserve"> i cili zgjeron bazën e tatimit, shfuqizon tarifën e reduktuar tatimore për industrinë e IT</w:t>
      </w:r>
      <w:r w:rsidR="003C72BE" w:rsidRPr="00830F4C">
        <w:rPr>
          <w:rFonts w:ascii="Garamond" w:hAnsi="Garamond"/>
        </w:rPr>
        <w:t>-së</w:t>
      </w:r>
      <w:r w:rsidRPr="00830F4C">
        <w:rPr>
          <w:rFonts w:ascii="Garamond" w:hAnsi="Garamond"/>
        </w:rPr>
        <w:t xml:space="preserve"> dhe parashikon heqjen e </w:t>
      </w:r>
      <w:r w:rsidR="00FF624C" w:rsidRPr="00830F4C">
        <w:rPr>
          <w:rFonts w:ascii="Garamond" w:hAnsi="Garamond"/>
        </w:rPr>
        <w:t>lehtësive</w:t>
      </w:r>
      <w:r w:rsidRPr="00830F4C">
        <w:rPr>
          <w:rFonts w:ascii="Garamond" w:hAnsi="Garamond"/>
        </w:rPr>
        <w:t xml:space="preserve"> tatimore </w:t>
      </w:r>
      <w:r w:rsidR="00FF624C" w:rsidRPr="00830F4C">
        <w:rPr>
          <w:rFonts w:ascii="Garamond" w:hAnsi="Garamond"/>
        </w:rPr>
        <w:t>në</w:t>
      </w:r>
      <w:r w:rsidRPr="00830F4C">
        <w:rPr>
          <w:rFonts w:ascii="Garamond" w:hAnsi="Garamond"/>
        </w:rPr>
        <w:t xml:space="preserve"> vitin 2029.</w:t>
      </w:r>
      <w:r w:rsidR="00D22EA5" w:rsidRPr="00830F4C">
        <w:rPr>
          <w:rFonts w:ascii="Garamond" w:hAnsi="Garamond"/>
        </w:rPr>
        <w:t xml:space="preserve"> </w:t>
      </w:r>
      <w:r w:rsidRPr="00830F4C">
        <w:rPr>
          <w:rFonts w:ascii="Garamond" w:hAnsi="Garamond"/>
        </w:rPr>
        <w:t>Bazuar në këto reforma, viti 2023 shënoi vitin me rritjen më të lartë të të ardhurave totale të buxhetit të shtetit në përqindje të PBB</w:t>
      </w:r>
      <w:r w:rsidR="00FF624C" w:rsidRPr="00830F4C">
        <w:rPr>
          <w:rFonts w:ascii="Garamond" w:hAnsi="Garamond"/>
        </w:rPr>
        <w:t>-së</w:t>
      </w:r>
      <w:r w:rsidRPr="00830F4C">
        <w:rPr>
          <w:rFonts w:ascii="Garamond" w:hAnsi="Garamond"/>
        </w:rPr>
        <w:t>, me 27.8% si dhe të të ardhurave tatimore, me 25.9% të PBB</w:t>
      </w:r>
      <w:r w:rsidR="00236281" w:rsidRPr="00830F4C">
        <w:rPr>
          <w:rFonts w:ascii="Garamond" w:hAnsi="Garamond"/>
        </w:rPr>
        <w:t>-së</w:t>
      </w:r>
      <w:r w:rsidRPr="00830F4C">
        <w:rPr>
          <w:rFonts w:ascii="Garamond" w:hAnsi="Garamond"/>
        </w:rPr>
        <w:t xml:space="preserve">. </w:t>
      </w:r>
      <w:r w:rsidRPr="00830F4C">
        <w:rPr>
          <w:rFonts w:ascii="Garamond" w:hAnsi="Garamond"/>
          <w:bCs/>
        </w:rPr>
        <w:t>Efektet në të ardhurat e buxhetit të shtetit, të politikave fiskale të ndërmarra 2022, 2023 dhe 2024, jepen sipas tabelës 7 më poshtë.</w:t>
      </w:r>
    </w:p>
    <w:p w14:paraId="103A0D1B" w14:textId="0C563BC1" w:rsidR="00646D6F" w:rsidRPr="00830F4C" w:rsidRDefault="00646D6F" w:rsidP="00646D6F">
      <w:pPr>
        <w:ind w:firstLine="284"/>
        <w:jc w:val="both"/>
        <w:rPr>
          <w:rFonts w:ascii="Garamond" w:hAnsi="Garamond"/>
        </w:rPr>
      </w:pPr>
      <w:r w:rsidRPr="00830F4C">
        <w:rPr>
          <w:rFonts w:ascii="Garamond" w:hAnsi="Garamond"/>
        </w:rPr>
        <w:t>Ministria e Financave përballet me rritje të kërkesave për më shumë shpenzime buxhetore, për shkak të nevojave dhe kërkesave në rritje investimesh, rritje pagash, pensionesh dhe mbështetje sociale, kërkesa të cilat bëjnë të domosdoshme ndërmarrjen e reformave të thella</w:t>
      </w:r>
      <w:r w:rsidR="003C72BE" w:rsidRPr="00830F4C">
        <w:rPr>
          <w:rFonts w:ascii="Garamond" w:hAnsi="Garamond"/>
        </w:rPr>
        <w:t>,</w:t>
      </w:r>
      <w:r w:rsidRPr="00830F4C">
        <w:rPr>
          <w:rFonts w:ascii="Garamond" w:hAnsi="Garamond"/>
        </w:rPr>
        <w:t xml:space="preserve"> me qëllim rritjen dhe konsolidimin e të ardhurave të buxhetit, nëpërmjet të cilave do të bëhet i mundur financimi i shpenzimeve, mbajtja nën kontroll e defiçitit buxhetor dhe reduktimi gradual i borxhit publik.</w:t>
      </w:r>
    </w:p>
    <w:p w14:paraId="1E158CBE" w14:textId="78536777" w:rsidR="00646D6F" w:rsidRPr="00830F4C" w:rsidRDefault="00646D6F" w:rsidP="00646D6F">
      <w:pPr>
        <w:pStyle w:val="Caption"/>
        <w:keepNext/>
        <w:jc w:val="both"/>
        <w:rPr>
          <w:rFonts w:ascii="Garamond" w:hAnsi="Garamond"/>
          <w:color w:val="auto"/>
          <w:sz w:val="20"/>
        </w:rPr>
      </w:pPr>
      <w:bookmarkStart w:id="17" w:name="_Toc172642654"/>
      <w:bookmarkStart w:id="18" w:name="_Toc185235130"/>
      <w:r w:rsidRPr="00830F4C">
        <w:rPr>
          <w:rFonts w:ascii="Garamond" w:hAnsi="Garamond"/>
          <w:color w:val="auto"/>
          <w:sz w:val="20"/>
        </w:rPr>
        <w:t xml:space="preserve">Tabela </w:t>
      </w:r>
      <w:r w:rsidRPr="00830F4C">
        <w:rPr>
          <w:rFonts w:ascii="Garamond" w:hAnsi="Garamond"/>
          <w:color w:val="auto"/>
          <w:sz w:val="20"/>
        </w:rPr>
        <w:fldChar w:fldCharType="begin"/>
      </w:r>
      <w:r w:rsidRPr="00830F4C">
        <w:rPr>
          <w:rFonts w:ascii="Garamond" w:hAnsi="Garamond"/>
          <w:color w:val="auto"/>
          <w:sz w:val="20"/>
        </w:rPr>
        <w:instrText xml:space="preserve"> SEQ Tabela \* ARABIC </w:instrText>
      </w:r>
      <w:r w:rsidRPr="00830F4C">
        <w:rPr>
          <w:rFonts w:ascii="Garamond" w:hAnsi="Garamond"/>
          <w:color w:val="auto"/>
          <w:sz w:val="20"/>
        </w:rPr>
        <w:fldChar w:fldCharType="separate"/>
      </w:r>
      <w:r w:rsidRPr="00830F4C">
        <w:rPr>
          <w:rFonts w:ascii="Garamond" w:hAnsi="Garamond"/>
          <w:color w:val="auto"/>
          <w:sz w:val="20"/>
        </w:rPr>
        <w:t>5</w:t>
      </w:r>
      <w:r w:rsidRPr="00830F4C">
        <w:rPr>
          <w:rFonts w:ascii="Garamond" w:hAnsi="Garamond"/>
          <w:color w:val="auto"/>
          <w:sz w:val="20"/>
        </w:rPr>
        <w:fldChar w:fldCharType="end"/>
      </w:r>
      <w:r w:rsidRPr="00830F4C">
        <w:rPr>
          <w:rFonts w:ascii="Garamond" w:hAnsi="Garamond" w:cs="Times New Roman"/>
          <w:color w:val="auto"/>
          <w:sz w:val="20"/>
        </w:rPr>
        <w:t>: Efektet buxhetore të politikave tatimore për periudhën 2022</w:t>
      </w:r>
      <w:r w:rsidR="003C72BE" w:rsidRPr="00830F4C">
        <w:rPr>
          <w:rFonts w:ascii="Garamond" w:hAnsi="Garamond" w:cs="Times New Roman"/>
          <w:color w:val="auto"/>
          <w:sz w:val="20"/>
        </w:rPr>
        <w:t>–</w:t>
      </w:r>
      <w:r w:rsidRPr="00830F4C">
        <w:rPr>
          <w:rFonts w:ascii="Garamond" w:hAnsi="Garamond" w:cs="Times New Roman"/>
          <w:color w:val="auto"/>
          <w:sz w:val="20"/>
        </w:rPr>
        <w:t>2024</w:t>
      </w:r>
      <w:bookmarkEnd w:id="17"/>
      <w:bookmarkEnd w:id="18"/>
    </w:p>
    <w:bookmarkEnd w:id="14"/>
    <w:p w14:paraId="3BC516E3" w14:textId="77777777" w:rsidR="00DB49D5" w:rsidRPr="00830F4C" w:rsidRDefault="00646D6F" w:rsidP="00646D6F">
      <w:pPr>
        <w:ind w:firstLine="284"/>
        <w:jc w:val="center"/>
        <w:rPr>
          <w:rFonts w:ascii="Garamond" w:hAnsi="Garamond"/>
        </w:rPr>
      </w:pPr>
      <w:r w:rsidRPr="00830F4C">
        <w:rPr>
          <w:noProof/>
          <w:lang w:val="en-US"/>
        </w:rPr>
        <w:drawing>
          <wp:inline distT="0" distB="0" distL="0" distR="0" wp14:anchorId="165F487F" wp14:editId="7CE77054">
            <wp:extent cx="5731510" cy="5598596"/>
            <wp:effectExtent l="0" t="0" r="2540" b="2540"/>
            <wp:docPr id="174192079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7231" cy="5604184"/>
                    </a:xfrm>
                    <a:prstGeom prst="rect">
                      <a:avLst/>
                    </a:prstGeom>
                    <a:noFill/>
                    <a:ln>
                      <a:noFill/>
                    </a:ln>
                  </pic:spPr>
                </pic:pic>
              </a:graphicData>
            </a:graphic>
          </wp:inline>
        </w:drawing>
      </w:r>
    </w:p>
    <w:p w14:paraId="6A668D07" w14:textId="77777777" w:rsidR="00646D6F" w:rsidRPr="00830F4C" w:rsidRDefault="00646D6F" w:rsidP="00AF1255">
      <w:pPr>
        <w:rPr>
          <w:rFonts w:ascii="Garamond" w:hAnsi="Garamond"/>
        </w:rPr>
      </w:pPr>
    </w:p>
    <w:p w14:paraId="7B3D460B" w14:textId="7FC0BCB5" w:rsidR="00646D6F" w:rsidRPr="00830F4C" w:rsidRDefault="00646D6F" w:rsidP="00646D6F">
      <w:pPr>
        <w:pStyle w:val="Heading2"/>
        <w:spacing w:before="0"/>
        <w:ind w:firstLine="284"/>
        <w:rPr>
          <w:rFonts w:ascii="Garamond" w:hAnsi="Garamond"/>
          <w:b/>
          <w:bCs/>
          <w:color w:val="auto"/>
          <w:sz w:val="24"/>
          <w:szCs w:val="24"/>
        </w:rPr>
      </w:pPr>
      <w:r w:rsidRPr="00830F4C">
        <w:rPr>
          <w:rFonts w:ascii="Garamond" w:hAnsi="Garamond"/>
          <w:b/>
          <w:bCs/>
          <w:color w:val="auto"/>
          <w:sz w:val="24"/>
          <w:szCs w:val="24"/>
        </w:rPr>
        <w:t>II.4 Bashkëpunimi me FMN</w:t>
      </w:r>
      <w:r w:rsidR="003C72BE" w:rsidRPr="00830F4C">
        <w:rPr>
          <w:rFonts w:ascii="Garamond" w:hAnsi="Garamond"/>
          <w:b/>
          <w:color w:val="auto"/>
          <w:sz w:val="24"/>
          <w:szCs w:val="24"/>
        </w:rPr>
        <w:t>-në</w:t>
      </w:r>
      <w:r w:rsidRPr="00830F4C">
        <w:rPr>
          <w:rFonts w:ascii="Garamond" w:hAnsi="Garamond"/>
          <w:b/>
          <w:bCs/>
          <w:color w:val="auto"/>
          <w:sz w:val="24"/>
          <w:szCs w:val="24"/>
        </w:rPr>
        <w:t xml:space="preserve"> lidhur me Strategjinë Afatmesme të të Ardhurave, 2019</w:t>
      </w:r>
      <w:r w:rsidR="003C72BE" w:rsidRPr="00830F4C">
        <w:rPr>
          <w:rFonts w:ascii="Garamond" w:hAnsi="Garamond"/>
          <w:b/>
          <w:bCs/>
          <w:color w:val="auto"/>
          <w:sz w:val="24"/>
          <w:szCs w:val="24"/>
        </w:rPr>
        <w:t>–</w:t>
      </w:r>
      <w:r w:rsidRPr="00830F4C">
        <w:rPr>
          <w:rFonts w:ascii="Garamond" w:hAnsi="Garamond"/>
          <w:b/>
          <w:bCs/>
          <w:color w:val="auto"/>
          <w:sz w:val="24"/>
          <w:szCs w:val="24"/>
        </w:rPr>
        <w:t>2023</w:t>
      </w:r>
    </w:p>
    <w:p w14:paraId="78B5018A" w14:textId="2CD3CB00" w:rsidR="00646D6F" w:rsidRPr="00830F4C" w:rsidRDefault="00646D6F" w:rsidP="00646D6F">
      <w:pPr>
        <w:ind w:firstLine="284"/>
        <w:jc w:val="both"/>
        <w:rPr>
          <w:rFonts w:ascii="Garamond" w:hAnsi="Garamond"/>
        </w:rPr>
      </w:pPr>
      <w:r w:rsidRPr="00830F4C">
        <w:rPr>
          <w:rFonts w:ascii="Garamond" w:hAnsi="Garamond"/>
        </w:rPr>
        <w:t>Me qëllim adresimin e problematikës me të ardhurat e buxhetit dhe sigurimin në terma afatmesme të burimeve për financimin e shpenzimeve buxhetore, Ministria e Financave ka iniciuar hartimin e një strategjie afatmesme të të ardhurave të buxhetit. Për këtë qëllim, në vitin 2019, u ftua Departamenti i Çështjeve Fiskale në FMN</w:t>
      </w:r>
      <w:r w:rsidR="003C72BE" w:rsidRPr="00830F4C">
        <w:rPr>
          <w:rFonts w:ascii="Garamond" w:hAnsi="Garamond"/>
        </w:rPr>
        <w:t>-në</w:t>
      </w:r>
      <w:r w:rsidRPr="00830F4C">
        <w:rPr>
          <w:rFonts w:ascii="Garamond" w:hAnsi="Garamond"/>
        </w:rPr>
        <w:t xml:space="preserve"> për të dhënë ekspertizën e kualifikuar në drejtim të rishikimit të politikës fiskale dhe përmirësimeve në administrimin tatimor dhe doganor. Stafi i Ministrisë së Financave, administratës tatimore dhe asaj doganore, së bashku me ekspertët e FMN-së analizuan politikat fiskale aktuale, problematikat e shfaqura në administrimin tatimor dhe atë doganor, mbi bazën e të cilave u dhanë rekomandimet përkatëse. Raportet dhe rekomandimet e asistencës teknike të FMN-së, kanë shërbyer si guidë për hartimin e draftit fillestar të Strategjisë Afatmesme të të Ardhurave.</w:t>
      </w:r>
    </w:p>
    <w:p w14:paraId="5308FA8D" w14:textId="239F3074" w:rsidR="00646D6F" w:rsidRPr="00830F4C" w:rsidRDefault="00646D6F" w:rsidP="00646D6F">
      <w:pPr>
        <w:ind w:firstLine="284"/>
        <w:jc w:val="both"/>
        <w:rPr>
          <w:rFonts w:ascii="Garamond" w:hAnsi="Garamond"/>
        </w:rPr>
      </w:pPr>
      <w:r w:rsidRPr="00830F4C">
        <w:rPr>
          <w:rFonts w:ascii="Garamond" w:hAnsi="Garamond"/>
        </w:rPr>
        <w:t xml:space="preserve">Duke marrë në konsideratë efektet dhe pasojat e shkaktuara në ekonomi dhe në financat publike të vendit nga tërmeti i 26 nëntorit 2019, nga pandemia globale e </w:t>
      </w:r>
      <w:r w:rsidR="003C72BE" w:rsidRPr="00830F4C">
        <w:rPr>
          <w:rFonts w:ascii="Garamond" w:hAnsi="Garamond"/>
        </w:rPr>
        <w:t>COVID</w:t>
      </w:r>
      <w:r w:rsidRPr="00830F4C">
        <w:rPr>
          <w:rFonts w:ascii="Garamond" w:hAnsi="Garamond"/>
        </w:rPr>
        <w:t>-19, dhe së fundi nga konflikti Rusi</w:t>
      </w:r>
      <w:r w:rsidR="003C72BE" w:rsidRPr="00830F4C">
        <w:rPr>
          <w:rFonts w:ascii="Garamond" w:hAnsi="Garamond"/>
        </w:rPr>
        <w:t>–</w:t>
      </w:r>
      <w:r w:rsidRPr="00830F4C">
        <w:rPr>
          <w:rFonts w:ascii="Garamond" w:hAnsi="Garamond"/>
        </w:rPr>
        <w:t xml:space="preserve">Ukrainë, Ministria e Financave rianalizoi dhe rishikoi objektivat dhe afatet e </w:t>
      </w:r>
      <w:r w:rsidR="003C72BE" w:rsidRPr="00830F4C">
        <w:rPr>
          <w:rFonts w:ascii="Garamond" w:hAnsi="Garamond"/>
        </w:rPr>
        <w:t>dizenjuara</w:t>
      </w:r>
      <w:r w:rsidRPr="00830F4C">
        <w:rPr>
          <w:rFonts w:ascii="Garamond" w:hAnsi="Garamond"/>
        </w:rPr>
        <w:t xml:space="preserve"> për ndryshimin e politikave dhe administrimit tatimor, me qëllim tejkalimin së pari të problematikës së efekteve negative që krijuan për ekonominë e vendit, për operatorët ekonomikë dhe financat publike këta faktorë të paparashikuar dhe këto ngjarje të jashtëzakonshme. Ri</w:t>
      </w:r>
      <w:r w:rsidR="003C72BE" w:rsidRPr="00830F4C">
        <w:rPr>
          <w:rFonts w:ascii="Garamond" w:hAnsi="Garamond"/>
        </w:rPr>
        <w:t>dizenj</w:t>
      </w:r>
      <w:r w:rsidRPr="00830F4C">
        <w:rPr>
          <w:rFonts w:ascii="Garamond" w:hAnsi="Garamond"/>
        </w:rPr>
        <w:t xml:space="preserve">imi i objektivave synoi kryesisht: </w:t>
      </w:r>
    </w:p>
    <w:p w14:paraId="1A80D0F6" w14:textId="4BCB6927" w:rsidR="00646D6F" w:rsidRPr="00830F4C" w:rsidRDefault="00646D6F" w:rsidP="00646D6F">
      <w:pPr>
        <w:pStyle w:val="ListParagraph"/>
        <w:spacing w:after="0" w:line="240" w:lineRule="auto"/>
        <w:ind w:left="0" w:firstLine="284"/>
        <w:jc w:val="both"/>
        <w:rPr>
          <w:rFonts w:ascii="Garamond" w:hAnsi="Garamond"/>
          <w:sz w:val="24"/>
          <w:szCs w:val="24"/>
        </w:rPr>
      </w:pPr>
      <w:r w:rsidRPr="00830F4C">
        <w:rPr>
          <w:rFonts w:ascii="Garamond" w:hAnsi="Garamond" w:cs="Wingdings"/>
          <w:sz w:val="24"/>
          <w:szCs w:val="24"/>
        </w:rPr>
        <w:t xml:space="preserve">- </w:t>
      </w:r>
      <w:r w:rsidRPr="00830F4C">
        <w:rPr>
          <w:rFonts w:ascii="Garamond" w:hAnsi="Garamond"/>
          <w:sz w:val="24"/>
          <w:szCs w:val="24"/>
        </w:rPr>
        <w:t>dhënien fillimisht të stimujve fiskal</w:t>
      </w:r>
      <w:r w:rsidR="003C72BE" w:rsidRPr="00830F4C">
        <w:rPr>
          <w:rFonts w:ascii="Garamond" w:hAnsi="Garamond"/>
          <w:sz w:val="24"/>
          <w:szCs w:val="24"/>
        </w:rPr>
        <w:t>ë,</w:t>
      </w:r>
      <w:r w:rsidRPr="00830F4C">
        <w:rPr>
          <w:rFonts w:ascii="Garamond" w:hAnsi="Garamond"/>
          <w:sz w:val="24"/>
          <w:szCs w:val="24"/>
        </w:rPr>
        <w:t xml:space="preserve"> me qëllim tejkalimin e situatës së vështirë ekonomike dhe financiare që pritej të kalonin bizneset, kryesisht ato të vogla dhe të mesme sidomos në vitin 2020;</w:t>
      </w:r>
    </w:p>
    <w:p w14:paraId="5ADD29C2" w14:textId="3C51BC6A" w:rsidR="00646D6F" w:rsidRPr="00830F4C" w:rsidRDefault="00646D6F" w:rsidP="00646D6F">
      <w:pPr>
        <w:pStyle w:val="ListParagraph"/>
        <w:spacing w:after="0" w:line="240" w:lineRule="auto"/>
        <w:ind w:left="0" w:firstLine="284"/>
        <w:jc w:val="both"/>
        <w:rPr>
          <w:rFonts w:ascii="Garamond" w:hAnsi="Garamond"/>
          <w:sz w:val="24"/>
          <w:szCs w:val="24"/>
        </w:rPr>
      </w:pPr>
      <w:r w:rsidRPr="00830F4C">
        <w:rPr>
          <w:rFonts w:ascii="Garamond" w:hAnsi="Garamond" w:cs="Wingdings"/>
          <w:sz w:val="24"/>
          <w:szCs w:val="24"/>
        </w:rPr>
        <w:t xml:space="preserve">- </w:t>
      </w:r>
      <w:r w:rsidRPr="00830F4C">
        <w:rPr>
          <w:rFonts w:ascii="Garamond" w:hAnsi="Garamond"/>
          <w:sz w:val="24"/>
          <w:szCs w:val="24"/>
        </w:rPr>
        <w:t xml:space="preserve">shtyrjen në kohë të zbatimit të masave të parashikuara në politikat fiskale, duke i dhënë mundësi ekonomisë së vendit dhe sipërmarrjes në vitet 2020 dhe 2021, që fillimisht të rikuperonin pasojat e tërmetit dhe pandemisë së </w:t>
      </w:r>
      <w:r w:rsidR="00D22EA5" w:rsidRPr="00830F4C">
        <w:rPr>
          <w:rFonts w:ascii="Garamond" w:hAnsi="Garamond"/>
          <w:sz w:val="24"/>
          <w:szCs w:val="24"/>
        </w:rPr>
        <w:t>COVID</w:t>
      </w:r>
      <w:r w:rsidRPr="00830F4C">
        <w:rPr>
          <w:rFonts w:ascii="Garamond" w:hAnsi="Garamond"/>
          <w:sz w:val="24"/>
          <w:szCs w:val="24"/>
        </w:rPr>
        <w:t>-19. Ri</w:t>
      </w:r>
      <w:r w:rsidR="003C72BE" w:rsidRPr="00830F4C">
        <w:rPr>
          <w:rFonts w:ascii="Garamond" w:hAnsi="Garamond"/>
          <w:sz w:val="24"/>
          <w:szCs w:val="24"/>
        </w:rPr>
        <w:t>dizenj</w:t>
      </w:r>
      <w:r w:rsidRPr="00830F4C">
        <w:rPr>
          <w:rFonts w:ascii="Garamond" w:hAnsi="Garamond"/>
          <w:sz w:val="24"/>
          <w:szCs w:val="24"/>
        </w:rPr>
        <w:t>imi i Strategjisë dhe shtyrja në kohë e aplikimit të masave fiskale u diskutua edhe me ekipin e Departamentit të Çështjeve Fiskale të FMN-së.</w:t>
      </w:r>
    </w:p>
    <w:p w14:paraId="7197E0C0" w14:textId="039307E1" w:rsidR="00646D6F" w:rsidRPr="00830F4C" w:rsidRDefault="00646D6F" w:rsidP="00646D6F">
      <w:pPr>
        <w:pStyle w:val="NoSpacing"/>
        <w:ind w:firstLine="284"/>
        <w:jc w:val="both"/>
        <w:rPr>
          <w:rFonts w:ascii="Garamond" w:hAnsi="Garamond"/>
          <w:sz w:val="24"/>
          <w:szCs w:val="24"/>
        </w:rPr>
      </w:pPr>
      <w:r w:rsidRPr="00830F4C">
        <w:rPr>
          <w:rFonts w:ascii="Garamond" w:hAnsi="Garamond"/>
          <w:sz w:val="24"/>
          <w:szCs w:val="24"/>
        </w:rPr>
        <w:t>Zbatimi i rekomandimeve të asistencës së FMN-së</w:t>
      </w:r>
      <w:r w:rsidR="003C72BE" w:rsidRPr="00830F4C">
        <w:rPr>
          <w:rFonts w:ascii="Garamond" w:hAnsi="Garamond"/>
          <w:sz w:val="24"/>
          <w:szCs w:val="24"/>
        </w:rPr>
        <w:t>,</w:t>
      </w:r>
      <w:r w:rsidRPr="00830F4C">
        <w:rPr>
          <w:rFonts w:ascii="Garamond" w:hAnsi="Garamond"/>
          <w:sz w:val="24"/>
          <w:szCs w:val="24"/>
        </w:rPr>
        <w:t xml:space="preserve"> në lidhje me rritjen e të ardhurave, ka filluar</w:t>
      </w:r>
      <w:r w:rsidR="00D22EA5" w:rsidRPr="00830F4C">
        <w:rPr>
          <w:rFonts w:ascii="Garamond" w:hAnsi="Garamond"/>
          <w:sz w:val="24"/>
          <w:szCs w:val="24"/>
        </w:rPr>
        <w:t xml:space="preserve"> </w:t>
      </w:r>
      <w:r w:rsidRPr="00830F4C">
        <w:rPr>
          <w:rFonts w:ascii="Garamond" w:hAnsi="Garamond"/>
          <w:sz w:val="24"/>
          <w:szCs w:val="24"/>
        </w:rPr>
        <w:t xml:space="preserve">në </w:t>
      </w:r>
      <w:r w:rsidR="003C72BE" w:rsidRPr="00830F4C">
        <w:rPr>
          <w:rFonts w:ascii="Garamond" w:hAnsi="Garamond"/>
          <w:sz w:val="24"/>
          <w:szCs w:val="24"/>
        </w:rPr>
        <w:t>j</w:t>
      </w:r>
      <w:r w:rsidRPr="00830F4C">
        <w:rPr>
          <w:rFonts w:ascii="Garamond" w:hAnsi="Garamond"/>
          <w:sz w:val="24"/>
          <w:szCs w:val="24"/>
        </w:rPr>
        <w:t>anar 2022, pas miratimit në dhjetor 2021</w:t>
      </w:r>
      <w:r w:rsidR="003C72BE" w:rsidRPr="00830F4C">
        <w:rPr>
          <w:rFonts w:ascii="Garamond" w:hAnsi="Garamond"/>
          <w:sz w:val="24"/>
          <w:szCs w:val="24"/>
        </w:rPr>
        <w:t>,</w:t>
      </w:r>
      <w:r w:rsidRPr="00830F4C">
        <w:rPr>
          <w:rFonts w:ascii="Garamond" w:hAnsi="Garamond"/>
          <w:sz w:val="24"/>
          <w:szCs w:val="24"/>
        </w:rPr>
        <w:t xml:space="preserve"> të </w:t>
      </w:r>
      <w:r w:rsidR="00D22EA5" w:rsidRPr="00830F4C">
        <w:rPr>
          <w:rFonts w:ascii="Garamond" w:hAnsi="Garamond"/>
          <w:sz w:val="24"/>
          <w:szCs w:val="24"/>
        </w:rPr>
        <w:t>“</w:t>
      </w:r>
      <w:r w:rsidRPr="00830F4C">
        <w:rPr>
          <w:rFonts w:ascii="Garamond" w:hAnsi="Garamond"/>
          <w:sz w:val="24"/>
          <w:szCs w:val="24"/>
        </w:rPr>
        <w:t>Paketës Fiskale 2022</w:t>
      </w:r>
      <w:r w:rsidR="00D22EA5" w:rsidRPr="00830F4C">
        <w:rPr>
          <w:rFonts w:ascii="Garamond" w:hAnsi="Garamond"/>
          <w:sz w:val="24"/>
          <w:szCs w:val="24"/>
        </w:rPr>
        <w:t>”</w:t>
      </w:r>
      <w:r w:rsidRPr="00830F4C">
        <w:rPr>
          <w:rFonts w:ascii="Garamond" w:hAnsi="Garamond"/>
          <w:sz w:val="24"/>
          <w:szCs w:val="24"/>
        </w:rPr>
        <w:t>, kryesisht me masat e rekomanduara nga FMN</w:t>
      </w:r>
      <w:r w:rsidR="003C72BE" w:rsidRPr="00830F4C">
        <w:rPr>
          <w:rFonts w:ascii="Garamond" w:hAnsi="Garamond"/>
          <w:sz w:val="24"/>
          <w:szCs w:val="24"/>
        </w:rPr>
        <w:t>-ja</w:t>
      </w:r>
      <w:r w:rsidRPr="00830F4C">
        <w:rPr>
          <w:rFonts w:ascii="Garamond" w:hAnsi="Garamond"/>
          <w:sz w:val="24"/>
          <w:szCs w:val="24"/>
        </w:rPr>
        <w:t xml:space="preserve"> në fushën e akcizës dhe tatimit mbi vlerën e shtuar. Kjo paketë përfshinte eliminimin e një sërë përjashtimesh nga</w:t>
      </w:r>
      <w:r w:rsidR="00DE65FB">
        <w:rPr>
          <w:rFonts w:ascii="Garamond" w:hAnsi="Garamond"/>
          <w:sz w:val="24"/>
          <w:szCs w:val="24"/>
        </w:rPr>
        <w:t xml:space="preserve"> TVSh</w:t>
      </w:r>
      <w:r w:rsidRPr="00830F4C">
        <w:rPr>
          <w:rFonts w:ascii="Garamond" w:hAnsi="Garamond"/>
          <w:sz w:val="24"/>
          <w:szCs w:val="24"/>
        </w:rPr>
        <w:t>-ja dhe akciza, rimbursimet dhe tarifat e reduktuara, si dhe rritjen e akcizës për një sërë produktesh si duhani, etj.</w:t>
      </w:r>
    </w:p>
    <w:p w14:paraId="6A960774" w14:textId="68D0F181" w:rsidR="00646D6F" w:rsidRPr="00830F4C" w:rsidRDefault="00646D6F" w:rsidP="00646D6F">
      <w:pPr>
        <w:pStyle w:val="NoSpacing"/>
        <w:ind w:firstLine="284"/>
        <w:jc w:val="both"/>
        <w:rPr>
          <w:rFonts w:ascii="Garamond" w:hAnsi="Garamond"/>
          <w:sz w:val="24"/>
          <w:szCs w:val="24"/>
        </w:rPr>
      </w:pPr>
      <w:r w:rsidRPr="00830F4C">
        <w:rPr>
          <w:rFonts w:ascii="Garamond" w:hAnsi="Garamond"/>
          <w:sz w:val="24"/>
          <w:szCs w:val="24"/>
        </w:rPr>
        <w:t xml:space="preserve">Në dhjetor 2022 u miratua </w:t>
      </w:r>
      <w:r w:rsidR="00D22EA5" w:rsidRPr="00830F4C">
        <w:rPr>
          <w:rFonts w:ascii="Garamond" w:hAnsi="Garamond"/>
          <w:sz w:val="24"/>
          <w:szCs w:val="24"/>
        </w:rPr>
        <w:t>“</w:t>
      </w:r>
      <w:r w:rsidRPr="00830F4C">
        <w:rPr>
          <w:rFonts w:ascii="Garamond" w:hAnsi="Garamond"/>
          <w:sz w:val="24"/>
          <w:szCs w:val="24"/>
        </w:rPr>
        <w:t>Paketa Fiskale 2023</w:t>
      </w:r>
      <w:r w:rsidR="00D22EA5" w:rsidRPr="00830F4C">
        <w:rPr>
          <w:rFonts w:ascii="Garamond" w:hAnsi="Garamond"/>
          <w:sz w:val="24"/>
          <w:szCs w:val="24"/>
        </w:rPr>
        <w:t>”</w:t>
      </w:r>
      <w:r w:rsidRPr="00830F4C">
        <w:rPr>
          <w:rFonts w:ascii="Garamond" w:hAnsi="Garamond"/>
          <w:sz w:val="24"/>
          <w:szCs w:val="24"/>
        </w:rPr>
        <w:t>, e cila përmban masa të mëtejshme të parashikuara në rekomandimet për hartimin e Strategjisë, ndërsa në 3</w:t>
      </w:r>
      <w:r w:rsidR="003C72BE" w:rsidRPr="00830F4C">
        <w:rPr>
          <w:rFonts w:ascii="Garamond" w:hAnsi="Garamond"/>
          <w:sz w:val="24"/>
          <w:szCs w:val="24"/>
        </w:rPr>
        <w:t>-</w:t>
      </w:r>
      <w:r w:rsidRPr="00830F4C">
        <w:rPr>
          <w:rFonts w:ascii="Garamond" w:hAnsi="Garamond"/>
          <w:sz w:val="24"/>
          <w:szCs w:val="24"/>
        </w:rPr>
        <w:t>mujorin e parë të 2023</w:t>
      </w:r>
      <w:r w:rsidR="003C72BE" w:rsidRPr="00830F4C">
        <w:rPr>
          <w:rFonts w:ascii="Garamond" w:hAnsi="Garamond"/>
          <w:sz w:val="24"/>
          <w:szCs w:val="24"/>
        </w:rPr>
        <w:t>-shit</w:t>
      </w:r>
      <w:r w:rsidRPr="00830F4C">
        <w:rPr>
          <w:rFonts w:ascii="Garamond" w:hAnsi="Garamond"/>
          <w:sz w:val="24"/>
          <w:szCs w:val="24"/>
        </w:rPr>
        <w:t xml:space="preserve"> u diskutua dhe u miratua në Parlament ligji i ri </w:t>
      </w:r>
      <w:r w:rsidR="00D22EA5" w:rsidRPr="00830F4C">
        <w:rPr>
          <w:rFonts w:ascii="Garamond" w:hAnsi="Garamond"/>
          <w:sz w:val="24"/>
          <w:szCs w:val="24"/>
        </w:rPr>
        <w:t>“</w:t>
      </w:r>
      <w:r w:rsidRPr="00830F4C">
        <w:rPr>
          <w:rFonts w:ascii="Garamond" w:hAnsi="Garamond"/>
          <w:sz w:val="24"/>
          <w:szCs w:val="24"/>
        </w:rPr>
        <w:t>Për tatimin mbi të ardhurat</w:t>
      </w:r>
      <w:r w:rsidR="00D22EA5" w:rsidRPr="00830F4C">
        <w:rPr>
          <w:rFonts w:ascii="Garamond" w:hAnsi="Garamond"/>
          <w:sz w:val="24"/>
          <w:szCs w:val="24"/>
        </w:rPr>
        <w:t>”</w:t>
      </w:r>
      <w:r w:rsidRPr="00830F4C">
        <w:rPr>
          <w:rFonts w:ascii="Garamond" w:hAnsi="Garamond"/>
          <w:sz w:val="24"/>
          <w:szCs w:val="24"/>
        </w:rPr>
        <w:t>, i cili përmban një seri të masave të kësaj strategjie në fushën e taksave direkte, duke përfshirë normën minimale tatimore për 15%, trajtimin tatimor të personave fizikë</w:t>
      </w:r>
      <w:r w:rsidR="00D22EA5" w:rsidRPr="00830F4C">
        <w:rPr>
          <w:rFonts w:ascii="Garamond" w:hAnsi="Garamond"/>
          <w:sz w:val="24"/>
          <w:szCs w:val="24"/>
        </w:rPr>
        <w:t xml:space="preserve"> </w:t>
      </w:r>
      <w:r w:rsidRPr="00830F4C">
        <w:rPr>
          <w:rFonts w:ascii="Garamond" w:hAnsi="Garamond"/>
          <w:sz w:val="24"/>
          <w:szCs w:val="24"/>
        </w:rPr>
        <w:t>me norma progresive 15% dhe 23 % pas vitit</w:t>
      </w:r>
      <w:r w:rsidR="00D22EA5" w:rsidRPr="00830F4C">
        <w:rPr>
          <w:rFonts w:ascii="Garamond" w:hAnsi="Garamond"/>
          <w:sz w:val="24"/>
          <w:szCs w:val="24"/>
        </w:rPr>
        <w:t xml:space="preserve"> </w:t>
      </w:r>
      <w:r w:rsidRPr="00830F4C">
        <w:rPr>
          <w:rFonts w:ascii="Garamond" w:hAnsi="Garamond"/>
          <w:sz w:val="24"/>
          <w:szCs w:val="24"/>
        </w:rPr>
        <w:t>2029, si dhe përfundimi i një sërë stimujsh</w:t>
      </w:r>
      <w:r w:rsidR="003C72BE" w:rsidRPr="00830F4C">
        <w:rPr>
          <w:rFonts w:ascii="Garamond" w:hAnsi="Garamond"/>
          <w:sz w:val="24"/>
          <w:szCs w:val="24"/>
        </w:rPr>
        <w:t>,</w:t>
      </w:r>
      <w:r w:rsidRPr="00830F4C">
        <w:rPr>
          <w:rFonts w:ascii="Garamond" w:hAnsi="Garamond"/>
          <w:sz w:val="24"/>
          <w:szCs w:val="24"/>
        </w:rPr>
        <w:t xml:space="preserve"> si ato të kompanive që operojnë në fushën e teknologjisë së informacionit. </w:t>
      </w:r>
    </w:p>
    <w:p w14:paraId="18A8E7F3" w14:textId="39AC2AC2" w:rsidR="00646D6F" w:rsidRPr="00830F4C" w:rsidRDefault="00646D6F" w:rsidP="00646D6F">
      <w:pPr>
        <w:pStyle w:val="NoSpacing"/>
        <w:ind w:firstLine="284"/>
        <w:jc w:val="both"/>
        <w:rPr>
          <w:rFonts w:ascii="Garamond" w:hAnsi="Garamond"/>
          <w:sz w:val="24"/>
          <w:szCs w:val="24"/>
        </w:rPr>
      </w:pPr>
      <w:r w:rsidRPr="00830F4C">
        <w:rPr>
          <w:rFonts w:ascii="Garamond" w:hAnsi="Garamond"/>
          <w:sz w:val="24"/>
          <w:szCs w:val="24"/>
        </w:rPr>
        <w:t>Si rezultat i masave ligjore dhe administrative të ndërmarra gjatë viteve 2022 dhe 2023 (si në politikën tatimore ashtu edhe në administrimin tatimor dhe doganor), të ardhurat tatimore në vitin 2023 janë rritur me +0,7 % të PBB-së krahasuar me vitin bazë 2019 (nga 25,2 % në 2019 në 25,9 % në fund të vitit 2023), ndërsa duke përfshirë masat e reformës të vitit 2024, deri në fund të 2024</w:t>
      </w:r>
      <w:r w:rsidR="003C72BE" w:rsidRPr="00830F4C">
        <w:rPr>
          <w:rFonts w:ascii="Garamond" w:hAnsi="Garamond"/>
          <w:sz w:val="24"/>
          <w:szCs w:val="24"/>
        </w:rPr>
        <w:t>-s</w:t>
      </w:r>
      <w:r w:rsidRPr="00830F4C">
        <w:rPr>
          <w:rFonts w:ascii="Garamond" w:hAnsi="Garamond"/>
          <w:sz w:val="24"/>
          <w:szCs w:val="24"/>
        </w:rPr>
        <w:t xml:space="preserve"> si rezultat i masave të strategjisë të ardhurat tatimore rriten me +1.5 % të PBB-së (60 % e objektivit final). </w:t>
      </w:r>
    </w:p>
    <w:p w14:paraId="22D723F4" w14:textId="73D6BD7C" w:rsidR="00646D6F" w:rsidRPr="00830F4C" w:rsidRDefault="00646D6F" w:rsidP="00646D6F">
      <w:pPr>
        <w:pStyle w:val="NoSpacing"/>
        <w:ind w:firstLine="284"/>
        <w:jc w:val="both"/>
        <w:rPr>
          <w:rFonts w:ascii="Garamond" w:hAnsi="Garamond"/>
          <w:sz w:val="24"/>
          <w:szCs w:val="24"/>
        </w:rPr>
      </w:pPr>
      <w:r w:rsidRPr="00830F4C">
        <w:rPr>
          <w:rFonts w:ascii="Garamond" w:hAnsi="Garamond"/>
          <w:sz w:val="24"/>
          <w:szCs w:val="24"/>
        </w:rPr>
        <w:t>Sipas vlerësimeve të FMN-së, Shqipëria ka miratuar dhe zbatuar më shumë se 90% të masave të politikës tatimore të propozuara nga asistenca teknike e FMN-së, lidhur me tatimet indirekte dhe ato direkte. Zbatimi i masave të parashikuara në fushën e politikave tatimore do të vazhdojë edhe gjatë viteve të ardhshme, duke rishikuar çështjet e</w:t>
      </w:r>
      <w:r w:rsidR="00DE65FB">
        <w:rPr>
          <w:rFonts w:ascii="Garamond" w:hAnsi="Garamond"/>
          <w:sz w:val="24"/>
          <w:szCs w:val="24"/>
        </w:rPr>
        <w:t xml:space="preserve"> TVSh</w:t>
      </w:r>
      <w:r w:rsidRPr="00830F4C">
        <w:rPr>
          <w:rFonts w:ascii="Garamond" w:hAnsi="Garamond"/>
          <w:sz w:val="24"/>
          <w:szCs w:val="24"/>
        </w:rPr>
        <w:t>-së për të qenë në përputhje me Direktivën e BE-së, taksat mbi pasuritë e paluajtshme, taksën e karbonit, si dhe burimet e tjera potenciale të të hyrave të buxhetit.</w:t>
      </w:r>
    </w:p>
    <w:p w14:paraId="328B16D7" w14:textId="2718F9B6" w:rsidR="00646D6F" w:rsidRPr="00830F4C" w:rsidRDefault="00646D6F" w:rsidP="00646D6F">
      <w:pPr>
        <w:pStyle w:val="NoSpacing"/>
        <w:ind w:firstLine="284"/>
        <w:jc w:val="both"/>
        <w:rPr>
          <w:rFonts w:ascii="Garamond" w:hAnsi="Garamond"/>
          <w:sz w:val="24"/>
          <w:szCs w:val="24"/>
        </w:rPr>
      </w:pPr>
      <w:r w:rsidRPr="00830F4C">
        <w:rPr>
          <w:rFonts w:ascii="Garamond" w:hAnsi="Garamond"/>
          <w:sz w:val="24"/>
          <w:szCs w:val="24"/>
        </w:rPr>
        <w:t>Zbatimi i masave të rekomanduara nga Fondi Monetar Ndërkombëtar dhe të përfshira në draft</w:t>
      </w:r>
      <w:r w:rsidR="003C72BE" w:rsidRPr="00830F4C">
        <w:rPr>
          <w:rFonts w:ascii="Garamond" w:hAnsi="Garamond"/>
          <w:sz w:val="24"/>
          <w:szCs w:val="24"/>
        </w:rPr>
        <w:t>s</w:t>
      </w:r>
      <w:r w:rsidRPr="00830F4C">
        <w:rPr>
          <w:rFonts w:ascii="Garamond" w:hAnsi="Garamond"/>
          <w:sz w:val="24"/>
          <w:szCs w:val="24"/>
        </w:rPr>
        <w:t>trategji</w:t>
      </w:r>
      <w:r w:rsidR="003C72BE" w:rsidRPr="00830F4C">
        <w:rPr>
          <w:rFonts w:ascii="Garamond" w:hAnsi="Garamond"/>
          <w:sz w:val="24"/>
          <w:szCs w:val="24"/>
        </w:rPr>
        <w:t>,</w:t>
      </w:r>
      <w:r w:rsidRPr="00830F4C">
        <w:rPr>
          <w:rFonts w:ascii="Garamond" w:hAnsi="Garamond"/>
          <w:sz w:val="24"/>
          <w:szCs w:val="24"/>
        </w:rPr>
        <w:t xml:space="preserve"> në lidhje me administrimin tatimor dhe doganor, ka filluar menjëherë, ku arritja më e rëndësishme ishte zbatimi i sistemit të fiskalizimit, duke përfshirë faturën elektronike, përmirësimin e profileve të riskut, shkëmbimin automatik të informacionit, si dhe zhvillime të tjera në fushën e administrimit.</w:t>
      </w:r>
    </w:p>
    <w:p w14:paraId="1CF80FB9" w14:textId="31BFEF2D" w:rsidR="00646D6F" w:rsidRPr="00830F4C" w:rsidRDefault="00646D6F" w:rsidP="00646D6F">
      <w:pPr>
        <w:ind w:firstLine="284"/>
        <w:jc w:val="both"/>
        <w:rPr>
          <w:rFonts w:ascii="Garamond" w:hAnsi="Garamond"/>
        </w:rPr>
      </w:pPr>
      <w:r w:rsidRPr="00830F4C">
        <w:rPr>
          <w:rFonts w:ascii="Garamond" w:hAnsi="Garamond"/>
        </w:rPr>
        <w:t xml:space="preserve">Për </w:t>
      </w:r>
      <w:r w:rsidR="003C72BE" w:rsidRPr="00830F4C">
        <w:rPr>
          <w:rFonts w:ascii="Garamond" w:hAnsi="Garamond"/>
        </w:rPr>
        <w:t>dizenj</w:t>
      </w:r>
      <w:r w:rsidRPr="00830F4C">
        <w:rPr>
          <w:rFonts w:ascii="Garamond" w:hAnsi="Garamond"/>
        </w:rPr>
        <w:t>imin dhe zbatimin e masave që duhet të ndërmerren në kuadrin e kësaj strategjie, administratat tatimore dhe doganore kanë pasur suport permanent nga asistenca teknike e FMN-së. Departamenti i Administratës së të Ardhurave të FAD-it rekomandoi në vitin 2019 opsionet e masave që duhet të ndërmerrte administrata fiskale</w:t>
      </w:r>
      <w:r w:rsidR="00917723" w:rsidRPr="00830F4C">
        <w:rPr>
          <w:rFonts w:ascii="Garamond" w:hAnsi="Garamond"/>
        </w:rPr>
        <w:t>,</w:t>
      </w:r>
      <w:r w:rsidRPr="00830F4C">
        <w:rPr>
          <w:rFonts w:ascii="Garamond" w:hAnsi="Garamond"/>
        </w:rPr>
        <w:t xml:space="preserve"> në kuadër të zhvillimit dhe implementimit të Strategjisë. Në vitin 2023, asistenca teknike analizoi masat e marra dhe arritjet, duke dhënë rekomandimet përkatëse për ridizenjimin e strategjisë. Asistenca teknike e FMN-së ka ndihmuar DPT-në</w:t>
      </w:r>
      <w:r w:rsidR="00917723" w:rsidRPr="00830F4C">
        <w:rPr>
          <w:rFonts w:ascii="Garamond" w:hAnsi="Garamond"/>
        </w:rPr>
        <w:t>,</w:t>
      </w:r>
      <w:r w:rsidRPr="00830F4C">
        <w:rPr>
          <w:rFonts w:ascii="Garamond" w:hAnsi="Garamond"/>
        </w:rPr>
        <w:t xml:space="preserve"> në lidhje me dizenjimin e një strukture organike efektive dhe bashkëkohore, menaxhimin e riskut të përputhshmërisë, analitikën e të dhënave, menaxhimin e borxhit, fiskalizimin, individët me pasuri të lartë, auditin etj. </w:t>
      </w:r>
    </w:p>
    <w:p w14:paraId="737FE8F9" w14:textId="2B475323" w:rsidR="00646D6F" w:rsidRPr="00830F4C" w:rsidRDefault="00646D6F" w:rsidP="00646D6F">
      <w:pPr>
        <w:ind w:firstLine="284"/>
        <w:jc w:val="both"/>
        <w:rPr>
          <w:rFonts w:ascii="Garamond" w:hAnsi="Garamond"/>
        </w:rPr>
      </w:pPr>
      <w:r w:rsidRPr="00830F4C">
        <w:rPr>
          <w:rFonts w:ascii="Garamond" w:hAnsi="Garamond"/>
        </w:rPr>
        <w:t>Administrata doganore është asistuar</w:t>
      </w:r>
      <w:r w:rsidR="00917723" w:rsidRPr="00830F4C">
        <w:rPr>
          <w:rFonts w:ascii="Garamond" w:hAnsi="Garamond"/>
        </w:rPr>
        <w:t>,</w:t>
      </w:r>
      <w:r w:rsidRPr="00830F4C">
        <w:rPr>
          <w:rFonts w:ascii="Garamond" w:hAnsi="Garamond"/>
        </w:rPr>
        <w:t xml:space="preserve"> në lidhje me masat që duhet të ndërmerren për forcimin</w:t>
      </w:r>
      <w:r w:rsidR="00D22EA5" w:rsidRPr="00830F4C">
        <w:rPr>
          <w:rFonts w:ascii="Garamond" w:hAnsi="Garamond"/>
        </w:rPr>
        <w:t xml:space="preserve"> </w:t>
      </w:r>
      <w:r w:rsidRPr="00830F4C">
        <w:rPr>
          <w:rFonts w:ascii="Garamond" w:hAnsi="Garamond"/>
        </w:rPr>
        <w:t xml:space="preserve">e kontrollit të akcizës. </w:t>
      </w:r>
    </w:p>
    <w:p w14:paraId="0D197E37" w14:textId="2D8F5EA9" w:rsidR="00646D6F" w:rsidRPr="00830F4C" w:rsidRDefault="00646D6F" w:rsidP="00646D6F">
      <w:pPr>
        <w:ind w:firstLine="284"/>
        <w:jc w:val="both"/>
        <w:rPr>
          <w:rFonts w:ascii="Garamond" w:hAnsi="Garamond"/>
        </w:rPr>
      </w:pPr>
      <w:r w:rsidRPr="00830F4C">
        <w:rPr>
          <w:rFonts w:ascii="Garamond" w:hAnsi="Garamond"/>
        </w:rPr>
        <w:t>Fiskalizimi është zbatuar plotësisht dhe janë bërë hapa të rëndësishëm për të reduktuar punën e paregjistruar. Masa të tjera</w:t>
      </w:r>
      <w:r w:rsidR="00917723" w:rsidRPr="00830F4C">
        <w:rPr>
          <w:rFonts w:ascii="Garamond" w:hAnsi="Garamond"/>
        </w:rPr>
        <w:t>,</w:t>
      </w:r>
      <w:r w:rsidRPr="00830F4C">
        <w:rPr>
          <w:rFonts w:ascii="Garamond" w:hAnsi="Garamond"/>
        </w:rPr>
        <w:t xml:space="preserve"> të tilla si</w:t>
      </w:r>
      <w:r w:rsidR="00917723" w:rsidRPr="00830F4C">
        <w:rPr>
          <w:rFonts w:ascii="Garamond" w:hAnsi="Garamond"/>
        </w:rPr>
        <w:t>:</w:t>
      </w:r>
      <w:r w:rsidRPr="00830F4C">
        <w:rPr>
          <w:rFonts w:ascii="Garamond" w:hAnsi="Garamond"/>
        </w:rPr>
        <w:t xml:space="preserve"> shkëmbimi automatik i informacionit, ngritja e bazës së të dhënave dhe forcimi i kapacitetit analitik të të dhënave, janë në fazë të hershme implementimi.</w:t>
      </w:r>
    </w:p>
    <w:p w14:paraId="260BAADF" w14:textId="763228E9" w:rsidR="00646D6F" w:rsidRPr="00830F4C" w:rsidRDefault="00646D6F" w:rsidP="00646D6F">
      <w:pPr>
        <w:ind w:firstLine="284"/>
        <w:jc w:val="both"/>
        <w:rPr>
          <w:rFonts w:ascii="Garamond" w:hAnsi="Garamond"/>
        </w:rPr>
      </w:pPr>
      <w:r w:rsidRPr="00830F4C">
        <w:rPr>
          <w:rFonts w:ascii="Garamond" w:hAnsi="Garamond"/>
        </w:rPr>
        <w:t xml:space="preserve">Në </w:t>
      </w:r>
      <w:r w:rsidR="00917723" w:rsidRPr="00830F4C">
        <w:rPr>
          <w:rFonts w:ascii="Garamond" w:hAnsi="Garamond"/>
        </w:rPr>
        <w:t xml:space="preserve">prill 2024, me urdhër të ministrit </w:t>
      </w:r>
      <w:r w:rsidRPr="00830F4C">
        <w:rPr>
          <w:rFonts w:ascii="Garamond" w:hAnsi="Garamond"/>
        </w:rPr>
        <w:t>të Financave, u ngrit Grupi Teknik i Punës, i cili në bashkëpunim me Fondin Monetar Ndërkombëtar ka punuar për ridizenjimin e Strategjisë për periudhën</w:t>
      </w:r>
      <w:r w:rsidR="00800B00" w:rsidRPr="00830F4C">
        <w:rPr>
          <w:rFonts w:ascii="Garamond" w:hAnsi="Garamond"/>
        </w:rPr>
        <w:t xml:space="preserve"> </w:t>
      </w:r>
      <w:r w:rsidR="00D22EA5" w:rsidRPr="00830F4C">
        <w:rPr>
          <w:rFonts w:ascii="Garamond" w:hAnsi="Garamond"/>
        </w:rPr>
        <w:t>2024–2027</w:t>
      </w:r>
      <w:r w:rsidRPr="00830F4C">
        <w:rPr>
          <w:rFonts w:ascii="Garamond" w:hAnsi="Garamond"/>
        </w:rPr>
        <w:t>, duke u bazuar te përditësimi dhe pasurimi me masa të reja, por me fokus mirëadministrimin tatimor dhe doganor. FMN</w:t>
      </w:r>
      <w:r w:rsidR="00917723" w:rsidRPr="00830F4C">
        <w:rPr>
          <w:rFonts w:ascii="Garamond" w:hAnsi="Garamond"/>
        </w:rPr>
        <w:t>-ja</w:t>
      </w:r>
      <w:r w:rsidRPr="00830F4C">
        <w:rPr>
          <w:rFonts w:ascii="Garamond" w:hAnsi="Garamond"/>
        </w:rPr>
        <w:t xml:space="preserve"> do të asistojë edhe për monitorimin e zbatimit të kësaj strategjie dhe vlerësimin e të gjitha përjashtimeve tatimore.</w:t>
      </w:r>
    </w:p>
    <w:p w14:paraId="28A6EAE7" w14:textId="0630EACC" w:rsidR="00646D6F" w:rsidRPr="00830F4C" w:rsidRDefault="00646D6F" w:rsidP="00646D6F">
      <w:pPr>
        <w:pStyle w:val="Heading1"/>
        <w:spacing w:before="0" w:line="240" w:lineRule="auto"/>
        <w:ind w:firstLine="284"/>
        <w:rPr>
          <w:rFonts w:ascii="Garamond" w:hAnsi="Garamond"/>
          <w:b/>
          <w:bCs/>
          <w:color w:val="auto"/>
          <w:sz w:val="24"/>
          <w:szCs w:val="24"/>
        </w:rPr>
      </w:pPr>
      <w:r w:rsidRPr="00830F4C">
        <w:rPr>
          <w:rFonts w:ascii="Garamond" w:hAnsi="Garamond"/>
          <w:b/>
          <w:bCs/>
          <w:color w:val="auto"/>
          <w:sz w:val="24"/>
          <w:szCs w:val="24"/>
        </w:rPr>
        <w:t xml:space="preserve">III. Vizioni, </w:t>
      </w:r>
      <w:r w:rsidR="004C5021" w:rsidRPr="00830F4C">
        <w:rPr>
          <w:rFonts w:ascii="Garamond" w:hAnsi="Garamond"/>
          <w:b/>
          <w:bCs/>
          <w:color w:val="auto"/>
          <w:sz w:val="24"/>
          <w:szCs w:val="24"/>
        </w:rPr>
        <w:t xml:space="preserve">qëllimet dhe objektivat </w:t>
      </w:r>
      <w:r w:rsidRPr="00830F4C">
        <w:rPr>
          <w:rFonts w:ascii="Garamond" w:hAnsi="Garamond"/>
          <w:b/>
          <w:bCs/>
          <w:color w:val="auto"/>
          <w:sz w:val="24"/>
          <w:szCs w:val="24"/>
        </w:rPr>
        <w:t>e Strategjisë Afatmesme të të Ardhurave</w:t>
      </w:r>
    </w:p>
    <w:p w14:paraId="268E7B1C" w14:textId="0F22AEA9" w:rsidR="00646D6F" w:rsidRPr="00830F4C" w:rsidRDefault="00646D6F" w:rsidP="00646D6F">
      <w:pPr>
        <w:ind w:firstLine="284"/>
        <w:jc w:val="both"/>
        <w:rPr>
          <w:rFonts w:ascii="Garamond" w:hAnsi="Garamond"/>
        </w:rPr>
      </w:pPr>
      <w:r w:rsidRPr="00830F4C">
        <w:rPr>
          <w:rFonts w:ascii="Garamond" w:hAnsi="Garamond"/>
        </w:rPr>
        <w:t xml:space="preserve">Për forcimin dhe rritjen e të ardhurave në raport me PBB-në, nevojitet hartimi i një Strategjie Afatmesme të të Ardhurave, e cila do të shërbejë si pika kyçe e orientimit të </w:t>
      </w:r>
      <w:r w:rsidR="00917723" w:rsidRPr="00830F4C">
        <w:rPr>
          <w:rFonts w:ascii="Garamond" w:hAnsi="Garamond"/>
        </w:rPr>
        <w:t>vendimmarrjes,</w:t>
      </w:r>
      <w:r w:rsidRPr="00830F4C">
        <w:rPr>
          <w:rFonts w:ascii="Garamond" w:hAnsi="Garamond"/>
        </w:rPr>
        <w:t xml:space="preserve"> në lidhje me të ardhurat publike. Kjo strategji përmbledh në mënyrë vizionare objektivin kryesor mbi rritjen e qëndrueshme të të ardhurave tatimore në raport me PBB-në, si dhe rrugën sesi do </w:t>
      </w:r>
      <w:r w:rsidR="00917723" w:rsidRPr="00830F4C">
        <w:rPr>
          <w:rFonts w:ascii="Garamond" w:hAnsi="Garamond"/>
        </w:rPr>
        <w:t xml:space="preserve">të </w:t>
      </w:r>
      <w:r w:rsidRPr="00830F4C">
        <w:rPr>
          <w:rFonts w:ascii="Garamond" w:hAnsi="Garamond"/>
        </w:rPr>
        <w:t>arrihet drejt këtij objektivi.</w:t>
      </w:r>
    </w:p>
    <w:p w14:paraId="431596D2" w14:textId="667D917D" w:rsidR="00646D6F" w:rsidRPr="00830F4C" w:rsidRDefault="00646D6F" w:rsidP="00646D6F">
      <w:pPr>
        <w:pStyle w:val="Heading2"/>
        <w:spacing w:before="0"/>
        <w:ind w:firstLine="284"/>
        <w:rPr>
          <w:rFonts w:ascii="Garamond" w:hAnsi="Garamond"/>
          <w:b/>
          <w:bCs/>
          <w:color w:val="auto"/>
          <w:sz w:val="24"/>
          <w:szCs w:val="24"/>
        </w:rPr>
      </w:pPr>
      <w:r w:rsidRPr="00830F4C">
        <w:rPr>
          <w:rFonts w:ascii="Garamond" w:hAnsi="Garamond"/>
          <w:b/>
          <w:bCs/>
          <w:color w:val="auto"/>
          <w:sz w:val="24"/>
          <w:szCs w:val="24"/>
        </w:rPr>
        <w:t>III.1</w:t>
      </w:r>
      <w:r w:rsidR="00D22EA5" w:rsidRPr="00830F4C">
        <w:rPr>
          <w:rFonts w:ascii="Garamond" w:hAnsi="Garamond"/>
          <w:b/>
          <w:bCs/>
          <w:color w:val="auto"/>
          <w:sz w:val="24"/>
          <w:szCs w:val="24"/>
        </w:rPr>
        <w:t xml:space="preserve"> </w:t>
      </w:r>
      <w:r w:rsidRPr="00830F4C">
        <w:rPr>
          <w:rFonts w:ascii="Garamond" w:hAnsi="Garamond"/>
          <w:b/>
          <w:bCs/>
          <w:color w:val="auto"/>
          <w:sz w:val="24"/>
          <w:szCs w:val="24"/>
        </w:rPr>
        <w:t xml:space="preserve">Vizioni dhe </w:t>
      </w:r>
      <w:r w:rsidR="004C5021" w:rsidRPr="00830F4C">
        <w:rPr>
          <w:rFonts w:ascii="Garamond" w:hAnsi="Garamond"/>
          <w:b/>
          <w:bCs/>
          <w:color w:val="auto"/>
          <w:sz w:val="24"/>
          <w:szCs w:val="24"/>
        </w:rPr>
        <w:t>q</w:t>
      </w:r>
      <w:r w:rsidRPr="00830F4C">
        <w:rPr>
          <w:rFonts w:ascii="Garamond" w:hAnsi="Garamond"/>
          <w:b/>
          <w:bCs/>
          <w:color w:val="auto"/>
          <w:sz w:val="24"/>
          <w:szCs w:val="24"/>
        </w:rPr>
        <w:t>ëllimet e SAA-së</w:t>
      </w:r>
    </w:p>
    <w:p w14:paraId="2E47D23A" w14:textId="07775129" w:rsidR="00646D6F" w:rsidRPr="00830F4C" w:rsidRDefault="00646D6F" w:rsidP="00646D6F">
      <w:pPr>
        <w:ind w:firstLine="284"/>
        <w:jc w:val="both"/>
        <w:rPr>
          <w:rFonts w:ascii="Garamond" w:hAnsi="Garamond"/>
        </w:rPr>
      </w:pPr>
      <w:r w:rsidRPr="00830F4C">
        <w:rPr>
          <w:rFonts w:ascii="Garamond" w:hAnsi="Garamond"/>
        </w:rPr>
        <w:t>SAA</w:t>
      </w:r>
      <w:r w:rsidR="00917723" w:rsidRPr="00830F4C">
        <w:rPr>
          <w:rFonts w:ascii="Garamond" w:hAnsi="Garamond"/>
        </w:rPr>
        <w:t>-ja</w:t>
      </w:r>
      <w:r w:rsidRPr="00830F4C">
        <w:rPr>
          <w:rFonts w:ascii="Garamond" w:hAnsi="Garamond"/>
        </w:rPr>
        <w:t xml:space="preserve"> mbështetet në vizionin se politikat fiskale të mirëdizenjuara luajnë rol të rëndësishëm në zhvillimin e qëndrueshëm të vendit. Kjo Strategji mbështetet</w:t>
      </w:r>
      <w:r w:rsidR="00917723" w:rsidRPr="00830F4C">
        <w:rPr>
          <w:rFonts w:ascii="Garamond" w:hAnsi="Garamond"/>
        </w:rPr>
        <w:t>,</w:t>
      </w:r>
      <w:r w:rsidRPr="00830F4C">
        <w:rPr>
          <w:rFonts w:ascii="Garamond" w:hAnsi="Garamond"/>
        </w:rPr>
        <w:t xml:space="preserve"> gjithashtu</w:t>
      </w:r>
      <w:r w:rsidR="00917723" w:rsidRPr="00830F4C">
        <w:rPr>
          <w:rFonts w:ascii="Garamond" w:hAnsi="Garamond"/>
        </w:rPr>
        <w:t>,</w:t>
      </w:r>
      <w:r w:rsidRPr="00830F4C">
        <w:rPr>
          <w:rFonts w:ascii="Garamond" w:hAnsi="Garamond"/>
        </w:rPr>
        <w:t xml:space="preserve"> në vizionin që ka Ministria e Financave për zhvillimin e një sistemi të të ardhurave buxhetore, efic</w:t>
      </w:r>
      <w:r w:rsidR="00917723" w:rsidRPr="00830F4C">
        <w:rPr>
          <w:rFonts w:ascii="Garamond" w:hAnsi="Garamond"/>
        </w:rPr>
        <w:t>i</w:t>
      </w:r>
      <w:r w:rsidRPr="00830F4C">
        <w:rPr>
          <w:rFonts w:ascii="Garamond" w:hAnsi="Garamond"/>
        </w:rPr>
        <w:t>ent, të thjeshtë, transparent, të qëndrueshëm, të aftë për të mbështetur ofrimin e shërbimeve të përmirësuara ndaj publikut dhe rritjen ekonomike, si dhe forcimin e stabilitetit të financave publike të vendit. Ky vizion synon të gjenerojë të ardhura të qëndrueshme për buxhetin, përmes një sistemi tatimor efektiv, të drejtë dhe neutral.</w:t>
      </w:r>
    </w:p>
    <w:p w14:paraId="1458D00B" w14:textId="07713C15" w:rsidR="00646D6F" w:rsidRPr="00830F4C" w:rsidRDefault="00646D6F" w:rsidP="00646D6F">
      <w:pPr>
        <w:ind w:firstLine="284"/>
        <w:jc w:val="both"/>
        <w:rPr>
          <w:rFonts w:ascii="Garamond" w:hAnsi="Garamond"/>
        </w:rPr>
      </w:pPr>
      <w:r w:rsidRPr="00830F4C">
        <w:rPr>
          <w:rFonts w:ascii="Garamond" w:hAnsi="Garamond"/>
        </w:rPr>
        <w:t>Qëllimi i SAA-së është mobilizimi i të ardhurave përmes politikave të qëndrueshme fiskale, dhe reformave administrative tatimore e doganore, duke thjeshtuar procedurat, kostot e pagimit të taksave, luftën ndaj shmangieve tatimore, me qëllim krijimin e hapësirave fiskale për investime dhe zhvillimi të qëndrueshëm, përfshirë shëndetësinë, arsimin, mbrojtjen sociale dhe infrastrukturën.</w:t>
      </w:r>
    </w:p>
    <w:p w14:paraId="2E31E8B9" w14:textId="01EBF551" w:rsidR="00646D6F" w:rsidRPr="00830F4C" w:rsidRDefault="00646D6F" w:rsidP="00646D6F">
      <w:pPr>
        <w:ind w:firstLine="284"/>
        <w:jc w:val="both"/>
        <w:rPr>
          <w:rFonts w:ascii="Garamond" w:hAnsi="Garamond"/>
        </w:rPr>
      </w:pPr>
      <w:r w:rsidRPr="00830F4C">
        <w:rPr>
          <w:rFonts w:ascii="Garamond" w:hAnsi="Garamond"/>
        </w:rPr>
        <w:t>SAA</w:t>
      </w:r>
      <w:r w:rsidR="00917723" w:rsidRPr="00830F4C">
        <w:rPr>
          <w:rFonts w:ascii="Garamond" w:hAnsi="Garamond"/>
        </w:rPr>
        <w:t>-ja</w:t>
      </w:r>
      <w:r w:rsidRPr="00830F4C">
        <w:rPr>
          <w:rFonts w:ascii="Garamond" w:hAnsi="Garamond"/>
        </w:rPr>
        <w:t xml:space="preserve"> është një udhërrëfyes i nivelit të lartë të vendimmarrjes për reformimin e sistemit fiskal për një periudhë afatmesme, të nevojshme për të ndihmuar në financimin e objektivave strategjikë të qeverisë. </w:t>
      </w:r>
    </w:p>
    <w:p w14:paraId="4BB9D9EC" w14:textId="604E6248" w:rsidR="00646D6F" w:rsidRPr="00830F4C" w:rsidRDefault="00646D6F" w:rsidP="00646D6F">
      <w:pPr>
        <w:pStyle w:val="Heading2"/>
        <w:spacing w:before="0"/>
        <w:ind w:firstLine="284"/>
        <w:rPr>
          <w:rFonts w:ascii="Garamond" w:hAnsi="Garamond"/>
          <w:b/>
          <w:bCs/>
          <w:color w:val="auto"/>
          <w:sz w:val="24"/>
          <w:szCs w:val="24"/>
        </w:rPr>
      </w:pPr>
      <w:r w:rsidRPr="00830F4C">
        <w:rPr>
          <w:rFonts w:ascii="Garamond" w:hAnsi="Garamond"/>
          <w:b/>
          <w:bCs/>
          <w:color w:val="auto"/>
          <w:sz w:val="24"/>
          <w:szCs w:val="24"/>
        </w:rPr>
        <w:t>III.2</w:t>
      </w:r>
      <w:r w:rsidR="00D22EA5" w:rsidRPr="00830F4C">
        <w:rPr>
          <w:rFonts w:ascii="Garamond" w:hAnsi="Garamond"/>
          <w:b/>
          <w:bCs/>
          <w:color w:val="auto"/>
          <w:sz w:val="24"/>
          <w:szCs w:val="24"/>
        </w:rPr>
        <w:t xml:space="preserve"> </w:t>
      </w:r>
      <w:r w:rsidRPr="00830F4C">
        <w:rPr>
          <w:rFonts w:ascii="Garamond" w:hAnsi="Garamond"/>
          <w:b/>
          <w:bCs/>
          <w:color w:val="auto"/>
          <w:sz w:val="24"/>
          <w:szCs w:val="24"/>
        </w:rPr>
        <w:t>Objektivat e SAA-së</w:t>
      </w:r>
    </w:p>
    <w:p w14:paraId="33EA0EF9" w14:textId="5EA09CBE" w:rsidR="00646D6F" w:rsidRPr="00830F4C" w:rsidRDefault="00646D6F" w:rsidP="00646D6F">
      <w:pPr>
        <w:ind w:firstLine="284"/>
        <w:jc w:val="both"/>
        <w:rPr>
          <w:rFonts w:ascii="Garamond" w:hAnsi="Garamond"/>
        </w:rPr>
      </w:pPr>
      <w:r w:rsidRPr="00830F4C">
        <w:rPr>
          <w:rFonts w:ascii="Garamond" w:hAnsi="Garamond"/>
        </w:rPr>
        <w:t xml:space="preserve">Objektivi i Strategjisë është rritja e të ardhurave tatimore me 64.85 </w:t>
      </w:r>
      <w:r w:rsidR="00D22EA5" w:rsidRPr="00830F4C">
        <w:rPr>
          <w:rFonts w:ascii="Garamond" w:hAnsi="Garamond"/>
        </w:rPr>
        <w:t xml:space="preserve">miliardë </w:t>
      </w:r>
      <w:r w:rsidRPr="00830F4C">
        <w:rPr>
          <w:rFonts w:ascii="Garamond" w:hAnsi="Garamond"/>
        </w:rPr>
        <w:t>lekë ose rreth 2.5% e PBB-së, për periudhën 2024</w:t>
      </w:r>
      <w:r w:rsidR="00D22EA5" w:rsidRPr="00830F4C">
        <w:rPr>
          <w:rFonts w:ascii="Garamond" w:hAnsi="Garamond"/>
        </w:rPr>
        <w:t>–</w:t>
      </w:r>
      <w:r w:rsidRPr="00830F4C">
        <w:rPr>
          <w:rFonts w:ascii="Garamond" w:hAnsi="Garamond"/>
        </w:rPr>
        <w:t>2027. Ky objektiv do të arrihet kryesisht në adresimin e problemeve të mirëadministrimit tatimor dhe doganor, përmirësimi i të cilave pritet të sjellë të ardhura shtesë.</w:t>
      </w:r>
    </w:p>
    <w:p w14:paraId="354D30F0" w14:textId="1FE7B0A1" w:rsidR="00646D6F" w:rsidRPr="00830F4C" w:rsidRDefault="00646D6F" w:rsidP="00646D6F">
      <w:pPr>
        <w:ind w:firstLine="284"/>
        <w:jc w:val="both"/>
        <w:rPr>
          <w:rFonts w:ascii="Garamond" w:hAnsi="Garamond"/>
        </w:rPr>
      </w:pPr>
      <w:r w:rsidRPr="00830F4C">
        <w:rPr>
          <w:rFonts w:ascii="Garamond" w:hAnsi="Garamond"/>
        </w:rPr>
        <w:t>Synohet që të rriten të ardhurat tatimore në përqindje të PBB</w:t>
      </w:r>
      <w:r w:rsidR="00236281" w:rsidRPr="00830F4C">
        <w:rPr>
          <w:rFonts w:ascii="Garamond" w:hAnsi="Garamond"/>
        </w:rPr>
        <w:t>-së</w:t>
      </w:r>
      <w:r w:rsidRPr="00830F4C">
        <w:rPr>
          <w:rFonts w:ascii="Garamond" w:hAnsi="Garamond"/>
        </w:rPr>
        <w:t xml:space="preserve"> me 1,8% në 2027</w:t>
      </w:r>
      <w:r w:rsidR="00917723" w:rsidRPr="00830F4C">
        <w:rPr>
          <w:rFonts w:ascii="Garamond" w:hAnsi="Garamond"/>
        </w:rPr>
        <w:t>-n</w:t>
      </w:r>
      <w:r w:rsidRPr="00830F4C">
        <w:rPr>
          <w:rFonts w:ascii="Garamond" w:hAnsi="Garamond"/>
        </w:rPr>
        <w:t xml:space="preserve"> në krahasim me 2023</w:t>
      </w:r>
      <w:r w:rsidR="00917723" w:rsidRPr="00830F4C">
        <w:rPr>
          <w:rFonts w:ascii="Garamond" w:hAnsi="Garamond"/>
        </w:rPr>
        <w:t>-shin</w:t>
      </w:r>
      <w:r w:rsidRPr="00830F4C">
        <w:rPr>
          <w:rFonts w:ascii="Garamond" w:hAnsi="Garamond"/>
        </w:rPr>
        <w:t>.</w:t>
      </w:r>
      <w:r w:rsidR="00D22EA5" w:rsidRPr="00830F4C">
        <w:rPr>
          <w:rFonts w:ascii="Garamond" w:hAnsi="Garamond"/>
        </w:rPr>
        <w:t xml:space="preserve"> </w:t>
      </w:r>
      <w:r w:rsidRPr="00830F4C">
        <w:rPr>
          <w:rFonts w:ascii="Garamond" w:hAnsi="Garamond"/>
        </w:rPr>
        <w:t>Për më tepër, në terma afatgjatë synojmë që totali i të ardhurave të buxhetit të arrijë në 30</w:t>
      </w:r>
      <w:r w:rsidR="00D22EA5" w:rsidRPr="00830F4C">
        <w:rPr>
          <w:rFonts w:ascii="Garamond" w:hAnsi="Garamond"/>
        </w:rPr>
        <w:t>–</w:t>
      </w:r>
      <w:r w:rsidRPr="00830F4C">
        <w:rPr>
          <w:rFonts w:ascii="Garamond" w:hAnsi="Garamond"/>
        </w:rPr>
        <w:t>31% të PBB-së në vitin 2030, ku pjesa më e rëndësishme është rritja e të ardhurave nga tatimet dhe taksat</w:t>
      </w:r>
      <w:r w:rsidR="00917723" w:rsidRPr="00830F4C">
        <w:rPr>
          <w:rFonts w:ascii="Garamond" w:hAnsi="Garamond"/>
        </w:rPr>
        <w:t>,</w:t>
      </w:r>
      <w:r w:rsidRPr="00830F4C">
        <w:rPr>
          <w:rFonts w:ascii="Garamond" w:hAnsi="Garamond"/>
        </w:rPr>
        <w:t xml:space="preserve"> si dhe përmirësimet</w:t>
      </w:r>
      <w:r w:rsidR="00D22EA5" w:rsidRPr="00830F4C">
        <w:rPr>
          <w:rFonts w:ascii="Garamond" w:hAnsi="Garamond"/>
        </w:rPr>
        <w:t xml:space="preserve"> </w:t>
      </w:r>
      <w:r w:rsidRPr="00830F4C">
        <w:rPr>
          <w:rFonts w:ascii="Garamond" w:hAnsi="Garamond"/>
        </w:rPr>
        <w:t>e mirëadministrimit tatimorë</w:t>
      </w:r>
      <w:r w:rsidR="00236281" w:rsidRPr="00830F4C">
        <w:rPr>
          <w:rFonts w:ascii="Garamond" w:hAnsi="Garamond"/>
        </w:rPr>
        <w:t>.</w:t>
      </w:r>
    </w:p>
    <w:p w14:paraId="6D5B2FCA" w14:textId="77777777" w:rsidR="00646D6F" w:rsidRPr="00830F4C" w:rsidRDefault="00646D6F" w:rsidP="00646D6F">
      <w:pPr>
        <w:ind w:firstLine="284"/>
        <w:jc w:val="both"/>
        <w:rPr>
          <w:rFonts w:ascii="Garamond" w:hAnsi="Garamond"/>
        </w:rPr>
      </w:pPr>
      <w:r w:rsidRPr="00830F4C">
        <w:rPr>
          <w:rFonts w:ascii="Garamond" w:hAnsi="Garamond"/>
        </w:rPr>
        <w:t>Prioritetet mbi të cilat bazohet kjo Strategji, me synim realizimin e vizionit, qëllimit dhe objektivave janë:</w:t>
      </w:r>
    </w:p>
    <w:p w14:paraId="5E4558F5" w14:textId="77777777" w:rsidR="00646D6F" w:rsidRPr="00830F4C" w:rsidRDefault="00646D6F" w:rsidP="00646D6F">
      <w:pPr>
        <w:pStyle w:val="ParagraphNumbering"/>
        <w:spacing w:after="0" w:line="240" w:lineRule="auto"/>
        <w:ind w:firstLine="284"/>
        <w:jc w:val="both"/>
        <w:rPr>
          <w:rFonts w:ascii="Garamond" w:hAnsi="Garamond"/>
          <w:color w:val="auto"/>
          <w:sz w:val="24"/>
          <w:lang w:val="sq-AL"/>
        </w:rPr>
      </w:pPr>
      <w:r w:rsidRPr="00830F4C">
        <w:rPr>
          <w:rFonts w:ascii="Garamond" w:hAnsi="Garamond"/>
          <w:color w:val="auto"/>
          <w:sz w:val="24"/>
          <w:lang w:val="sq-AL"/>
        </w:rPr>
        <w:t>1</w:t>
      </w:r>
      <w:r w:rsidR="00723888" w:rsidRPr="00830F4C">
        <w:rPr>
          <w:rFonts w:ascii="Garamond" w:hAnsi="Garamond"/>
          <w:color w:val="auto"/>
          <w:sz w:val="24"/>
          <w:lang w:val="sq-AL"/>
        </w:rPr>
        <w:t>.</w:t>
      </w:r>
      <w:r w:rsidRPr="00830F4C">
        <w:rPr>
          <w:rFonts w:ascii="Garamond" w:hAnsi="Garamond"/>
          <w:color w:val="auto"/>
          <w:sz w:val="24"/>
          <w:lang w:val="sq-AL"/>
        </w:rPr>
        <w:t xml:space="preserve"> Përcaktim i qartë i objektivave sasiorë dhe synimeve që duhet të arrihen nëpërmjet SAA-së;</w:t>
      </w:r>
    </w:p>
    <w:p w14:paraId="2572A385" w14:textId="7B9EDF92" w:rsidR="00646D6F" w:rsidRPr="00830F4C" w:rsidRDefault="00646D6F" w:rsidP="00646D6F">
      <w:pPr>
        <w:pStyle w:val="ListBullet"/>
        <w:spacing w:after="0" w:line="240" w:lineRule="auto"/>
        <w:ind w:left="0" w:firstLine="284"/>
        <w:jc w:val="both"/>
        <w:rPr>
          <w:rFonts w:ascii="Garamond" w:hAnsi="Garamond"/>
          <w:color w:val="auto"/>
          <w:sz w:val="24"/>
          <w:lang w:val="sq-AL"/>
        </w:rPr>
      </w:pPr>
      <w:r w:rsidRPr="00830F4C">
        <w:rPr>
          <w:rFonts w:ascii="Garamond" w:hAnsi="Garamond"/>
          <w:color w:val="auto"/>
          <w:sz w:val="24"/>
          <w:lang w:val="sq-AL"/>
        </w:rPr>
        <w:t>2</w:t>
      </w:r>
      <w:r w:rsidR="00723888" w:rsidRPr="00830F4C">
        <w:rPr>
          <w:rFonts w:ascii="Garamond" w:hAnsi="Garamond"/>
          <w:color w:val="auto"/>
          <w:sz w:val="24"/>
          <w:lang w:val="sq-AL"/>
        </w:rPr>
        <w:t>.</w:t>
      </w:r>
      <w:r w:rsidRPr="00830F4C">
        <w:rPr>
          <w:rFonts w:ascii="Garamond" w:hAnsi="Garamond"/>
          <w:color w:val="auto"/>
          <w:sz w:val="24"/>
          <w:lang w:val="sq-AL"/>
        </w:rPr>
        <w:t xml:space="preserve"> Përcaktimi i linjës së politikave tatimore për një periudhë </w:t>
      </w:r>
      <w:r w:rsidR="00236281" w:rsidRPr="00830F4C">
        <w:rPr>
          <w:rFonts w:ascii="Garamond" w:hAnsi="Garamond"/>
          <w:color w:val="auto"/>
          <w:sz w:val="24"/>
          <w:lang w:val="sq-AL"/>
        </w:rPr>
        <w:t>katërvjeçare</w:t>
      </w:r>
      <w:r w:rsidR="00917723" w:rsidRPr="00830F4C">
        <w:rPr>
          <w:rFonts w:ascii="Garamond" w:hAnsi="Garamond"/>
          <w:color w:val="auto"/>
          <w:sz w:val="24"/>
          <w:lang w:val="sq-AL"/>
        </w:rPr>
        <w:t>,</w:t>
      </w:r>
      <w:r w:rsidRPr="00830F4C">
        <w:rPr>
          <w:rFonts w:ascii="Garamond" w:hAnsi="Garamond"/>
          <w:color w:val="auto"/>
          <w:sz w:val="24"/>
          <w:lang w:val="sq-AL"/>
        </w:rPr>
        <w:t xml:space="preserve"> me synim analizën e efekteve dhe rishikim tërësor </w:t>
      </w:r>
      <w:r w:rsidR="00917723" w:rsidRPr="00830F4C">
        <w:rPr>
          <w:rFonts w:ascii="Garamond" w:hAnsi="Garamond"/>
          <w:color w:val="auto"/>
          <w:sz w:val="24"/>
          <w:lang w:val="sq-AL"/>
        </w:rPr>
        <w:t>i</w:t>
      </w:r>
      <w:r w:rsidRPr="00830F4C">
        <w:rPr>
          <w:rFonts w:ascii="Garamond" w:hAnsi="Garamond"/>
          <w:color w:val="auto"/>
          <w:sz w:val="24"/>
          <w:lang w:val="sq-AL"/>
        </w:rPr>
        <w:t xml:space="preserve"> politikave tatimore, duke synuar neutralitetin e tatimit dhe zgjerimin e bazës së tatimpaguesve; </w:t>
      </w:r>
    </w:p>
    <w:p w14:paraId="39F7EA1A" w14:textId="77777777" w:rsidR="00646D6F" w:rsidRPr="00830F4C" w:rsidRDefault="00646D6F" w:rsidP="00646D6F">
      <w:pPr>
        <w:pStyle w:val="ListBullet"/>
        <w:spacing w:after="0" w:line="240" w:lineRule="auto"/>
        <w:ind w:left="0" w:firstLine="284"/>
        <w:jc w:val="both"/>
        <w:rPr>
          <w:rFonts w:ascii="Garamond" w:hAnsi="Garamond"/>
          <w:color w:val="auto"/>
          <w:sz w:val="24"/>
          <w:lang w:val="sq-AL"/>
        </w:rPr>
      </w:pPr>
      <w:r w:rsidRPr="00830F4C">
        <w:rPr>
          <w:rFonts w:ascii="Garamond" w:hAnsi="Garamond"/>
          <w:color w:val="auto"/>
          <w:sz w:val="24"/>
          <w:lang w:val="sq-AL"/>
        </w:rPr>
        <w:t>3</w:t>
      </w:r>
      <w:r w:rsidR="00723888" w:rsidRPr="00830F4C">
        <w:rPr>
          <w:rFonts w:ascii="Garamond" w:hAnsi="Garamond"/>
          <w:color w:val="auto"/>
          <w:sz w:val="24"/>
          <w:lang w:val="sq-AL"/>
        </w:rPr>
        <w:t>.</w:t>
      </w:r>
      <w:r w:rsidRPr="00830F4C">
        <w:rPr>
          <w:rFonts w:ascii="Garamond" w:hAnsi="Garamond"/>
          <w:color w:val="auto"/>
          <w:sz w:val="24"/>
          <w:lang w:val="sq-AL"/>
        </w:rPr>
        <w:t xml:space="preserve"> Krijimi i sistemeve dhe rritja e kapaciteteve të administratave fiskale për minimizimin e shmangieve tatimore dhe rritja e ndërgjegjësimit të pagimit të tatimeve.</w:t>
      </w:r>
    </w:p>
    <w:p w14:paraId="76DCB78A" w14:textId="18F3D602" w:rsidR="00646D6F" w:rsidRPr="00830F4C" w:rsidRDefault="00646D6F" w:rsidP="00646D6F">
      <w:pPr>
        <w:pStyle w:val="ListBullet"/>
        <w:spacing w:after="0" w:line="240" w:lineRule="auto"/>
        <w:ind w:left="0" w:firstLine="284"/>
        <w:jc w:val="both"/>
        <w:rPr>
          <w:rFonts w:ascii="Garamond" w:hAnsi="Garamond"/>
          <w:color w:val="auto"/>
          <w:sz w:val="24"/>
          <w:lang w:val="sq-AL"/>
        </w:rPr>
      </w:pPr>
      <w:r w:rsidRPr="00830F4C">
        <w:rPr>
          <w:rFonts w:ascii="Garamond" w:hAnsi="Garamond"/>
          <w:color w:val="auto"/>
          <w:sz w:val="24"/>
          <w:lang w:val="sq-AL"/>
        </w:rPr>
        <w:t>4</w:t>
      </w:r>
      <w:r w:rsidR="00917723" w:rsidRPr="00830F4C">
        <w:rPr>
          <w:rFonts w:ascii="Garamond" w:hAnsi="Garamond"/>
          <w:color w:val="auto"/>
          <w:sz w:val="24"/>
          <w:lang w:val="sq-AL"/>
        </w:rPr>
        <w:t>.</w:t>
      </w:r>
      <w:r w:rsidR="00D22EA5" w:rsidRPr="00830F4C">
        <w:rPr>
          <w:rFonts w:ascii="Garamond" w:hAnsi="Garamond"/>
          <w:color w:val="auto"/>
          <w:sz w:val="24"/>
          <w:lang w:val="sq-AL"/>
        </w:rPr>
        <w:t xml:space="preserve"> </w:t>
      </w:r>
      <w:r w:rsidRPr="00830F4C">
        <w:rPr>
          <w:rFonts w:ascii="Garamond" w:hAnsi="Garamond"/>
          <w:color w:val="auto"/>
          <w:sz w:val="24"/>
          <w:lang w:val="sq-AL"/>
        </w:rPr>
        <w:t>Zbatimi i plotë i kushteve të përcaktuara në Planin e Rritjes së A</w:t>
      </w:r>
      <w:r w:rsidR="00236281" w:rsidRPr="00830F4C">
        <w:rPr>
          <w:rFonts w:ascii="Garamond" w:hAnsi="Garamond"/>
          <w:color w:val="auto"/>
          <w:sz w:val="24"/>
          <w:lang w:val="sq-AL"/>
        </w:rPr>
        <w:t>gj</w:t>
      </w:r>
      <w:r w:rsidRPr="00830F4C">
        <w:rPr>
          <w:rFonts w:ascii="Garamond" w:hAnsi="Garamond"/>
          <w:color w:val="auto"/>
          <w:sz w:val="24"/>
          <w:lang w:val="sq-AL"/>
        </w:rPr>
        <w:t>endës së Reformave të KE-së, brenda afateve dhe treguesve të përcaktuar aty.</w:t>
      </w:r>
    </w:p>
    <w:p w14:paraId="0C7A3002" w14:textId="5D65C8D7" w:rsidR="00646D6F" w:rsidRPr="00830F4C" w:rsidRDefault="00646D6F" w:rsidP="00646D6F">
      <w:pPr>
        <w:pStyle w:val="ListBullet"/>
        <w:spacing w:after="0" w:line="240" w:lineRule="auto"/>
        <w:ind w:left="0" w:firstLine="284"/>
        <w:jc w:val="both"/>
        <w:rPr>
          <w:rFonts w:ascii="Garamond" w:hAnsi="Garamond"/>
          <w:color w:val="auto"/>
          <w:sz w:val="24"/>
          <w:lang w:val="sq-AL"/>
        </w:rPr>
      </w:pPr>
      <w:r w:rsidRPr="00830F4C">
        <w:rPr>
          <w:rFonts w:ascii="Garamond" w:hAnsi="Garamond"/>
          <w:color w:val="auto"/>
          <w:sz w:val="24"/>
          <w:lang w:val="sq-AL"/>
        </w:rPr>
        <w:t xml:space="preserve">SAA-ja bashkon këto katër prioritete për të trajtuar boshllëqet e identifikuara përmes </w:t>
      </w:r>
      <w:r w:rsidR="00236281" w:rsidRPr="00830F4C">
        <w:rPr>
          <w:rFonts w:ascii="Garamond" w:hAnsi="Garamond"/>
          <w:color w:val="auto"/>
          <w:sz w:val="24"/>
          <w:lang w:val="sq-AL"/>
        </w:rPr>
        <w:t>procesit</w:t>
      </w:r>
      <w:r w:rsidRPr="00830F4C">
        <w:rPr>
          <w:rFonts w:ascii="Garamond" w:hAnsi="Garamond"/>
          <w:color w:val="auto"/>
          <w:sz w:val="24"/>
          <w:lang w:val="sq-AL"/>
        </w:rPr>
        <w:t xml:space="preserve"> të analizës së hendekut tatimor. Pikërisht qasja kryesore në këtë strategji, bazohet në ndërthurjen e këtyre katër prioriteteve së bashku me tre shtyllat dhe komponentëve përbërës të tyre</w:t>
      </w:r>
      <w:r w:rsidR="00917723" w:rsidRPr="00830F4C">
        <w:rPr>
          <w:rFonts w:ascii="Garamond" w:hAnsi="Garamond"/>
          <w:color w:val="auto"/>
          <w:sz w:val="24"/>
          <w:lang w:val="sq-AL"/>
        </w:rPr>
        <w:t>,</w:t>
      </w:r>
      <w:r w:rsidRPr="00830F4C">
        <w:rPr>
          <w:rFonts w:ascii="Garamond" w:hAnsi="Garamond"/>
          <w:color w:val="auto"/>
          <w:sz w:val="24"/>
          <w:lang w:val="sq-AL"/>
        </w:rPr>
        <w:t xml:space="preserve"> të lartpërmendur. </w:t>
      </w:r>
    </w:p>
    <w:p w14:paraId="46906E67" w14:textId="205A722A" w:rsidR="00646D6F" w:rsidRPr="00830F4C" w:rsidRDefault="00646D6F" w:rsidP="00646D6F">
      <w:pPr>
        <w:pStyle w:val="Heading2"/>
        <w:spacing w:before="0"/>
        <w:ind w:firstLine="284"/>
        <w:rPr>
          <w:rFonts w:ascii="Garamond" w:hAnsi="Garamond"/>
          <w:b/>
          <w:bCs/>
          <w:color w:val="auto"/>
          <w:sz w:val="24"/>
          <w:szCs w:val="24"/>
        </w:rPr>
      </w:pPr>
      <w:r w:rsidRPr="00830F4C">
        <w:rPr>
          <w:rFonts w:ascii="Garamond" w:hAnsi="Garamond"/>
          <w:b/>
          <w:bCs/>
          <w:color w:val="auto"/>
          <w:sz w:val="24"/>
          <w:szCs w:val="24"/>
        </w:rPr>
        <w:t xml:space="preserve">III.3 Përmbledhja e Strategjisë së të </w:t>
      </w:r>
      <w:r w:rsidR="00F23DA2" w:rsidRPr="00830F4C">
        <w:rPr>
          <w:rFonts w:ascii="Garamond" w:hAnsi="Garamond"/>
          <w:b/>
          <w:bCs/>
          <w:color w:val="auto"/>
          <w:sz w:val="24"/>
          <w:szCs w:val="24"/>
        </w:rPr>
        <w:t xml:space="preserve">Ardhurave </w:t>
      </w:r>
    </w:p>
    <w:p w14:paraId="2DE84FAB" w14:textId="7E07C4EE" w:rsidR="00646D6F" w:rsidRPr="00830F4C" w:rsidRDefault="00646D6F" w:rsidP="00646D6F">
      <w:pPr>
        <w:ind w:firstLine="284"/>
        <w:jc w:val="both"/>
        <w:rPr>
          <w:rFonts w:ascii="Garamond" w:hAnsi="Garamond"/>
        </w:rPr>
      </w:pPr>
      <w:r w:rsidRPr="00830F4C">
        <w:rPr>
          <w:rFonts w:ascii="Garamond" w:hAnsi="Garamond"/>
        </w:rPr>
        <w:t>SAA-ja trajton shtyllat e politikave fiskale, ato administrative dhe ligjore të sistemit tatimor dhe doganor në një mënyrë tërësore dhe interaktive. Ajo ofron bashkërendim thelbësor midis këtyre tre element</w:t>
      </w:r>
      <w:r w:rsidR="008C0C0F" w:rsidRPr="00830F4C">
        <w:rPr>
          <w:rFonts w:ascii="Garamond" w:hAnsi="Garamond"/>
        </w:rPr>
        <w:t>e</w:t>
      </w:r>
      <w:r w:rsidRPr="00830F4C">
        <w:rPr>
          <w:rFonts w:ascii="Garamond" w:hAnsi="Garamond"/>
        </w:rPr>
        <w:t>ve të sistemit fiskal, politikat tatimore, legjislacioni fiskal dhe mirëadministrimi</w:t>
      </w:r>
      <w:r w:rsidR="00F23DA2" w:rsidRPr="00830F4C">
        <w:rPr>
          <w:rFonts w:ascii="Garamond" w:hAnsi="Garamond"/>
        </w:rPr>
        <w:t>.</w:t>
      </w:r>
    </w:p>
    <w:p w14:paraId="44451C53" w14:textId="0B1AE39D" w:rsidR="00646D6F" w:rsidRPr="00830F4C" w:rsidRDefault="00646D6F" w:rsidP="00646D6F">
      <w:pPr>
        <w:ind w:firstLine="284"/>
        <w:jc w:val="both"/>
        <w:rPr>
          <w:rFonts w:ascii="Garamond" w:hAnsi="Garamond"/>
        </w:rPr>
      </w:pPr>
      <w:r w:rsidRPr="00830F4C">
        <w:rPr>
          <w:rFonts w:ascii="Garamond" w:hAnsi="Garamond"/>
        </w:rPr>
        <w:t>Kjo qasje është thelbësore për menaxhimin e sfidave të mbledhjes së të ardhurave, nëpërmjet krijimit të një sistemi tatimor të qëndrueshëm, që përputhet me mjedisin e ndryshueshëm ekonomik dhe praktikat në zhvillim të biznesit.</w:t>
      </w:r>
    </w:p>
    <w:p w14:paraId="2A5C87C0" w14:textId="45510F01" w:rsidR="00646D6F" w:rsidRPr="00830F4C" w:rsidRDefault="00646D6F" w:rsidP="00646D6F">
      <w:pPr>
        <w:ind w:firstLine="284"/>
        <w:jc w:val="both"/>
        <w:rPr>
          <w:rFonts w:ascii="Garamond" w:hAnsi="Garamond"/>
        </w:rPr>
      </w:pPr>
      <w:r w:rsidRPr="00830F4C">
        <w:rPr>
          <w:rFonts w:ascii="Garamond" w:hAnsi="Garamond"/>
        </w:rPr>
        <w:t>Ndërvarësia dhe lidhjet midis element</w:t>
      </w:r>
      <w:r w:rsidR="008C0C0F" w:rsidRPr="00830F4C">
        <w:rPr>
          <w:rFonts w:ascii="Garamond" w:hAnsi="Garamond"/>
        </w:rPr>
        <w:t>e</w:t>
      </w:r>
      <w:r w:rsidRPr="00830F4C">
        <w:rPr>
          <w:rFonts w:ascii="Garamond" w:hAnsi="Garamond"/>
        </w:rPr>
        <w:t>ve të ndryshëm të sistemit tatimor, krijojnë një mjedis biznesi, investimesh dhe pagese taksash, i cili përmban politika të qarta për të mbështetur arritjen e objektivave të qëndrueshme të zhvillimit, dhe që inkurajojnë investimet.</w:t>
      </w:r>
      <w:r w:rsidR="00F23DA2" w:rsidRPr="00830F4C">
        <w:rPr>
          <w:rFonts w:ascii="Garamond" w:hAnsi="Garamond"/>
        </w:rPr>
        <w:t xml:space="preserve"> </w:t>
      </w:r>
      <w:r w:rsidRPr="00830F4C">
        <w:rPr>
          <w:rFonts w:ascii="Garamond" w:hAnsi="Garamond"/>
        </w:rPr>
        <w:t>Tre drejtimet kryesore ku do të bazohet Strategjia Afatmesme e të Ardhurave (SAA 2024</w:t>
      </w:r>
      <w:r w:rsidR="00D22EA5" w:rsidRPr="00830F4C">
        <w:rPr>
          <w:rFonts w:ascii="Garamond" w:hAnsi="Garamond"/>
        </w:rPr>
        <w:t>–</w:t>
      </w:r>
      <w:r w:rsidRPr="00830F4C">
        <w:rPr>
          <w:rFonts w:ascii="Garamond" w:hAnsi="Garamond"/>
        </w:rPr>
        <w:t>2027) janë:</w:t>
      </w:r>
    </w:p>
    <w:p w14:paraId="3AD0A44C" w14:textId="51B97C31" w:rsidR="00646D6F" w:rsidRPr="00830F4C" w:rsidRDefault="00646D6F" w:rsidP="00646D6F">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a)</w:t>
      </w:r>
      <w:r w:rsidR="00D22EA5" w:rsidRPr="00830F4C">
        <w:rPr>
          <w:rFonts w:ascii="Garamond" w:hAnsi="Garamond"/>
          <w:sz w:val="24"/>
          <w:szCs w:val="24"/>
        </w:rPr>
        <w:t xml:space="preserve"> </w:t>
      </w:r>
      <w:r w:rsidRPr="00830F4C">
        <w:rPr>
          <w:rFonts w:ascii="Garamond" w:hAnsi="Garamond"/>
          <w:sz w:val="24"/>
          <w:szCs w:val="24"/>
        </w:rPr>
        <w:t>Rishikimi dhe ridizenjimi i politikave tatimore nëpërmjet analizës së efekteve të politikave aktuale dhe korrigjimeve të nevojshme për periudhën afatmesme, bazuar në kushtet e përcaktuara në A</w:t>
      </w:r>
      <w:r w:rsidR="00D22EA5" w:rsidRPr="00830F4C">
        <w:rPr>
          <w:rFonts w:ascii="Garamond" w:hAnsi="Garamond"/>
          <w:sz w:val="24"/>
          <w:szCs w:val="24"/>
        </w:rPr>
        <w:t>gj</w:t>
      </w:r>
      <w:r w:rsidRPr="00830F4C">
        <w:rPr>
          <w:rFonts w:ascii="Garamond" w:hAnsi="Garamond"/>
          <w:sz w:val="24"/>
          <w:szCs w:val="24"/>
        </w:rPr>
        <w:t>endën e Reformës së Planit të Rritjes</w:t>
      </w:r>
      <w:r w:rsidR="00F23DA2" w:rsidRPr="00830F4C">
        <w:rPr>
          <w:rFonts w:ascii="Garamond" w:hAnsi="Garamond"/>
          <w:sz w:val="24"/>
          <w:szCs w:val="24"/>
        </w:rPr>
        <w:t>;</w:t>
      </w:r>
    </w:p>
    <w:p w14:paraId="713BBF63" w14:textId="406EB3F3" w:rsidR="00646D6F" w:rsidRPr="00830F4C" w:rsidRDefault="00646D6F" w:rsidP="00646D6F">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b)</w:t>
      </w:r>
      <w:r w:rsidR="00D22EA5" w:rsidRPr="00830F4C">
        <w:rPr>
          <w:rFonts w:ascii="Garamond" w:hAnsi="Garamond"/>
          <w:sz w:val="24"/>
          <w:szCs w:val="24"/>
        </w:rPr>
        <w:t xml:space="preserve"> </w:t>
      </w:r>
      <w:r w:rsidRPr="00830F4C">
        <w:rPr>
          <w:rFonts w:ascii="Garamond" w:hAnsi="Garamond"/>
          <w:sz w:val="24"/>
          <w:szCs w:val="24"/>
        </w:rPr>
        <w:t xml:space="preserve">Përmirësimi i </w:t>
      </w:r>
      <w:r w:rsidR="00D22EA5" w:rsidRPr="00830F4C">
        <w:rPr>
          <w:rFonts w:ascii="Garamond" w:hAnsi="Garamond"/>
          <w:sz w:val="24"/>
          <w:szCs w:val="24"/>
        </w:rPr>
        <w:t>procedurave</w:t>
      </w:r>
      <w:r w:rsidRPr="00830F4C">
        <w:rPr>
          <w:rFonts w:ascii="Garamond" w:hAnsi="Garamond"/>
          <w:sz w:val="24"/>
          <w:szCs w:val="24"/>
        </w:rPr>
        <w:t xml:space="preserve"> të administrimit tatimor dhe doganor</w:t>
      </w:r>
      <w:r w:rsidR="00F23DA2" w:rsidRPr="00830F4C">
        <w:rPr>
          <w:rFonts w:ascii="Garamond" w:hAnsi="Garamond"/>
          <w:sz w:val="24"/>
          <w:szCs w:val="24"/>
        </w:rPr>
        <w:t>,</w:t>
      </w:r>
      <w:r w:rsidRPr="00830F4C">
        <w:rPr>
          <w:rFonts w:ascii="Garamond" w:hAnsi="Garamond"/>
          <w:sz w:val="24"/>
          <w:szCs w:val="24"/>
        </w:rPr>
        <w:t xml:space="preserve"> me qëllim rritjen e efikasitetit të administratës fiskale nëpërmjet investimeve në teknologji, burime njerëzore dhe modernizim të </w:t>
      </w:r>
      <w:r w:rsidR="00D22EA5" w:rsidRPr="00830F4C">
        <w:rPr>
          <w:rFonts w:ascii="Garamond" w:hAnsi="Garamond"/>
          <w:sz w:val="24"/>
          <w:szCs w:val="24"/>
        </w:rPr>
        <w:t>procedurave</w:t>
      </w:r>
      <w:r w:rsidRPr="00830F4C">
        <w:rPr>
          <w:rFonts w:ascii="Garamond" w:hAnsi="Garamond"/>
          <w:sz w:val="24"/>
          <w:szCs w:val="24"/>
        </w:rPr>
        <w:t xml:space="preserve"> operacionale</w:t>
      </w:r>
      <w:r w:rsidR="00F23DA2" w:rsidRPr="00830F4C">
        <w:rPr>
          <w:rFonts w:ascii="Garamond" w:hAnsi="Garamond"/>
          <w:sz w:val="24"/>
          <w:szCs w:val="24"/>
        </w:rPr>
        <w:t>;</w:t>
      </w:r>
    </w:p>
    <w:p w14:paraId="1C2A399F" w14:textId="27ED28EC" w:rsidR="00646D6F" w:rsidRPr="00830F4C" w:rsidRDefault="00646D6F" w:rsidP="00646D6F">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c)</w:t>
      </w:r>
      <w:r w:rsidR="00D22EA5" w:rsidRPr="00830F4C">
        <w:rPr>
          <w:rFonts w:ascii="Garamond" w:hAnsi="Garamond"/>
          <w:sz w:val="24"/>
          <w:szCs w:val="24"/>
        </w:rPr>
        <w:t xml:space="preserve"> </w:t>
      </w:r>
      <w:r w:rsidRPr="00830F4C">
        <w:rPr>
          <w:rFonts w:ascii="Garamond" w:hAnsi="Garamond"/>
          <w:sz w:val="24"/>
          <w:szCs w:val="24"/>
        </w:rPr>
        <w:t xml:space="preserve">Zbatimi i kushteve sipas Planit të Rritjes </w:t>
      </w:r>
      <w:r w:rsidR="00F23DA2" w:rsidRPr="00830F4C">
        <w:rPr>
          <w:rFonts w:ascii="Garamond" w:hAnsi="Garamond"/>
          <w:sz w:val="24"/>
          <w:szCs w:val="24"/>
        </w:rPr>
        <w:t>s</w:t>
      </w:r>
      <w:r w:rsidRPr="00830F4C">
        <w:rPr>
          <w:rFonts w:ascii="Garamond" w:hAnsi="Garamond"/>
          <w:sz w:val="24"/>
          <w:szCs w:val="24"/>
        </w:rPr>
        <w:t>ë</w:t>
      </w:r>
      <w:r w:rsidR="00D22EA5" w:rsidRPr="00830F4C">
        <w:rPr>
          <w:rFonts w:ascii="Garamond" w:hAnsi="Garamond"/>
          <w:sz w:val="24"/>
          <w:szCs w:val="24"/>
        </w:rPr>
        <w:t xml:space="preserve"> </w:t>
      </w:r>
      <w:r w:rsidRPr="00830F4C">
        <w:rPr>
          <w:rFonts w:ascii="Garamond" w:hAnsi="Garamond"/>
          <w:sz w:val="24"/>
          <w:szCs w:val="24"/>
        </w:rPr>
        <w:t>A</w:t>
      </w:r>
      <w:r w:rsidR="00D22EA5" w:rsidRPr="00830F4C">
        <w:rPr>
          <w:rFonts w:ascii="Garamond" w:hAnsi="Garamond"/>
          <w:sz w:val="24"/>
          <w:szCs w:val="24"/>
        </w:rPr>
        <w:t>gj</w:t>
      </w:r>
      <w:r w:rsidRPr="00830F4C">
        <w:rPr>
          <w:rFonts w:ascii="Garamond" w:hAnsi="Garamond"/>
          <w:sz w:val="24"/>
          <w:szCs w:val="24"/>
        </w:rPr>
        <w:t>endës të Reformës së KE-së.</w:t>
      </w:r>
    </w:p>
    <w:p w14:paraId="1AF13798" w14:textId="6E0CA3A5" w:rsidR="00646D6F" w:rsidRPr="00830F4C" w:rsidRDefault="00646D6F" w:rsidP="00646D6F">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Sa më sipër, SAA</w:t>
      </w:r>
      <w:r w:rsidR="00F23DA2" w:rsidRPr="00830F4C">
        <w:rPr>
          <w:rFonts w:ascii="Garamond" w:hAnsi="Garamond"/>
          <w:sz w:val="24"/>
          <w:szCs w:val="24"/>
        </w:rPr>
        <w:t>-ja</w:t>
      </w:r>
      <w:r w:rsidRPr="00830F4C">
        <w:rPr>
          <w:rFonts w:ascii="Garamond" w:hAnsi="Garamond"/>
          <w:sz w:val="24"/>
          <w:szCs w:val="24"/>
        </w:rPr>
        <w:t xml:space="preserve"> synon të sjellë të ardhura shtesë në vlerën 64.8 miliardë lekë ose rreth 2.5% e PBB-së, dhe llogaritjet e detajuara janë në tabelën e mëposhtme.</w:t>
      </w:r>
    </w:p>
    <w:p w14:paraId="32EE89DA" w14:textId="77777777" w:rsidR="00646D6F" w:rsidRPr="00830F4C" w:rsidRDefault="00646D6F" w:rsidP="00723888">
      <w:pPr>
        <w:pStyle w:val="Caption"/>
        <w:spacing w:after="0"/>
        <w:ind w:firstLine="284"/>
        <w:rPr>
          <w:rFonts w:ascii="Garamond" w:hAnsi="Garamond"/>
          <w:color w:val="auto"/>
          <w:sz w:val="20"/>
        </w:rPr>
      </w:pPr>
      <w:bookmarkStart w:id="19" w:name="_Toc185235131"/>
      <w:r w:rsidRPr="00830F4C">
        <w:rPr>
          <w:rFonts w:ascii="Garamond" w:hAnsi="Garamond"/>
          <w:color w:val="auto"/>
          <w:sz w:val="20"/>
        </w:rPr>
        <w:t xml:space="preserve">Tabela </w:t>
      </w:r>
      <w:r w:rsidRPr="00830F4C">
        <w:rPr>
          <w:rFonts w:ascii="Garamond" w:hAnsi="Garamond"/>
          <w:color w:val="auto"/>
          <w:sz w:val="20"/>
        </w:rPr>
        <w:fldChar w:fldCharType="begin"/>
      </w:r>
      <w:r w:rsidRPr="00830F4C">
        <w:rPr>
          <w:rFonts w:ascii="Garamond" w:hAnsi="Garamond"/>
          <w:color w:val="auto"/>
          <w:sz w:val="20"/>
        </w:rPr>
        <w:instrText xml:space="preserve"> SEQ Tabela \* ARABIC </w:instrText>
      </w:r>
      <w:r w:rsidRPr="00830F4C">
        <w:rPr>
          <w:rFonts w:ascii="Garamond" w:hAnsi="Garamond"/>
          <w:color w:val="auto"/>
          <w:sz w:val="20"/>
        </w:rPr>
        <w:fldChar w:fldCharType="separate"/>
      </w:r>
      <w:r w:rsidRPr="00830F4C">
        <w:rPr>
          <w:rFonts w:ascii="Garamond" w:hAnsi="Garamond"/>
          <w:color w:val="auto"/>
          <w:sz w:val="20"/>
        </w:rPr>
        <w:t>6</w:t>
      </w:r>
      <w:r w:rsidRPr="00830F4C">
        <w:rPr>
          <w:rFonts w:ascii="Garamond" w:hAnsi="Garamond"/>
          <w:color w:val="auto"/>
          <w:sz w:val="20"/>
        </w:rPr>
        <w:fldChar w:fldCharType="end"/>
      </w:r>
      <w:r w:rsidRPr="00830F4C">
        <w:rPr>
          <w:rFonts w:ascii="Garamond" w:hAnsi="Garamond" w:cs="Times New Roman"/>
          <w:color w:val="auto"/>
          <w:sz w:val="20"/>
        </w:rPr>
        <w:t xml:space="preserve"> : Rritja e të ardhurave vjetore nga zbatimi i Strategjisë</w:t>
      </w:r>
      <w:bookmarkEnd w:id="19"/>
    </w:p>
    <w:tbl>
      <w:tblPr>
        <w:tblW w:w="0" w:type="auto"/>
        <w:tblLook w:val="04A0" w:firstRow="1" w:lastRow="0" w:firstColumn="1" w:lastColumn="0" w:noHBand="0" w:noVBand="1"/>
      </w:tblPr>
      <w:tblGrid>
        <w:gridCol w:w="3122"/>
        <w:gridCol w:w="906"/>
        <w:gridCol w:w="907"/>
        <w:gridCol w:w="222"/>
        <w:gridCol w:w="907"/>
        <w:gridCol w:w="907"/>
        <w:gridCol w:w="907"/>
        <w:gridCol w:w="1472"/>
      </w:tblGrid>
      <w:tr w:rsidR="00646D6F" w:rsidRPr="00830F4C" w14:paraId="468B587A" w14:textId="77777777" w:rsidTr="00F23DA2">
        <w:trPr>
          <w:trHeight w:val="454"/>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2B3C8D" w14:textId="77777777" w:rsidR="00646D6F" w:rsidRPr="00830F4C" w:rsidRDefault="00646D6F" w:rsidP="00D22EA5">
            <w:pPr>
              <w:jc w:val="center"/>
              <w:rPr>
                <w:rFonts w:ascii="Garamond" w:hAnsi="Garamond"/>
                <w:b/>
                <w:sz w:val="20"/>
                <w:szCs w:val="20"/>
              </w:rPr>
            </w:pPr>
            <w:r w:rsidRPr="00830F4C">
              <w:rPr>
                <w:rFonts w:ascii="Garamond" w:hAnsi="Garamond"/>
                <w:b/>
                <w:sz w:val="20"/>
                <w:szCs w:val="20"/>
              </w:rPr>
              <w:t>Viti</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9BEA439" w14:textId="77777777" w:rsidR="00646D6F" w:rsidRPr="00830F4C" w:rsidRDefault="00646D6F" w:rsidP="00D22EA5">
            <w:pPr>
              <w:jc w:val="center"/>
              <w:rPr>
                <w:rFonts w:ascii="Garamond" w:hAnsi="Garamond"/>
                <w:b/>
                <w:sz w:val="20"/>
                <w:szCs w:val="20"/>
              </w:rPr>
            </w:pPr>
            <w:r w:rsidRPr="00830F4C">
              <w:rPr>
                <w:rFonts w:ascii="Garamond" w:hAnsi="Garamond"/>
                <w:b/>
                <w:sz w:val="20"/>
                <w:szCs w:val="20"/>
              </w:rPr>
              <w:t>2023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1AEDE9E" w14:textId="77777777" w:rsidR="00646D6F" w:rsidRPr="00830F4C" w:rsidRDefault="00646D6F" w:rsidP="00D22EA5">
            <w:pPr>
              <w:jc w:val="center"/>
              <w:rPr>
                <w:rFonts w:ascii="Garamond" w:hAnsi="Garamond"/>
                <w:b/>
                <w:sz w:val="20"/>
                <w:szCs w:val="20"/>
              </w:rPr>
            </w:pPr>
            <w:r w:rsidRPr="00830F4C">
              <w:rPr>
                <w:rFonts w:ascii="Garamond" w:hAnsi="Garamond"/>
                <w:b/>
                <w:sz w:val="20"/>
                <w:szCs w:val="20"/>
              </w:rPr>
              <w:t>2024</w:t>
            </w:r>
          </w:p>
        </w:tc>
        <w:tc>
          <w:tcPr>
            <w:tcW w:w="0" w:type="auto"/>
            <w:tcBorders>
              <w:top w:val="single" w:sz="4" w:space="0" w:color="auto"/>
              <w:left w:val="nil"/>
              <w:bottom w:val="single" w:sz="4" w:space="0" w:color="auto"/>
              <w:right w:val="nil"/>
            </w:tcBorders>
            <w:vAlign w:val="center"/>
          </w:tcPr>
          <w:p w14:paraId="5C9F5147" w14:textId="77777777" w:rsidR="00646D6F" w:rsidRPr="00830F4C" w:rsidRDefault="00646D6F" w:rsidP="00D22EA5">
            <w:pPr>
              <w:jc w:val="center"/>
              <w:rPr>
                <w:rFonts w:ascii="Garamond" w:hAnsi="Garamond"/>
                <w:b/>
                <w:sz w:val="20"/>
                <w:szCs w:val="20"/>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6FDF0A0" w14:textId="77777777" w:rsidR="00646D6F" w:rsidRPr="00830F4C" w:rsidRDefault="00646D6F" w:rsidP="00D22EA5">
            <w:pPr>
              <w:jc w:val="center"/>
              <w:rPr>
                <w:rFonts w:ascii="Garamond" w:hAnsi="Garamond"/>
                <w:b/>
                <w:sz w:val="20"/>
                <w:szCs w:val="20"/>
              </w:rPr>
            </w:pPr>
            <w:r w:rsidRPr="00830F4C">
              <w:rPr>
                <w:rFonts w:ascii="Garamond" w:hAnsi="Garamond"/>
                <w:b/>
                <w:sz w:val="20"/>
                <w:szCs w:val="20"/>
              </w:rPr>
              <w:t>2025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705102E" w14:textId="77777777" w:rsidR="00646D6F" w:rsidRPr="00830F4C" w:rsidRDefault="00646D6F" w:rsidP="00D22EA5">
            <w:pPr>
              <w:jc w:val="center"/>
              <w:rPr>
                <w:rFonts w:ascii="Garamond" w:hAnsi="Garamond"/>
                <w:b/>
                <w:sz w:val="20"/>
                <w:szCs w:val="20"/>
              </w:rPr>
            </w:pPr>
            <w:r w:rsidRPr="00830F4C">
              <w:rPr>
                <w:rFonts w:ascii="Garamond" w:hAnsi="Garamond"/>
                <w:b/>
                <w:sz w:val="20"/>
                <w:szCs w:val="20"/>
              </w:rPr>
              <w:t>2026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84A7752" w14:textId="77777777" w:rsidR="00646D6F" w:rsidRPr="00830F4C" w:rsidRDefault="00646D6F" w:rsidP="00D22EA5">
            <w:pPr>
              <w:jc w:val="center"/>
              <w:rPr>
                <w:rFonts w:ascii="Garamond" w:hAnsi="Garamond"/>
                <w:b/>
                <w:sz w:val="20"/>
                <w:szCs w:val="20"/>
              </w:rPr>
            </w:pPr>
            <w:r w:rsidRPr="00830F4C">
              <w:rPr>
                <w:rFonts w:ascii="Garamond" w:hAnsi="Garamond"/>
                <w:b/>
                <w:sz w:val="20"/>
                <w:szCs w:val="20"/>
              </w:rPr>
              <w:t>2027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BD070FC" w14:textId="186D23DC" w:rsidR="00646D6F" w:rsidRPr="00830F4C" w:rsidRDefault="00646D6F" w:rsidP="00D22EA5">
            <w:pPr>
              <w:jc w:val="center"/>
              <w:rPr>
                <w:rFonts w:ascii="Garamond" w:hAnsi="Garamond"/>
                <w:b/>
                <w:sz w:val="20"/>
                <w:szCs w:val="20"/>
              </w:rPr>
            </w:pPr>
            <w:r w:rsidRPr="00830F4C">
              <w:rPr>
                <w:rFonts w:ascii="Garamond" w:hAnsi="Garamond"/>
                <w:b/>
                <w:sz w:val="20"/>
                <w:szCs w:val="20"/>
              </w:rPr>
              <w:t>Total</w:t>
            </w:r>
            <w:r w:rsidR="00D22EA5" w:rsidRPr="00830F4C">
              <w:rPr>
                <w:rFonts w:ascii="Garamond" w:hAnsi="Garamond"/>
                <w:b/>
                <w:sz w:val="20"/>
                <w:szCs w:val="20"/>
              </w:rPr>
              <w:t xml:space="preserve"> </w:t>
            </w:r>
            <w:r w:rsidRPr="00830F4C">
              <w:rPr>
                <w:rFonts w:ascii="Garamond" w:hAnsi="Garamond"/>
                <w:b/>
                <w:sz w:val="20"/>
                <w:szCs w:val="20"/>
              </w:rPr>
              <w:t>2024</w:t>
            </w:r>
            <w:r w:rsidR="00D22EA5" w:rsidRPr="00830F4C">
              <w:rPr>
                <w:rFonts w:ascii="Garamond" w:hAnsi="Garamond"/>
                <w:sz w:val="20"/>
                <w:szCs w:val="20"/>
              </w:rPr>
              <w:t>–</w:t>
            </w:r>
            <w:r w:rsidRPr="00830F4C">
              <w:rPr>
                <w:rFonts w:ascii="Garamond" w:hAnsi="Garamond"/>
                <w:b/>
                <w:sz w:val="20"/>
                <w:szCs w:val="20"/>
              </w:rPr>
              <w:t>2027</w:t>
            </w:r>
          </w:p>
        </w:tc>
      </w:tr>
      <w:tr w:rsidR="00646D6F" w:rsidRPr="00830F4C" w14:paraId="2B6D6933" w14:textId="77777777" w:rsidTr="00F23DA2">
        <w:trPr>
          <w:trHeight w:val="45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ACE0D7F" w14:textId="0F0D1C2D" w:rsidR="00646D6F" w:rsidRPr="00830F4C" w:rsidRDefault="00646D6F" w:rsidP="00F23DA2">
            <w:pPr>
              <w:jc w:val="center"/>
              <w:rPr>
                <w:rFonts w:ascii="Garamond" w:hAnsi="Garamond"/>
                <w:sz w:val="20"/>
                <w:szCs w:val="20"/>
              </w:rPr>
            </w:pPr>
            <w:r w:rsidRPr="00830F4C">
              <w:rPr>
                <w:rFonts w:ascii="Garamond" w:hAnsi="Garamond"/>
                <w:sz w:val="20"/>
                <w:szCs w:val="20"/>
              </w:rPr>
              <w:t>Të ardhurat nga taksat (në milionë lekë)</w:t>
            </w:r>
          </w:p>
        </w:tc>
        <w:tc>
          <w:tcPr>
            <w:tcW w:w="0" w:type="auto"/>
            <w:tcBorders>
              <w:top w:val="nil"/>
              <w:left w:val="nil"/>
              <w:bottom w:val="single" w:sz="4" w:space="0" w:color="auto"/>
              <w:right w:val="single" w:sz="4" w:space="0" w:color="auto"/>
            </w:tcBorders>
            <w:shd w:val="clear" w:color="auto" w:fill="auto"/>
            <w:noWrap/>
            <w:hideMark/>
          </w:tcPr>
          <w:p w14:paraId="7DE89E6B" w14:textId="77777777" w:rsidR="00646D6F" w:rsidRPr="00830F4C" w:rsidRDefault="00646D6F" w:rsidP="00646D6F">
            <w:pPr>
              <w:jc w:val="center"/>
              <w:rPr>
                <w:rFonts w:ascii="Garamond" w:hAnsi="Garamond"/>
                <w:sz w:val="20"/>
                <w:szCs w:val="20"/>
              </w:rPr>
            </w:pPr>
            <w:r w:rsidRPr="00830F4C">
              <w:rPr>
                <w:rFonts w:ascii="Garamond" w:hAnsi="Garamond"/>
                <w:sz w:val="20"/>
                <w:szCs w:val="20"/>
              </w:rPr>
              <w:t>598,662</w:t>
            </w:r>
          </w:p>
        </w:tc>
        <w:tc>
          <w:tcPr>
            <w:tcW w:w="0" w:type="auto"/>
            <w:tcBorders>
              <w:top w:val="nil"/>
              <w:left w:val="nil"/>
              <w:bottom w:val="single" w:sz="4" w:space="0" w:color="auto"/>
              <w:right w:val="single" w:sz="4" w:space="0" w:color="auto"/>
            </w:tcBorders>
            <w:shd w:val="clear" w:color="auto" w:fill="auto"/>
            <w:noWrap/>
            <w:hideMark/>
          </w:tcPr>
          <w:p w14:paraId="6012749E" w14:textId="77777777" w:rsidR="00646D6F" w:rsidRPr="00830F4C" w:rsidRDefault="00646D6F" w:rsidP="00646D6F">
            <w:pPr>
              <w:jc w:val="center"/>
              <w:rPr>
                <w:rFonts w:ascii="Garamond" w:hAnsi="Garamond"/>
                <w:sz w:val="20"/>
                <w:szCs w:val="20"/>
              </w:rPr>
            </w:pPr>
            <w:r w:rsidRPr="00830F4C">
              <w:rPr>
                <w:rFonts w:ascii="Garamond" w:hAnsi="Garamond"/>
                <w:sz w:val="20"/>
                <w:szCs w:val="20"/>
              </w:rPr>
              <w:t>650,925</w:t>
            </w:r>
          </w:p>
        </w:tc>
        <w:tc>
          <w:tcPr>
            <w:tcW w:w="0" w:type="auto"/>
            <w:tcBorders>
              <w:top w:val="nil"/>
              <w:left w:val="nil"/>
              <w:bottom w:val="single" w:sz="4" w:space="0" w:color="auto"/>
              <w:right w:val="nil"/>
            </w:tcBorders>
          </w:tcPr>
          <w:p w14:paraId="3F10B414" w14:textId="77777777" w:rsidR="00646D6F" w:rsidRPr="00830F4C" w:rsidRDefault="00646D6F" w:rsidP="00646D6F">
            <w:pPr>
              <w:jc w:val="center"/>
              <w:rPr>
                <w:rFonts w:ascii="Garamond" w:hAnsi="Garamond"/>
                <w:sz w:val="20"/>
                <w:szCs w:val="20"/>
              </w:rPr>
            </w:pPr>
          </w:p>
        </w:tc>
        <w:tc>
          <w:tcPr>
            <w:tcW w:w="0" w:type="auto"/>
            <w:tcBorders>
              <w:top w:val="nil"/>
              <w:left w:val="nil"/>
              <w:bottom w:val="single" w:sz="4" w:space="0" w:color="auto"/>
              <w:right w:val="single" w:sz="4" w:space="0" w:color="auto"/>
            </w:tcBorders>
            <w:shd w:val="clear" w:color="auto" w:fill="auto"/>
            <w:noWrap/>
            <w:hideMark/>
          </w:tcPr>
          <w:p w14:paraId="7ED94591" w14:textId="77777777" w:rsidR="00646D6F" w:rsidRPr="00830F4C" w:rsidRDefault="00646D6F" w:rsidP="00646D6F">
            <w:pPr>
              <w:jc w:val="center"/>
              <w:rPr>
                <w:rFonts w:ascii="Garamond" w:hAnsi="Garamond"/>
                <w:sz w:val="20"/>
                <w:szCs w:val="20"/>
              </w:rPr>
            </w:pPr>
            <w:r w:rsidRPr="00830F4C">
              <w:rPr>
                <w:rFonts w:ascii="Garamond" w:hAnsi="Garamond"/>
                <w:sz w:val="20"/>
                <w:szCs w:val="20"/>
              </w:rPr>
              <w:t>694,748</w:t>
            </w:r>
          </w:p>
        </w:tc>
        <w:tc>
          <w:tcPr>
            <w:tcW w:w="0" w:type="auto"/>
            <w:tcBorders>
              <w:top w:val="nil"/>
              <w:left w:val="nil"/>
              <w:bottom w:val="single" w:sz="4" w:space="0" w:color="auto"/>
              <w:right w:val="single" w:sz="4" w:space="0" w:color="auto"/>
            </w:tcBorders>
            <w:shd w:val="clear" w:color="auto" w:fill="auto"/>
            <w:noWrap/>
            <w:hideMark/>
          </w:tcPr>
          <w:p w14:paraId="704ED7DD" w14:textId="77777777" w:rsidR="00646D6F" w:rsidRPr="00830F4C" w:rsidRDefault="00646D6F" w:rsidP="00646D6F">
            <w:pPr>
              <w:jc w:val="center"/>
              <w:rPr>
                <w:rFonts w:ascii="Garamond" w:hAnsi="Garamond"/>
                <w:sz w:val="20"/>
                <w:szCs w:val="20"/>
              </w:rPr>
            </w:pPr>
            <w:r w:rsidRPr="00830F4C">
              <w:rPr>
                <w:rFonts w:ascii="Garamond" w:hAnsi="Garamond"/>
                <w:sz w:val="20"/>
                <w:szCs w:val="20"/>
              </w:rPr>
              <w:t>735,957</w:t>
            </w:r>
          </w:p>
        </w:tc>
        <w:tc>
          <w:tcPr>
            <w:tcW w:w="0" w:type="auto"/>
            <w:tcBorders>
              <w:top w:val="nil"/>
              <w:left w:val="nil"/>
              <w:bottom w:val="single" w:sz="4" w:space="0" w:color="auto"/>
              <w:right w:val="single" w:sz="4" w:space="0" w:color="auto"/>
            </w:tcBorders>
            <w:shd w:val="clear" w:color="auto" w:fill="auto"/>
            <w:noWrap/>
            <w:hideMark/>
          </w:tcPr>
          <w:p w14:paraId="1BBC33CC" w14:textId="77777777" w:rsidR="00646D6F" w:rsidRPr="00830F4C" w:rsidRDefault="00646D6F" w:rsidP="00646D6F">
            <w:pPr>
              <w:jc w:val="center"/>
              <w:rPr>
                <w:rFonts w:ascii="Garamond" w:hAnsi="Garamond"/>
                <w:sz w:val="20"/>
                <w:szCs w:val="20"/>
              </w:rPr>
            </w:pPr>
            <w:r w:rsidRPr="00830F4C">
              <w:rPr>
                <w:rFonts w:ascii="Garamond" w:hAnsi="Garamond"/>
                <w:sz w:val="20"/>
                <w:szCs w:val="20"/>
              </w:rPr>
              <w:t>782,162</w:t>
            </w:r>
          </w:p>
        </w:tc>
        <w:tc>
          <w:tcPr>
            <w:tcW w:w="0" w:type="auto"/>
            <w:tcBorders>
              <w:top w:val="nil"/>
              <w:left w:val="nil"/>
              <w:bottom w:val="single" w:sz="4" w:space="0" w:color="auto"/>
              <w:right w:val="single" w:sz="4" w:space="0" w:color="auto"/>
            </w:tcBorders>
            <w:shd w:val="clear" w:color="auto" w:fill="auto"/>
            <w:noWrap/>
            <w:hideMark/>
          </w:tcPr>
          <w:p w14:paraId="1E1BCBFD" w14:textId="77777777" w:rsidR="00646D6F" w:rsidRPr="00830F4C" w:rsidRDefault="00646D6F" w:rsidP="00646D6F">
            <w:pPr>
              <w:jc w:val="center"/>
              <w:rPr>
                <w:rFonts w:ascii="Garamond" w:hAnsi="Garamond"/>
                <w:sz w:val="20"/>
                <w:szCs w:val="20"/>
              </w:rPr>
            </w:pPr>
          </w:p>
        </w:tc>
      </w:tr>
      <w:tr w:rsidR="00646D6F" w:rsidRPr="00830F4C" w14:paraId="12B1CE50" w14:textId="77777777" w:rsidTr="00F23DA2">
        <w:trPr>
          <w:trHeight w:val="45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F699D86" w14:textId="77777777" w:rsidR="00646D6F" w:rsidRPr="00830F4C" w:rsidRDefault="00646D6F" w:rsidP="00F23DA2">
            <w:pPr>
              <w:jc w:val="center"/>
              <w:rPr>
                <w:rFonts w:ascii="Garamond" w:hAnsi="Garamond"/>
                <w:sz w:val="20"/>
                <w:szCs w:val="20"/>
              </w:rPr>
            </w:pPr>
            <w:r w:rsidRPr="00830F4C">
              <w:rPr>
                <w:rFonts w:ascii="Garamond" w:hAnsi="Garamond"/>
                <w:sz w:val="20"/>
                <w:szCs w:val="20"/>
              </w:rPr>
              <w:t>Të ardhurat nga taksat (% e PBB-së)</w:t>
            </w:r>
          </w:p>
        </w:tc>
        <w:tc>
          <w:tcPr>
            <w:tcW w:w="0" w:type="auto"/>
            <w:tcBorders>
              <w:top w:val="nil"/>
              <w:left w:val="nil"/>
              <w:bottom w:val="single" w:sz="4" w:space="0" w:color="auto"/>
              <w:right w:val="single" w:sz="4" w:space="0" w:color="auto"/>
            </w:tcBorders>
            <w:shd w:val="clear" w:color="auto" w:fill="auto"/>
            <w:noWrap/>
            <w:hideMark/>
          </w:tcPr>
          <w:p w14:paraId="31CCE8E9" w14:textId="77777777" w:rsidR="00646D6F" w:rsidRPr="00830F4C" w:rsidRDefault="00646D6F" w:rsidP="00646D6F">
            <w:pPr>
              <w:jc w:val="center"/>
              <w:rPr>
                <w:rFonts w:ascii="Garamond" w:hAnsi="Garamond"/>
                <w:sz w:val="20"/>
                <w:szCs w:val="20"/>
              </w:rPr>
            </w:pPr>
            <w:r w:rsidRPr="00830F4C">
              <w:rPr>
                <w:rFonts w:ascii="Garamond" w:hAnsi="Garamond"/>
                <w:sz w:val="20"/>
                <w:szCs w:val="20"/>
              </w:rPr>
              <w:t>25.9</w:t>
            </w:r>
          </w:p>
        </w:tc>
        <w:tc>
          <w:tcPr>
            <w:tcW w:w="0" w:type="auto"/>
            <w:tcBorders>
              <w:top w:val="nil"/>
              <w:left w:val="nil"/>
              <w:bottom w:val="single" w:sz="4" w:space="0" w:color="auto"/>
              <w:right w:val="single" w:sz="4" w:space="0" w:color="auto"/>
            </w:tcBorders>
            <w:shd w:val="clear" w:color="auto" w:fill="auto"/>
            <w:noWrap/>
            <w:hideMark/>
          </w:tcPr>
          <w:p w14:paraId="1D0FF436" w14:textId="77777777" w:rsidR="00646D6F" w:rsidRPr="00830F4C" w:rsidRDefault="00646D6F" w:rsidP="00646D6F">
            <w:pPr>
              <w:jc w:val="center"/>
              <w:rPr>
                <w:rFonts w:ascii="Garamond" w:hAnsi="Garamond"/>
                <w:sz w:val="20"/>
                <w:szCs w:val="20"/>
              </w:rPr>
            </w:pPr>
            <w:r w:rsidRPr="00830F4C">
              <w:rPr>
                <w:rFonts w:ascii="Garamond" w:hAnsi="Garamond"/>
                <w:sz w:val="20"/>
                <w:szCs w:val="20"/>
              </w:rPr>
              <w:t>26.7</w:t>
            </w:r>
          </w:p>
        </w:tc>
        <w:tc>
          <w:tcPr>
            <w:tcW w:w="0" w:type="auto"/>
            <w:tcBorders>
              <w:top w:val="nil"/>
              <w:left w:val="nil"/>
              <w:bottom w:val="single" w:sz="4" w:space="0" w:color="auto"/>
              <w:right w:val="nil"/>
            </w:tcBorders>
          </w:tcPr>
          <w:p w14:paraId="08186CA0" w14:textId="77777777" w:rsidR="00646D6F" w:rsidRPr="00830F4C" w:rsidRDefault="00646D6F" w:rsidP="00646D6F">
            <w:pPr>
              <w:jc w:val="center"/>
              <w:rPr>
                <w:rFonts w:ascii="Garamond" w:hAnsi="Garamond"/>
                <w:sz w:val="20"/>
                <w:szCs w:val="20"/>
              </w:rPr>
            </w:pPr>
          </w:p>
        </w:tc>
        <w:tc>
          <w:tcPr>
            <w:tcW w:w="0" w:type="auto"/>
            <w:tcBorders>
              <w:top w:val="nil"/>
              <w:left w:val="nil"/>
              <w:bottom w:val="single" w:sz="4" w:space="0" w:color="auto"/>
              <w:right w:val="single" w:sz="4" w:space="0" w:color="auto"/>
            </w:tcBorders>
            <w:shd w:val="clear" w:color="auto" w:fill="auto"/>
            <w:noWrap/>
            <w:hideMark/>
          </w:tcPr>
          <w:p w14:paraId="2C0BE1A9" w14:textId="77777777" w:rsidR="00646D6F" w:rsidRPr="00830F4C" w:rsidRDefault="00646D6F" w:rsidP="00646D6F">
            <w:pPr>
              <w:jc w:val="center"/>
              <w:rPr>
                <w:rFonts w:ascii="Garamond" w:hAnsi="Garamond"/>
                <w:sz w:val="20"/>
                <w:szCs w:val="20"/>
              </w:rPr>
            </w:pPr>
            <w:r w:rsidRPr="00830F4C">
              <w:rPr>
                <w:rFonts w:ascii="Garamond" w:hAnsi="Garamond"/>
                <w:sz w:val="20"/>
                <w:szCs w:val="20"/>
              </w:rPr>
              <w:t>27.2</w:t>
            </w:r>
          </w:p>
        </w:tc>
        <w:tc>
          <w:tcPr>
            <w:tcW w:w="0" w:type="auto"/>
            <w:tcBorders>
              <w:top w:val="nil"/>
              <w:left w:val="nil"/>
              <w:bottom w:val="single" w:sz="4" w:space="0" w:color="auto"/>
              <w:right w:val="single" w:sz="4" w:space="0" w:color="auto"/>
            </w:tcBorders>
            <w:shd w:val="clear" w:color="auto" w:fill="auto"/>
            <w:noWrap/>
            <w:hideMark/>
          </w:tcPr>
          <w:p w14:paraId="5EDCD853" w14:textId="77777777" w:rsidR="00646D6F" w:rsidRPr="00830F4C" w:rsidRDefault="00646D6F" w:rsidP="00646D6F">
            <w:pPr>
              <w:jc w:val="center"/>
              <w:rPr>
                <w:rFonts w:ascii="Garamond" w:hAnsi="Garamond"/>
                <w:sz w:val="20"/>
                <w:szCs w:val="20"/>
              </w:rPr>
            </w:pPr>
            <w:r w:rsidRPr="00830F4C">
              <w:rPr>
                <w:rFonts w:ascii="Garamond" w:hAnsi="Garamond"/>
                <w:sz w:val="20"/>
                <w:szCs w:val="20"/>
              </w:rPr>
              <w:t>27.4</w:t>
            </w:r>
          </w:p>
        </w:tc>
        <w:tc>
          <w:tcPr>
            <w:tcW w:w="0" w:type="auto"/>
            <w:tcBorders>
              <w:top w:val="nil"/>
              <w:left w:val="nil"/>
              <w:bottom w:val="single" w:sz="4" w:space="0" w:color="auto"/>
              <w:right w:val="single" w:sz="4" w:space="0" w:color="auto"/>
            </w:tcBorders>
            <w:shd w:val="clear" w:color="auto" w:fill="auto"/>
            <w:noWrap/>
            <w:hideMark/>
          </w:tcPr>
          <w:p w14:paraId="5963D060" w14:textId="77777777" w:rsidR="00646D6F" w:rsidRPr="00830F4C" w:rsidRDefault="00646D6F" w:rsidP="00646D6F">
            <w:pPr>
              <w:jc w:val="center"/>
              <w:rPr>
                <w:rFonts w:ascii="Garamond" w:hAnsi="Garamond"/>
                <w:sz w:val="20"/>
                <w:szCs w:val="20"/>
              </w:rPr>
            </w:pPr>
            <w:r w:rsidRPr="00830F4C">
              <w:rPr>
                <w:rFonts w:ascii="Garamond" w:hAnsi="Garamond"/>
                <w:sz w:val="20"/>
                <w:szCs w:val="20"/>
              </w:rPr>
              <w:t>27.7</w:t>
            </w:r>
          </w:p>
        </w:tc>
        <w:tc>
          <w:tcPr>
            <w:tcW w:w="0" w:type="auto"/>
            <w:tcBorders>
              <w:top w:val="nil"/>
              <w:left w:val="nil"/>
              <w:bottom w:val="single" w:sz="4" w:space="0" w:color="auto"/>
              <w:right w:val="single" w:sz="4" w:space="0" w:color="auto"/>
            </w:tcBorders>
            <w:shd w:val="clear" w:color="auto" w:fill="auto"/>
            <w:noWrap/>
            <w:hideMark/>
          </w:tcPr>
          <w:p w14:paraId="653DE61D" w14:textId="77777777" w:rsidR="00646D6F" w:rsidRPr="00830F4C" w:rsidRDefault="00646D6F" w:rsidP="00646D6F">
            <w:pPr>
              <w:jc w:val="center"/>
              <w:rPr>
                <w:rFonts w:ascii="Garamond" w:hAnsi="Garamond"/>
                <w:sz w:val="20"/>
                <w:szCs w:val="20"/>
              </w:rPr>
            </w:pPr>
          </w:p>
        </w:tc>
      </w:tr>
      <w:tr w:rsidR="00646D6F" w:rsidRPr="00830F4C" w14:paraId="413B3DDE" w14:textId="77777777" w:rsidTr="00F23DA2">
        <w:trPr>
          <w:trHeight w:val="45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A449C7E" w14:textId="73B0A320" w:rsidR="00646D6F" w:rsidRPr="00830F4C" w:rsidRDefault="00646D6F" w:rsidP="00F23DA2">
            <w:pPr>
              <w:jc w:val="center"/>
              <w:rPr>
                <w:rFonts w:ascii="Garamond" w:hAnsi="Garamond"/>
                <w:sz w:val="20"/>
                <w:szCs w:val="20"/>
              </w:rPr>
            </w:pPr>
            <w:r w:rsidRPr="00830F4C">
              <w:rPr>
                <w:rFonts w:ascii="Garamond" w:hAnsi="Garamond"/>
                <w:sz w:val="20"/>
                <w:szCs w:val="20"/>
              </w:rPr>
              <w:t xml:space="preserve">PBB-ja </w:t>
            </w:r>
            <w:r w:rsidR="00236281" w:rsidRPr="00830F4C">
              <w:rPr>
                <w:rFonts w:ascii="Garamond" w:hAnsi="Garamond"/>
                <w:sz w:val="20"/>
                <w:szCs w:val="20"/>
              </w:rPr>
              <w:t>n</w:t>
            </w:r>
            <w:r w:rsidRPr="00830F4C">
              <w:rPr>
                <w:rFonts w:ascii="Garamond" w:hAnsi="Garamond"/>
                <w:sz w:val="20"/>
                <w:szCs w:val="20"/>
              </w:rPr>
              <w:t>ominal</w:t>
            </w:r>
            <w:r w:rsidR="00D22EA5" w:rsidRPr="00830F4C">
              <w:rPr>
                <w:rFonts w:ascii="Garamond" w:hAnsi="Garamond"/>
                <w:sz w:val="20"/>
                <w:szCs w:val="20"/>
              </w:rPr>
              <w:t>e</w:t>
            </w:r>
            <w:r w:rsidRPr="00830F4C">
              <w:rPr>
                <w:rStyle w:val="FootnoteReference"/>
                <w:rFonts w:ascii="Garamond" w:hAnsi="Garamond"/>
                <w:sz w:val="20"/>
                <w:szCs w:val="20"/>
              </w:rPr>
              <w:footnoteReference w:id="4"/>
            </w:r>
          </w:p>
        </w:tc>
        <w:tc>
          <w:tcPr>
            <w:tcW w:w="0" w:type="auto"/>
            <w:tcBorders>
              <w:top w:val="nil"/>
              <w:left w:val="nil"/>
              <w:bottom w:val="single" w:sz="4" w:space="0" w:color="auto"/>
              <w:right w:val="single" w:sz="4" w:space="0" w:color="auto"/>
            </w:tcBorders>
            <w:shd w:val="clear" w:color="auto" w:fill="auto"/>
            <w:noWrap/>
            <w:hideMark/>
          </w:tcPr>
          <w:p w14:paraId="453467EA" w14:textId="77777777" w:rsidR="00646D6F" w:rsidRPr="00830F4C" w:rsidRDefault="00646D6F" w:rsidP="00646D6F">
            <w:pPr>
              <w:jc w:val="center"/>
              <w:rPr>
                <w:rFonts w:ascii="Garamond" w:hAnsi="Garamond"/>
                <w:sz w:val="20"/>
                <w:szCs w:val="20"/>
              </w:rPr>
            </w:pPr>
            <w:r w:rsidRPr="00830F4C">
              <w:rPr>
                <w:rFonts w:ascii="Garamond" w:hAnsi="Garamond"/>
                <w:sz w:val="20"/>
                <w:szCs w:val="20"/>
              </w:rPr>
              <w:t>2,312,588</w:t>
            </w:r>
          </w:p>
        </w:tc>
        <w:tc>
          <w:tcPr>
            <w:tcW w:w="0" w:type="auto"/>
            <w:tcBorders>
              <w:top w:val="nil"/>
              <w:left w:val="nil"/>
              <w:bottom w:val="single" w:sz="4" w:space="0" w:color="auto"/>
              <w:right w:val="single" w:sz="4" w:space="0" w:color="auto"/>
            </w:tcBorders>
            <w:shd w:val="clear" w:color="auto" w:fill="auto"/>
            <w:noWrap/>
            <w:hideMark/>
          </w:tcPr>
          <w:p w14:paraId="06834332" w14:textId="77777777" w:rsidR="00646D6F" w:rsidRPr="00830F4C" w:rsidRDefault="00646D6F" w:rsidP="00646D6F">
            <w:pPr>
              <w:jc w:val="center"/>
              <w:rPr>
                <w:rFonts w:ascii="Garamond" w:hAnsi="Garamond"/>
                <w:sz w:val="20"/>
                <w:szCs w:val="20"/>
              </w:rPr>
            </w:pPr>
            <w:r w:rsidRPr="00830F4C">
              <w:rPr>
                <w:rFonts w:ascii="Garamond" w:hAnsi="Garamond"/>
                <w:sz w:val="20"/>
                <w:szCs w:val="20"/>
              </w:rPr>
              <w:t>2,434,311</w:t>
            </w:r>
          </w:p>
        </w:tc>
        <w:tc>
          <w:tcPr>
            <w:tcW w:w="0" w:type="auto"/>
            <w:tcBorders>
              <w:top w:val="nil"/>
              <w:left w:val="nil"/>
              <w:bottom w:val="single" w:sz="4" w:space="0" w:color="auto"/>
              <w:right w:val="nil"/>
            </w:tcBorders>
          </w:tcPr>
          <w:p w14:paraId="74B577B4" w14:textId="77777777" w:rsidR="00646D6F" w:rsidRPr="00830F4C" w:rsidRDefault="00646D6F" w:rsidP="00646D6F">
            <w:pPr>
              <w:jc w:val="center"/>
              <w:rPr>
                <w:rFonts w:ascii="Garamond" w:hAnsi="Garamond"/>
                <w:sz w:val="20"/>
                <w:szCs w:val="20"/>
              </w:rPr>
            </w:pPr>
          </w:p>
        </w:tc>
        <w:tc>
          <w:tcPr>
            <w:tcW w:w="0" w:type="auto"/>
            <w:tcBorders>
              <w:top w:val="nil"/>
              <w:left w:val="nil"/>
              <w:bottom w:val="single" w:sz="4" w:space="0" w:color="auto"/>
              <w:right w:val="single" w:sz="4" w:space="0" w:color="auto"/>
            </w:tcBorders>
            <w:shd w:val="clear" w:color="auto" w:fill="auto"/>
            <w:noWrap/>
            <w:hideMark/>
          </w:tcPr>
          <w:p w14:paraId="70BE2A7A" w14:textId="77777777" w:rsidR="00646D6F" w:rsidRPr="00830F4C" w:rsidRDefault="00646D6F" w:rsidP="00646D6F">
            <w:pPr>
              <w:jc w:val="center"/>
              <w:rPr>
                <w:rFonts w:ascii="Garamond" w:hAnsi="Garamond"/>
                <w:sz w:val="20"/>
                <w:szCs w:val="20"/>
              </w:rPr>
            </w:pPr>
            <w:r w:rsidRPr="00830F4C">
              <w:rPr>
                <w:rFonts w:ascii="Garamond" w:hAnsi="Garamond"/>
                <w:sz w:val="20"/>
                <w:szCs w:val="20"/>
              </w:rPr>
              <w:t>2,557,740</w:t>
            </w:r>
          </w:p>
        </w:tc>
        <w:tc>
          <w:tcPr>
            <w:tcW w:w="0" w:type="auto"/>
            <w:tcBorders>
              <w:top w:val="nil"/>
              <w:left w:val="nil"/>
              <w:bottom w:val="single" w:sz="4" w:space="0" w:color="auto"/>
              <w:right w:val="single" w:sz="4" w:space="0" w:color="auto"/>
            </w:tcBorders>
            <w:shd w:val="clear" w:color="auto" w:fill="auto"/>
            <w:noWrap/>
            <w:hideMark/>
          </w:tcPr>
          <w:p w14:paraId="4A706E59" w14:textId="77777777" w:rsidR="00646D6F" w:rsidRPr="00830F4C" w:rsidRDefault="00646D6F" w:rsidP="00646D6F">
            <w:pPr>
              <w:jc w:val="center"/>
              <w:rPr>
                <w:rFonts w:ascii="Garamond" w:hAnsi="Garamond"/>
                <w:sz w:val="20"/>
                <w:szCs w:val="20"/>
              </w:rPr>
            </w:pPr>
            <w:r w:rsidRPr="00830F4C">
              <w:rPr>
                <w:rFonts w:ascii="Garamond" w:hAnsi="Garamond"/>
                <w:sz w:val="20"/>
                <w:szCs w:val="20"/>
              </w:rPr>
              <w:t>2,690,518</w:t>
            </w:r>
          </w:p>
        </w:tc>
        <w:tc>
          <w:tcPr>
            <w:tcW w:w="0" w:type="auto"/>
            <w:tcBorders>
              <w:top w:val="nil"/>
              <w:left w:val="nil"/>
              <w:bottom w:val="single" w:sz="4" w:space="0" w:color="auto"/>
              <w:right w:val="single" w:sz="4" w:space="0" w:color="auto"/>
            </w:tcBorders>
            <w:shd w:val="clear" w:color="auto" w:fill="auto"/>
            <w:noWrap/>
            <w:hideMark/>
          </w:tcPr>
          <w:p w14:paraId="5646390D" w14:textId="77777777" w:rsidR="00646D6F" w:rsidRPr="00830F4C" w:rsidRDefault="00646D6F" w:rsidP="00646D6F">
            <w:pPr>
              <w:jc w:val="center"/>
              <w:rPr>
                <w:rFonts w:ascii="Garamond" w:hAnsi="Garamond"/>
                <w:sz w:val="20"/>
                <w:szCs w:val="20"/>
              </w:rPr>
            </w:pPr>
            <w:r w:rsidRPr="00830F4C">
              <w:rPr>
                <w:rFonts w:ascii="Garamond" w:hAnsi="Garamond"/>
                <w:sz w:val="20"/>
                <w:szCs w:val="20"/>
              </w:rPr>
              <w:t>2,828,616</w:t>
            </w:r>
          </w:p>
        </w:tc>
        <w:tc>
          <w:tcPr>
            <w:tcW w:w="0" w:type="auto"/>
            <w:tcBorders>
              <w:top w:val="nil"/>
              <w:left w:val="nil"/>
              <w:bottom w:val="single" w:sz="4" w:space="0" w:color="auto"/>
              <w:right w:val="single" w:sz="4" w:space="0" w:color="auto"/>
            </w:tcBorders>
            <w:shd w:val="clear" w:color="auto" w:fill="auto"/>
            <w:noWrap/>
            <w:hideMark/>
          </w:tcPr>
          <w:p w14:paraId="5F079711" w14:textId="77777777" w:rsidR="00646D6F" w:rsidRPr="00830F4C" w:rsidRDefault="00646D6F" w:rsidP="00646D6F">
            <w:pPr>
              <w:jc w:val="center"/>
              <w:rPr>
                <w:rFonts w:ascii="Garamond" w:hAnsi="Garamond"/>
                <w:sz w:val="20"/>
                <w:szCs w:val="20"/>
              </w:rPr>
            </w:pPr>
          </w:p>
        </w:tc>
      </w:tr>
      <w:tr w:rsidR="00646D6F" w:rsidRPr="00830F4C" w14:paraId="46C9A767" w14:textId="77777777" w:rsidTr="00F23DA2">
        <w:trPr>
          <w:trHeight w:val="454"/>
        </w:trPr>
        <w:tc>
          <w:tcPr>
            <w:tcW w:w="0" w:type="auto"/>
            <w:tcBorders>
              <w:top w:val="nil"/>
              <w:left w:val="single" w:sz="4" w:space="0" w:color="auto"/>
              <w:bottom w:val="single" w:sz="4" w:space="0" w:color="auto"/>
              <w:right w:val="single" w:sz="4" w:space="0" w:color="auto"/>
            </w:tcBorders>
            <w:shd w:val="clear" w:color="auto" w:fill="auto"/>
            <w:noWrap/>
            <w:hideMark/>
          </w:tcPr>
          <w:p w14:paraId="18C14D8F" w14:textId="55BA10E3" w:rsidR="00646D6F" w:rsidRPr="00830F4C" w:rsidRDefault="00646D6F" w:rsidP="00646D6F">
            <w:pPr>
              <w:jc w:val="center"/>
              <w:rPr>
                <w:rFonts w:ascii="Garamond" w:hAnsi="Garamond"/>
                <w:sz w:val="20"/>
                <w:szCs w:val="20"/>
              </w:rPr>
            </w:pPr>
            <w:r w:rsidRPr="00830F4C">
              <w:rPr>
                <w:rFonts w:ascii="Garamond" w:hAnsi="Garamond"/>
                <w:sz w:val="20"/>
                <w:szCs w:val="20"/>
              </w:rPr>
              <w:t>Kontributi i SAA</w:t>
            </w:r>
            <w:r w:rsidR="00F23DA2" w:rsidRPr="00830F4C">
              <w:rPr>
                <w:rFonts w:ascii="Garamond" w:hAnsi="Garamond"/>
                <w:sz w:val="20"/>
                <w:szCs w:val="20"/>
              </w:rPr>
              <w:t>-së</w:t>
            </w:r>
            <w:r w:rsidRPr="00830F4C">
              <w:rPr>
                <w:rFonts w:ascii="Garamond" w:hAnsi="Garamond"/>
                <w:sz w:val="20"/>
                <w:szCs w:val="20"/>
              </w:rPr>
              <w:t xml:space="preserve"> (në </w:t>
            </w:r>
            <w:r w:rsidR="00236281" w:rsidRPr="00830F4C">
              <w:rPr>
                <w:rFonts w:ascii="Garamond" w:hAnsi="Garamond"/>
                <w:sz w:val="20"/>
                <w:szCs w:val="20"/>
              </w:rPr>
              <w:t>milionë</w:t>
            </w:r>
            <w:r w:rsidR="0052377F" w:rsidRPr="00830F4C">
              <w:rPr>
                <w:rFonts w:ascii="Garamond" w:hAnsi="Garamond"/>
                <w:sz w:val="20"/>
                <w:szCs w:val="20"/>
              </w:rPr>
              <w:t xml:space="preserve"> </w:t>
            </w:r>
            <w:r w:rsidRPr="00830F4C">
              <w:rPr>
                <w:rFonts w:ascii="Garamond" w:hAnsi="Garamond"/>
                <w:sz w:val="20"/>
                <w:szCs w:val="20"/>
              </w:rPr>
              <w:t>lekë)</w:t>
            </w:r>
          </w:p>
        </w:tc>
        <w:tc>
          <w:tcPr>
            <w:tcW w:w="0" w:type="auto"/>
            <w:tcBorders>
              <w:top w:val="nil"/>
              <w:left w:val="nil"/>
              <w:bottom w:val="single" w:sz="4" w:space="0" w:color="auto"/>
              <w:right w:val="single" w:sz="4" w:space="0" w:color="auto"/>
            </w:tcBorders>
            <w:shd w:val="clear" w:color="auto" w:fill="auto"/>
            <w:noWrap/>
            <w:hideMark/>
          </w:tcPr>
          <w:p w14:paraId="4AC92D9B" w14:textId="77777777" w:rsidR="00646D6F" w:rsidRPr="00830F4C" w:rsidRDefault="00646D6F" w:rsidP="00646D6F">
            <w:pPr>
              <w:jc w:val="center"/>
              <w:rPr>
                <w:rFonts w:ascii="Garamond" w:hAnsi="Garamond"/>
                <w:b/>
                <w:sz w:val="20"/>
                <w:szCs w:val="20"/>
              </w:rPr>
            </w:pPr>
          </w:p>
        </w:tc>
        <w:tc>
          <w:tcPr>
            <w:tcW w:w="0" w:type="auto"/>
            <w:tcBorders>
              <w:top w:val="nil"/>
              <w:left w:val="nil"/>
              <w:bottom w:val="single" w:sz="4" w:space="0" w:color="auto"/>
              <w:right w:val="single" w:sz="4" w:space="0" w:color="auto"/>
            </w:tcBorders>
            <w:shd w:val="clear" w:color="auto" w:fill="auto"/>
            <w:noWrap/>
            <w:hideMark/>
          </w:tcPr>
          <w:p w14:paraId="22E7782A" w14:textId="77777777" w:rsidR="00646D6F" w:rsidRPr="00830F4C" w:rsidRDefault="00646D6F" w:rsidP="00646D6F">
            <w:pPr>
              <w:jc w:val="center"/>
              <w:rPr>
                <w:rFonts w:ascii="Garamond" w:hAnsi="Garamond"/>
                <w:b/>
                <w:sz w:val="20"/>
                <w:szCs w:val="20"/>
              </w:rPr>
            </w:pPr>
            <w:r w:rsidRPr="00830F4C">
              <w:rPr>
                <w:rFonts w:ascii="Garamond" w:hAnsi="Garamond"/>
                <w:b/>
                <w:sz w:val="20"/>
                <w:szCs w:val="20"/>
              </w:rPr>
              <w:t>18,852</w:t>
            </w:r>
          </w:p>
        </w:tc>
        <w:tc>
          <w:tcPr>
            <w:tcW w:w="0" w:type="auto"/>
            <w:tcBorders>
              <w:top w:val="nil"/>
              <w:left w:val="nil"/>
              <w:bottom w:val="single" w:sz="4" w:space="0" w:color="auto"/>
              <w:right w:val="nil"/>
            </w:tcBorders>
          </w:tcPr>
          <w:p w14:paraId="24F9A978" w14:textId="77777777" w:rsidR="00646D6F" w:rsidRPr="00830F4C" w:rsidRDefault="00646D6F" w:rsidP="00646D6F">
            <w:pPr>
              <w:jc w:val="center"/>
              <w:rPr>
                <w:rFonts w:ascii="Garamond" w:hAnsi="Garamond"/>
                <w:b/>
                <w:sz w:val="20"/>
                <w:szCs w:val="20"/>
              </w:rPr>
            </w:pPr>
          </w:p>
        </w:tc>
        <w:tc>
          <w:tcPr>
            <w:tcW w:w="0" w:type="auto"/>
            <w:tcBorders>
              <w:top w:val="nil"/>
              <w:left w:val="nil"/>
              <w:bottom w:val="single" w:sz="4" w:space="0" w:color="auto"/>
              <w:right w:val="single" w:sz="4" w:space="0" w:color="auto"/>
            </w:tcBorders>
            <w:shd w:val="clear" w:color="auto" w:fill="auto"/>
            <w:noWrap/>
            <w:hideMark/>
          </w:tcPr>
          <w:p w14:paraId="18E71BA4" w14:textId="77777777" w:rsidR="00646D6F" w:rsidRPr="00830F4C" w:rsidRDefault="00646D6F" w:rsidP="00646D6F">
            <w:pPr>
              <w:jc w:val="center"/>
              <w:rPr>
                <w:rFonts w:ascii="Garamond" w:hAnsi="Garamond"/>
                <w:b/>
                <w:sz w:val="20"/>
                <w:szCs w:val="20"/>
              </w:rPr>
            </w:pPr>
            <w:r w:rsidRPr="00830F4C">
              <w:rPr>
                <w:rFonts w:ascii="Garamond" w:hAnsi="Garamond"/>
                <w:b/>
                <w:sz w:val="20"/>
                <w:szCs w:val="20"/>
              </w:rPr>
              <w:t>15,963</w:t>
            </w:r>
          </w:p>
        </w:tc>
        <w:tc>
          <w:tcPr>
            <w:tcW w:w="0" w:type="auto"/>
            <w:tcBorders>
              <w:top w:val="nil"/>
              <w:left w:val="nil"/>
              <w:bottom w:val="single" w:sz="4" w:space="0" w:color="auto"/>
              <w:right w:val="single" w:sz="4" w:space="0" w:color="auto"/>
            </w:tcBorders>
            <w:shd w:val="clear" w:color="auto" w:fill="auto"/>
            <w:noWrap/>
            <w:hideMark/>
          </w:tcPr>
          <w:p w14:paraId="751C1B25" w14:textId="77777777" w:rsidR="00646D6F" w:rsidRPr="00830F4C" w:rsidRDefault="00646D6F" w:rsidP="00646D6F">
            <w:pPr>
              <w:jc w:val="center"/>
              <w:rPr>
                <w:rFonts w:ascii="Garamond" w:hAnsi="Garamond"/>
                <w:b/>
                <w:sz w:val="20"/>
                <w:szCs w:val="20"/>
              </w:rPr>
            </w:pPr>
            <w:r w:rsidRPr="00830F4C">
              <w:rPr>
                <w:rFonts w:ascii="Garamond" w:hAnsi="Garamond"/>
                <w:b/>
                <w:sz w:val="20"/>
                <w:szCs w:val="20"/>
              </w:rPr>
              <w:t>12,240</w:t>
            </w:r>
          </w:p>
        </w:tc>
        <w:tc>
          <w:tcPr>
            <w:tcW w:w="0" w:type="auto"/>
            <w:tcBorders>
              <w:top w:val="nil"/>
              <w:left w:val="nil"/>
              <w:bottom w:val="single" w:sz="4" w:space="0" w:color="auto"/>
              <w:right w:val="single" w:sz="4" w:space="0" w:color="auto"/>
            </w:tcBorders>
            <w:shd w:val="clear" w:color="auto" w:fill="auto"/>
            <w:noWrap/>
            <w:hideMark/>
          </w:tcPr>
          <w:p w14:paraId="524A5FF6" w14:textId="77777777" w:rsidR="00646D6F" w:rsidRPr="00830F4C" w:rsidRDefault="00646D6F" w:rsidP="00646D6F">
            <w:pPr>
              <w:jc w:val="center"/>
              <w:rPr>
                <w:rFonts w:ascii="Garamond" w:hAnsi="Garamond"/>
                <w:b/>
                <w:sz w:val="20"/>
                <w:szCs w:val="20"/>
              </w:rPr>
            </w:pPr>
            <w:r w:rsidRPr="00830F4C">
              <w:rPr>
                <w:rFonts w:ascii="Garamond" w:hAnsi="Garamond"/>
                <w:b/>
                <w:sz w:val="20"/>
                <w:szCs w:val="20"/>
              </w:rPr>
              <w:t>17,802</w:t>
            </w:r>
          </w:p>
        </w:tc>
        <w:tc>
          <w:tcPr>
            <w:tcW w:w="0" w:type="auto"/>
            <w:tcBorders>
              <w:top w:val="nil"/>
              <w:left w:val="nil"/>
              <w:bottom w:val="single" w:sz="4" w:space="0" w:color="auto"/>
              <w:right w:val="single" w:sz="4" w:space="0" w:color="auto"/>
            </w:tcBorders>
            <w:shd w:val="clear" w:color="auto" w:fill="auto"/>
            <w:noWrap/>
            <w:hideMark/>
          </w:tcPr>
          <w:p w14:paraId="0A505496" w14:textId="77777777" w:rsidR="00646D6F" w:rsidRPr="00830F4C" w:rsidRDefault="00646D6F" w:rsidP="00646D6F">
            <w:pPr>
              <w:jc w:val="center"/>
              <w:rPr>
                <w:rFonts w:ascii="Garamond" w:hAnsi="Garamond"/>
                <w:b/>
                <w:sz w:val="20"/>
                <w:szCs w:val="20"/>
              </w:rPr>
            </w:pPr>
            <w:r w:rsidRPr="00830F4C">
              <w:rPr>
                <w:rFonts w:ascii="Garamond" w:hAnsi="Garamond"/>
                <w:b/>
                <w:sz w:val="20"/>
                <w:szCs w:val="20"/>
              </w:rPr>
              <w:t>64,858</w:t>
            </w:r>
          </w:p>
        </w:tc>
      </w:tr>
      <w:tr w:rsidR="00646D6F" w:rsidRPr="00830F4C" w14:paraId="17DDDBBD" w14:textId="77777777" w:rsidTr="00F23DA2">
        <w:trPr>
          <w:trHeight w:val="454"/>
        </w:trPr>
        <w:tc>
          <w:tcPr>
            <w:tcW w:w="0" w:type="auto"/>
            <w:tcBorders>
              <w:top w:val="nil"/>
              <w:left w:val="single" w:sz="4" w:space="0" w:color="auto"/>
              <w:bottom w:val="single" w:sz="4" w:space="0" w:color="auto"/>
              <w:right w:val="single" w:sz="4" w:space="0" w:color="auto"/>
            </w:tcBorders>
            <w:shd w:val="clear" w:color="auto" w:fill="auto"/>
            <w:noWrap/>
            <w:hideMark/>
          </w:tcPr>
          <w:p w14:paraId="4127FB00" w14:textId="0A80B3E6" w:rsidR="00646D6F" w:rsidRPr="00830F4C" w:rsidRDefault="00646D6F" w:rsidP="00646D6F">
            <w:pPr>
              <w:jc w:val="center"/>
              <w:rPr>
                <w:rFonts w:ascii="Garamond" w:hAnsi="Garamond"/>
                <w:sz w:val="20"/>
                <w:szCs w:val="20"/>
              </w:rPr>
            </w:pPr>
            <w:r w:rsidRPr="00830F4C">
              <w:rPr>
                <w:rFonts w:ascii="Garamond" w:hAnsi="Garamond"/>
                <w:sz w:val="20"/>
                <w:szCs w:val="20"/>
              </w:rPr>
              <w:t>Kontributi i SAA</w:t>
            </w:r>
            <w:r w:rsidR="00F23DA2" w:rsidRPr="00830F4C">
              <w:rPr>
                <w:rFonts w:ascii="Garamond" w:hAnsi="Garamond"/>
                <w:sz w:val="20"/>
                <w:szCs w:val="20"/>
              </w:rPr>
              <w:t>-së</w:t>
            </w:r>
            <w:r w:rsidRPr="00830F4C">
              <w:rPr>
                <w:rFonts w:ascii="Garamond" w:hAnsi="Garamond"/>
                <w:sz w:val="20"/>
                <w:szCs w:val="20"/>
              </w:rPr>
              <w:t xml:space="preserve"> (në % ndaj PBB-së)</w:t>
            </w:r>
          </w:p>
        </w:tc>
        <w:tc>
          <w:tcPr>
            <w:tcW w:w="0" w:type="auto"/>
            <w:tcBorders>
              <w:top w:val="nil"/>
              <w:left w:val="nil"/>
              <w:bottom w:val="single" w:sz="4" w:space="0" w:color="auto"/>
              <w:right w:val="single" w:sz="4" w:space="0" w:color="auto"/>
            </w:tcBorders>
            <w:shd w:val="clear" w:color="auto" w:fill="auto"/>
            <w:noWrap/>
            <w:hideMark/>
          </w:tcPr>
          <w:p w14:paraId="35D50E03" w14:textId="77777777" w:rsidR="00646D6F" w:rsidRPr="00830F4C" w:rsidRDefault="00646D6F" w:rsidP="00646D6F">
            <w:pPr>
              <w:jc w:val="center"/>
              <w:rPr>
                <w:rFonts w:ascii="Garamond" w:hAnsi="Garamond"/>
                <w:b/>
                <w:sz w:val="20"/>
                <w:szCs w:val="20"/>
              </w:rPr>
            </w:pPr>
          </w:p>
        </w:tc>
        <w:tc>
          <w:tcPr>
            <w:tcW w:w="0" w:type="auto"/>
            <w:tcBorders>
              <w:top w:val="nil"/>
              <w:left w:val="nil"/>
              <w:bottom w:val="single" w:sz="4" w:space="0" w:color="auto"/>
              <w:right w:val="single" w:sz="4" w:space="0" w:color="auto"/>
            </w:tcBorders>
            <w:shd w:val="clear" w:color="auto" w:fill="auto"/>
            <w:noWrap/>
            <w:hideMark/>
          </w:tcPr>
          <w:p w14:paraId="498748DB" w14:textId="77777777" w:rsidR="00646D6F" w:rsidRPr="00830F4C" w:rsidRDefault="00646D6F" w:rsidP="00646D6F">
            <w:pPr>
              <w:jc w:val="center"/>
              <w:rPr>
                <w:rFonts w:ascii="Garamond" w:hAnsi="Garamond"/>
                <w:b/>
                <w:sz w:val="20"/>
                <w:szCs w:val="20"/>
              </w:rPr>
            </w:pPr>
            <w:r w:rsidRPr="00830F4C">
              <w:rPr>
                <w:rFonts w:ascii="Garamond" w:hAnsi="Garamond"/>
                <w:b/>
                <w:sz w:val="20"/>
                <w:szCs w:val="20"/>
              </w:rPr>
              <w:t>0.77%</w:t>
            </w:r>
          </w:p>
        </w:tc>
        <w:tc>
          <w:tcPr>
            <w:tcW w:w="0" w:type="auto"/>
            <w:tcBorders>
              <w:top w:val="nil"/>
              <w:left w:val="nil"/>
              <w:bottom w:val="single" w:sz="4" w:space="0" w:color="auto"/>
              <w:right w:val="nil"/>
            </w:tcBorders>
          </w:tcPr>
          <w:p w14:paraId="6602C323" w14:textId="77777777" w:rsidR="00646D6F" w:rsidRPr="00830F4C" w:rsidRDefault="00646D6F" w:rsidP="00646D6F">
            <w:pPr>
              <w:jc w:val="center"/>
              <w:rPr>
                <w:rFonts w:ascii="Garamond" w:hAnsi="Garamond"/>
                <w:b/>
                <w:sz w:val="20"/>
                <w:szCs w:val="20"/>
              </w:rPr>
            </w:pPr>
          </w:p>
        </w:tc>
        <w:tc>
          <w:tcPr>
            <w:tcW w:w="0" w:type="auto"/>
            <w:tcBorders>
              <w:top w:val="nil"/>
              <w:left w:val="nil"/>
              <w:bottom w:val="single" w:sz="4" w:space="0" w:color="auto"/>
              <w:right w:val="single" w:sz="4" w:space="0" w:color="auto"/>
            </w:tcBorders>
            <w:shd w:val="clear" w:color="auto" w:fill="auto"/>
            <w:noWrap/>
            <w:hideMark/>
          </w:tcPr>
          <w:p w14:paraId="1304FDCB" w14:textId="77777777" w:rsidR="00646D6F" w:rsidRPr="00830F4C" w:rsidRDefault="00646D6F" w:rsidP="00646D6F">
            <w:pPr>
              <w:jc w:val="center"/>
              <w:rPr>
                <w:rFonts w:ascii="Garamond" w:hAnsi="Garamond"/>
                <w:b/>
                <w:sz w:val="20"/>
                <w:szCs w:val="20"/>
              </w:rPr>
            </w:pPr>
            <w:r w:rsidRPr="00830F4C">
              <w:rPr>
                <w:rFonts w:ascii="Garamond" w:hAnsi="Garamond"/>
                <w:b/>
                <w:sz w:val="20"/>
                <w:szCs w:val="20"/>
              </w:rPr>
              <w:t>0.62%</w:t>
            </w:r>
          </w:p>
        </w:tc>
        <w:tc>
          <w:tcPr>
            <w:tcW w:w="0" w:type="auto"/>
            <w:tcBorders>
              <w:top w:val="nil"/>
              <w:left w:val="nil"/>
              <w:bottom w:val="single" w:sz="4" w:space="0" w:color="auto"/>
              <w:right w:val="single" w:sz="4" w:space="0" w:color="auto"/>
            </w:tcBorders>
            <w:shd w:val="clear" w:color="auto" w:fill="auto"/>
            <w:noWrap/>
            <w:hideMark/>
          </w:tcPr>
          <w:p w14:paraId="418913B0" w14:textId="77777777" w:rsidR="00646D6F" w:rsidRPr="00830F4C" w:rsidRDefault="00646D6F" w:rsidP="00646D6F">
            <w:pPr>
              <w:jc w:val="center"/>
              <w:rPr>
                <w:rFonts w:ascii="Garamond" w:hAnsi="Garamond"/>
                <w:b/>
                <w:sz w:val="20"/>
                <w:szCs w:val="20"/>
              </w:rPr>
            </w:pPr>
            <w:r w:rsidRPr="00830F4C">
              <w:rPr>
                <w:rFonts w:ascii="Garamond" w:hAnsi="Garamond"/>
                <w:b/>
                <w:sz w:val="20"/>
                <w:szCs w:val="20"/>
              </w:rPr>
              <w:t>0.45%</w:t>
            </w:r>
          </w:p>
        </w:tc>
        <w:tc>
          <w:tcPr>
            <w:tcW w:w="0" w:type="auto"/>
            <w:tcBorders>
              <w:top w:val="nil"/>
              <w:left w:val="nil"/>
              <w:bottom w:val="single" w:sz="4" w:space="0" w:color="auto"/>
              <w:right w:val="single" w:sz="4" w:space="0" w:color="auto"/>
            </w:tcBorders>
            <w:shd w:val="clear" w:color="auto" w:fill="auto"/>
            <w:noWrap/>
            <w:hideMark/>
          </w:tcPr>
          <w:p w14:paraId="42C51098" w14:textId="77777777" w:rsidR="00646D6F" w:rsidRPr="00830F4C" w:rsidRDefault="00646D6F" w:rsidP="00646D6F">
            <w:pPr>
              <w:jc w:val="center"/>
              <w:rPr>
                <w:rFonts w:ascii="Garamond" w:hAnsi="Garamond"/>
                <w:b/>
                <w:sz w:val="20"/>
                <w:szCs w:val="20"/>
              </w:rPr>
            </w:pPr>
            <w:r w:rsidRPr="00830F4C">
              <w:rPr>
                <w:rFonts w:ascii="Garamond" w:hAnsi="Garamond"/>
                <w:b/>
                <w:sz w:val="20"/>
                <w:szCs w:val="20"/>
              </w:rPr>
              <w:t>0.63%</w:t>
            </w:r>
          </w:p>
        </w:tc>
        <w:tc>
          <w:tcPr>
            <w:tcW w:w="0" w:type="auto"/>
            <w:tcBorders>
              <w:top w:val="nil"/>
              <w:left w:val="nil"/>
              <w:bottom w:val="single" w:sz="4" w:space="0" w:color="auto"/>
              <w:right w:val="single" w:sz="4" w:space="0" w:color="auto"/>
            </w:tcBorders>
            <w:shd w:val="clear" w:color="auto" w:fill="auto"/>
            <w:noWrap/>
            <w:hideMark/>
          </w:tcPr>
          <w:p w14:paraId="1D1A5FE7" w14:textId="77777777" w:rsidR="00646D6F" w:rsidRPr="00830F4C" w:rsidRDefault="00646D6F" w:rsidP="00646D6F">
            <w:pPr>
              <w:jc w:val="center"/>
              <w:rPr>
                <w:rFonts w:ascii="Garamond" w:hAnsi="Garamond"/>
                <w:b/>
                <w:sz w:val="20"/>
                <w:szCs w:val="20"/>
              </w:rPr>
            </w:pPr>
            <w:r w:rsidRPr="00830F4C">
              <w:rPr>
                <w:rFonts w:ascii="Garamond" w:hAnsi="Garamond"/>
                <w:b/>
                <w:sz w:val="20"/>
                <w:szCs w:val="20"/>
              </w:rPr>
              <w:t>2.48%</w:t>
            </w:r>
          </w:p>
        </w:tc>
      </w:tr>
    </w:tbl>
    <w:p w14:paraId="3543ABB1" w14:textId="4D2D9568" w:rsidR="00646D6F" w:rsidRPr="00830F4C" w:rsidRDefault="00646D6F" w:rsidP="00646D6F">
      <w:pPr>
        <w:ind w:firstLine="284"/>
        <w:jc w:val="both"/>
        <w:rPr>
          <w:rFonts w:ascii="Garamond" w:hAnsi="Garamond"/>
        </w:rPr>
      </w:pPr>
      <w:r w:rsidRPr="00830F4C">
        <w:rPr>
          <w:rFonts w:ascii="Garamond" w:hAnsi="Garamond"/>
        </w:rPr>
        <w:t>Kjo Strategji është e strukturuar në tr</w:t>
      </w:r>
      <w:r w:rsidR="00F23DA2" w:rsidRPr="00830F4C">
        <w:rPr>
          <w:rFonts w:ascii="Garamond" w:hAnsi="Garamond"/>
        </w:rPr>
        <w:t>i</w:t>
      </w:r>
      <w:r w:rsidRPr="00830F4C">
        <w:rPr>
          <w:rFonts w:ascii="Garamond" w:hAnsi="Garamond"/>
        </w:rPr>
        <w:t xml:space="preserve"> shtylla, me disa komponentë në secilën shtyllë, sipas figurës më poshtë. </w:t>
      </w:r>
    </w:p>
    <w:p w14:paraId="001E6A77" w14:textId="77777777" w:rsidR="00646D6F" w:rsidRPr="00830F4C" w:rsidRDefault="00646D6F" w:rsidP="00646D6F">
      <w:pPr>
        <w:ind w:firstLine="284"/>
        <w:jc w:val="both"/>
        <w:rPr>
          <w:rFonts w:ascii="Garamond" w:hAnsi="Garamond"/>
        </w:rPr>
      </w:pPr>
      <w:r w:rsidRPr="00830F4C">
        <w:rPr>
          <w:rFonts w:ascii="Garamond" w:hAnsi="Garamond"/>
        </w:rPr>
        <w:t>Të ardhurat që do të gjenerohen nga secila shtyllë janë paraqitur në tabelën e mëposhtme, në vlerë nominale në lekë dhe në përqindje të PBB-së së vitit referues.</w:t>
      </w:r>
    </w:p>
    <w:p w14:paraId="29E6FD72" w14:textId="1751CE50" w:rsidR="00646D6F" w:rsidRPr="00830F4C" w:rsidRDefault="00646D6F" w:rsidP="00723888">
      <w:pPr>
        <w:pStyle w:val="Caption"/>
        <w:keepNext/>
        <w:spacing w:after="0"/>
        <w:ind w:firstLine="284"/>
        <w:rPr>
          <w:rFonts w:ascii="Garamond" w:hAnsi="Garamond"/>
          <w:color w:val="auto"/>
          <w:sz w:val="24"/>
          <w:szCs w:val="24"/>
        </w:rPr>
      </w:pPr>
      <w:bookmarkStart w:id="20" w:name="_Toc185235132"/>
      <w:r w:rsidRPr="00830F4C">
        <w:rPr>
          <w:rFonts w:ascii="Garamond" w:hAnsi="Garamond"/>
          <w:color w:val="auto"/>
          <w:sz w:val="24"/>
          <w:szCs w:val="24"/>
        </w:rPr>
        <w:t xml:space="preserve">Tabela </w:t>
      </w:r>
      <w:r w:rsidRPr="00830F4C">
        <w:rPr>
          <w:rFonts w:ascii="Garamond" w:hAnsi="Garamond"/>
          <w:color w:val="auto"/>
          <w:sz w:val="24"/>
          <w:szCs w:val="24"/>
        </w:rPr>
        <w:fldChar w:fldCharType="begin"/>
      </w:r>
      <w:r w:rsidRPr="00830F4C">
        <w:rPr>
          <w:rFonts w:ascii="Garamond" w:hAnsi="Garamond"/>
          <w:color w:val="auto"/>
          <w:sz w:val="24"/>
          <w:szCs w:val="24"/>
        </w:rPr>
        <w:instrText xml:space="preserve"> SEQ Tabela \* ARABIC </w:instrText>
      </w:r>
      <w:r w:rsidRPr="00830F4C">
        <w:rPr>
          <w:rFonts w:ascii="Garamond" w:hAnsi="Garamond"/>
          <w:color w:val="auto"/>
          <w:sz w:val="24"/>
          <w:szCs w:val="24"/>
        </w:rPr>
        <w:fldChar w:fldCharType="separate"/>
      </w:r>
      <w:r w:rsidRPr="00830F4C">
        <w:rPr>
          <w:rFonts w:ascii="Garamond" w:hAnsi="Garamond"/>
          <w:color w:val="auto"/>
          <w:sz w:val="24"/>
          <w:szCs w:val="24"/>
        </w:rPr>
        <w:t>7</w:t>
      </w:r>
      <w:r w:rsidRPr="00830F4C">
        <w:rPr>
          <w:rFonts w:ascii="Garamond" w:hAnsi="Garamond"/>
          <w:color w:val="auto"/>
          <w:sz w:val="24"/>
          <w:szCs w:val="24"/>
        </w:rPr>
        <w:fldChar w:fldCharType="end"/>
      </w:r>
      <w:r w:rsidRPr="00830F4C">
        <w:rPr>
          <w:rFonts w:ascii="Garamond" w:hAnsi="Garamond"/>
          <w:color w:val="auto"/>
          <w:sz w:val="24"/>
          <w:szCs w:val="24"/>
        </w:rPr>
        <w:t>:</w:t>
      </w:r>
      <w:r w:rsidR="00F23DA2" w:rsidRPr="00830F4C">
        <w:rPr>
          <w:rFonts w:ascii="Garamond" w:hAnsi="Garamond"/>
          <w:color w:val="auto"/>
          <w:sz w:val="24"/>
          <w:szCs w:val="24"/>
        </w:rPr>
        <w:t xml:space="preserve"> </w:t>
      </w:r>
      <w:r w:rsidRPr="00830F4C">
        <w:rPr>
          <w:rFonts w:ascii="Garamond" w:hAnsi="Garamond"/>
          <w:color w:val="auto"/>
          <w:sz w:val="24"/>
          <w:szCs w:val="24"/>
        </w:rPr>
        <w:t>Rritja e të ardhurave vjetore nga zbatimi i Strategjisë, sipas shtyllave</w:t>
      </w:r>
      <w:bookmarkEnd w:id="20"/>
    </w:p>
    <w:p w14:paraId="1D95CA52" w14:textId="448E0DC1" w:rsidR="00646D6F" w:rsidRPr="00830F4C" w:rsidRDefault="00646D6F" w:rsidP="00F23DA2">
      <w:pPr>
        <w:pStyle w:val="NoSpacing"/>
        <w:jc w:val="center"/>
        <w:rPr>
          <w:rFonts w:ascii="Garamond" w:hAnsi="Garamond"/>
          <w:i/>
          <w:sz w:val="20"/>
          <w:szCs w:val="20"/>
        </w:rPr>
      </w:pPr>
      <w:r w:rsidRPr="00830F4C">
        <w:rPr>
          <w:rFonts w:ascii="Garamond" w:hAnsi="Garamond"/>
          <w:i/>
          <w:sz w:val="20"/>
          <w:szCs w:val="20"/>
        </w:rPr>
        <w:t>në % të PPB</w:t>
      </w:r>
    </w:p>
    <w:tbl>
      <w:tblPr>
        <w:tblW w:w="0" w:type="auto"/>
        <w:tblLook w:val="04A0" w:firstRow="1" w:lastRow="0" w:firstColumn="1" w:lastColumn="0" w:noHBand="0" w:noVBand="1"/>
      </w:tblPr>
      <w:tblGrid>
        <w:gridCol w:w="3193"/>
        <w:gridCol w:w="729"/>
        <w:gridCol w:w="729"/>
        <w:gridCol w:w="729"/>
        <w:gridCol w:w="729"/>
        <w:gridCol w:w="1625"/>
      </w:tblGrid>
      <w:tr w:rsidR="00646D6F" w:rsidRPr="00830F4C" w14:paraId="54A373B2" w14:textId="77777777" w:rsidTr="00646D6F">
        <w:trPr>
          <w:trHeight w:val="20"/>
        </w:trPr>
        <w:tc>
          <w:tcPr>
            <w:tcW w:w="0" w:type="auto"/>
            <w:tcBorders>
              <w:top w:val="single" w:sz="8" w:space="0" w:color="F7CAAC"/>
              <w:left w:val="single" w:sz="8" w:space="0" w:color="F7CAAC"/>
              <w:bottom w:val="single" w:sz="12" w:space="0" w:color="F4B083"/>
              <w:right w:val="single" w:sz="8" w:space="0" w:color="F7CAAC"/>
            </w:tcBorders>
            <w:shd w:val="clear" w:color="auto" w:fill="auto"/>
            <w:hideMark/>
          </w:tcPr>
          <w:p w14:paraId="167F6DBB" w14:textId="03D7CA51" w:rsidR="00646D6F" w:rsidRPr="00830F4C" w:rsidRDefault="00646D6F" w:rsidP="00646D6F">
            <w:pPr>
              <w:jc w:val="center"/>
              <w:rPr>
                <w:rFonts w:ascii="Garamond" w:hAnsi="Garamond"/>
                <w:b/>
                <w:sz w:val="20"/>
                <w:szCs w:val="20"/>
              </w:rPr>
            </w:pPr>
            <w:r w:rsidRPr="00830F4C">
              <w:rPr>
                <w:rFonts w:ascii="Garamond" w:hAnsi="Garamond"/>
                <w:b/>
                <w:sz w:val="20"/>
                <w:szCs w:val="20"/>
              </w:rPr>
              <w:t xml:space="preserve">Shtyllat e </w:t>
            </w:r>
            <w:r w:rsidR="00F23DA2" w:rsidRPr="00830F4C">
              <w:rPr>
                <w:rFonts w:ascii="Garamond" w:hAnsi="Garamond"/>
                <w:b/>
                <w:sz w:val="20"/>
                <w:szCs w:val="20"/>
              </w:rPr>
              <w:t>s</w:t>
            </w:r>
            <w:r w:rsidRPr="00830F4C">
              <w:rPr>
                <w:rFonts w:ascii="Garamond" w:hAnsi="Garamond"/>
                <w:b/>
                <w:sz w:val="20"/>
                <w:szCs w:val="20"/>
              </w:rPr>
              <w:t>trategjisë</w:t>
            </w:r>
          </w:p>
        </w:tc>
        <w:tc>
          <w:tcPr>
            <w:tcW w:w="0" w:type="auto"/>
            <w:tcBorders>
              <w:top w:val="single" w:sz="8" w:space="0" w:color="F7CAAC"/>
              <w:left w:val="nil"/>
              <w:bottom w:val="single" w:sz="12" w:space="0" w:color="F4B083"/>
              <w:right w:val="single" w:sz="8" w:space="0" w:color="F7CAAC"/>
            </w:tcBorders>
            <w:shd w:val="clear" w:color="auto" w:fill="auto"/>
            <w:hideMark/>
          </w:tcPr>
          <w:p w14:paraId="31A14C6B" w14:textId="77777777" w:rsidR="00646D6F" w:rsidRPr="00830F4C" w:rsidRDefault="00646D6F" w:rsidP="00646D6F">
            <w:pPr>
              <w:jc w:val="center"/>
              <w:rPr>
                <w:rFonts w:ascii="Garamond" w:hAnsi="Garamond"/>
                <w:b/>
                <w:sz w:val="20"/>
                <w:szCs w:val="20"/>
              </w:rPr>
            </w:pPr>
            <w:r w:rsidRPr="00830F4C">
              <w:rPr>
                <w:rFonts w:ascii="Garamond" w:hAnsi="Garamond"/>
                <w:b/>
                <w:sz w:val="20"/>
                <w:szCs w:val="20"/>
              </w:rPr>
              <w:t>2024</w:t>
            </w:r>
          </w:p>
        </w:tc>
        <w:tc>
          <w:tcPr>
            <w:tcW w:w="0" w:type="auto"/>
            <w:tcBorders>
              <w:top w:val="single" w:sz="8" w:space="0" w:color="F7CAAC"/>
              <w:left w:val="nil"/>
              <w:bottom w:val="single" w:sz="12" w:space="0" w:color="F4B083"/>
              <w:right w:val="single" w:sz="8" w:space="0" w:color="F7CAAC"/>
            </w:tcBorders>
            <w:shd w:val="clear" w:color="auto" w:fill="auto"/>
            <w:hideMark/>
          </w:tcPr>
          <w:p w14:paraId="13FD622A" w14:textId="77777777" w:rsidR="00646D6F" w:rsidRPr="00830F4C" w:rsidRDefault="00646D6F" w:rsidP="00646D6F">
            <w:pPr>
              <w:jc w:val="center"/>
              <w:rPr>
                <w:rFonts w:ascii="Garamond" w:hAnsi="Garamond"/>
                <w:b/>
                <w:sz w:val="20"/>
                <w:szCs w:val="20"/>
              </w:rPr>
            </w:pPr>
            <w:r w:rsidRPr="00830F4C">
              <w:rPr>
                <w:rFonts w:ascii="Garamond" w:hAnsi="Garamond"/>
                <w:b/>
                <w:sz w:val="20"/>
                <w:szCs w:val="20"/>
              </w:rPr>
              <w:t>2025</w:t>
            </w:r>
          </w:p>
        </w:tc>
        <w:tc>
          <w:tcPr>
            <w:tcW w:w="0" w:type="auto"/>
            <w:tcBorders>
              <w:top w:val="single" w:sz="8" w:space="0" w:color="F7CAAC"/>
              <w:left w:val="nil"/>
              <w:bottom w:val="single" w:sz="12" w:space="0" w:color="F4B083"/>
              <w:right w:val="single" w:sz="8" w:space="0" w:color="F7CAAC"/>
            </w:tcBorders>
            <w:shd w:val="clear" w:color="auto" w:fill="auto"/>
            <w:hideMark/>
          </w:tcPr>
          <w:p w14:paraId="7AABAF0F" w14:textId="77777777" w:rsidR="00646D6F" w:rsidRPr="00830F4C" w:rsidRDefault="00646D6F" w:rsidP="00646D6F">
            <w:pPr>
              <w:jc w:val="center"/>
              <w:rPr>
                <w:rFonts w:ascii="Garamond" w:hAnsi="Garamond"/>
                <w:b/>
                <w:sz w:val="20"/>
                <w:szCs w:val="20"/>
              </w:rPr>
            </w:pPr>
            <w:r w:rsidRPr="00830F4C">
              <w:rPr>
                <w:rFonts w:ascii="Garamond" w:hAnsi="Garamond"/>
                <w:b/>
                <w:sz w:val="20"/>
                <w:szCs w:val="20"/>
              </w:rPr>
              <w:t>2026</w:t>
            </w:r>
          </w:p>
        </w:tc>
        <w:tc>
          <w:tcPr>
            <w:tcW w:w="0" w:type="auto"/>
            <w:tcBorders>
              <w:top w:val="single" w:sz="8" w:space="0" w:color="F7CAAC"/>
              <w:left w:val="nil"/>
              <w:bottom w:val="single" w:sz="12" w:space="0" w:color="F4B083"/>
              <w:right w:val="single" w:sz="8" w:space="0" w:color="F7CAAC"/>
            </w:tcBorders>
            <w:shd w:val="clear" w:color="auto" w:fill="auto"/>
            <w:hideMark/>
          </w:tcPr>
          <w:p w14:paraId="2767CF6E" w14:textId="77777777" w:rsidR="00646D6F" w:rsidRPr="00830F4C" w:rsidRDefault="00646D6F" w:rsidP="00646D6F">
            <w:pPr>
              <w:jc w:val="center"/>
              <w:rPr>
                <w:rFonts w:ascii="Garamond" w:hAnsi="Garamond"/>
                <w:b/>
                <w:sz w:val="20"/>
                <w:szCs w:val="20"/>
              </w:rPr>
            </w:pPr>
            <w:r w:rsidRPr="00830F4C">
              <w:rPr>
                <w:rFonts w:ascii="Garamond" w:hAnsi="Garamond"/>
                <w:b/>
                <w:sz w:val="20"/>
                <w:szCs w:val="20"/>
              </w:rPr>
              <w:t>2027</w:t>
            </w:r>
          </w:p>
        </w:tc>
        <w:tc>
          <w:tcPr>
            <w:tcW w:w="0" w:type="auto"/>
            <w:tcBorders>
              <w:top w:val="single" w:sz="8" w:space="0" w:color="F7CAAC"/>
              <w:left w:val="nil"/>
              <w:bottom w:val="single" w:sz="12" w:space="0" w:color="F4B083"/>
              <w:right w:val="single" w:sz="8" w:space="0" w:color="F7CAAC"/>
            </w:tcBorders>
            <w:shd w:val="clear" w:color="auto" w:fill="auto"/>
            <w:hideMark/>
          </w:tcPr>
          <w:p w14:paraId="548D87E6" w14:textId="2BF932A1" w:rsidR="00646D6F" w:rsidRPr="00830F4C" w:rsidRDefault="00646D6F" w:rsidP="00646D6F">
            <w:pPr>
              <w:jc w:val="center"/>
              <w:rPr>
                <w:rFonts w:ascii="Garamond" w:hAnsi="Garamond"/>
                <w:b/>
                <w:sz w:val="20"/>
                <w:szCs w:val="20"/>
              </w:rPr>
            </w:pPr>
            <w:r w:rsidRPr="00830F4C">
              <w:rPr>
                <w:rFonts w:ascii="Garamond" w:hAnsi="Garamond"/>
                <w:b/>
                <w:sz w:val="20"/>
                <w:szCs w:val="20"/>
              </w:rPr>
              <w:t>Totali 2024</w:t>
            </w:r>
            <w:r w:rsidR="00D22EA5" w:rsidRPr="00830F4C">
              <w:rPr>
                <w:rFonts w:ascii="Garamond" w:hAnsi="Garamond"/>
                <w:sz w:val="20"/>
                <w:szCs w:val="20"/>
              </w:rPr>
              <w:t>–</w:t>
            </w:r>
            <w:r w:rsidRPr="00830F4C">
              <w:rPr>
                <w:rFonts w:ascii="Garamond" w:hAnsi="Garamond"/>
                <w:b/>
                <w:sz w:val="20"/>
                <w:szCs w:val="20"/>
              </w:rPr>
              <w:t>2027</w:t>
            </w:r>
          </w:p>
        </w:tc>
      </w:tr>
      <w:tr w:rsidR="00646D6F" w:rsidRPr="00830F4C" w14:paraId="47D77813" w14:textId="77777777" w:rsidTr="00646D6F">
        <w:trPr>
          <w:trHeight w:val="20"/>
        </w:trPr>
        <w:tc>
          <w:tcPr>
            <w:tcW w:w="0" w:type="auto"/>
            <w:tcBorders>
              <w:top w:val="nil"/>
              <w:left w:val="single" w:sz="8" w:space="0" w:color="F7CAAC"/>
              <w:bottom w:val="single" w:sz="8" w:space="0" w:color="F7CAAC"/>
              <w:right w:val="single" w:sz="8" w:space="0" w:color="F7CAAC"/>
            </w:tcBorders>
            <w:shd w:val="clear" w:color="auto" w:fill="auto"/>
            <w:hideMark/>
          </w:tcPr>
          <w:p w14:paraId="1D9A5825" w14:textId="77777777" w:rsidR="00646D6F" w:rsidRPr="00830F4C" w:rsidRDefault="00646D6F" w:rsidP="00646D6F">
            <w:pPr>
              <w:jc w:val="center"/>
              <w:rPr>
                <w:rFonts w:ascii="Garamond" w:hAnsi="Garamond"/>
                <w:sz w:val="20"/>
                <w:szCs w:val="20"/>
              </w:rPr>
            </w:pPr>
            <w:r w:rsidRPr="00830F4C">
              <w:rPr>
                <w:rFonts w:ascii="Garamond" w:hAnsi="Garamond"/>
                <w:sz w:val="20"/>
                <w:szCs w:val="20"/>
              </w:rPr>
              <w:t>Shtylla 1: Rishikimi i politikës tatimore</w:t>
            </w:r>
          </w:p>
        </w:tc>
        <w:tc>
          <w:tcPr>
            <w:tcW w:w="0" w:type="auto"/>
            <w:tcBorders>
              <w:top w:val="nil"/>
              <w:left w:val="nil"/>
              <w:bottom w:val="single" w:sz="8" w:space="0" w:color="F7CAAC"/>
              <w:right w:val="single" w:sz="8" w:space="0" w:color="F7CAAC"/>
            </w:tcBorders>
            <w:shd w:val="clear" w:color="auto" w:fill="auto"/>
            <w:hideMark/>
          </w:tcPr>
          <w:p w14:paraId="45344D2C" w14:textId="77777777" w:rsidR="00646D6F" w:rsidRPr="00830F4C" w:rsidRDefault="00646D6F" w:rsidP="00646D6F">
            <w:pPr>
              <w:jc w:val="center"/>
              <w:rPr>
                <w:rFonts w:ascii="Garamond" w:hAnsi="Garamond"/>
                <w:sz w:val="20"/>
                <w:szCs w:val="20"/>
              </w:rPr>
            </w:pPr>
            <w:r w:rsidRPr="00830F4C">
              <w:rPr>
                <w:rFonts w:ascii="Garamond" w:hAnsi="Garamond"/>
                <w:sz w:val="20"/>
                <w:szCs w:val="20"/>
              </w:rPr>
              <w:t>0.04%</w:t>
            </w:r>
          </w:p>
        </w:tc>
        <w:tc>
          <w:tcPr>
            <w:tcW w:w="0" w:type="auto"/>
            <w:tcBorders>
              <w:top w:val="nil"/>
              <w:left w:val="nil"/>
              <w:bottom w:val="single" w:sz="8" w:space="0" w:color="F7CAAC"/>
              <w:right w:val="single" w:sz="8" w:space="0" w:color="F7CAAC"/>
            </w:tcBorders>
            <w:shd w:val="clear" w:color="auto" w:fill="auto"/>
            <w:hideMark/>
          </w:tcPr>
          <w:p w14:paraId="028160A3" w14:textId="77777777" w:rsidR="00646D6F" w:rsidRPr="00830F4C" w:rsidRDefault="00646D6F" w:rsidP="00646D6F">
            <w:pPr>
              <w:jc w:val="center"/>
              <w:rPr>
                <w:rFonts w:ascii="Garamond" w:hAnsi="Garamond"/>
                <w:sz w:val="20"/>
                <w:szCs w:val="20"/>
              </w:rPr>
            </w:pPr>
            <w:r w:rsidRPr="00830F4C">
              <w:rPr>
                <w:rFonts w:ascii="Garamond" w:hAnsi="Garamond"/>
                <w:sz w:val="20"/>
                <w:szCs w:val="20"/>
              </w:rPr>
              <w:t>0.03%</w:t>
            </w:r>
          </w:p>
        </w:tc>
        <w:tc>
          <w:tcPr>
            <w:tcW w:w="0" w:type="auto"/>
            <w:tcBorders>
              <w:top w:val="nil"/>
              <w:left w:val="nil"/>
              <w:bottom w:val="single" w:sz="8" w:space="0" w:color="F7CAAC"/>
              <w:right w:val="single" w:sz="8" w:space="0" w:color="F7CAAC"/>
            </w:tcBorders>
            <w:shd w:val="clear" w:color="auto" w:fill="auto"/>
            <w:hideMark/>
          </w:tcPr>
          <w:p w14:paraId="386503EA" w14:textId="77777777" w:rsidR="00646D6F" w:rsidRPr="00830F4C" w:rsidRDefault="00646D6F" w:rsidP="00646D6F">
            <w:pPr>
              <w:jc w:val="center"/>
              <w:rPr>
                <w:rFonts w:ascii="Garamond" w:hAnsi="Garamond"/>
                <w:sz w:val="20"/>
                <w:szCs w:val="20"/>
              </w:rPr>
            </w:pPr>
            <w:r w:rsidRPr="00830F4C">
              <w:rPr>
                <w:rFonts w:ascii="Garamond" w:hAnsi="Garamond"/>
                <w:sz w:val="20"/>
                <w:szCs w:val="20"/>
              </w:rPr>
              <w:t>0.04%</w:t>
            </w:r>
          </w:p>
        </w:tc>
        <w:tc>
          <w:tcPr>
            <w:tcW w:w="0" w:type="auto"/>
            <w:tcBorders>
              <w:top w:val="nil"/>
              <w:left w:val="nil"/>
              <w:bottom w:val="single" w:sz="8" w:space="0" w:color="F7CAAC"/>
              <w:right w:val="single" w:sz="8" w:space="0" w:color="F7CAAC"/>
            </w:tcBorders>
            <w:shd w:val="clear" w:color="auto" w:fill="auto"/>
            <w:hideMark/>
          </w:tcPr>
          <w:p w14:paraId="1653F26B" w14:textId="77777777" w:rsidR="00646D6F" w:rsidRPr="00830F4C" w:rsidRDefault="00646D6F" w:rsidP="00646D6F">
            <w:pPr>
              <w:jc w:val="center"/>
              <w:rPr>
                <w:rFonts w:ascii="Garamond" w:hAnsi="Garamond"/>
                <w:sz w:val="20"/>
                <w:szCs w:val="20"/>
              </w:rPr>
            </w:pPr>
            <w:r w:rsidRPr="00830F4C">
              <w:rPr>
                <w:rFonts w:ascii="Garamond" w:hAnsi="Garamond"/>
                <w:sz w:val="20"/>
                <w:szCs w:val="20"/>
              </w:rPr>
              <w:t>0.23%</w:t>
            </w:r>
          </w:p>
        </w:tc>
        <w:tc>
          <w:tcPr>
            <w:tcW w:w="0" w:type="auto"/>
            <w:tcBorders>
              <w:top w:val="nil"/>
              <w:left w:val="nil"/>
              <w:bottom w:val="single" w:sz="8" w:space="0" w:color="F7CAAC"/>
              <w:right w:val="single" w:sz="8" w:space="0" w:color="F7CAAC"/>
            </w:tcBorders>
            <w:shd w:val="clear" w:color="auto" w:fill="auto"/>
            <w:hideMark/>
          </w:tcPr>
          <w:p w14:paraId="2D87A526" w14:textId="77777777" w:rsidR="00646D6F" w:rsidRPr="00830F4C" w:rsidRDefault="00646D6F" w:rsidP="00646D6F">
            <w:pPr>
              <w:jc w:val="center"/>
              <w:rPr>
                <w:rFonts w:ascii="Garamond" w:hAnsi="Garamond"/>
                <w:b/>
                <w:sz w:val="20"/>
                <w:szCs w:val="20"/>
              </w:rPr>
            </w:pPr>
            <w:r w:rsidRPr="00830F4C">
              <w:rPr>
                <w:rFonts w:ascii="Garamond" w:hAnsi="Garamond"/>
                <w:sz w:val="20"/>
                <w:szCs w:val="20"/>
              </w:rPr>
              <w:t>0.34%</w:t>
            </w:r>
          </w:p>
        </w:tc>
      </w:tr>
      <w:tr w:rsidR="00646D6F" w:rsidRPr="00830F4C" w14:paraId="1AD81DA2" w14:textId="77777777" w:rsidTr="00646D6F">
        <w:trPr>
          <w:trHeight w:val="20"/>
        </w:trPr>
        <w:tc>
          <w:tcPr>
            <w:tcW w:w="0" w:type="auto"/>
            <w:tcBorders>
              <w:top w:val="nil"/>
              <w:left w:val="single" w:sz="8" w:space="0" w:color="F7CAAC"/>
              <w:bottom w:val="single" w:sz="8" w:space="0" w:color="F7CAAC"/>
              <w:right w:val="single" w:sz="8" w:space="0" w:color="F7CAAC"/>
            </w:tcBorders>
            <w:shd w:val="clear" w:color="auto" w:fill="auto"/>
            <w:hideMark/>
          </w:tcPr>
          <w:p w14:paraId="30263F81" w14:textId="77777777" w:rsidR="00646D6F" w:rsidRPr="00830F4C" w:rsidRDefault="00646D6F" w:rsidP="00CE2EE7">
            <w:pPr>
              <w:rPr>
                <w:rFonts w:ascii="Garamond" w:hAnsi="Garamond"/>
                <w:sz w:val="20"/>
                <w:szCs w:val="20"/>
              </w:rPr>
            </w:pPr>
            <w:r w:rsidRPr="00830F4C">
              <w:rPr>
                <w:rFonts w:ascii="Garamond" w:hAnsi="Garamond"/>
                <w:sz w:val="20"/>
                <w:szCs w:val="20"/>
              </w:rPr>
              <w:t>Shtylla 2: Mirëadministrimi tatimor</w:t>
            </w:r>
          </w:p>
        </w:tc>
        <w:tc>
          <w:tcPr>
            <w:tcW w:w="0" w:type="auto"/>
            <w:tcBorders>
              <w:top w:val="nil"/>
              <w:left w:val="nil"/>
              <w:bottom w:val="single" w:sz="8" w:space="0" w:color="F7CAAC"/>
              <w:right w:val="single" w:sz="8" w:space="0" w:color="F7CAAC"/>
            </w:tcBorders>
            <w:shd w:val="clear" w:color="auto" w:fill="auto"/>
            <w:hideMark/>
          </w:tcPr>
          <w:p w14:paraId="465F0018" w14:textId="77777777" w:rsidR="00646D6F" w:rsidRPr="00830F4C" w:rsidRDefault="00646D6F" w:rsidP="00646D6F">
            <w:pPr>
              <w:jc w:val="center"/>
              <w:rPr>
                <w:rFonts w:ascii="Garamond" w:hAnsi="Garamond"/>
                <w:sz w:val="20"/>
                <w:szCs w:val="20"/>
              </w:rPr>
            </w:pPr>
            <w:r w:rsidRPr="00830F4C">
              <w:rPr>
                <w:rFonts w:ascii="Garamond" w:hAnsi="Garamond"/>
                <w:sz w:val="20"/>
                <w:szCs w:val="20"/>
              </w:rPr>
              <w:t>0.68%</w:t>
            </w:r>
          </w:p>
        </w:tc>
        <w:tc>
          <w:tcPr>
            <w:tcW w:w="0" w:type="auto"/>
            <w:tcBorders>
              <w:top w:val="nil"/>
              <w:left w:val="nil"/>
              <w:bottom w:val="single" w:sz="8" w:space="0" w:color="F7CAAC"/>
              <w:right w:val="single" w:sz="8" w:space="0" w:color="F7CAAC"/>
            </w:tcBorders>
            <w:shd w:val="clear" w:color="auto" w:fill="auto"/>
            <w:hideMark/>
          </w:tcPr>
          <w:p w14:paraId="45937674" w14:textId="77777777" w:rsidR="00646D6F" w:rsidRPr="00830F4C" w:rsidRDefault="00646D6F" w:rsidP="00646D6F">
            <w:pPr>
              <w:jc w:val="center"/>
              <w:rPr>
                <w:rFonts w:ascii="Garamond" w:hAnsi="Garamond"/>
                <w:sz w:val="20"/>
                <w:szCs w:val="20"/>
              </w:rPr>
            </w:pPr>
            <w:r w:rsidRPr="00830F4C">
              <w:rPr>
                <w:rFonts w:ascii="Garamond" w:hAnsi="Garamond"/>
                <w:sz w:val="20"/>
                <w:szCs w:val="20"/>
              </w:rPr>
              <w:t>0.54%</w:t>
            </w:r>
          </w:p>
        </w:tc>
        <w:tc>
          <w:tcPr>
            <w:tcW w:w="0" w:type="auto"/>
            <w:tcBorders>
              <w:top w:val="nil"/>
              <w:left w:val="nil"/>
              <w:bottom w:val="single" w:sz="8" w:space="0" w:color="F7CAAC"/>
              <w:right w:val="single" w:sz="8" w:space="0" w:color="F7CAAC"/>
            </w:tcBorders>
            <w:shd w:val="clear" w:color="auto" w:fill="auto"/>
            <w:hideMark/>
          </w:tcPr>
          <w:p w14:paraId="453422E5" w14:textId="77777777" w:rsidR="00646D6F" w:rsidRPr="00830F4C" w:rsidRDefault="00646D6F" w:rsidP="00646D6F">
            <w:pPr>
              <w:jc w:val="center"/>
              <w:rPr>
                <w:rFonts w:ascii="Garamond" w:hAnsi="Garamond"/>
                <w:sz w:val="20"/>
                <w:szCs w:val="20"/>
              </w:rPr>
            </w:pPr>
            <w:r w:rsidRPr="00830F4C">
              <w:rPr>
                <w:rFonts w:ascii="Garamond" w:hAnsi="Garamond"/>
                <w:sz w:val="20"/>
                <w:szCs w:val="20"/>
              </w:rPr>
              <w:t>0.37%</w:t>
            </w:r>
          </w:p>
        </w:tc>
        <w:tc>
          <w:tcPr>
            <w:tcW w:w="0" w:type="auto"/>
            <w:tcBorders>
              <w:top w:val="nil"/>
              <w:left w:val="nil"/>
              <w:bottom w:val="single" w:sz="8" w:space="0" w:color="F7CAAC"/>
              <w:right w:val="single" w:sz="8" w:space="0" w:color="F7CAAC"/>
            </w:tcBorders>
            <w:shd w:val="clear" w:color="auto" w:fill="auto"/>
            <w:hideMark/>
          </w:tcPr>
          <w:p w14:paraId="7C2B9476" w14:textId="77777777" w:rsidR="00646D6F" w:rsidRPr="00830F4C" w:rsidRDefault="00646D6F" w:rsidP="00646D6F">
            <w:pPr>
              <w:jc w:val="center"/>
              <w:rPr>
                <w:rFonts w:ascii="Garamond" w:hAnsi="Garamond"/>
                <w:sz w:val="20"/>
                <w:szCs w:val="20"/>
              </w:rPr>
            </w:pPr>
            <w:r w:rsidRPr="00830F4C">
              <w:rPr>
                <w:rFonts w:ascii="Garamond" w:hAnsi="Garamond"/>
                <w:sz w:val="20"/>
                <w:szCs w:val="20"/>
              </w:rPr>
              <w:t>0.38%</w:t>
            </w:r>
          </w:p>
        </w:tc>
        <w:tc>
          <w:tcPr>
            <w:tcW w:w="0" w:type="auto"/>
            <w:tcBorders>
              <w:top w:val="nil"/>
              <w:left w:val="nil"/>
              <w:bottom w:val="single" w:sz="8" w:space="0" w:color="F7CAAC"/>
              <w:right w:val="single" w:sz="8" w:space="0" w:color="F7CAAC"/>
            </w:tcBorders>
            <w:shd w:val="clear" w:color="auto" w:fill="auto"/>
            <w:hideMark/>
          </w:tcPr>
          <w:p w14:paraId="2EEB7AF0" w14:textId="77777777" w:rsidR="00646D6F" w:rsidRPr="00830F4C" w:rsidRDefault="00646D6F" w:rsidP="00646D6F">
            <w:pPr>
              <w:jc w:val="center"/>
              <w:rPr>
                <w:rFonts w:ascii="Garamond" w:hAnsi="Garamond"/>
                <w:b/>
                <w:sz w:val="20"/>
                <w:szCs w:val="20"/>
              </w:rPr>
            </w:pPr>
            <w:r w:rsidRPr="00830F4C">
              <w:rPr>
                <w:rFonts w:ascii="Garamond" w:hAnsi="Garamond"/>
                <w:sz w:val="20"/>
                <w:szCs w:val="20"/>
              </w:rPr>
              <w:t>1.97%</w:t>
            </w:r>
          </w:p>
        </w:tc>
      </w:tr>
      <w:tr w:rsidR="00646D6F" w:rsidRPr="00830F4C" w14:paraId="4D326AE3" w14:textId="77777777" w:rsidTr="00646D6F">
        <w:trPr>
          <w:trHeight w:val="20"/>
        </w:trPr>
        <w:tc>
          <w:tcPr>
            <w:tcW w:w="0" w:type="auto"/>
            <w:tcBorders>
              <w:top w:val="nil"/>
              <w:left w:val="single" w:sz="8" w:space="0" w:color="F7CAAC"/>
              <w:bottom w:val="single" w:sz="8" w:space="0" w:color="F7CAAC"/>
              <w:right w:val="single" w:sz="8" w:space="0" w:color="F7CAAC"/>
            </w:tcBorders>
            <w:shd w:val="clear" w:color="auto" w:fill="auto"/>
            <w:hideMark/>
          </w:tcPr>
          <w:p w14:paraId="6FF59E86" w14:textId="77777777" w:rsidR="00646D6F" w:rsidRPr="00830F4C" w:rsidRDefault="00646D6F" w:rsidP="00CE2EE7">
            <w:pPr>
              <w:rPr>
                <w:rFonts w:ascii="Garamond" w:hAnsi="Garamond"/>
                <w:sz w:val="20"/>
                <w:szCs w:val="20"/>
              </w:rPr>
            </w:pPr>
            <w:r w:rsidRPr="00830F4C">
              <w:rPr>
                <w:rFonts w:ascii="Garamond" w:hAnsi="Garamond"/>
                <w:sz w:val="20"/>
                <w:szCs w:val="20"/>
              </w:rPr>
              <w:t>Shtylla 3: Mirëadministrimi doganor</w:t>
            </w:r>
          </w:p>
        </w:tc>
        <w:tc>
          <w:tcPr>
            <w:tcW w:w="0" w:type="auto"/>
            <w:tcBorders>
              <w:top w:val="nil"/>
              <w:left w:val="nil"/>
              <w:bottom w:val="single" w:sz="8" w:space="0" w:color="F7CAAC"/>
              <w:right w:val="single" w:sz="8" w:space="0" w:color="F7CAAC"/>
            </w:tcBorders>
            <w:shd w:val="clear" w:color="auto" w:fill="auto"/>
            <w:hideMark/>
          </w:tcPr>
          <w:p w14:paraId="3CCF703E" w14:textId="77777777" w:rsidR="00646D6F" w:rsidRPr="00830F4C" w:rsidRDefault="00646D6F" w:rsidP="00646D6F">
            <w:pPr>
              <w:jc w:val="center"/>
              <w:rPr>
                <w:rFonts w:ascii="Garamond" w:hAnsi="Garamond"/>
                <w:sz w:val="20"/>
                <w:szCs w:val="20"/>
              </w:rPr>
            </w:pPr>
            <w:r w:rsidRPr="00830F4C">
              <w:rPr>
                <w:rFonts w:ascii="Garamond" w:hAnsi="Garamond"/>
                <w:sz w:val="20"/>
                <w:szCs w:val="20"/>
              </w:rPr>
              <w:t>0.05%</w:t>
            </w:r>
          </w:p>
        </w:tc>
        <w:tc>
          <w:tcPr>
            <w:tcW w:w="0" w:type="auto"/>
            <w:tcBorders>
              <w:top w:val="nil"/>
              <w:left w:val="nil"/>
              <w:bottom w:val="single" w:sz="8" w:space="0" w:color="F7CAAC"/>
              <w:right w:val="single" w:sz="8" w:space="0" w:color="F7CAAC"/>
            </w:tcBorders>
            <w:shd w:val="clear" w:color="auto" w:fill="auto"/>
            <w:hideMark/>
          </w:tcPr>
          <w:p w14:paraId="7D11D436" w14:textId="77777777" w:rsidR="00646D6F" w:rsidRPr="00830F4C" w:rsidRDefault="00646D6F" w:rsidP="00646D6F">
            <w:pPr>
              <w:jc w:val="center"/>
              <w:rPr>
                <w:rFonts w:ascii="Garamond" w:hAnsi="Garamond"/>
                <w:sz w:val="20"/>
                <w:szCs w:val="20"/>
              </w:rPr>
            </w:pPr>
            <w:r w:rsidRPr="00830F4C">
              <w:rPr>
                <w:rFonts w:ascii="Garamond" w:hAnsi="Garamond"/>
                <w:sz w:val="20"/>
                <w:szCs w:val="20"/>
              </w:rPr>
              <w:t>0.06%</w:t>
            </w:r>
          </w:p>
        </w:tc>
        <w:tc>
          <w:tcPr>
            <w:tcW w:w="0" w:type="auto"/>
            <w:tcBorders>
              <w:top w:val="nil"/>
              <w:left w:val="nil"/>
              <w:bottom w:val="single" w:sz="8" w:space="0" w:color="F7CAAC"/>
              <w:right w:val="single" w:sz="8" w:space="0" w:color="F7CAAC"/>
            </w:tcBorders>
            <w:shd w:val="clear" w:color="auto" w:fill="auto"/>
            <w:hideMark/>
          </w:tcPr>
          <w:p w14:paraId="300705B8" w14:textId="77777777" w:rsidR="00646D6F" w:rsidRPr="00830F4C" w:rsidRDefault="00646D6F" w:rsidP="00646D6F">
            <w:pPr>
              <w:jc w:val="center"/>
              <w:rPr>
                <w:rFonts w:ascii="Garamond" w:hAnsi="Garamond"/>
                <w:sz w:val="20"/>
                <w:szCs w:val="20"/>
              </w:rPr>
            </w:pPr>
            <w:r w:rsidRPr="00830F4C">
              <w:rPr>
                <w:rFonts w:ascii="Garamond" w:hAnsi="Garamond"/>
                <w:sz w:val="20"/>
                <w:szCs w:val="20"/>
              </w:rPr>
              <w:t>0.04%</w:t>
            </w:r>
          </w:p>
        </w:tc>
        <w:tc>
          <w:tcPr>
            <w:tcW w:w="0" w:type="auto"/>
            <w:tcBorders>
              <w:top w:val="nil"/>
              <w:left w:val="nil"/>
              <w:bottom w:val="single" w:sz="8" w:space="0" w:color="F7CAAC"/>
              <w:right w:val="single" w:sz="8" w:space="0" w:color="F7CAAC"/>
            </w:tcBorders>
            <w:shd w:val="clear" w:color="auto" w:fill="auto"/>
            <w:hideMark/>
          </w:tcPr>
          <w:p w14:paraId="18731F1D" w14:textId="77777777" w:rsidR="00646D6F" w:rsidRPr="00830F4C" w:rsidRDefault="00646D6F" w:rsidP="00646D6F">
            <w:pPr>
              <w:jc w:val="center"/>
              <w:rPr>
                <w:rFonts w:ascii="Garamond" w:hAnsi="Garamond"/>
                <w:sz w:val="20"/>
                <w:szCs w:val="20"/>
              </w:rPr>
            </w:pPr>
            <w:r w:rsidRPr="00830F4C">
              <w:rPr>
                <w:rFonts w:ascii="Garamond" w:hAnsi="Garamond"/>
                <w:sz w:val="20"/>
                <w:szCs w:val="20"/>
              </w:rPr>
              <w:t>0.02%</w:t>
            </w:r>
          </w:p>
        </w:tc>
        <w:tc>
          <w:tcPr>
            <w:tcW w:w="0" w:type="auto"/>
            <w:tcBorders>
              <w:top w:val="nil"/>
              <w:left w:val="nil"/>
              <w:bottom w:val="single" w:sz="8" w:space="0" w:color="F7CAAC"/>
              <w:right w:val="single" w:sz="8" w:space="0" w:color="F7CAAC"/>
            </w:tcBorders>
            <w:shd w:val="clear" w:color="auto" w:fill="auto"/>
            <w:hideMark/>
          </w:tcPr>
          <w:p w14:paraId="137D6904" w14:textId="77777777" w:rsidR="00646D6F" w:rsidRPr="00830F4C" w:rsidRDefault="00646D6F" w:rsidP="00646D6F">
            <w:pPr>
              <w:jc w:val="center"/>
              <w:rPr>
                <w:rFonts w:ascii="Garamond" w:hAnsi="Garamond"/>
                <w:b/>
                <w:sz w:val="20"/>
                <w:szCs w:val="20"/>
              </w:rPr>
            </w:pPr>
            <w:r w:rsidRPr="00830F4C">
              <w:rPr>
                <w:rFonts w:ascii="Garamond" w:hAnsi="Garamond"/>
                <w:sz w:val="20"/>
                <w:szCs w:val="20"/>
              </w:rPr>
              <w:t>0.17%</w:t>
            </w:r>
          </w:p>
        </w:tc>
      </w:tr>
      <w:tr w:rsidR="00646D6F" w:rsidRPr="00830F4C" w14:paraId="457A7928" w14:textId="77777777" w:rsidTr="00646D6F">
        <w:trPr>
          <w:trHeight w:val="20"/>
        </w:trPr>
        <w:tc>
          <w:tcPr>
            <w:tcW w:w="0" w:type="auto"/>
            <w:tcBorders>
              <w:top w:val="nil"/>
              <w:left w:val="single" w:sz="8" w:space="0" w:color="F7CAAC"/>
              <w:bottom w:val="single" w:sz="8" w:space="0" w:color="F7CAAC"/>
              <w:right w:val="single" w:sz="8" w:space="0" w:color="F7CAAC"/>
            </w:tcBorders>
            <w:shd w:val="clear" w:color="auto" w:fill="auto"/>
            <w:hideMark/>
          </w:tcPr>
          <w:p w14:paraId="223B554B" w14:textId="77777777" w:rsidR="00646D6F" w:rsidRPr="00830F4C" w:rsidRDefault="00646D6F" w:rsidP="00646D6F">
            <w:pPr>
              <w:jc w:val="center"/>
              <w:rPr>
                <w:rFonts w:ascii="Garamond" w:hAnsi="Garamond"/>
                <w:b/>
                <w:sz w:val="20"/>
                <w:szCs w:val="20"/>
              </w:rPr>
            </w:pPr>
            <w:r w:rsidRPr="00830F4C">
              <w:rPr>
                <w:rFonts w:ascii="Garamond" w:hAnsi="Garamond"/>
                <w:b/>
                <w:sz w:val="20"/>
                <w:szCs w:val="20"/>
              </w:rPr>
              <w:t>Totali</w:t>
            </w:r>
          </w:p>
        </w:tc>
        <w:tc>
          <w:tcPr>
            <w:tcW w:w="0" w:type="auto"/>
            <w:tcBorders>
              <w:top w:val="nil"/>
              <w:left w:val="nil"/>
              <w:bottom w:val="single" w:sz="8" w:space="0" w:color="F7CAAC"/>
              <w:right w:val="single" w:sz="8" w:space="0" w:color="F7CAAC"/>
            </w:tcBorders>
            <w:shd w:val="clear" w:color="auto" w:fill="auto"/>
            <w:hideMark/>
          </w:tcPr>
          <w:p w14:paraId="5943D504" w14:textId="77777777" w:rsidR="00646D6F" w:rsidRPr="00830F4C" w:rsidRDefault="00646D6F" w:rsidP="00646D6F">
            <w:pPr>
              <w:jc w:val="center"/>
              <w:rPr>
                <w:rFonts w:ascii="Garamond" w:hAnsi="Garamond"/>
                <w:b/>
                <w:sz w:val="20"/>
                <w:szCs w:val="20"/>
              </w:rPr>
            </w:pPr>
            <w:r w:rsidRPr="00830F4C">
              <w:rPr>
                <w:rFonts w:ascii="Garamond" w:hAnsi="Garamond"/>
                <w:b/>
                <w:bCs/>
                <w:sz w:val="20"/>
                <w:szCs w:val="20"/>
              </w:rPr>
              <w:t>0.77%</w:t>
            </w:r>
          </w:p>
        </w:tc>
        <w:tc>
          <w:tcPr>
            <w:tcW w:w="0" w:type="auto"/>
            <w:tcBorders>
              <w:top w:val="nil"/>
              <w:left w:val="nil"/>
              <w:bottom w:val="single" w:sz="8" w:space="0" w:color="F7CAAC"/>
              <w:right w:val="single" w:sz="8" w:space="0" w:color="F7CAAC"/>
            </w:tcBorders>
            <w:shd w:val="clear" w:color="auto" w:fill="auto"/>
            <w:hideMark/>
          </w:tcPr>
          <w:p w14:paraId="1A4FF231" w14:textId="77777777" w:rsidR="00646D6F" w:rsidRPr="00830F4C" w:rsidRDefault="00646D6F" w:rsidP="00646D6F">
            <w:pPr>
              <w:jc w:val="center"/>
              <w:rPr>
                <w:rFonts w:ascii="Garamond" w:hAnsi="Garamond"/>
                <w:b/>
                <w:sz w:val="20"/>
                <w:szCs w:val="20"/>
              </w:rPr>
            </w:pPr>
            <w:r w:rsidRPr="00830F4C">
              <w:rPr>
                <w:rFonts w:ascii="Garamond" w:hAnsi="Garamond"/>
                <w:b/>
                <w:bCs/>
                <w:sz w:val="20"/>
                <w:szCs w:val="20"/>
              </w:rPr>
              <w:t>0.62%</w:t>
            </w:r>
          </w:p>
        </w:tc>
        <w:tc>
          <w:tcPr>
            <w:tcW w:w="0" w:type="auto"/>
            <w:tcBorders>
              <w:top w:val="nil"/>
              <w:left w:val="nil"/>
              <w:bottom w:val="single" w:sz="8" w:space="0" w:color="F7CAAC"/>
              <w:right w:val="single" w:sz="8" w:space="0" w:color="F7CAAC"/>
            </w:tcBorders>
            <w:shd w:val="clear" w:color="auto" w:fill="auto"/>
            <w:hideMark/>
          </w:tcPr>
          <w:p w14:paraId="080AFF52" w14:textId="77777777" w:rsidR="00646D6F" w:rsidRPr="00830F4C" w:rsidRDefault="00646D6F" w:rsidP="00646D6F">
            <w:pPr>
              <w:jc w:val="center"/>
              <w:rPr>
                <w:rFonts w:ascii="Garamond" w:hAnsi="Garamond"/>
                <w:b/>
                <w:sz w:val="20"/>
                <w:szCs w:val="20"/>
              </w:rPr>
            </w:pPr>
            <w:r w:rsidRPr="00830F4C">
              <w:rPr>
                <w:rFonts w:ascii="Garamond" w:hAnsi="Garamond"/>
                <w:b/>
                <w:bCs/>
                <w:sz w:val="20"/>
                <w:szCs w:val="20"/>
              </w:rPr>
              <w:t>0.45%</w:t>
            </w:r>
          </w:p>
        </w:tc>
        <w:tc>
          <w:tcPr>
            <w:tcW w:w="0" w:type="auto"/>
            <w:tcBorders>
              <w:top w:val="nil"/>
              <w:left w:val="nil"/>
              <w:bottom w:val="single" w:sz="8" w:space="0" w:color="F7CAAC"/>
              <w:right w:val="single" w:sz="8" w:space="0" w:color="F7CAAC"/>
            </w:tcBorders>
            <w:shd w:val="clear" w:color="auto" w:fill="auto"/>
            <w:hideMark/>
          </w:tcPr>
          <w:p w14:paraId="28F1A523" w14:textId="77777777" w:rsidR="00646D6F" w:rsidRPr="00830F4C" w:rsidRDefault="00646D6F" w:rsidP="00646D6F">
            <w:pPr>
              <w:jc w:val="center"/>
              <w:rPr>
                <w:rFonts w:ascii="Garamond" w:hAnsi="Garamond"/>
                <w:b/>
                <w:sz w:val="20"/>
                <w:szCs w:val="20"/>
              </w:rPr>
            </w:pPr>
            <w:r w:rsidRPr="00830F4C">
              <w:rPr>
                <w:rFonts w:ascii="Garamond" w:hAnsi="Garamond"/>
                <w:b/>
                <w:bCs/>
                <w:sz w:val="20"/>
                <w:szCs w:val="20"/>
              </w:rPr>
              <w:t>0.63%</w:t>
            </w:r>
          </w:p>
        </w:tc>
        <w:tc>
          <w:tcPr>
            <w:tcW w:w="0" w:type="auto"/>
            <w:tcBorders>
              <w:top w:val="nil"/>
              <w:left w:val="nil"/>
              <w:bottom w:val="single" w:sz="8" w:space="0" w:color="F7CAAC"/>
              <w:right w:val="single" w:sz="8" w:space="0" w:color="F7CAAC"/>
            </w:tcBorders>
            <w:shd w:val="clear" w:color="auto" w:fill="auto"/>
            <w:hideMark/>
          </w:tcPr>
          <w:p w14:paraId="5958F9F8" w14:textId="77777777" w:rsidR="00646D6F" w:rsidRPr="00830F4C" w:rsidRDefault="00646D6F" w:rsidP="00646D6F">
            <w:pPr>
              <w:jc w:val="center"/>
              <w:rPr>
                <w:rFonts w:ascii="Garamond" w:hAnsi="Garamond"/>
                <w:b/>
                <w:sz w:val="20"/>
                <w:szCs w:val="20"/>
              </w:rPr>
            </w:pPr>
            <w:r w:rsidRPr="00830F4C">
              <w:rPr>
                <w:rFonts w:ascii="Garamond" w:hAnsi="Garamond"/>
                <w:b/>
                <w:bCs/>
                <w:sz w:val="20"/>
                <w:szCs w:val="20"/>
              </w:rPr>
              <w:t>2.48%</w:t>
            </w:r>
          </w:p>
        </w:tc>
      </w:tr>
      <w:tr w:rsidR="00646D6F" w:rsidRPr="00830F4C" w14:paraId="4AEE40E0" w14:textId="77777777" w:rsidTr="00646D6F">
        <w:trPr>
          <w:trHeight w:val="20"/>
        </w:trPr>
        <w:tc>
          <w:tcPr>
            <w:tcW w:w="0" w:type="auto"/>
            <w:gridSpan w:val="6"/>
            <w:tcBorders>
              <w:top w:val="nil"/>
              <w:left w:val="nil"/>
              <w:bottom w:val="nil"/>
              <w:right w:val="nil"/>
            </w:tcBorders>
            <w:shd w:val="clear" w:color="auto" w:fill="auto"/>
            <w:hideMark/>
          </w:tcPr>
          <w:p w14:paraId="0686DA1D" w14:textId="3D4632C8" w:rsidR="00646D6F" w:rsidRPr="00830F4C" w:rsidRDefault="00646D6F" w:rsidP="00646D6F">
            <w:pPr>
              <w:pStyle w:val="NoSpacing"/>
              <w:jc w:val="center"/>
              <w:rPr>
                <w:rFonts w:ascii="Garamond" w:hAnsi="Garamond" w:cs="Times New Roman"/>
                <w:i/>
                <w:sz w:val="20"/>
                <w:szCs w:val="20"/>
              </w:rPr>
            </w:pPr>
            <w:r w:rsidRPr="00830F4C">
              <w:rPr>
                <w:rFonts w:ascii="Garamond" w:hAnsi="Garamond"/>
                <w:i/>
                <w:sz w:val="20"/>
                <w:szCs w:val="20"/>
              </w:rPr>
              <w:t xml:space="preserve">në milionë </w:t>
            </w:r>
            <w:r w:rsidR="00D22EA5" w:rsidRPr="00830F4C">
              <w:rPr>
                <w:rFonts w:ascii="Garamond" w:hAnsi="Garamond"/>
                <w:i/>
                <w:sz w:val="20"/>
                <w:szCs w:val="20"/>
              </w:rPr>
              <w:t>l</w:t>
            </w:r>
            <w:r w:rsidRPr="00830F4C">
              <w:rPr>
                <w:rFonts w:ascii="Garamond" w:hAnsi="Garamond"/>
                <w:i/>
                <w:sz w:val="20"/>
                <w:szCs w:val="20"/>
              </w:rPr>
              <w:t>ekë</w:t>
            </w:r>
          </w:p>
          <w:p w14:paraId="7E6A3132" w14:textId="77777777" w:rsidR="00646D6F" w:rsidRPr="00830F4C" w:rsidRDefault="00646D6F" w:rsidP="00646D6F">
            <w:pPr>
              <w:jc w:val="center"/>
              <w:rPr>
                <w:rFonts w:ascii="Garamond" w:hAnsi="Garamond"/>
                <w:sz w:val="20"/>
                <w:szCs w:val="20"/>
              </w:rPr>
            </w:pPr>
          </w:p>
        </w:tc>
      </w:tr>
      <w:tr w:rsidR="00646D6F" w:rsidRPr="00830F4C" w14:paraId="34436CE9" w14:textId="77777777" w:rsidTr="00646D6F">
        <w:trPr>
          <w:trHeight w:val="20"/>
        </w:trPr>
        <w:tc>
          <w:tcPr>
            <w:tcW w:w="0" w:type="auto"/>
            <w:tcBorders>
              <w:top w:val="single" w:sz="8" w:space="0" w:color="F7CAAC"/>
              <w:left w:val="single" w:sz="8" w:space="0" w:color="F7CAAC"/>
              <w:bottom w:val="single" w:sz="12" w:space="0" w:color="F4B083"/>
              <w:right w:val="single" w:sz="8" w:space="0" w:color="F7CAAC"/>
            </w:tcBorders>
            <w:shd w:val="clear" w:color="auto" w:fill="auto"/>
            <w:hideMark/>
          </w:tcPr>
          <w:p w14:paraId="313BB901" w14:textId="2E0A21C6" w:rsidR="00646D6F" w:rsidRPr="00830F4C" w:rsidRDefault="00646D6F" w:rsidP="00646D6F">
            <w:pPr>
              <w:jc w:val="center"/>
              <w:rPr>
                <w:rFonts w:ascii="Garamond" w:hAnsi="Garamond"/>
                <w:b/>
                <w:sz w:val="20"/>
                <w:szCs w:val="20"/>
              </w:rPr>
            </w:pPr>
            <w:r w:rsidRPr="00830F4C">
              <w:rPr>
                <w:rFonts w:ascii="Garamond" w:hAnsi="Garamond"/>
                <w:b/>
                <w:sz w:val="20"/>
                <w:szCs w:val="20"/>
              </w:rPr>
              <w:t xml:space="preserve">Shtyllat e </w:t>
            </w:r>
            <w:r w:rsidR="00F23DA2" w:rsidRPr="00830F4C">
              <w:rPr>
                <w:rFonts w:ascii="Garamond" w:hAnsi="Garamond"/>
                <w:b/>
                <w:sz w:val="20"/>
                <w:szCs w:val="20"/>
              </w:rPr>
              <w:t>s</w:t>
            </w:r>
            <w:r w:rsidRPr="00830F4C">
              <w:rPr>
                <w:rFonts w:ascii="Garamond" w:hAnsi="Garamond"/>
                <w:b/>
                <w:sz w:val="20"/>
                <w:szCs w:val="20"/>
              </w:rPr>
              <w:t>trategjisë</w:t>
            </w:r>
          </w:p>
        </w:tc>
        <w:tc>
          <w:tcPr>
            <w:tcW w:w="0" w:type="auto"/>
            <w:tcBorders>
              <w:top w:val="single" w:sz="8" w:space="0" w:color="F7CAAC"/>
              <w:left w:val="nil"/>
              <w:bottom w:val="single" w:sz="12" w:space="0" w:color="F4B083"/>
              <w:right w:val="single" w:sz="8" w:space="0" w:color="F7CAAC"/>
            </w:tcBorders>
            <w:shd w:val="clear" w:color="auto" w:fill="auto"/>
            <w:hideMark/>
          </w:tcPr>
          <w:p w14:paraId="5B3516DB" w14:textId="77777777" w:rsidR="00646D6F" w:rsidRPr="00830F4C" w:rsidRDefault="00646D6F" w:rsidP="00646D6F">
            <w:pPr>
              <w:jc w:val="center"/>
              <w:rPr>
                <w:rFonts w:ascii="Garamond" w:hAnsi="Garamond"/>
                <w:b/>
                <w:sz w:val="20"/>
                <w:szCs w:val="20"/>
              </w:rPr>
            </w:pPr>
            <w:r w:rsidRPr="00830F4C">
              <w:rPr>
                <w:rFonts w:ascii="Garamond" w:hAnsi="Garamond"/>
                <w:b/>
                <w:sz w:val="20"/>
                <w:szCs w:val="20"/>
              </w:rPr>
              <w:t>2024</w:t>
            </w:r>
          </w:p>
        </w:tc>
        <w:tc>
          <w:tcPr>
            <w:tcW w:w="0" w:type="auto"/>
            <w:tcBorders>
              <w:top w:val="single" w:sz="8" w:space="0" w:color="F7CAAC"/>
              <w:left w:val="nil"/>
              <w:bottom w:val="single" w:sz="12" w:space="0" w:color="F4B083"/>
              <w:right w:val="single" w:sz="8" w:space="0" w:color="F7CAAC"/>
            </w:tcBorders>
            <w:shd w:val="clear" w:color="auto" w:fill="auto"/>
            <w:hideMark/>
          </w:tcPr>
          <w:p w14:paraId="1EBAB1F1" w14:textId="77777777" w:rsidR="00646D6F" w:rsidRPr="00830F4C" w:rsidRDefault="00646D6F" w:rsidP="00646D6F">
            <w:pPr>
              <w:jc w:val="center"/>
              <w:rPr>
                <w:rFonts w:ascii="Garamond" w:hAnsi="Garamond"/>
                <w:b/>
                <w:sz w:val="20"/>
                <w:szCs w:val="20"/>
              </w:rPr>
            </w:pPr>
            <w:r w:rsidRPr="00830F4C">
              <w:rPr>
                <w:rFonts w:ascii="Garamond" w:hAnsi="Garamond"/>
                <w:b/>
                <w:sz w:val="20"/>
                <w:szCs w:val="20"/>
              </w:rPr>
              <w:t>2025</w:t>
            </w:r>
          </w:p>
        </w:tc>
        <w:tc>
          <w:tcPr>
            <w:tcW w:w="0" w:type="auto"/>
            <w:tcBorders>
              <w:top w:val="single" w:sz="8" w:space="0" w:color="F7CAAC"/>
              <w:left w:val="nil"/>
              <w:bottom w:val="single" w:sz="12" w:space="0" w:color="F4B083"/>
              <w:right w:val="single" w:sz="8" w:space="0" w:color="F7CAAC"/>
            </w:tcBorders>
            <w:shd w:val="clear" w:color="auto" w:fill="auto"/>
            <w:hideMark/>
          </w:tcPr>
          <w:p w14:paraId="7B4930FB" w14:textId="77777777" w:rsidR="00646D6F" w:rsidRPr="00830F4C" w:rsidRDefault="00646D6F" w:rsidP="00646D6F">
            <w:pPr>
              <w:jc w:val="center"/>
              <w:rPr>
                <w:rFonts w:ascii="Garamond" w:hAnsi="Garamond"/>
                <w:b/>
                <w:sz w:val="20"/>
                <w:szCs w:val="20"/>
              </w:rPr>
            </w:pPr>
            <w:r w:rsidRPr="00830F4C">
              <w:rPr>
                <w:rFonts w:ascii="Garamond" w:hAnsi="Garamond"/>
                <w:b/>
                <w:sz w:val="20"/>
                <w:szCs w:val="20"/>
              </w:rPr>
              <w:t>2026</w:t>
            </w:r>
          </w:p>
        </w:tc>
        <w:tc>
          <w:tcPr>
            <w:tcW w:w="0" w:type="auto"/>
            <w:tcBorders>
              <w:top w:val="single" w:sz="8" w:space="0" w:color="F7CAAC"/>
              <w:left w:val="nil"/>
              <w:bottom w:val="single" w:sz="12" w:space="0" w:color="F4B083"/>
              <w:right w:val="single" w:sz="8" w:space="0" w:color="F7CAAC"/>
            </w:tcBorders>
            <w:shd w:val="clear" w:color="auto" w:fill="auto"/>
            <w:hideMark/>
          </w:tcPr>
          <w:p w14:paraId="41E9037F" w14:textId="77777777" w:rsidR="00646D6F" w:rsidRPr="00830F4C" w:rsidRDefault="00646D6F" w:rsidP="00646D6F">
            <w:pPr>
              <w:jc w:val="center"/>
              <w:rPr>
                <w:rFonts w:ascii="Garamond" w:hAnsi="Garamond"/>
                <w:b/>
                <w:sz w:val="20"/>
                <w:szCs w:val="20"/>
              </w:rPr>
            </w:pPr>
            <w:r w:rsidRPr="00830F4C">
              <w:rPr>
                <w:rFonts w:ascii="Garamond" w:hAnsi="Garamond"/>
                <w:b/>
                <w:sz w:val="20"/>
                <w:szCs w:val="20"/>
              </w:rPr>
              <w:t>2027</w:t>
            </w:r>
          </w:p>
        </w:tc>
        <w:tc>
          <w:tcPr>
            <w:tcW w:w="0" w:type="auto"/>
            <w:tcBorders>
              <w:top w:val="single" w:sz="8" w:space="0" w:color="F7CAAC"/>
              <w:left w:val="nil"/>
              <w:bottom w:val="single" w:sz="12" w:space="0" w:color="F4B083"/>
              <w:right w:val="single" w:sz="8" w:space="0" w:color="F7CAAC"/>
            </w:tcBorders>
            <w:shd w:val="clear" w:color="auto" w:fill="auto"/>
            <w:hideMark/>
          </w:tcPr>
          <w:p w14:paraId="2337F1C9" w14:textId="4115C4B2" w:rsidR="00646D6F" w:rsidRPr="00830F4C" w:rsidRDefault="00646D6F" w:rsidP="00646D6F">
            <w:pPr>
              <w:jc w:val="center"/>
              <w:rPr>
                <w:rFonts w:ascii="Garamond" w:hAnsi="Garamond"/>
                <w:b/>
                <w:sz w:val="20"/>
                <w:szCs w:val="20"/>
              </w:rPr>
            </w:pPr>
            <w:r w:rsidRPr="00830F4C">
              <w:rPr>
                <w:rFonts w:ascii="Garamond" w:hAnsi="Garamond"/>
                <w:b/>
                <w:sz w:val="20"/>
                <w:szCs w:val="20"/>
              </w:rPr>
              <w:t>Totali 2024</w:t>
            </w:r>
            <w:r w:rsidR="00D22EA5" w:rsidRPr="00830F4C">
              <w:rPr>
                <w:rFonts w:ascii="Garamond" w:hAnsi="Garamond"/>
                <w:sz w:val="20"/>
                <w:szCs w:val="20"/>
              </w:rPr>
              <w:t>–</w:t>
            </w:r>
            <w:r w:rsidRPr="00830F4C">
              <w:rPr>
                <w:rFonts w:ascii="Garamond" w:hAnsi="Garamond"/>
                <w:b/>
                <w:sz w:val="20"/>
                <w:szCs w:val="20"/>
              </w:rPr>
              <w:t>2027</w:t>
            </w:r>
          </w:p>
        </w:tc>
      </w:tr>
      <w:tr w:rsidR="00646D6F" w:rsidRPr="00830F4C" w14:paraId="4C05DC24" w14:textId="77777777" w:rsidTr="00646D6F">
        <w:trPr>
          <w:trHeight w:val="20"/>
        </w:trPr>
        <w:tc>
          <w:tcPr>
            <w:tcW w:w="0" w:type="auto"/>
            <w:tcBorders>
              <w:top w:val="nil"/>
              <w:left w:val="single" w:sz="8" w:space="0" w:color="F7CAAC"/>
              <w:bottom w:val="single" w:sz="8" w:space="0" w:color="F7CAAC"/>
              <w:right w:val="single" w:sz="8" w:space="0" w:color="F7CAAC"/>
            </w:tcBorders>
            <w:shd w:val="clear" w:color="auto" w:fill="auto"/>
            <w:hideMark/>
          </w:tcPr>
          <w:p w14:paraId="19B5E5A9" w14:textId="77777777" w:rsidR="00646D6F" w:rsidRPr="00830F4C" w:rsidRDefault="00646D6F" w:rsidP="00646D6F">
            <w:pPr>
              <w:jc w:val="center"/>
              <w:rPr>
                <w:rFonts w:ascii="Garamond" w:hAnsi="Garamond"/>
                <w:sz w:val="20"/>
                <w:szCs w:val="20"/>
              </w:rPr>
            </w:pPr>
            <w:r w:rsidRPr="00830F4C">
              <w:rPr>
                <w:rFonts w:ascii="Garamond" w:hAnsi="Garamond"/>
                <w:sz w:val="20"/>
                <w:szCs w:val="20"/>
              </w:rPr>
              <w:t>Shtylla 1: Rishikimi i politikës tatimore</w:t>
            </w:r>
          </w:p>
        </w:tc>
        <w:tc>
          <w:tcPr>
            <w:tcW w:w="0" w:type="auto"/>
            <w:tcBorders>
              <w:top w:val="nil"/>
              <w:left w:val="nil"/>
              <w:bottom w:val="single" w:sz="8" w:space="0" w:color="F7CAAC"/>
              <w:right w:val="single" w:sz="8" w:space="0" w:color="F7CAAC"/>
            </w:tcBorders>
            <w:shd w:val="clear" w:color="auto" w:fill="auto"/>
            <w:hideMark/>
          </w:tcPr>
          <w:p w14:paraId="72385504" w14:textId="77777777" w:rsidR="00646D6F" w:rsidRPr="00830F4C" w:rsidRDefault="00646D6F" w:rsidP="00646D6F">
            <w:pPr>
              <w:jc w:val="center"/>
              <w:rPr>
                <w:rFonts w:ascii="Garamond" w:hAnsi="Garamond"/>
                <w:sz w:val="20"/>
                <w:szCs w:val="20"/>
              </w:rPr>
            </w:pPr>
            <w:r w:rsidRPr="00830F4C">
              <w:rPr>
                <w:rFonts w:ascii="Garamond" w:hAnsi="Garamond"/>
                <w:sz w:val="20"/>
                <w:szCs w:val="20"/>
              </w:rPr>
              <w:t>1,010</w:t>
            </w:r>
          </w:p>
        </w:tc>
        <w:tc>
          <w:tcPr>
            <w:tcW w:w="0" w:type="auto"/>
            <w:tcBorders>
              <w:top w:val="nil"/>
              <w:left w:val="nil"/>
              <w:bottom w:val="single" w:sz="8" w:space="0" w:color="F7CAAC"/>
              <w:right w:val="single" w:sz="8" w:space="0" w:color="F7CAAC"/>
            </w:tcBorders>
            <w:shd w:val="clear" w:color="auto" w:fill="auto"/>
            <w:hideMark/>
          </w:tcPr>
          <w:p w14:paraId="7622655F" w14:textId="77777777" w:rsidR="00646D6F" w:rsidRPr="00830F4C" w:rsidRDefault="00646D6F" w:rsidP="00646D6F">
            <w:pPr>
              <w:jc w:val="center"/>
              <w:rPr>
                <w:rFonts w:ascii="Garamond" w:hAnsi="Garamond"/>
                <w:sz w:val="20"/>
                <w:szCs w:val="20"/>
              </w:rPr>
            </w:pPr>
            <w:r w:rsidRPr="00830F4C">
              <w:rPr>
                <w:rFonts w:ascii="Garamond" w:hAnsi="Garamond"/>
                <w:sz w:val="20"/>
                <w:szCs w:val="20"/>
              </w:rPr>
              <w:t>800</w:t>
            </w:r>
          </w:p>
        </w:tc>
        <w:tc>
          <w:tcPr>
            <w:tcW w:w="0" w:type="auto"/>
            <w:tcBorders>
              <w:top w:val="nil"/>
              <w:left w:val="nil"/>
              <w:bottom w:val="single" w:sz="8" w:space="0" w:color="F7CAAC"/>
              <w:right w:val="single" w:sz="8" w:space="0" w:color="F7CAAC"/>
            </w:tcBorders>
            <w:shd w:val="clear" w:color="auto" w:fill="auto"/>
            <w:hideMark/>
          </w:tcPr>
          <w:p w14:paraId="2097F582" w14:textId="77777777" w:rsidR="00646D6F" w:rsidRPr="00830F4C" w:rsidRDefault="00646D6F" w:rsidP="00646D6F">
            <w:pPr>
              <w:jc w:val="center"/>
              <w:rPr>
                <w:rFonts w:ascii="Garamond" w:hAnsi="Garamond"/>
                <w:sz w:val="20"/>
                <w:szCs w:val="20"/>
              </w:rPr>
            </w:pPr>
            <w:r w:rsidRPr="00830F4C">
              <w:rPr>
                <w:rFonts w:ascii="Garamond" w:hAnsi="Garamond"/>
                <w:sz w:val="20"/>
                <w:szCs w:val="20"/>
              </w:rPr>
              <w:t>1,000</w:t>
            </w:r>
          </w:p>
        </w:tc>
        <w:tc>
          <w:tcPr>
            <w:tcW w:w="0" w:type="auto"/>
            <w:tcBorders>
              <w:top w:val="nil"/>
              <w:left w:val="nil"/>
              <w:bottom w:val="single" w:sz="8" w:space="0" w:color="F7CAAC"/>
              <w:right w:val="single" w:sz="8" w:space="0" w:color="F7CAAC"/>
            </w:tcBorders>
            <w:shd w:val="clear" w:color="auto" w:fill="auto"/>
            <w:hideMark/>
          </w:tcPr>
          <w:p w14:paraId="00B249C8" w14:textId="77777777" w:rsidR="00646D6F" w:rsidRPr="00830F4C" w:rsidRDefault="00646D6F" w:rsidP="00646D6F">
            <w:pPr>
              <w:jc w:val="center"/>
              <w:rPr>
                <w:rFonts w:ascii="Garamond" w:hAnsi="Garamond"/>
                <w:sz w:val="20"/>
                <w:szCs w:val="20"/>
              </w:rPr>
            </w:pPr>
            <w:r w:rsidRPr="00830F4C">
              <w:rPr>
                <w:rFonts w:ascii="Garamond" w:hAnsi="Garamond"/>
                <w:sz w:val="20"/>
                <w:szCs w:val="20"/>
              </w:rPr>
              <w:t>6,473</w:t>
            </w:r>
          </w:p>
        </w:tc>
        <w:tc>
          <w:tcPr>
            <w:tcW w:w="0" w:type="auto"/>
            <w:tcBorders>
              <w:top w:val="nil"/>
              <w:left w:val="nil"/>
              <w:bottom w:val="single" w:sz="8" w:space="0" w:color="F7CAAC"/>
              <w:right w:val="single" w:sz="8" w:space="0" w:color="F7CAAC"/>
            </w:tcBorders>
            <w:shd w:val="clear" w:color="auto" w:fill="auto"/>
            <w:hideMark/>
          </w:tcPr>
          <w:p w14:paraId="52C5310E" w14:textId="77777777" w:rsidR="00646D6F" w:rsidRPr="00830F4C" w:rsidRDefault="00646D6F" w:rsidP="00646D6F">
            <w:pPr>
              <w:jc w:val="center"/>
              <w:rPr>
                <w:rFonts w:ascii="Garamond" w:hAnsi="Garamond"/>
                <w:sz w:val="20"/>
                <w:szCs w:val="20"/>
              </w:rPr>
            </w:pPr>
          </w:p>
          <w:p w14:paraId="71F7D727" w14:textId="77777777" w:rsidR="00646D6F" w:rsidRPr="00830F4C" w:rsidRDefault="00646D6F" w:rsidP="00646D6F">
            <w:pPr>
              <w:jc w:val="center"/>
              <w:rPr>
                <w:rFonts w:ascii="Garamond" w:hAnsi="Garamond"/>
                <w:sz w:val="20"/>
                <w:szCs w:val="20"/>
              </w:rPr>
            </w:pPr>
            <w:r w:rsidRPr="00830F4C">
              <w:rPr>
                <w:rFonts w:ascii="Garamond" w:hAnsi="Garamond"/>
                <w:sz w:val="20"/>
                <w:szCs w:val="20"/>
              </w:rPr>
              <w:t>9,283</w:t>
            </w:r>
          </w:p>
        </w:tc>
      </w:tr>
      <w:tr w:rsidR="00646D6F" w:rsidRPr="00830F4C" w14:paraId="31521A2D" w14:textId="77777777" w:rsidTr="00646D6F">
        <w:trPr>
          <w:trHeight w:val="20"/>
        </w:trPr>
        <w:tc>
          <w:tcPr>
            <w:tcW w:w="0" w:type="auto"/>
            <w:tcBorders>
              <w:top w:val="nil"/>
              <w:left w:val="single" w:sz="8" w:space="0" w:color="F7CAAC"/>
              <w:bottom w:val="single" w:sz="8" w:space="0" w:color="F7CAAC"/>
              <w:right w:val="single" w:sz="8" w:space="0" w:color="F7CAAC"/>
            </w:tcBorders>
            <w:shd w:val="clear" w:color="auto" w:fill="auto"/>
            <w:hideMark/>
          </w:tcPr>
          <w:p w14:paraId="17DB3D5A" w14:textId="77777777" w:rsidR="00646D6F" w:rsidRPr="00830F4C" w:rsidRDefault="00646D6F" w:rsidP="00646D6F">
            <w:pPr>
              <w:jc w:val="center"/>
              <w:rPr>
                <w:rFonts w:ascii="Garamond" w:hAnsi="Garamond"/>
                <w:sz w:val="20"/>
                <w:szCs w:val="20"/>
              </w:rPr>
            </w:pPr>
            <w:r w:rsidRPr="00830F4C">
              <w:rPr>
                <w:rFonts w:ascii="Garamond" w:hAnsi="Garamond"/>
                <w:sz w:val="20"/>
                <w:szCs w:val="20"/>
              </w:rPr>
              <w:t>Shtylla 2: Mirëadministrimi tatimor</w:t>
            </w:r>
          </w:p>
        </w:tc>
        <w:tc>
          <w:tcPr>
            <w:tcW w:w="0" w:type="auto"/>
            <w:tcBorders>
              <w:top w:val="nil"/>
              <w:left w:val="nil"/>
              <w:bottom w:val="single" w:sz="8" w:space="0" w:color="F7CAAC"/>
              <w:right w:val="single" w:sz="8" w:space="0" w:color="F7CAAC"/>
            </w:tcBorders>
            <w:shd w:val="clear" w:color="auto" w:fill="auto"/>
            <w:hideMark/>
          </w:tcPr>
          <w:p w14:paraId="50CD6B3A" w14:textId="77777777" w:rsidR="00646D6F" w:rsidRPr="00830F4C" w:rsidRDefault="00646D6F" w:rsidP="00646D6F">
            <w:pPr>
              <w:jc w:val="center"/>
              <w:rPr>
                <w:rFonts w:ascii="Garamond" w:hAnsi="Garamond"/>
                <w:sz w:val="20"/>
                <w:szCs w:val="20"/>
              </w:rPr>
            </w:pPr>
            <w:r w:rsidRPr="00830F4C">
              <w:rPr>
                <w:rFonts w:ascii="Garamond" w:hAnsi="Garamond"/>
                <w:sz w:val="20"/>
                <w:szCs w:val="20"/>
              </w:rPr>
              <w:t>16,577</w:t>
            </w:r>
          </w:p>
        </w:tc>
        <w:tc>
          <w:tcPr>
            <w:tcW w:w="0" w:type="auto"/>
            <w:tcBorders>
              <w:top w:val="nil"/>
              <w:left w:val="nil"/>
              <w:bottom w:val="single" w:sz="8" w:space="0" w:color="F7CAAC"/>
              <w:right w:val="single" w:sz="8" w:space="0" w:color="F7CAAC"/>
            </w:tcBorders>
            <w:shd w:val="clear" w:color="auto" w:fill="auto"/>
            <w:hideMark/>
          </w:tcPr>
          <w:p w14:paraId="73977F7C" w14:textId="77777777" w:rsidR="00646D6F" w:rsidRPr="00830F4C" w:rsidRDefault="00646D6F" w:rsidP="00646D6F">
            <w:pPr>
              <w:jc w:val="center"/>
              <w:rPr>
                <w:rFonts w:ascii="Garamond" w:hAnsi="Garamond"/>
                <w:sz w:val="20"/>
                <w:szCs w:val="20"/>
              </w:rPr>
            </w:pPr>
            <w:r w:rsidRPr="00830F4C">
              <w:rPr>
                <w:rFonts w:ascii="Garamond" w:hAnsi="Garamond"/>
                <w:sz w:val="20"/>
                <w:szCs w:val="20"/>
              </w:rPr>
              <w:t>13,755</w:t>
            </w:r>
          </w:p>
        </w:tc>
        <w:tc>
          <w:tcPr>
            <w:tcW w:w="0" w:type="auto"/>
            <w:tcBorders>
              <w:top w:val="nil"/>
              <w:left w:val="nil"/>
              <w:bottom w:val="single" w:sz="8" w:space="0" w:color="F7CAAC"/>
              <w:right w:val="single" w:sz="8" w:space="0" w:color="F7CAAC"/>
            </w:tcBorders>
            <w:shd w:val="clear" w:color="auto" w:fill="auto"/>
            <w:hideMark/>
          </w:tcPr>
          <w:p w14:paraId="1602BC13" w14:textId="77777777" w:rsidR="00646D6F" w:rsidRPr="00830F4C" w:rsidRDefault="00646D6F" w:rsidP="00646D6F">
            <w:pPr>
              <w:jc w:val="center"/>
              <w:rPr>
                <w:rFonts w:ascii="Garamond" w:hAnsi="Garamond"/>
                <w:sz w:val="20"/>
                <w:szCs w:val="20"/>
              </w:rPr>
            </w:pPr>
            <w:r w:rsidRPr="00830F4C">
              <w:rPr>
                <w:rFonts w:ascii="Garamond" w:hAnsi="Garamond"/>
                <w:sz w:val="20"/>
                <w:szCs w:val="20"/>
              </w:rPr>
              <w:t>10,069</w:t>
            </w:r>
          </w:p>
        </w:tc>
        <w:tc>
          <w:tcPr>
            <w:tcW w:w="0" w:type="auto"/>
            <w:tcBorders>
              <w:top w:val="nil"/>
              <w:left w:val="nil"/>
              <w:bottom w:val="single" w:sz="8" w:space="0" w:color="F7CAAC"/>
              <w:right w:val="single" w:sz="8" w:space="0" w:color="F7CAAC"/>
            </w:tcBorders>
            <w:shd w:val="clear" w:color="auto" w:fill="auto"/>
            <w:hideMark/>
          </w:tcPr>
          <w:p w14:paraId="01F5DA7B" w14:textId="77777777" w:rsidR="00646D6F" w:rsidRPr="00830F4C" w:rsidRDefault="00646D6F" w:rsidP="00646D6F">
            <w:pPr>
              <w:jc w:val="center"/>
              <w:rPr>
                <w:rFonts w:ascii="Garamond" w:hAnsi="Garamond"/>
                <w:sz w:val="20"/>
                <w:szCs w:val="20"/>
              </w:rPr>
            </w:pPr>
            <w:r w:rsidRPr="00830F4C">
              <w:rPr>
                <w:rFonts w:ascii="Garamond" w:hAnsi="Garamond"/>
                <w:sz w:val="20"/>
                <w:szCs w:val="20"/>
              </w:rPr>
              <w:t>10,665</w:t>
            </w:r>
          </w:p>
        </w:tc>
        <w:tc>
          <w:tcPr>
            <w:tcW w:w="0" w:type="auto"/>
            <w:tcBorders>
              <w:top w:val="nil"/>
              <w:left w:val="nil"/>
              <w:bottom w:val="single" w:sz="8" w:space="0" w:color="F7CAAC"/>
              <w:right w:val="single" w:sz="8" w:space="0" w:color="F7CAAC"/>
            </w:tcBorders>
            <w:shd w:val="clear" w:color="auto" w:fill="auto"/>
            <w:hideMark/>
          </w:tcPr>
          <w:p w14:paraId="4FCB4F4A" w14:textId="77777777" w:rsidR="00646D6F" w:rsidRPr="00830F4C" w:rsidRDefault="00646D6F" w:rsidP="00646D6F">
            <w:pPr>
              <w:jc w:val="center"/>
              <w:rPr>
                <w:rFonts w:ascii="Garamond" w:hAnsi="Garamond"/>
                <w:sz w:val="20"/>
                <w:szCs w:val="20"/>
              </w:rPr>
            </w:pPr>
          </w:p>
          <w:p w14:paraId="45ADA2FA" w14:textId="77777777" w:rsidR="00646D6F" w:rsidRPr="00830F4C" w:rsidRDefault="00646D6F" w:rsidP="00646D6F">
            <w:pPr>
              <w:jc w:val="center"/>
              <w:rPr>
                <w:rFonts w:ascii="Garamond" w:hAnsi="Garamond"/>
                <w:sz w:val="20"/>
                <w:szCs w:val="20"/>
              </w:rPr>
            </w:pPr>
            <w:r w:rsidRPr="00830F4C">
              <w:rPr>
                <w:rFonts w:ascii="Garamond" w:hAnsi="Garamond"/>
                <w:sz w:val="20"/>
                <w:szCs w:val="20"/>
              </w:rPr>
              <w:t>51,067</w:t>
            </w:r>
          </w:p>
        </w:tc>
      </w:tr>
      <w:tr w:rsidR="00646D6F" w:rsidRPr="00830F4C" w14:paraId="22A1B530" w14:textId="77777777" w:rsidTr="00646D6F">
        <w:trPr>
          <w:trHeight w:val="20"/>
        </w:trPr>
        <w:tc>
          <w:tcPr>
            <w:tcW w:w="0" w:type="auto"/>
            <w:tcBorders>
              <w:top w:val="nil"/>
              <w:left w:val="single" w:sz="8" w:space="0" w:color="F7CAAC"/>
              <w:bottom w:val="single" w:sz="8" w:space="0" w:color="F7CAAC"/>
              <w:right w:val="single" w:sz="8" w:space="0" w:color="F7CAAC"/>
            </w:tcBorders>
            <w:shd w:val="clear" w:color="auto" w:fill="auto"/>
            <w:hideMark/>
          </w:tcPr>
          <w:p w14:paraId="35C30385" w14:textId="77777777" w:rsidR="00646D6F" w:rsidRPr="00830F4C" w:rsidRDefault="00646D6F" w:rsidP="00646D6F">
            <w:pPr>
              <w:jc w:val="center"/>
              <w:rPr>
                <w:rFonts w:ascii="Garamond" w:hAnsi="Garamond"/>
                <w:sz w:val="20"/>
                <w:szCs w:val="20"/>
              </w:rPr>
            </w:pPr>
            <w:r w:rsidRPr="00830F4C">
              <w:rPr>
                <w:rFonts w:ascii="Garamond" w:hAnsi="Garamond"/>
                <w:sz w:val="20"/>
                <w:szCs w:val="20"/>
              </w:rPr>
              <w:t>Shtylla 3: Mirëadministrimi doganor</w:t>
            </w:r>
          </w:p>
        </w:tc>
        <w:tc>
          <w:tcPr>
            <w:tcW w:w="0" w:type="auto"/>
            <w:tcBorders>
              <w:top w:val="nil"/>
              <w:left w:val="nil"/>
              <w:bottom w:val="single" w:sz="8" w:space="0" w:color="F7CAAC"/>
              <w:right w:val="single" w:sz="8" w:space="0" w:color="F7CAAC"/>
            </w:tcBorders>
            <w:shd w:val="clear" w:color="auto" w:fill="auto"/>
            <w:hideMark/>
          </w:tcPr>
          <w:p w14:paraId="156AD09F" w14:textId="77777777" w:rsidR="00646D6F" w:rsidRPr="00830F4C" w:rsidRDefault="00646D6F" w:rsidP="00646D6F">
            <w:pPr>
              <w:jc w:val="center"/>
              <w:rPr>
                <w:rFonts w:ascii="Garamond" w:hAnsi="Garamond"/>
                <w:sz w:val="20"/>
                <w:szCs w:val="20"/>
              </w:rPr>
            </w:pPr>
            <w:r w:rsidRPr="00830F4C">
              <w:rPr>
                <w:rFonts w:ascii="Garamond" w:hAnsi="Garamond"/>
                <w:sz w:val="20"/>
                <w:szCs w:val="20"/>
              </w:rPr>
              <w:t>1,265</w:t>
            </w:r>
          </w:p>
        </w:tc>
        <w:tc>
          <w:tcPr>
            <w:tcW w:w="0" w:type="auto"/>
            <w:tcBorders>
              <w:top w:val="nil"/>
              <w:left w:val="nil"/>
              <w:bottom w:val="single" w:sz="8" w:space="0" w:color="F7CAAC"/>
              <w:right w:val="single" w:sz="8" w:space="0" w:color="F7CAAC"/>
            </w:tcBorders>
            <w:shd w:val="clear" w:color="auto" w:fill="auto"/>
            <w:hideMark/>
          </w:tcPr>
          <w:p w14:paraId="3DD22C4B" w14:textId="77777777" w:rsidR="00646D6F" w:rsidRPr="00830F4C" w:rsidRDefault="00646D6F" w:rsidP="00646D6F">
            <w:pPr>
              <w:jc w:val="center"/>
              <w:rPr>
                <w:rFonts w:ascii="Garamond" w:hAnsi="Garamond"/>
                <w:sz w:val="20"/>
                <w:szCs w:val="20"/>
              </w:rPr>
            </w:pPr>
            <w:r w:rsidRPr="00830F4C">
              <w:rPr>
                <w:rFonts w:ascii="Garamond" w:hAnsi="Garamond"/>
                <w:sz w:val="20"/>
                <w:szCs w:val="20"/>
              </w:rPr>
              <w:t>1,408</w:t>
            </w:r>
          </w:p>
        </w:tc>
        <w:tc>
          <w:tcPr>
            <w:tcW w:w="0" w:type="auto"/>
            <w:tcBorders>
              <w:top w:val="nil"/>
              <w:left w:val="nil"/>
              <w:bottom w:val="single" w:sz="8" w:space="0" w:color="F7CAAC"/>
              <w:right w:val="single" w:sz="8" w:space="0" w:color="F7CAAC"/>
            </w:tcBorders>
            <w:shd w:val="clear" w:color="auto" w:fill="auto"/>
            <w:hideMark/>
          </w:tcPr>
          <w:p w14:paraId="42FA0C7E" w14:textId="77777777" w:rsidR="00646D6F" w:rsidRPr="00830F4C" w:rsidRDefault="00646D6F" w:rsidP="00646D6F">
            <w:pPr>
              <w:jc w:val="center"/>
              <w:rPr>
                <w:rFonts w:ascii="Garamond" w:hAnsi="Garamond"/>
                <w:sz w:val="20"/>
                <w:szCs w:val="20"/>
              </w:rPr>
            </w:pPr>
            <w:r w:rsidRPr="00830F4C">
              <w:rPr>
                <w:rFonts w:ascii="Garamond" w:hAnsi="Garamond"/>
                <w:sz w:val="20"/>
                <w:szCs w:val="20"/>
              </w:rPr>
              <w:t>1,171</w:t>
            </w:r>
          </w:p>
        </w:tc>
        <w:tc>
          <w:tcPr>
            <w:tcW w:w="0" w:type="auto"/>
            <w:tcBorders>
              <w:top w:val="nil"/>
              <w:left w:val="nil"/>
              <w:bottom w:val="single" w:sz="8" w:space="0" w:color="F7CAAC"/>
              <w:right w:val="single" w:sz="8" w:space="0" w:color="F7CAAC"/>
            </w:tcBorders>
            <w:shd w:val="clear" w:color="auto" w:fill="auto"/>
            <w:hideMark/>
          </w:tcPr>
          <w:p w14:paraId="0DBE100C" w14:textId="77777777" w:rsidR="00646D6F" w:rsidRPr="00830F4C" w:rsidRDefault="00646D6F" w:rsidP="00646D6F">
            <w:pPr>
              <w:jc w:val="center"/>
              <w:rPr>
                <w:rFonts w:ascii="Garamond" w:hAnsi="Garamond"/>
                <w:sz w:val="20"/>
                <w:szCs w:val="20"/>
              </w:rPr>
            </w:pPr>
            <w:r w:rsidRPr="00830F4C">
              <w:rPr>
                <w:rFonts w:ascii="Garamond" w:hAnsi="Garamond"/>
                <w:sz w:val="20"/>
                <w:szCs w:val="20"/>
              </w:rPr>
              <w:t>664</w:t>
            </w:r>
          </w:p>
        </w:tc>
        <w:tc>
          <w:tcPr>
            <w:tcW w:w="0" w:type="auto"/>
            <w:tcBorders>
              <w:top w:val="nil"/>
              <w:left w:val="nil"/>
              <w:bottom w:val="single" w:sz="8" w:space="0" w:color="F7CAAC"/>
              <w:right w:val="single" w:sz="8" w:space="0" w:color="F7CAAC"/>
            </w:tcBorders>
            <w:shd w:val="clear" w:color="auto" w:fill="auto"/>
            <w:hideMark/>
          </w:tcPr>
          <w:p w14:paraId="4F7A60C5" w14:textId="77777777" w:rsidR="00646D6F" w:rsidRPr="00830F4C" w:rsidRDefault="00646D6F" w:rsidP="00646D6F">
            <w:pPr>
              <w:jc w:val="center"/>
              <w:rPr>
                <w:rFonts w:ascii="Garamond" w:hAnsi="Garamond"/>
                <w:sz w:val="20"/>
                <w:szCs w:val="20"/>
              </w:rPr>
            </w:pPr>
          </w:p>
          <w:p w14:paraId="24DF3930" w14:textId="77777777" w:rsidR="00646D6F" w:rsidRPr="00830F4C" w:rsidRDefault="00646D6F" w:rsidP="00646D6F">
            <w:pPr>
              <w:jc w:val="center"/>
              <w:rPr>
                <w:rFonts w:ascii="Garamond" w:hAnsi="Garamond"/>
                <w:sz w:val="20"/>
                <w:szCs w:val="20"/>
              </w:rPr>
            </w:pPr>
            <w:r w:rsidRPr="00830F4C">
              <w:rPr>
                <w:rFonts w:ascii="Garamond" w:hAnsi="Garamond"/>
                <w:sz w:val="20"/>
                <w:szCs w:val="20"/>
              </w:rPr>
              <w:t>4,508</w:t>
            </w:r>
          </w:p>
        </w:tc>
      </w:tr>
      <w:tr w:rsidR="00646D6F" w:rsidRPr="00830F4C" w14:paraId="688792C7" w14:textId="77777777" w:rsidTr="00646D6F">
        <w:trPr>
          <w:trHeight w:val="20"/>
        </w:trPr>
        <w:tc>
          <w:tcPr>
            <w:tcW w:w="0" w:type="auto"/>
            <w:tcBorders>
              <w:top w:val="nil"/>
              <w:left w:val="single" w:sz="8" w:space="0" w:color="F7CAAC"/>
              <w:bottom w:val="single" w:sz="8" w:space="0" w:color="F7CAAC"/>
              <w:right w:val="single" w:sz="8" w:space="0" w:color="F7CAAC"/>
            </w:tcBorders>
            <w:shd w:val="clear" w:color="auto" w:fill="auto"/>
            <w:hideMark/>
          </w:tcPr>
          <w:p w14:paraId="30B0C89B" w14:textId="77777777" w:rsidR="00646D6F" w:rsidRPr="00830F4C" w:rsidRDefault="00646D6F" w:rsidP="00646D6F">
            <w:pPr>
              <w:jc w:val="center"/>
              <w:rPr>
                <w:rFonts w:ascii="Garamond" w:hAnsi="Garamond"/>
                <w:b/>
                <w:sz w:val="20"/>
                <w:szCs w:val="20"/>
              </w:rPr>
            </w:pPr>
            <w:r w:rsidRPr="00830F4C">
              <w:rPr>
                <w:rFonts w:ascii="Garamond" w:hAnsi="Garamond"/>
                <w:b/>
                <w:sz w:val="20"/>
                <w:szCs w:val="20"/>
              </w:rPr>
              <w:t>Totali</w:t>
            </w:r>
          </w:p>
        </w:tc>
        <w:tc>
          <w:tcPr>
            <w:tcW w:w="0" w:type="auto"/>
            <w:tcBorders>
              <w:top w:val="nil"/>
              <w:left w:val="nil"/>
              <w:bottom w:val="single" w:sz="8" w:space="0" w:color="F7CAAC"/>
              <w:right w:val="single" w:sz="8" w:space="0" w:color="F7CAAC"/>
            </w:tcBorders>
            <w:shd w:val="clear" w:color="auto" w:fill="auto"/>
            <w:hideMark/>
          </w:tcPr>
          <w:p w14:paraId="090CB7CE" w14:textId="77777777" w:rsidR="00646D6F" w:rsidRPr="00830F4C" w:rsidRDefault="00646D6F" w:rsidP="00646D6F">
            <w:pPr>
              <w:jc w:val="center"/>
              <w:rPr>
                <w:rFonts w:ascii="Garamond" w:hAnsi="Garamond"/>
                <w:b/>
                <w:sz w:val="20"/>
                <w:szCs w:val="20"/>
              </w:rPr>
            </w:pPr>
            <w:r w:rsidRPr="00830F4C">
              <w:rPr>
                <w:rFonts w:ascii="Garamond" w:hAnsi="Garamond"/>
                <w:b/>
                <w:bCs/>
                <w:sz w:val="20"/>
                <w:szCs w:val="20"/>
              </w:rPr>
              <w:t>18,852</w:t>
            </w:r>
          </w:p>
        </w:tc>
        <w:tc>
          <w:tcPr>
            <w:tcW w:w="0" w:type="auto"/>
            <w:tcBorders>
              <w:top w:val="nil"/>
              <w:left w:val="nil"/>
              <w:bottom w:val="single" w:sz="8" w:space="0" w:color="F7CAAC"/>
              <w:right w:val="single" w:sz="8" w:space="0" w:color="F7CAAC"/>
            </w:tcBorders>
            <w:shd w:val="clear" w:color="auto" w:fill="auto"/>
            <w:hideMark/>
          </w:tcPr>
          <w:p w14:paraId="47F416FA" w14:textId="77777777" w:rsidR="00646D6F" w:rsidRPr="00830F4C" w:rsidRDefault="00646D6F" w:rsidP="00646D6F">
            <w:pPr>
              <w:jc w:val="center"/>
              <w:rPr>
                <w:rFonts w:ascii="Garamond" w:hAnsi="Garamond"/>
                <w:b/>
                <w:sz w:val="20"/>
                <w:szCs w:val="20"/>
              </w:rPr>
            </w:pPr>
            <w:r w:rsidRPr="00830F4C">
              <w:rPr>
                <w:rFonts w:ascii="Garamond" w:hAnsi="Garamond"/>
                <w:b/>
                <w:bCs/>
                <w:sz w:val="20"/>
                <w:szCs w:val="20"/>
              </w:rPr>
              <w:t>15,963</w:t>
            </w:r>
          </w:p>
        </w:tc>
        <w:tc>
          <w:tcPr>
            <w:tcW w:w="0" w:type="auto"/>
            <w:tcBorders>
              <w:top w:val="nil"/>
              <w:left w:val="nil"/>
              <w:bottom w:val="single" w:sz="8" w:space="0" w:color="F7CAAC"/>
              <w:right w:val="single" w:sz="8" w:space="0" w:color="F7CAAC"/>
            </w:tcBorders>
            <w:shd w:val="clear" w:color="auto" w:fill="auto"/>
            <w:hideMark/>
          </w:tcPr>
          <w:p w14:paraId="7A22570C" w14:textId="77777777" w:rsidR="00646D6F" w:rsidRPr="00830F4C" w:rsidRDefault="00646D6F" w:rsidP="00646D6F">
            <w:pPr>
              <w:jc w:val="center"/>
              <w:rPr>
                <w:rFonts w:ascii="Garamond" w:hAnsi="Garamond"/>
                <w:b/>
                <w:sz w:val="20"/>
                <w:szCs w:val="20"/>
              </w:rPr>
            </w:pPr>
            <w:r w:rsidRPr="00830F4C">
              <w:rPr>
                <w:rFonts w:ascii="Garamond" w:hAnsi="Garamond"/>
                <w:b/>
                <w:bCs/>
                <w:sz w:val="20"/>
                <w:szCs w:val="20"/>
              </w:rPr>
              <w:t>12,240</w:t>
            </w:r>
          </w:p>
        </w:tc>
        <w:tc>
          <w:tcPr>
            <w:tcW w:w="0" w:type="auto"/>
            <w:tcBorders>
              <w:top w:val="nil"/>
              <w:left w:val="nil"/>
              <w:bottom w:val="single" w:sz="8" w:space="0" w:color="F7CAAC"/>
              <w:right w:val="single" w:sz="8" w:space="0" w:color="F7CAAC"/>
            </w:tcBorders>
            <w:shd w:val="clear" w:color="auto" w:fill="auto"/>
            <w:hideMark/>
          </w:tcPr>
          <w:p w14:paraId="12726C96" w14:textId="77777777" w:rsidR="00646D6F" w:rsidRPr="00830F4C" w:rsidRDefault="00646D6F" w:rsidP="00646D6F">
            <w:pPr>
              <w:jc w:val="center"/>
              <w:rPr>
                <w:rFonts w:ascii="Garamond" w:hAnsi="Garamond"/>
                <w:b/>
                <w:sz w:val="20"/>
                <w:szCs w:val="20"/>
              </w:rPr>
            </w:pPr>
            <w:r w:rsidRPr="00830F4C">
              <w:rPr>
                <w:rFonts w:ascii="Garamond" w:hAnsi="Garamond"/>
                <w:b/>
                <w:bCs/>
                <w:sz w:val="20"/>
                <w:szCs w:val="20"/>
              </w:rPr>
              <w:t>17,802</w:t>
            </w:r>
          </w:p>
        </w:tc>
        <w:tc>
          <w:tcPr>
            <w:tcW w:w="0" w:type="auto"/>
            <w:tcBorders>
              <w:top w:val="nil"/>
              <w:left w:val="nil"/>
              <w:bottom w:val="single" w:sz="8" w:space="0" w:color="F7CAAC"/>
              <w:right w:val="single" w:sz="8" w:space="0" w:color="F7CAAC"/>
            </w:tcBorders>
            <w:shd w:val="clear" w:color="auto" w:fill="auto"/>
            <w:hideMark/>
          </w:tcPr>
          <w:p w14:paraId="4ABC6878" w14:textId="77777777" w:rsidR="00646D6F" w:rsidRPr="00830F4C" w:rsidRDefault="00646D6F" w:rsidP="00646D6F">
            <w:pPr>
              <w:jc w:val="center"/>
              <w:rPr>
                <w:rFonts w:ascii="Garamond" w:hAnsi="Garamond"/>
                <w:sz w:val="20"/>
                <w:szCs w:val="20"/>
              </w:rPr>
            </w:pPr>
          </w:p>
          <w:p w14:paraId="3900A35A" w14:textId="77777777" w:rsidR="00646D6F" w:rsidRPr="00830F4C" w:rsidRDefault="00646D6F" w:rsidP="00646D6F">
            <w:pPr>
              <w:jc w:val="center"/>
              <w:rPr>
                <w:rFonts w:ascii="Garamond" w:hAnsi="Garamond"/>
                <w:b/>
                <w:bCs/>
                <w:sz w:val="20"/>
                <w:szCs w:val="20"/>
              </w:rPr>
            </w:pPr>
            <w:r w:rsidRPr="00830F4C">
              <w:rPr>
                <w:rFonts w:ascii="Garamond" w:hAnsi="Garamond"/>
                <w:b/>
                <w:bCs/>
                <w:sz w:val="20"/>
                <w:szCs w:val="20"/>
              </w:rPr>
              <w:t>64,858</w:t>
            </w:r>
          </w:p>
        </w:tc>
      </w:tr>
    </w:tbl>
    <w:p w14:paraId="3416C964" w14:textId="18B286E6" w:rsidR="00854A2A" w:rsidRPr="00830F4C" w:rsidRDefault="00854A2A" w:rsidP="00854A2A">
      <w:pPr>
        <w:ind w:firstLine="284"/>
        <w:jc w:val="both"/>
        <w:rPr>
          <w:rFonts w:ascii="Garamond" w:hAnsi="Garamond"/>
        </w:rPr>
      </w:pPr>
      <w:r w:rsidRPr="00830F4C">
        <w:rPr>
          <w:rFonts w:ascii="Garamond" w:hAnsi="Garamond"/>
        </w:rPr>
        <w:t>Për të mbajtur siç duhet në kontroll dhe në fokus prioritetet, si dhe për të reflektuar mjedisin dinamik</w:t>
      </w:r>
      <w:r w:rsidR="00F23DA2" w:rsidRPr="00830F4C">
        <w:rPr>
          <w:rFonts w:ascii="Garamond" w:hAnsi="Garamond"/>
        </w:rPr>
        <w:t>,</w:t>
      </w:r>
      <w:r w:rsidRPr="00830F4C">
        <w:rPr>
          <w:rFonts w:ascii="Garamond" w:hAnsi="Garamond"/>
        </w:rPr>
        <w:t xml:space="preserve"> ndryshimet në këtë Strategji, deri në fund të periudhës së zbatimit të saj, do të jenë të kufizuara. Plani i Veprimit dhe Pasaporta e Treguesve do të jenë më fleksibël dhe do të rishikohen sipas nevojës, dhe rrjedhimisht me zbatimin e saj mund të ndryshojnë dhe masat e aktivitetet. </w:t>
      </w:r>
    </w:p>
    <w:p w14:paraId="6938C6C9" w14:textId="77777777" w:rsidR="00854A2A" w:rsidRPr="00830F4C" w:rsidRDefault="00854A2A" w:rsidP="00723888">
      <w:pPr>
        <w:pStyle w:val="Caption"/>
        <w:spacing w:after="0"/>
        <w:ind w:firstLine="284"/>
        <w:rPr>
          <w:rFonts w:ascii="Garamond" w:hAnsi="Garamond" w:cs="Times New Roman"/>
          <w:color w:val="auto"/>
          <w:sz w:val="20"/>
          <w:szCs w:val="20"/>
        </w:rPr>
      </w:pPr>
      <w:bookmarkStart w:id="21" w:name="_Toc185235146"/>
      <w:r w:rsidRPr="00830F4C">
        <w:rPr>
          <w:rFonts w:ascii="Garamond" w:hAnsi="Garamond"/>
          <w:color w:val="auto"/>
          <w:sz w:val="20"/>
          <w:szCs w:val="20"/>
        </w:rPr>
        <w:t xml:space="preserve">Figura </w:t>
      </w:r>
      <w:r w:rsidRPr="00830F4C">
        <w:rPr>
          <w:rFonts w:ascii="Garamond" w:hAnsi="Garamond"/>
          <w:color w:val="auto"/>
          <w:sz w:val="20"/>
          <w:szCs w:val="20"/>
        </w:rPr>
        <w:fldChar w:fldCharType="begin"/>
      </w:r>
      <w:r w:rsidRPr="00830F4C">
        <w:rPr>
          <w:rFonts w:ascii="Garamond" w:hAnsi="Garamond"/>
          <w:color w:val="auto"/>
          <w:sz w:val="20"/>
          <w:szCs w:val="20"/>
        </w:rPr>
        <w:instrText xml:space="preserve"> SEQ Figura \* ARABIC </w:instrText>
      </w:r>
      <w:r w:rsidRPr="00830F4C">
        <w:rPr>
          <w:rFonts w:ascii="Garamond" w:hAnsi="Garamond"/>
          <w:color w:val="auto"/>
          <w:sz w:val="20"/>
          <w:szCs w:val="20"/>
        </w:rPr>
        <w:fldChar w:fldCharType="separate"/>
      </w:r>
      <w:r w:rsidRPr="00830F4C">
        <w:rPr>
          <w:rFonts w:ascii="Garamond" w:hAnsi="Garamond"/>
          <w:color w:val="auto"/>
          <w:sz w:val="20"/>
          <w:szCs w:val="20"/>
        </w:rPr>
        <w:t>1</w:t>
      </w:r>
      <w:r w:rsidRPr="00830F4C">
        <w:rPr>
          <w:rFonts w:ascii="Garamond" w:hAnsi="Garamond"/>
          <w:color w:val="auto"/>
          <w:sz w:val="20"/>
          <w:szCs w:val="20"/>
        </w:rPr>
        <w:fldChar w:fldCharType="end"/>
      </w:r>
      <w:r w:rsidRPr="00830F4C">
        <w:rPr>
          <w:rFonts w:ascii="Garamond" w:hAnsi="Garamond" w:cs="Times New Roman"/>
          <w:color w:val="auto"/>
          <w:sz w:val="20"/>
          <w:szCs w:val="20"/>
        </w:rPr>
        <w:t>: Përmbledhja e Strategjisë Afatmesme të të Ardhurave</w:t>
      </w:r>
      <w:bookmarkEnd w:id="21"/>
    </w:p>
    <w:tbl>
      <w:tblPr>
        <w:tblStyle w:val="GridTable4-Accent3"/>
        <w:tblW w:w="9029" w:type="dxa"/>
        <w:tblLook w:val="04A0" w:firstRow="1" w:lastRow="0" w:firstColumn="1" w:lastColumn="0" w:noHBand="0" w:noVBand="1"/>
      </w:tblPr>
      <w:tblGrid>
        <w:gridCol w:w="3009"/>
        <w:gridCol w:w="3009"/>
        <w:gridCol w:w="3011"/>
      </w:tblGrid>
      <w:tr w:rsidR="00854A2A" w:rsidRPr="00830F4C" w14:paraId="5FE8B56F" w14:textId="77777777" w:rsidTr="00854A2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009" w:type="dxa"/>
          </w:tcPr>
          <w:p w14:paraId="422EF578" w14:textId="77777777" w:rsidR="00854A2A" w:rsidRPr="00830F4C" w:rsidRDefault="00854A2A" w:rsidP="00854A2A">
            <w:pPr>
              <w:rPr>
                <w:rFonts w:ascii="Garamond" w:hAnsi="Garamond"/>
                <w:color w:val="auto"/>
                <w:sz w:val="20"/>
                <w:szCs w:val="20"/>
              </w:rPr>
            </w:pPr>
            <w:r w:rsidRPr="00830F4C">
              <w:rPr>
                <w:rFonts w:ascii="Garamond" w:hAnsi="Garamond"/>
                <w:color w:val="auto"/>
                <w:sz w:val="20"/>
                <w:szCs w:val="20"/>
              </w:rPr>
              <w:t>Shtylla 1: Rishikimi i politikës tatimore</w:t>
            </w:r>
          </w:p>
        </w:tc>
        <w:tc>
          <w:tcPr>
            <w:tcW w:w="3009" w:type="dxa"/>
          </w:tcPr>
          <w:p w14:paraId="1E8BDE61" w14:textId="77777777" w:rsidR="00854A2A" w:rsidRPr="00830F4C" w:rsidRDefault="00854A2A" w:rsidP="00854A2A">
            <w:pPr>
              <w:cnfStyle w:val="100000000000" w:firstRow="1" w:lastRow="0" w:firstColumn="0" w:lastColumn="0" w:oddVBand="0" w:evenVBand="0" w:oddHBand="0" w:evenHBand="0" w:firstRowFirstColumn="0" w:firstRowLastColumn="0" w:lastRowFirstColumn="0" w:lastRowLastColumn="0"/>
              <w:rPr>
                <w:rFonts w:ascii="Garamond" w:hAnsi="Garamond"/>
                <w:color w:val="auto"/>
                <w:sz w:val="20"/>
                <w:szCs w:val="20"/>
              </w:rPr>
            </w:pPr>
            <w:r w:rsidRPr="00830F4C">
              <w:rPr>
                <w:rFonts w:ascii="Garamond" w:hAnsi="Garamond"/>
                <w:color w:val="auto"/>
                <w:sz w:val="20"/>
                <w:szCs w:val="20"/>
              </w:rPr>
              <w:t>Shtylla 2: Mirëadministrimi tatimor</w:t>
            </w:r>
          </w:p>
        </w:tc>
        <w:tc>
          <w:tcPr>
            <w:tcW w:w="3011" w:type="dxa"/>
          </w:tcPr>
          <w:p w14:paraId="76DEE449" w14:textId="77777777" w:rsidR="00854A2A" w:rsidRPr="00830F4C" w:rsidRDefault="00854A2A" w:rsidP="00854A2A">
            <w:pPr>
              <w:cnfStyle w:val="100000000000" w:firstRow="1" w:lastRow="0" w:firstColumn="0" w:lastColumn="0" w:oddVBand="0" w:evenVBand="0" w:oddHBand="0" w:evenHBand="0" w:firstRowFirstColumn="0" w:firstRowLastColumn="0" w:lastRowFirstColumn="0" w:lastRowLastColumn="0"/>
              <w:rPr>
                <w:rFonts w:ascii="Garamond" w:hAnsi="Garamond"/>
                <w:color w:val="auto"/>
                <w:sz w:val="20"/>
                <w:szCs w:val="20"/>
              </w:rPr>
            </w:pPr>
            <w:r w:rsidRPr="00830F4C">
              <w:rPr>
                <w:rFonts w:ascii="Garamond" w:hAnsi="Garamond"/>
                <w:color w:val="auto"/>
                <w:sz w:val="20"/>
                <w:szCs w:val="20"/>
              </w:rPr>
              <w:t>Shtylla 3 : Mirëadministrimi doganor</w:t>
            </w:r>
          </w:p>
        </w:tc>
      </w:tr>
      <w:tr w:rsidR="00854A2A" w:rsidRPr="00830F4C" w14:paraId="1B49C97B" w14:textId="77777777" w:rsidTr="00854A2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009" w:type="dxa"/>
          </w:tcPr>
          <w:p w14:paraId="7D855955" w14:textId="4916E6EA" w:rsidR="00854A2A" w:rsidRPr="00830F4C" w:rsidRDefault="00854A2A" w:rsidP="00854A2A">
            <w:pPr>
              <w:rPr>
                <w:rFonts w:ascii="Garamond" w:hAnsi="Garamond"/>
                <w:b w:val="0"/>
                <w:bCs w:val="0"/>
                <w:sz w:val="20"/>
                <w:szCs w:val="20"/>
              </w:rPr>
            </w:pPr>
            <w:r w:rsidRPr="00830F4C">
              <w:rPr>
                <w:rFonts w:ascii="Garamond" w:hAnsi="Garamond"/>
                <w:b w:val="0"/>
                <w:bCs w:val="0"/>
                <w:sz w:val="20"/>
                <w:szCs w:val="20"/>
              </w:rPr>
              <w:t>Rishikimi i politikës tatimore të tatimeve indirekte (taksave mbi konsumin)</w:t>
            </w:r>
          </w:p>
        </w:tc>
        <w:tc>
          <w:tcPr>
            <w:tcW w:w="3009" w:type="dxa"/>
          </w:tcPr>
          <w:p w14:paraId="7FC1154D" w14:textId="234A2C2C" w:rsidR="00854A2A" w:rsidRPr="00830F4C" w:rsidRDefault="00854A2A" w:rsidP="00854A2A">
            <w:pPr>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830F4C">
              <w:rPr>
                <w:rFonts w:ascii="Garamond" w:hAnsi="Garamond"/>
                <w:sz w:val="20"/>
                <w:szCs w:val="20"/>
              </w:rPr>
              <w:t>Zvogëlimi i hendekut të pajtueshmërisë në lidhje me</w:t>
            </w:r>
            <w:r w:rsidR="00DE65FB">
              <w:rPr>
                <w:rFonts w:ascii="Garamond" w:hAnsi="Garamond"/>
                <w:sz w:val="20"/>
                <w:szCs w:val="20"/>
              </w:rPr>
              <w:t xml:space="preserve"> TVSh</w:t>
            </w:r>
            <w:r w:rsidRPr="00830F4C">
              <w:rPr>
                <w:rFonts w:ascii="Garamond" w:hAnsi="Garamond"/>
                <w:sz w:val="20"/>
                <w:szCs w:val="20"/>
              </w:rPr>
              <w:t>-në</w:t>
            </w:r>
          </w:p>
        </w:tc>
        <w:tc>
          <w:tcPr>
            <w:tcW w:w="3011" w:type="dxa"/>
          </w:tcPr>
          <w:p w14:paraId="2D5B1BE4" w14:textId="77777777" w:rsidR="00854A2A" w:rsidRPr="00830F4C" w:rsidRDefault="00854A2A" w:rsidP="00854A2A">
            <w:pPr>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830F4C">
              <w:rPr>
                <w:rFonts w:ascii="Garamond" w:hAnsi="Garamond"/>
                <w:sz w:val="20"/>
              </w:rPr>
              <w:t>Modernizimi i proceseve të biznesit, duke përfshirë centralizimin e funksionit të profilizimit të riskut</w:t>
            </w:r>
          </w:p>
        </w:tc>
      </w:tr>
      <w:tr w:rsidR="00854A2A" w:rsidRPr="00830F4C" w14:paraId="69346010" w14:textId="77777777" w:rsidTr="00854A2A">
        <w:trPr>
          <w:trHeight w:val="20"/>
        </w:trPr>
        <w:tc>
          <w:tcPr>
            <w:cnfStyle w:val="001000000000" w:firstRow="0" w:lastRow="0" w:firstColumn="1" w:lastColumn="0" w:oddVBand="0" w:evenVBand="0" w:oddHBand="0" w:evenHBand="0" w:firstRowFirstColumn="0" w:firstRowLastColumn="0" w:lastRowFirstColumn="0" w:lastRowLastColumn="0"/>
            <w:tcW w:w="3009" w:type="dxa"/>
          </w:tcPr>
          <w:p w14:paraId="78C32A61" w14:textId="77777777" w:rsidR="00854A2A" w:rsidRPr="00830F4C" w:rsidRDefault="00854A2A" w:rsidP="00854A2A">
            <w:pPr>
              <w:rPr>
                <w:rFonts w:ascii="Garamond" w:hAnsi="Garamond"/>
                <w:b w:val="0"/>
                <w:bCs w:val="0"/>
                <w:sz w:val="20"/>
                <w:szCs w:val="20"/>
              </w:rPr>
            </w:pPr>
            <w:r w:rsidRPr="00830F4C">
              <w:rPr>
                <w:rFonts w:ascii="Garamond" w:hAnsi="Garamond"/>
                <w:b w:val="0"/>
                <w:bCs w:val="0"/>
                <w:sz w:val="20"/>
                <w:szCs w:val="20"/>
              </w:rPr>
              <w:t>Rishikimi i politikës tatimore të tatimeve direkte</w:t>
            </w:r>
          </w:p>
        </w:tc>
        <w:tc>
          <w:tcPr>
            <w:tcW w:w="3009" w:type="dxa"/>
          </w:tcPr>
          <w:p w14:paraId="723DBC01" w14:textId="77777777" w:rsidR="00854A2A" w:rsidRPr="00830F4C" w:rsidRDefault="00854A2A" w:rsidP="00854A2A">
            <w:pP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830F4C">
              <w:rPr>
                <w:rFonts w:ascii="Garamond" w:hAnsi="Garamond"/>
                <w:sz w:val="20"/>
                <w:szCs w:val="20"/>
              </w:rPr>
              <w:t>Ulja e pagesave me para në dorë në ekonomi</w:t>
            </w:r>
          </w:p>
        </w:tc>
        <w:tc>
          <w:tcPr>
            <w:tcW w:w="3011" w:type="dxa"/>
          </w:tcPr>
          <w:p w14:paraId="45625A70" w14:textId="77777777" w:rsidR="00854A2A" w:rsidRPr="00830F4C" w:rsidRDefault="00854A2A" w:rsidP="00854A2A">
            <w:pP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830F4C">
              <w:rPr>
                <w:rFonts w:ascii="Garamond" w:hAnsi="Garamond"/>
                <w:sz w:val="20"/>
                <w:szCs w:val="20"/>
              </w:rPr>
              <w:t xml:space="preserve">Zhvillimi i aftësive të zgjeruara analitike të të dhënave </w:t>
            </w:r>
          </w:p>
        </w:tc>
      </w:tr>
      <w:tr w:rsidR="00854A2A" w:rsidRPr="00830F4C" w14:paraId="79279993" w14:textId="77777777" w:rsidTr="00854A2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009" w:type="dxa"/>
          </w:tcPr>
          <w:p w14:paraId="19563CCD" w14:textId="77777777" w:rsidR="00854A2A" w:rsidRPr="00830F4C" w:rsidRDefault="00854A2A" w:rsidP="00854A2A">
            <w:pPr>
              <w:rPr>
                <w:rFonts w:ascii="Garamond" w:hAnsi="Garamond"/>
                <w:sz w:val="20"/>
                <w:szCs w:val="20"/>
              </w:rPr>
            </w:pPr>
            <w:r w:rsidRPr="00830F4C">
              <w:rPr>
                <w:rFonts w:ascii="Garamond" w:hAnsi="Garamond"/>
                <w:b w:val="0"/>
                <w:bCs w:val="0"/>
                <w:sz w:val="20"/>
                <w:szCs w:val="20"/>
              </w:rPr>
              <w:t>Rishikimi i politikës tatimore të taksës mbi pasuritë e paluajtshme</w:t>
            </w:r>
          </w:p>
        </w:tc>
        <w:tc>
          <w:tcPr>
            <w:tcW w:w="3009" w:type="dxa"/>
          </w:tcPr>
          <w:p w14:paraId="1C674909" w14:textId="26E836DD" w:rsidR="00854A2A" w:rsidRPr="00830F4C" w:rsidRDefault="00854A2A" w:rsidP="00854A2A">
            <w:pPr>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830F4C">
              <w:rPr>
                <w:rFonts w:ascii="Garamond" w:hAnsi="Garamond"/>
                <w:sz w:val="20"/>
              </w:rPr>
              <w:t>Verifikimi i të ardhurave dhe kontrolli i pasurive të pajustifikuara</w:t>
            </w:r>
          </w:p>
        </w:tc>
        <w:tc>
          <w:tcPr>
            <w:tcW w:w="3011" w:type="dxa"/>
          </w:tcPr>
          <w:p w14:paraId="0B3130BE" w14:textId="77C33E71" w:rsidR="00854A2A" w:rsidRPr="00830F4C" w:rsidRDefault="00854A2A" w:rsidP="00854A2A">
            <w:pPr>
              <w:cnfStyle w:val="000000100000" w:firstRow="0" w:lastRow="0" w:firstColumn="0" w:lastColumn="0" w:oddVBand="0" w:evenVBand="0" w:oddHBand="1" w:evenHBand="0" w:firstRowFirstColumn="0" w:firstRowLastColumn="0" w:lastRowFirstColumn="0" w:lastRowLastColumn="0"/>
              <w:rPr>
                <w:rFonts w:ascii="Garamond" w:hAnsi="Garamond"/>
                <w:bCs/>
                <w:sz w:val="20"/>
                <w:szCs w:val="20"/>
              </w:rPr>
            </w:pPr>
            <w:r w:rsidRPr="00830F4C">
              <w:rPr>
                <w:rFonts w:ascii="Garamond" w:hAnsi="Garamond"/>
                <w:bCs/>
                <w:sz w:val="20"/>
                <w:szCs w:val="20"/>
              </w:rPr>
              <w:t xml:space="preserve">Rritja e investimeve në zhvillimin e sistemeve të </w:t>
            </w:r>
            <w:r w:rsidR="00F23DA2" w:rsidRPr="00830F4C">
              <w:rPr>
                <w:rFonts w:ascii="Garamond" w:hAnsi="Garamond"/>
                <w:bCs/>
                <w:sz w:val="20"/>
                <w:szCs w:val="20"/>
              </w:rPr>
              <w:t xml:space="preserve">teknologjisë së informacionit </w:t>
            </w:r>
          </w:p>
        </w:tc>
      </w:tr>
      <w:tr w:rsidR="00854A2A" w:rsidRPr="00830F4C" w14:paraId="66F4603F" w14:textId="77777777" w:rsidTr="00854A2A">
        <w:trPr>
          <w:trHeight w:val="20"/>
        </w:trPr>
        <w:tc>
          <w:tcPr>
            <w:cnfStyle w:val="001000000000" w:firstRow="0" w:lastRow="0" w:firstColumn="1" w:lastColumn="0" w:oddVBand="0" w:evenVBand="0" w:oddHBand="0" w:evenHBand="0" w:firstRowFirstColumn="0" w:firstRowLastColumn="0" w:lastRowFirstColumn="0" w:lastRowLastColumn="0"/>
            <w:tcW w:w="3009" w:type="dxa"/>
          </w:tcPr>
          <w:p w14:paraId="7F3B9136" w14:textId="77777777" w:rsidR="00854A2A" w:rsidRPr="00830F4C" w:rsidRDefault="00854A2A" w:rsidP="00854A2A">
            <w:pPr>
              <w:rPr>
                <w:rFonts w:ascii="Garamond" w:hAnsi="Garamond"/>
                <w:sz w:val="20"/>
                <w:szCs w:val="20"/>
              </w:rPr>
            </w:pPr>
          </w:p>
        </w:tc>
        <w:tc>
          <w:tcPr>
            <w:tcW w:w="3009" w:type="dxa"/>
          </w:tcPr>
          <w:p w14:paraId="2B3ECBB7" w14:textId="77777777" w:rsidR="00854A2A" w:rsidRPr="00830F4C" w:rsidRDefault="00854A2A" w:rsidP="00854A2A">
            <w:pP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830F4C">
              <w:rPr>
                <w:rFonts w:ascii="Garamond" w:hAnsi="Garamond"/>
                <w:sz w:val="20"/>
              </w:rPr>
              <w:t>Zvogëlimi i shmangies tatimore</w:t>
            </w:r>
          </w:p>
        </w:tc>
        <w:tc>
          <w:tcPr>
            <w:tcW w:w="3011" w:type="dxa"/>
          </w:tcPr>
          <w:p w14:paraId="356B0D92" w14:textId="080660FB" w:rsidR="00854A2A" w:rsidRPr="00830F4C" w:rsidRDefault="00854A2A" w:rsidP="00854A2A">
            <w:pPr>
              <w:cnfStyle w:val="000000000000" w:firstRow="0" w:lastRow="0" w:firstColumn="0" w:lastColumn="0" w:oddVBand="0" w:evenVBand="0" w:oddHBand="0" w:evenHBand="0" w:firstRowFirstColumn="0" w:firstRowLastColumn="0" w:lastRowFirstColumn="0" w:lastRowLastColumn="0"/>
              <w:rPr>
                <w:rFonts w:ascii="Garamond" w:hAnsi="Garamond"/>
                <w:bCs/>
                <w:sz w:val="20"/>
                <w:szCs w:val="20"/>
              </w:rPr>
            </w:pPr>
            <w:r w:rsidRPr="00830F4C">
              <w:rPr>
                <w:rFonts w:ascii="Garamond" w:hAnsi="Garamond"/>
                <w:bCs/>
                <w:sz w:val="20"/>
                <w:szCs w:val="20"/>
              </w:rPr>
              <w:t>Zhvillimi dhe zbatimi plotësisht i një kornizë integriteti për të ndihmuar në ndërtimin e besimit të komunitetit</w:t>
            </w:r>
          </w:p>
        </w:tc>
      </w:tr>
      <w:tr w:rsidR="00854A2A" w:rsidRPr="00830F4C" w14:paraId="448A05B6" w14:textId="77777777" w:rsidTr="00854A2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009" w:type="dxa"/>
          </w:tcPr>
          <w:p w14:paraId="481D324B" w14:textId="77777777" w:rsidR="00854A2A" w:rsidRPr="00830F4C" w:rsidRDefault="00854A2A" w:rsidP="00854A2A">
            <w:pPr>
              <w:rPr>
                <w:rFonts w:ascii="Garamond" w:hAnsi="Garamond"/>
                <w:sz w:val="20"/>
                <w:szCs w:val="20"/>
              </w:rPr>
            </w:pPr>
          </w:p>
        </w:tc>
        <w:tc>
          <w:tcPr>
            <w:tcW w:w="3009" w:type="dxa"/>
          </w:tcPr>
          <w:p w14:paraId="231F462F" w14:textId="77777777" w:rsidR="00854A2A" w:rsidRPr="00830F4C" w:rsidRDefault="00854A2A" w:rsidP="00854A2A">
            <w:pPr>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830F4C">
              <w:rPr>
                <w:rFonts w:ascii="Garamond" w:hAnsi="Garamond"/>
                <w:sz w:val="20"/>
                <w:szCs w:val="20"/>
              </w:rPr>
              <w:t>Reduktimi i punës së padeklaruar dhe të nëndeklarimit të pagës reale</w:t>
            </w:r>
          </w:p>
        </w:tc>
        <w:tc>
          <w:tcPr>
            <w:tcW w:w="3011" w:type="dxa"/>
          </w:tcPr>
          <w:p w14:paraId="01D431E0" w14:textId="77777777" w:rsidR="00854A2A" w:rsidRPr="00830F4C" w:rsidRDefault="00854A2A" w:rsidP="00854A2A">
            <w:pPr>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830F4C">
              <w:rPr>
                <w:rFonts w:ascii="Garamond" w:hAnsi="Garamond"/>
                <w:sz w:val="20"/>
              </w:rPr>
              <w:t>Rritja e numrit të operatorëve ekonomikë të autorizuar</w:t>
            </w:r>
          </w:p>
        </w:tc>
      </w:tr>
      <w:tr w:rsidR="00854A2A" w:rsidRPr="00830F4C" w14:paraId="32D13F03" w14:textId="77777777" w:rsidTr="00854A2A">
        <w:trPr>
          <w:trHeight w:val="20"/>
        </w:trPr>
        <w:tc>
          <w:tcPr>
            <w:cnfStyle w:val="001000000000" w:firstRow="0" w:lastRow="0" w:firstColumn="1" w:lastColumn="0" w:oddVBand="0" w:evenVBand="0" w:oddHBand="0" w:evenHBand="0" w:firstRowFirstColumn="0" w:firstRowLastColumn="0" w:lastRowFirstColumn="0" w:lastRowLastColumn="0"/>
            <w:tcW w:w="3009" w:type="dxa"/>
          </w:tcPr>
          <w:p w14:paraId="7E09FED1" w14:textId="77777777" w:rsidR="00854A2A" w:rsidRPr="00830F4C" w:rsidRDefault="00854A2A" w:rsidP="00854A2A">
            <w:pPr>
              <w:rPr>
                <w:rFonts w:ascii="Garamond" w:hAnsi="Garamond"/>
                <w:sz w:val="20"/>
                <w:szCs w:val="20"/>
              </w:rPr>
            </w:pPr>
          </w:p>
        </w:tc>
        <w:tc>
          <w:tcPr>
            <w:tcW w:w="3009" w:type="dxa"/>
          </w:tcPr>
          <w:p w14:paraId="608197C0" w14:textId="77777777" w:rsidR="00854A2A" w:rsidRPr="00830F4C" w:rsidRDefault="00854A2A" w:rsidP="00854A2A">
            <w:pP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830F4C">
              <w:rPr>
                <w:rFonts w:ascii="Garamond" w:hAnsi="Garamond"/>
                <w:sz w:val="20"/>
                <w:szCs w:val="20"/>
              </w:rPr>
              <w:t xml:space="preserve">Reduktimi i kostove të pajtueshmërisë dhe rritja e sigurisë tatimore dhe besimit tek administrata tatimore. </w:t>
            </w:r>
          </w:p>
        </w:tc>
        <w:tc>
          <w:tcPr>
            <w:tcW w:w="3011" w:type="dxa"/>
          </w:tcPr>
          <w:p w14:paraId="66A79C74" w14:textId="56B5A299" w:rsidR="00854A2A" w:rsidRPr="00830F4C" w:rsidRDefault="00854A2A" w:rsidP="00854A2A">
            <w:pPr>
              <w:cnfStyle w:val="000000000000" w:firstRow="0" w:lastRow="0" w:firstColumn="0" w:lastColumn="0" w:oddVBand="0" w:evenVBand="0" w:oddHBand="0" w:evenHBand="0" w:firstRowFirstColumn="0" w:firstRowLastColumn="0" w:lastRowFirstColumn="0" w:lastRowLastColumn="0"/>
              <w:rPr>
                <w:rFonts w:ascii="Garamond" w:hAnsi="Garamond"/>
                <w:bCs/>
                <w:sz w:val="20"/>
                <w:szCs w:val="20"/>
              </w:rPr>
            </w:pPr>
            <w:r w:rsidRPr="00830F4C">
              <w:rPr>
                <w:rFonts w:ascii="Garamond" w:hAnsi="Garamond"/>
                <w:bCs/>
                <w:sz w:val="20"/>
                <w:szCs w:val="20"/>
              </w:rPr>
              <w:t>Implementimi i Dritares së Vetme Kombëtare (</w:t>
            </w:r>
            <w:r w:rsidRPr="00830F4C">
              <w:rPr>
                <w:rFonts w:ascii="Garamond" w:hAnsi="Garamond"/>
                <w:bCs/>
                <w:i/>
                <w:sz w:val="20"/>
                <w:szCs w:val="20"/>
              </w:rPr>
              <w:t>National National Single Window</w:t>
            </w:r>
            <w:r w:rsidRPr="00830F4C">
              <w:rPr>
                <w:rFonts w:ascii="Garamond" w:hAnsi="Garamond"/>
                <w:bCs/>
                <w:sz w:val="20"/>
                <w:szCs w:val="20"/>
              </w:rPr>
              <w:t>)</w:t>
            </w:r>
          </w:p>
          <w:p w14:paraId="472A0A12" w14:textId="77777777" w:rsidR="00854A2A" w:rsidRPr="00830F4C" w:rsidRDefault="00854A2A" w:rsidP="00854A2A">
            <w:pPr>
              <w:cnfStyle w:val="000000000000" w:firstRow="0" w:lastRow="0" w:firstColumn="0" w:lastColumn="0" w:oddVBand="0" w:evenVBand="0" w:oddHBand="0" w:evenHBand="0" w:firstRowFirstColumn="0" w:firstRowLastColumn="0" w:lastRowFirstColumn="0" w:lastRowLastColumn="0"/>
              <w:rPr>
                <w:rFonts w:ascii="Garamond" w:hAnsi="Garamond"/>
                <w:bCs/>
                <w:sz w:val="20"/>
                <w:szCs w:val="20"/>
              </w:rPr>
            </w:pPr>
          </w:p>
        </w:tc>
      </w:tr>
      <w:tr w:rsidR="00854A2A" w:rsidRPr="00830F4C" w14:paraId="1ADEF6CF" w14:textId="77777777" w:rsidTr="00854A2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009" w:type="dxa"/>
          </w:tcPr>
          <w:p w14:paraId="206B3434" w14:textId="77777777" w:rsidR="00854A2A" w:rsidRPr="00830F4C" w:rsidRDefault="00854A2A" w:rsidP="00854A2A">
            <w:pPr>
              <w:rPr>
                <w:rFonts w:ascii="Garamond" w:hAnsi="Garamond"/>
                <w:sz w:val="20"/>
                <w:szCs w:val="20"/>
              </w:rPr>
            </w:pPr>
          </w:p>
        </w:tc>
        <w:tc>
          <w:tcPr>
            <w:tcW w:w="3009" w:type="dxa"/>
          </w:tcPr>
          <w:p w14:paraId="4BBE67C3" w14:textId="77777777" w:rsidR="00854A2A" w:rsidRPr="00830F4C" w:rsidRDefault="00854A2A" w:rsidP="00854A2A">
            <w:pPr>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830F4C">
              <w:rPr>
                <w:rFonts w:ascii="Garamond" w:hAnsi="Garamond"/>
                <w:sz w:val="20"/>
                <w:szCs w:val="20"/>
              </w:rPr>
              <w:t>Përmirësimi i cilësisë së shërbimit të ofruar nga Administrata Tatimore (AT) nëpërmjet zhvillimit të kapaciteteve institucionale të administratës tatimore</w:t>
            </w:r>
          </w:p>
        </w:tc>
        <w:tc>
          <w:tcPr>
            <w:tcW w:w="3011" w:type="dxa"/>
          </w:tcPr>
          <w:p w14:paraId="629F7882" w14:textId="77777777" w:rsidR="00854A2A" w:rsidRPr="00830F4C" w:rsidRDefault="00854A2A" w:rsidP="00854A2A">
            <w:pPr>
              <w:cnfStyle w:val="000000100000" w:firstRow="0" w:lastRow="0" w:firstColumn="0" w:lastColumn="0" w:oddVBand="0" w:evenVBand="0" w:oddHBand="1" w:evenHBand="0" w:firstRowFirstColumn="0" w:firstRowLastColumn="0" w:lastRowFirstColumn="0" w:lastRowLastColumn="0"/>
              <w:rPr>
                <w:rFonts w:ascii="Garamond" w:hAnsi="Garamond"/>
                <w:bCs/>
                <w:sz w:val="20"/>
                <w:szCs w:val="20"/>
              </w:rPr>
            </w:pPr>
            <w:r w:rsidRPr="00830F4C">
              <w:rPr>
                <w:rFonts w:ascii="Garamond" w:hAnsi="Garamond"/>
                <w:bCs/>
                <w:sz w:val="20"/>
                <w:szCs w:val="20"/>
              </w:rPr>
              <w:t>Implementimi i Sistemit të Ri të Kompjuterizuar të Transitit (NCTS)</w:t>
            </w:r>
          </w:p>
        </w:tc>
      </w:tr>
      <w:tr w:rsidR="00854A2A" w:rsidRPr="00830F4C" w14:paraId="6205EE6A" w14:textId="77777777" w:rsidTr="00854A2A">
        <w:trPr>
          <w:trHeight w:val="20"/>
        </w:trPr>
        <w:tc>
          <w:tcPr>
            <w:cnfStyle w:val="001000000000" w:firstRow="0" w:lastRow="0" w:firstColumn="1" w:lastColumn="0" w:oddVBand="0" w:evenVBand="0" w:oddHBand="0" w:evenHBand="0" w:firstRowFirstColumn="0" w:firstRowLastColumn="0" w:lastRowFirstColumn="0" w:lastRowLastColumn="0"/>
            <w:tcW w:w="3009" w:type="dxa"/>
          </w:tcPr>
          <w:p w14:paraId="76AF2608" w14:textId="77777777" w:rsidR="00854A2A" w:rsidRPr="00830F4C" w:rsidRDefault="00854A2A" w:rsidP="00854A2A">
            <w:pPr>
              <w:rPr>
                <w:rFonts w:ascii="Garamond" w:hAnsi="Garamond"/>
                <w:sz w:val="20"/>
                <w:szCs w:val="20"/>
              </w:rPr>
            </w:pPr>
          </w:p>
        </w:tc>
        <w:tc>
          <w:tcPr>
            <w:tcW w:w="3009" w:type="dxa"/>
          </w:tcPr>
          <w:p w14:paraId="38530202" w14:textId="77777777" w:rsidR="00854A2A" w:rsidRPr="00830F4C" w:rsidRDefault="00854A2A" w:rsidP="00854A2A">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rPr>
            </w:pPr>
          </w:p>
        </w:tc>
        <w:tc>
          <w:tcPr>
            <w:tcW w:w="3011" w:type="dxa"/>
          </w:tcPr>
          <w:p w14:paraId="6380DF5D" w14:textId="77777777" w:rsidR="00854A2A" w:rsidRPr="00830F4C" w:rsidRDefault="00854A2A" w:rsidP="00854A2A">
            <w:pPr>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830F4C">
              <w:rPr>
                <w:rFonts w:ascii="Garamond" w:hAnsi="Garamond"/>
                <w:sz w:val="20"/>
                <w:szCs w:val="20"/>
              </w:rPr>
              <w:t>Rritja e bashkëpunimit në luftën kundër informalitetit, kontrabandës, korrupsionit dhe importit të mallrave të falsifikuara</w:t>
            </w:r>
          </w:p>
        </w:tc>
      </w:tr>
      <w:tr w:rsidR="00854A2A" w:rsidRPr="00830F4C" w14:paraId="0DC028BE" w14:textId="77777777" w:rsidTr="00854A2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009" w:type="dxa"/>
          </w:tcPr>
          <w:p w14:paraId="18984D79" w14:textId="77777777" w:rsidR="00854A2A" w:rsidRPr="00830F4C" w:rsidRDefault="00854A2A" w:rsidP="00854A2A">
            <w:pPr>
              <w:rPr>
                <w:rFonts w:ascii="Garamond" w:hAnsi="Garamond"/>
                <w:sz w:val="20"/>
                <w:szCs w:val="20"/>
              </w:rPr>
            </w:pPr>
          </w:p>
        </w:tc>
        <w:tc>
          <w:tcPr>
            <w:tcW w:w="3009" w:type="dxa"/>
          </w:tcPr>
          <w:p w14:paraId="25E0E331" w14:textId="77777777" w:rsidR="00854A2A" w:rsidRPr="00830F4C" w:rsidRDefault="00854A2A" w:rsidP="00854A2A">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rPr>
            </w:pPr>
          </w:p>
        </w:tc>
        <w:tc>
          <w:tcPr>
            <w:tcW w:w="3011" w:type="dxa"/>
          </w:tcPr>
          <w:p w14:paraId="3F78862C" w14:textId="77777777" w:rsidR="00854A2A" w:rsidRPr="00830F4C" w:rsidRDefault="00854A2A" w:rsidP="00854A2A">
            <w:pPr>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830F4C">
              <w:rPr>
                <w:rFonts w:ascii="Garamond" w:hAnsi="Garamond"/>
                <w:sz w:val="20"/>
                <w:szCs w:val="20"/>
              </w:rPr>
              <w:t>Zgjerimi i shkëmbimit të informacionit me partnerët vendas dhe ndërkombëtarë për të përmirësuar profilin e riskut</w:t>
            </w:r>
          </w:p>
        </w:tc>
      </w:tr>
    </w:tbl>
    <w:p w14:paraId="1FE7C3F0" w14:textId="77777777" w:rsidR="00854A2A" w:rsidRPr="00830F4C" w:rsidRDefault="00854A2A" w:rsidP="00646D6F">
      <w:pPr>
        <w:rPr>
          <w:rFonts w:ascii="Garamond" w:hAnsi="Garamond"/>
        </w:rPr>
      </w:pPr>
    </w:p>
    <w:p w14:paraId="19548989" w14:textId="4B8AA1F8" w:rsidR="00854A2A" w:rsidRPr="00830F4C" w:rsidRDefault="00854A2A" w:rsidP="00EC6559">
      <w:pPr>
        <w:pStyle w:val="Heading2"/>
        <w:spacing w:before="0"/>
        <w:ind w:firstLine="284"/>
        <w:jc w:val="both"/>
        <w:rPr>
          <w:rFonts w:ascii="Garamond" w:hAnsi="Garamond"/>
          <w:b/>
          <w:bCs/>
          <w:color w:val="auto"/>
          <w:sz w:val="24"/>
          <w:szCs w:val="24"/>
        </w:rPr>
      </w:pPr>
      <w:r w:rsidRPr="00830F4C">
        <w:rPr>
          <w:rFonts w:ascii="Garamond" w:hAnsi="Garamond"/>
          <w:b/>
          <w:bCs/>
          <w:color w:val="auto"/>
          <w:sz w:val="24"/>
          <w:szCs w:val="24"/>
        </w:rPr>
        <w:t>III.1</w:t>
      </w:r>
      <w:r w:rsidR="00D22EA5" w:rsidRPr="00830F4C">
        <w:rPr>
          <w:rFonts w:ascii="Garamond" w:hAnsi="Garamond"/>
          <w:b/>
          <w:bCs/>
          <w:color w:val="auto"/>
          <w:sz w:val="24"/>
          <w:szCs w:val="24"/>
        </w:rPr>
        <w:t xml:space="preserve"> </w:t>
      </w:r>
      <w:r w:rsidRPr="00830F4C">
        <w:rPr>
          <w:rFonts w:ascii="Garamond" w:hAnsi="Garamond"/>
          <w:b/>
          <w:bCs/>
          <w:color w:val="auto"/>
          <w:sz w:val="24"/>
          <w:szCs w:val="24"/>
        </w:rPr>
        <w:t xml:space="preserve">Përputhshmëria e Strategjisë me </w:t>
      </w:r>
      <w:r w:rsidR="00F23DA2" w:rsidRPr="00830F4C">
        <w:rPr>
          <w:rFonts w:ascii="Garamond" w:hAnsi="Garamond"/>
          <w:b/>
          <w:bCs/>
          <w:color w:val="auto"/>
          <w:sz w:val="24"/>
          <w:szCs w:val="24"/>
        </w:rPr>
        <w:t>Dokumentet</w:t>
      </w:r>
      <w:r w:rsidRPr="00830F4C">
        <w:rPr>
          <w:rFonts w:ascii="Garamond" w:hAnsi="Garamond"/>
          <w:b/>
          <w:bCs/>
          <w:color w:val="auto"/>
          <w:sz w:val="24"/>
          <w:szCs w:val="24"/>
        </w:rPr>
        <w:t xml:space="preserve"> Strategjik</w:t>
      </w:r>
      <w:r w:rsidR="00F23DA2" w:rsidRPr="00830F4C">
        <w:rPr>
          <w:rFonts w:ascii="Garamond" w:hAnsi="Garamond"/>
          <w:b/>
          <w:bCs/>
          <w:color w:val="auto"/>
          <w:sz w:val="24"/>
          <w:szCs w:val="24"/>
        </w:rPr>
        <w:t>e</w:t>
      </w:r>
    </w:p>
    <w:p w14:paraId="5B2CFAD9" w14:textId="51558282" w:rsidR="00854A2A" w:rsidRPr="00830F4C" w:rsidRDefault="00854A2A" w:rsidP="00EC6559">
      <w:pPr>
        <w:ind w:firstLine="284"/>
        <w:jc w:val="both"/>
        <w:rPr>
          <w:rFonts w:ascii="Garamond" w:hAnsi="Garamond"/>
        </w:rPr>
      </w:pPr>
      <w:r w:rsidRPr="00830F4C">
        <w:rPr>
          <w:rFonts w:ascii="Garamond" w:hAnsi="Garamond"/>
        </w:rPr>
        <w:t xml:space="preserve">Kjo Strategji është në përputhje me </w:t>
      </w:r>
      <w:r w:rsidR="00F23DA2" w:rsidRPr="00830F4C">
        <w:rPr>
          <w:rFonts w:ascii="Garamond" w:hAnsi="Garamond"/>
        </w:rPr>
        <w:t>dokumentet</w:t>
      </w:r>
      <w:r w:rsidRPr="00830F4C">
        <w:rPr>
          <w:rFonts w:ascii="Garamond" w:hAnsi="Garamond"/>
        </w:rPr>
        <w:t xml:space="preserve"> strategjik</w:t>
      </w:r>
      <w:r w:rsidR="00F23DA2" w:rsidRPr="00830F4C">
        <w:rPr>
          <w:rFonts w:ascii="Garamond" w:hAnsi="Garamond"/>
        </w:rPr>
        <w:t>e</w:t>
      </w:r>
      <w:r w:rsidRPr="00830F4C">
        <w:rPr>
          <w:rFonts w:ascii="Garamond" w:hAnsi="Garamond"/>
        </w:rPr>
        <w:t xml:space="preserve"> të miratuar</w:t>
      </w:r>
      <w:r w:rsidR="00F23DA2" w:rsidRPr="00830F4C">
        <w:rPr>
          <w:rFonts w:ascii="Garamond" w:hAnsi="Garamond"/>
        </w:rPr>
        <w:t>a</w:t>
      </w:r>
      <w:r w:rsidRPr="00830F4C">
        <w:rPr>
          <w:rFonts w:ascii="Garamond" w:hAnsi="Garamond"/>
        </w:rPr>
        <w:t xml:space="preserve"> së fundmi dhe më konkretisht.</w:t>
      </w:r>
    </w:p>
    <w:p w14:paraId="67A04BDE" w14:textId="3DC07C1C" w:rsidR="00854A2A" w:rsidRPr="00830F4C" w:rsidRDefault="00854A2A" w:rsidP="00EC6559">
      <w:pPr>
        <w:pStyle w:val="ListParagraph"/>
        <w:spacing w:after="0" w:line="240" w:lineRule="auto"/>
        <w:ind w:left="0" w:firstLine="284"/>
        <w:jc w:val="both"/>
        <w:rPr>
          <w:rFonts w:ascii="Garamond" w:hAnsi="Garamond"/>
          <w:b/>
          <w:bCs/>
          <w:sz w:val="24"/>
          <w:szCs w:val="24"/>
        </w:rPr>
      </w:pPr>
      <w:r w:rsidRPr="00830F4C">
        <w:rPr>
          <w:rFonts w:ascii="Garamond" w:hAnsi="Garamond"/>
          <w:b/>
          <w:bCs/>
          <w:sz w:val="24"/>
          <w:szCs w:val="24"/>
        </w:rPr>
        <w:t xml:space="preserve">a) Raporti i Komisionit Evropian për Shqipërinë, </w:t>
      </w:r>
      <w:r w:rsidR="00F23DA2" w:rsidRPr="00830F4C">
        <w:rPr>
          <w:rFonts w:ascii="Garamond" w:hAnsi="Garamond"/>
          <w:b/>
          <w:bCs/>
          <w:sz w:val="24"/>
          <w:szCs w:val="24"/>
        </w:rPr>
        <w:t>n</w:t>
      </w:r>
      <w:r w:rsidRPr="00830F4C">
        <w:rPr>
          <w:rFonts w:ascii="Garamond" w:hAnsi="Garamond"/>
          <w:b/>
          <w:bCs/>
          <w:sz w:val="24"/>
          <w:szCs w:val="24"/>
        </w:rPr>
        <w:t>ëntor 2023 dhe A</w:t>
      </w:r>
      <w:r w:rsidR="00D22EA5" w:rsidRPr="00830F4C">
        <w:rPr>
          <w:rFonts w:ascii="Garamond" w:hAnsi="Garamond"/>
          <w:b/>
          <w:bCs/>
          <w:sz w:val="24"/>
          <w:szCs w:val="24"/>
        </w:rPr>
        <w:t>gj</w:t>
      </w:r>
      <w:r w:rsidRPr="00830F4C">
        <w:rPr>
          <w:rFonts w:ascii="Garamond" w:hAnsi="Garamond"/>
          <w:b/>
          <w:bCs/>
          <w:sz w:val="24"/>
          <w:szCs w:val="24"/>
        </w:rPr>
        <w:t>endës së Reformës të Planit të Rritjes</w:t>
      </w:r>
    </w:p>
    <w:p w14:paraId="0B8B7937" w14:textId="630195CB" w:rsidR="00854A2A" w:rsidRPr="00830F4C" w:rsidRDefault="00854A2A" w:rsidP="00854A2A">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Raporti Vjetor i BE-së për Shqipërinë, në nëntor 2023, i ka dhënë theks të veçantë rëndësisë së miratimit të SAA-së. Miratimi i SAA-së për periudhën 2024</w:t>
      </w:r>
      <w:r w:rsidR="00D22EA5" w:rsidRPr="00830F4C">
        <w:rPr>
          <w:rFonts w:ascii="Garamond" w:hAnsi="Garamond"/>
        </w:rPr>
        <w:t>–</w:t>
      </w:r>
      <w:r w:rsidRPr="00830F4C">
        <w:rPr>
          <w:rFonts w:ascii="Garamond" w:hAnsi="Garamond"/>
          <w:sz w:val="24"/>
          <w:szCs w:val="24"/>
        </w:rPr>
        <w:t xml:space="preserve">2027 është një nga parakushtet që Shqipëria duhet të përmbushë në kuadër të dokumentit të politikave </w:t>
      </w:r>
      <w:r w:rsidR="00D22EA5" w:rsidRPr="00830F4C">
        <w:rPr>
          <w:rFonts w:ascii="Garamond" w:hAnsi="Garamond"/>
          <w:sz w:val="24"/>
          <w:szCs w:val="24"/>
        </w:rPr>
        <w:t>“</w:t>
      </w:r>
      <w:r w:rsidRPr="00830F4C">
        <w:rPr>
          <w:rFonts w:ascii="Garamond" w:hAnsi="Garamond"/>
          <w:sz w:val="24"/>
          <w:szCs w:val="24"/>
        </w:rPr>
        <w:t>A</w:t>
      </w:r>
      <w:r w:rsidR="00D22EA5" w:rsidRPr="00830F4C">
        <w:rPr>
          <w:rFonts w:ascii="Garamond" w:hAnsi="Garamond"/>
          <w:sz w:val="24"/>
          <w:szCs w:val="24"/>
        </w:rPr>
        <w:t>gj</w:t>
      </w:r>
      <w:r w:rsidRPr="00830F4C">
        <w:rPr>
          <w:rFonts w:ascii="Garamond" w:hAnsi="Garamond"/>
          <w:sz w:val="24"/>
          <w:szCs w:val="24"/>
        </w:rPr>
        <w:t>enda e Reformës Kombëtare 2024</w:t>
      </w:r>
      <w:r w:rsidR="00D22EA5" w:rsidRPr="00830F4C">
        <w:rPr>
          <w:rFonts w:ascii="Garamond" w:hAnsi="Garamond"/>
        </w:rPr>
        <w:t>–</w:t>
      </w:r>
      <w:r w:rsidRPr="00830F4C">
        <w:rPr>
          <w:rFonts w:ascii="Garamond" w:hAnsi="Garamond"/>
          <w:sz w:val="24"/>
          <w:szCs w:val="24"/>
        </w:rPr>
        <w:t>2027</w:t>
      </w:r>
      <w:r w:rsidR="00D22EA5" w:rsidRPr="00830F4C">
        <w:rPr>
          <w:rFonts w:ascii="Garamond" w:hAnsi="Garamond"/>
          <w:sz w:val="24"/>
          <w:szCs w:val="24"/>
        </w:rPr>
        <w:t>”</w:t>
      </w:r>
      <w:r w:rsidRPr="00830F4C">
        <w:rPr>
          <w:rFonts w:ascii="Garamond" w:hAnsi="Garamond"/>
          <w:sz w:val="24"/>
          <w:szCs w:val="24"/>
        </w:rPr>
        <w:t xml:space="preserve">, në kuadër të instrumentit të Bashkimit </w:t>
      </w:r>
      <w:r w:rsidR="00D22EA5" w:rsidRPr="00830F4C">
        <w:rPr>
          <w:rFonts w:ascii="Garamond" w:hAnsi="Garamond"/>
          <w:sz w:val="24"/>
          <w:szCs w:val="24"/>
        </w:rPr>
        <w:t>Evropian</w:t>
      </w:r>
      <w:r w:rsidRPr="00830F4C">
        <w:rPr>
          <w:rFonts w:ascii="Garamond" w:hAnsi="Garamond"/>
          <w:sz w:val="24"/>
          <w:szCs w:val="24"/>
        </w:rPr>
        <w:t xml:space="preserve"> </w:t>
      </w:r>
      <w:r w:rsidR="00D22EA5" w:rsidRPr="00830F4C">
        <w:rPr>
          <w:rFonts w:ascii="Garamond" w:hAnsi="Garamond"/>
          <w:sz w:val="24"/>
          <w:szCs w:val="24"/>
        </w:rPr>
        <w:t>“</w:t>
      </w:r>
      <w:r w:rsidRPr="00830F4C">
        <w:rPr>
          <w:rFonts w:ascii="Garamond" w:hAnsi="Garamond"/>
          <w:sz w:val="24"/>
          <w:szCs w:val="24"/>
        </w:rPr>
        <w:t xml:space="preserve">Reforma dhe </w:t>
      </w:r>
      <w:r w:rsidR="00EC6559" w:rsidRPr="00830F4C">
        <w:rPr>
          <w:rFonts w:ascii="Garamond" w:hAnsi="Garamond"/>
          <w:sz w:val="24"/>
          <w:szCs w:val="24"/>
        </w:rPr>
        <w:t xml:space="preserve">Lehtësia e Rritjes </w:t>
      </w:r>
      <w:r w:rsidRPr="00830F4C">
        <w:rPr>
          <w:rFonts w:ascii="Garamond" w:hAnsi="Garamond"/>
          <w:sz w:val="24"/>
          <w:szCs w:val="24"/>
        </w:rPr>
        <w:t>për Ballkanin Perëndimor</w:t>
      </w:r>
      <w:r w:rsidR="00D22EA5" w:rsidRPr="00830F4C">
        <w:rPr>
          <w:rFonts w:ascii="Garamond" w:hAnsi="Garamond"/>
          <w:sz w:val="24"/>
          <w:szCs w:val="24"/>
        </w:rPr>
        <w:t>”</w:t>
      </w:r>
      <w:r w:rsidRPr="00830F4C">
        <w:rPr>
          <w:rFonts w:ascii="Garamond" w:hAnsi="Garamond"/>
          <w:sz w:val="24"/>
          <w:szCs w:val="24"/>
        </w:rPr>
        <w:t>, sipas tekstit që i bashkëlidhet këtij vendimi dhe është pjesë përbërëse e tij.</w:t>
      </w:r>
    </w:p>
    <w:p w14:paraId="00B5E63C" w14:textId="473E7C4E" w:rsidR="00854A2A" w:rsidRPr="00830F4C" w:rsidRDefault="00854A2A" w:rsidP="00854A2A">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Ndër kushtet e vendosura në këtë Agjendë të Reformave është rritja e mobilizimit të të hyrave të brendshme dhe gjithëpërfshirja e sistemit tatimor, veçanërisht përmes miratimit dhe zbatimit të Strategjisë Afatmesme të të Ardhurave (SAA). Gjithashtu, reforma të tjera prioritare dhe të rëndësishme</w:t>
      </w:r>
      <w:r w:rsidR="00EC6559" w:rsidRPr="00830F4C">
        <w:rPr>
          <w:rFonts w:ascii="Garamond" w:hAnsi="Garamond"/>
          <w:sz w:val="24"/>
          <w:szCs w:val="24"/>
        </w:rPr>
        <w:t>,</w:t>
      </w:r>
      <w:r w:rsidRPr="00830F4C">
        <w:rPr>
          <w:rFonts w:ascii="Garamond" w:hAnsi="Garamond"/>
          <w:sz w:val="24"/>
          <w:szCs w:val="24"/>
        </w:rPr>
        <w:t xml:space="preserve"> në lidhje me mirëadministrimin tatimor që përfshijnë:</w:t>
      </w:r>
    </w:p>
    <w:p w14:paraId="5D4E4890" w14:textId="433395BA" w:rsidR="00854A2A" w:rsidRPr="00830F4C" w:rsidRDefault="00854A2A" w:rsidP="00854A2A">
      <w:pPr>
        <w:pStyle w:val="ListParagraph"/>
        <w:tabs>
          <w:tab w:val="left" w:pos="980"/>
        </w:tabs>
        <w:spacing w:after="0" w:line="240" w:lineRule="auto"/>
        <w:ind w:left="0" w:firstLine="284"/>
        <w:jc w:val="both"/>
        <w:rPr>
          <w:rFonts w:ascii="Garamond" w:hAnsi="Garamond"/>
          <w:sz w:val="24"/>
          <w:szCs w:val="24"/>
        </w:rPr>
      </w:pPr>
      <w:r w:rsidRPr="00830F4C">
        <w:rPr>
          <w:rFonts w:ascii="Garamond" w:hAnsi="Garamond"/>
          <w:sz w:val="24"/>
          <w:szCs w:val="24"/>
        </w:rPr>
        <w:t>- një vlerësim të të gjitha përjashtimeve tatimore me synimin për të vendosur nëse ndonjë prej tyre mund të hiqet gradualisht dhe me synimin për të vendosur nëse përdorimi i grupeve të të dhënave nga palët e treta që mundëson hetime të pajustifikuara të pasurisë mund të jetë i mundur (qershor 2025)</w:t>
      </w:r>
      <w:r w:rsidR="00D22EA5" w:rsidRPr="00830F4C">
        <w:rPr>
          <w:rFonts w:ascii="Garamond" w:hAnsi="Garamond"/>
          <w:sz w:val="24"/>
          <w:szCs w:val="24"/>
        </w:rPr>
        <w:t>;</w:t>
      </w:r>
    </w:p>
    <w:p w14:paraId="1F42A212" w14:textId="2D03CECC" w:rsidR="00854A2A" w:rsidRPr="00830F4C" w:rsidRDefault="00854A2A" w:rsidP="00854A2A">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 përfshirja në SAA dhe zbatimi i masave</w:t>
      </w:r>
      <w:r w:rsidR="00EC6559" w:rsidRPr="00830F4C">
        <w:rPr>
          <w:rFonts w:ascii="Garamond" w:hAnsi="Garamond"/>
          <w:sz w:val="24"/>
          <w:szCs w:val="24"/>
        </w:rPr>
        <w:t>,</w:t>
      </w:r>
      <w:r w:rsidRPr="00830F4C">
        <w:rPr>
          <w:rFonts w:ascii="Garamond" w:hAnsi="Garamond"/>
          <w:sz w:val="24"/>
          <w:szCs w:val="24"/>
        </w:rPr>
        <w:t xml:space="preserve"> në lidhje me përmirësimin e administratës tatimore, si përdorimi i të dhënave nga palët e treta (energjia, uji, regjistrimi i automjeteve)</w:t>
      </w:r>
      <w:r w:rsidR="00D22EA5" w:rsidRPr="00830F4C">
        <w:rPr>
          <w:rFonts w:ascii="Garamond" w:hAnsi="Garamond"/>
          <w:sz w:val="24"/>
          <w:szCs w:val="24"/>
        </w:rPr>
        <w:t>;</w:t>
      </w:r>
    </w:p>
    <w:p w14:paraId="5A503EBD" w14:textId="196A061B" w:rsidR="00854A2A" w:rsidRPr="00830F4C" w:rsidRDefault="00854A2A" w:rsidP="00854A2A">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 të mundësojë programin e administratës tatimore të hetimeve të pasurisë së pajustifikuar mbi pasuritë e tatimpaguesve (dhjetor 2026)</w:t>
      </w:r>
      <w:r w:rsidR="00D22EA5" w:rsidRPr="00830F4C">
        <w:rPr>
          <w:rFonts w:ascii="Garamond" w:hAnsi="Garamond"/>
          <w:sz w:val="24"/>
          <w:szCs w:val="24"/>
        </w:rPr>
        <w:t>;</w:t>
      </w:r>
    </w:p>
    <w:p w14:paraId="5383CD53" w14:textId="212B3B95" w:rsidR="00854A2A" w:rsidRPr="00830F4C" w:rsidRDefault="00854A2A" w:rsidP="00854A2A">
      <w:pPr>
        <w:pStyle w:val="ListParagraph"/>
        <w:tabs>
          <w:tab w:val="left" w:pos="720"/>
        </w:tabs>
        <w:spacing w:after="0" w:line="240" w:lineRule="auto"/>
        <w:ind w:left="0" w:firstLine="284"/>
        <w:rPr>
          <w:rFonts w:ascii="Garamond" w:hAnsi="Garamond"/>
          <w:sz w:val="24"/>
          <w:szCs w:val="24"/>
        </w:rPr>
      </w:pPr>
      <w:r w:rsidRPr="00830F4C">
        <w:rPr>
          <w:rFonts w:ascii="Garamond" w:hAnsi="Garamond"/>
          <w:sz w:val="24"/>
          <w:szCs w:val="24"/>
        </w:rPr>
        <w:t>- plotësimi i regjistrit të pasurisë së tatimpaguesve për 10% të tatimpaguesve (dhjetor 2026)</w:t>
      </w:r>
      <w:r w:rsidR="00D22EA5" w:rsidRPr="00830F4C">
        <w:rPr>
          <w:rFonts w:ascii="Garamond" w:hAnsi="Garamond"/>
          <w:sz w:val="24"/>
          <w:szCs w:val="24"/>
        </w:rPr>
        <w:t>;</w:t>
      </w:r>
    </w:p>
    <w:p w14:paraId="0268BBE1" w14:textId="1CFAC903" w:rsidR="00854A2A" w:rsidRPr="00830F4C" w:rsidRDefault="00854A2A" w:rsidP="00854A2A">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 parambushja e deklaratave të</w:t>
      </w:r>
      <w:r w:rsidR="00DE65FB">
        <w:rPr>
          <w:rFonts w:ascii="Garamond" w:hAnsi="Garamond"/>
          <w:sz w:val="24"/>
          <w:szCs w:val="24"/>
        </w:rPr>
        <w:t xml:space="preserve"> TVSh</w:t>
      </w:r>
      <w:r w:rsidRPr="00830F4C">
        <w:rPr>
          <w:rFonts w:ascii="Garamond" w:hAnsi="Garamond"/>
          <w:sz w:val="24"/>
          <w:szCs w:val="24"/>
        </w:rPr>
        <w:t>-së dhe tatimit mbi të ardhurat personale (duke përdorur informacionin nga Fiskalizimi) (dhjetor 2026)</w:t>
      </w:r>
      <w:r w:rsidR="00D22EA5" w:rsidRPr="00830F4C">
        <w:rPr>
          <w:rFonts w:ascii="Garamond" w:hAnsi="Garamond"/>
          <w:sz w:val="24"/>
          <w:szCs w:val="24"/>
        </w:rPr>
        <w:t>;</w:t>
      </w:r>
    </w:p>
    <w:p w14:paraId="06FC483C" w14:textId="29FC74DE" w:rsidR="00854A2A" w:rsidRPr="00830F4C" w:rsidRDefault="00854A2A" w:rsidP="00854A2A">
      <w:pPr>
        <w:pStyle w:val="ListParagraph"/>
        <w:spacing w:after="0" w:line="240" w:lineRule="auto"/>
        <w:ind w:left="0" w:firstLine="284"/>
        <w:jc w:val="both"/>
        <w:rPr>
          <w:rFonts w:ascii="Garamond" w:hAnsi="Garamond"/>
          <w:b/>
          <w:bCs/>
          <w:sz w:val="24"/>
          <w:szCs w:val="24"/>
        </w:rPr>
      </w:pPr>
      <w:r w:rsidRPr="00830F4C">
        <w:rPr>
          <w:rFonts w:ascii="Garamond" w:hAnsi="Garamond"/>
          <w:sz w:val="24"/>
          <w:szCs w:val="24"/>
        </w:rPr>
        <w:t>- të forcojë performancën e hetimeve kundër mashtrimit tatimor (qershor 2027)</w:t>
      </w:r>
      <w:r w:rsidR="00D22EA5" w:rsidRPr="00830F4C">
        <w:rPr>
          <w:rFonts w:ascii="Garamond" w:hAnsi="Garamond"/>
          <w:sz w:val="24"/>
          <w:szCs w:val="24"/>
        </w:rPr>
        <w:t>;</w:t>
      </w:r>
    </w:p>
    <w:p w14:paraId="176BE0B2" w14:textId="551C43E9" w:rsidR="00854A2A" w:rsidRPr="00830F4C" w:rsidRDefault="00854A2A" w:rsidP="00854A2A">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 kryerja e analizës së të dhënave nga deklaratat e DIVA (dhjetor 2024)</w:t>
      </w:r>
      <w:r w:rsidR="00D22EA5" w:rsidRPr="00830F4C">
        <w:rPr>
          <w:rFonts w:ascii="Garamond" w:hAnsi="Garamond"/>
          <w:sz w:val="24"/>
          <w:szCs w:val="24"/>
        </w:rPr>
        <w:t>;</w:t>
      </w:r>
    </w:p>
    <w:p w14:paraId="2097CE4B" w14:textId="4197E5F1" w:rsidR="00854A2A" w:rsidRPr="00830F4C" w:rsidRDefault="00854A2A" w:rsidP="00854A2A">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 përdorimi i të dhënave nga regjistri i shoqërive (energjia elektrike, uji),</w:t>
      </w:r>
      <w:r w:rsidRPr="00830F4C">
        <w:rPr>
          <w:rFonts w:ascii="Garamond" w:hAnsi="Garamond"/>
          <w:b/>
          <w:bCs/>
          <w:sz w:val="24"/>
          <w:szCs w:val="24"/>
        </w:rPr>
        <w:t xml:space="preserve"> </w:t>
      </w:r>
      <w:r w:rsidRPr="00830F4C">
        <w:rPr>
          <w:rFonts w:ascii="Garamond" w:hAnsi="Garamond"/>
          <w:sz w:val="24"/>
          <w:szCs w:val="24"/>
        </w:rPr>
        <w:t>regjistrimi i automjeteve, bashkitë për të mundësuar programin e administratës tatimore të hetimeve të pasurisë së pajustifikuar mbi pasuritë e tatimpaguesve (dhjetor 2026)</w:t>
      </w:r>
      <w:r w:rsidR="00D22EA5" w:rsidRPr="00830F4C">
        <w:rPr>
          <w:rFonts w:ascii="Garamond" w:hAnsi="Garamond"/>
          <w:sz w:val="24"/>
          <w:szCs w:val="24"/>
        </w:rPr>
        <w:t>;</w:t>
      </w:r>
    </w:p>
    <w:p w14:paraId="7AD1E254" w14:textId="3F36DDC3" w:rsidR="00854A2A" w:rsidRPr="00830F4C" w:rsidRDefault="00854A2A" w:rsidP="00854A2A">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 administrata tatimore plotëson regjistrin e pasurisë së tatimpaguesve për 10% të tatimpaguesve (dhjetor 2026)</w:t>
      </w:r>
      <w:r w:rsidR="00D22EA5" w:rsidRPr="00830F4C">
        <w:rPr>
          <w:rFonts w:ascii="Garamond" w:hAnsi="Garamond"/>
          <w:sz w:val="24"/>
          <w:szCs w:val="24"/>
        </w:rPr>
        <w:t>;</w:t>
      </w:r>
    </w:p>
    <w:p w14:paraId="60E4B938" w14:textId="062133DE" w:rsidR="00854A2A" w:rsidRPr="00830F4C" w:rsidRDefault="00854A2A" w:rsidP="00854A2A">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 xml:space="preserve">- kryerja e </w:t>
      </w:r>
      <w:r w:rsidR="00D22EA5" w:rsidRPr="00830F4C">
        <w:rPr>
          <w:rFonts w:ascii="Garamond" w:hAnsi="Garamond"/>
          <w:sz w:val="24"/>
          <w:szCs w:val="24"/>
        </w:rPr>
        <w:t>procedurave</w:t>
      </w:r>
      <w:r w:rsidRPr="00830F4C">
        <w:rPr>
          <w:rFonts w:ascii="Garamond" w:hAnsi="Garamond"/>
          <w:sz w:val="24"/>
          <w:szCs w:val="24"/>
        </w:rPr>
        <w:t xml:space="preserve"> të kontrollit për 200 tatimpaguesit e përzgjedhur, bazuar në vlerësimin e rrezikut (dhjetor 2026)</w:t>
      </w:r>
      <w:r w:rsidR="00D22EA5" w:rsidRPr="00830F4C">
        <w:rPr>
          <w:rFonts w:ascii="Garamond" w:hAnsi="Garamond"/>
          <w:sz w:val="24"/>
          <w:szCs w:val="24"/>
        </w:rPr>
        <w:t>;</w:t>
      </w:r>
    </w:p>
    <w:p w14:paraId="41A295F3" w14:textId="42A056EA" w:rsidR="00854A2A" w:rsidRPr="00830F4C" w:rsidRDefault="00854A2A" w:rsidP="00854A2A">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 paraparaqitja e deklaratave të</w:t>
      </w:r>
      <w:r w:rsidR="00DE65FB">
        <w:rPr>
          <w:rFonts w:ascii="Garamond" w:hAnsi="Garamond"/>
          <w:sz w:val="24"/>
          <w:szCs w:val="24"/>
        </w:rPr>
        <w:t xml:space="preserve"> TVSh</w:t>
      </w:r>
      <w:r w:rsidRPr="00830F4C">
        <w:rPr>
          <w:rFonts w:ascii="Garamond" w:hAnsi="Garamond"/>
          <w:sz w:val="24"/>
          <w:szCs w:val="24"/>
        </w:rPr>
        <w:t>-së dhe deklaratave të tatimit mbi të ardhurat personale (duke përdorur informacionin nga fiskalizimi) në 100% (dhjetor 2026)</w:t>
      </w:r>
      <w:r w:rsidR="00D22EA5" w:rsidRPr="00830F4C">
        <w:rPr>
          <w:rFonts w:ascii="Garamond" w:hAnsi="Garamond"/>
          <w:sz w:val="24"/>
          <w:szCs w:val="24"/>
        </w:rPr>
        <w:t>;</w:t>
      </w:r>
    </w:p>
    <w:p w14:paraId="155F67BE" w14:textId="347DDAD4" w:rsidR="00854A2A" w:rsidRPr="00830F4C" w:rsidRDefault="00854A2A" w:rsidP="00854A2A">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 hartimi dhe zbatimi i deklaratave të reja për deklaratat e tatimit mbi të ardhurat personale (dhjetor 2026)</w:t>
      </w:r>
      <w:r w:rsidR="00D22EA5" w:rsidRPr="00830F4C">
        <w:rPr>
          <w:rFonts w:ascii="Garamond" w:hAnsi="Garamond"/>
          <w:sz w:val="24"/>
          <w:szCs w:val="24"/>
        </w:rPr>
        <w:t>;</w:t>
      </w:r>
    </w:p>
    <w:p w14:paraId="081B9D0C" w14:textId="5CBC5FB8" w:rsidR="00854A2A" w:rsidRPr="00830F4C" w:rsidRDefault="00854A2A" w:rsidP="00854A2A">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 hartimi dhe miratimi i Planit të Integritetit (qershor 2025)</w:t>
      </w:r>
      <w:r w:rsidR="00D22EA5" w:rsidRPr="00830F4C">
        <w:rPr>
          <w:rFonts w:ascii="Garamond" w:hAnsi="Garamond"/>
          <w:sz w:val="24"/>
          <w:szCs w:val="24"/>
        </w:rPr>
        <w:t>;</w:t>
      </w:r>
    </w:p>
    <w:p w14:paraId="2664919B" w14:textId="77777777" w:rsidR="00854A2A" w:rsidRPr="00830F4C" w:rsidRDefault="00854A2A" w:rsidP="00854A2A">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 kryhen të paktën 500 hetime tatimore, bazuar në planet vjetore (qershor 2027).</w:t>
      </w:r>
    </w:p>
    <w:p w14:paraId="7B329C48" w14:textId="4397773A" w:rsidR="00854A2A" w:rsidRPr="00830F4C" w:rsidRDefault="00854A2A" w:rsidP="00854A2A">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Kjo strategji ka përfshirë në Shtyllën 1 dhe Shtyllën 2 të gjitha këto kushte të Planin të Rritjes së A</w:t>
      </w:r>
      <w:r w:rsidR="00EC6559" w:rsidRPr="00830F4C">
        <w:rPr>
          <w:rFonts w:ascii="Garamond" w:hAnsi="Garamond"/>
          <w:sz w:val="24"/>
          <w:szCs w:val="24"/>
        </w:rPr>
        <w:t>gj</w:t>
      </w:r>
      <w:r w:rsidRPr="00830F4C">
        <w:rPr>
          <w:rFonts w:ascii="Garamond" w:hAnsi="Garamond"/>
          <w:sz w:val="24"/>
          <w:szCs w:val="24"/>
        </w:rPr>
        <w:t>endës së Reformave të KE-së, me masa dhe aktivitete konkrete për zbatimin e plotë të tyre sipas afateve kohore dhe treguesve.</w:t>
      </w:r>
    </w:p>
    <w:p w14:paraId="5FA2601A" w14:textId="77777777" w:rsidR="00854A2A" w:rsidRPr="00830F4C" w:rsidRDefault="00854A2A" w:rsidP="00854A2A">
      <w:pPr>
        <w:pStyle w:val="ListParagraph"/>
        <w:spacing w:after="0" w:line="240" w:lineRule="auto"/>
        <w:ind w:left="0" w:firstLine="284"/>
        <w:rPr>
          <w:rFonts w:ascii="Garamond" w:hAnsi="Garamond"/>
          <w:b/>
          <w:bCs/>
          <w:sz w:val="24"/>
          <w:szCs w:val="24"/>
        </w:rPr>
      </w:pPr>
      <w:r w:rsidRPr="00830F4C">
        <w:rPr>
          <w:rFonts w:ascii="Garamond" w:hAnsi="Garamond"/>
          <w:b/>
          <w:bCs/>
          <w:sz w:val="24"/>
          <w:szCs w:val="24"/>
        </w:rPr>
        <w:t>b) Strategjia Kombëtare për Zhvillim dhe Integrim</w:t>
      </w:r>
    </w:p>
    <w:p w14:paraId="734DBFA7" w14:textId="404E7CE7" w:rsidR="00854A2A" w:rsidRPr="00830F4C" w:rsidRDefault="00854A2A" w:rsidP="00854A2A">
      <w:pPr>
        <w:ind w:firstLine="284"/>
        <w:jc w:val="both"/>
        <w:rPr>
          <w:rFonts w:ascii="Garamond" w:hAnsi="Garamond"/>
        </w:rPr>
      </w:pPr>
      <w:r w:rsidRPr="00830F4C">
        <w:rPr>
          <w:rFonts w:ascii="Garamond" w:hAnsi="Garamond"/>
        </w:rPr>
        <w:t xml:space="preserve">Në janar 2023 u miratua me </w:t>
      </w:r>
      <w:r w:rsidR="00EC6559" w:rsidRPr="00830F4C">
        <w:rPr>
          <w:rFonts w:ascii="Garamond" w:hAnsi="Garamond"/>
        </w:rPr>
        <w:t>v</w:t>
      </w:r>
      <w:r w:rsidRPr="00830F4C">
        <w:rPr>
          <w:rFonts w:ascii="Garamond" w:hAnsi="Garamond"/>
        </w:rPr>
        <w:t>endim të Këshillit të Ministrave Strategjia Kombëtare për Zhvillim dhe Integrim (SKZHI) për periudhën 2023</w:t>
      </w:r>
      <w:r w:rsidR="00EC6559" w:rsidRPr="00830F4C">
        <w:rPr>
          <w:rFonts w:ascii="Garamond" w:hAnsi="Garamond"/>
        </w:rPr>
        <w:t>–</w:t>
      </w:r>
      <w:r w:rsidRPr="00830F4C">
        <w:rPr>
          <w:rFonts w:ascii="Garamond" w:hAnsi="Garamond"/>
        </w:rPr>
        <w:t xml:space="preserve">2030. Sipas këtij dokumenti strategjik: </w:t>
      </w:r>
    </w:p>
    <w:p w14:paraId="08BE4D54" w14:textId="105CBD10" w:rsidR="00854A2A" w:rsidRPr="00830F4C" w:rsidRDefault="00854A2A" w:rsidP="00854A2A">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Reformat kryesore tatimore dhe administrative të parashikuara për periudhën 2022</w:t>
      </w:r>
      <w:r w:rsidR="00EC6559" w:rsidRPr="00830F4C">
        <w:rPr>
          <w:rFonts w:ascii="Garamond" w:hAnsi="Garamond"/>
          <w:sz w:val="24"/>
          <w:szCs w:val="24"/>
        </w:rPr>
        <w:t>–</w:t>
      </w:r>
      <w:r w:rsidRPr="00830F4C">
        <w:rPr>
          <w:rFonts w:ascii="Garamond" w:hAnsi="Garamond"/>
          <w:sz w:val="24"/>
          <w:szCs w:val="24"/>
        </w:rPr>
        <w:t>2030 kanë në fokus përmirësimin e politikave tatimore</w:t>
      </w:r>
      <w:r w:rsidR="00EC6559" w:rsidRPr="00830F4C">
        <w:rPr>
          <w:rFonts w:ascii="Garamond" w:hAnsi="Garamond"/>
          <w:sz w:val="24"/>
          <w:szCs w:val="24"/>
        </w:rPr>
        <w:t>,</w:t>
      </w:r>
      <w:r w:rsidRPr="00830F4C">
        <w:rPr>
          <w:rFonts w:ascii="Garamond" w:hAnsi="Garamond"/>
          <w:sz w:val="24"/>
          <w:szCs w:val="24"/>
        </w:rPr>
        <w:t xml:space="preserve"> me synim rritjen e neutralitetit të sistemit </w:t>
      </w:r>
      <w:r w:rsidRPr="00542C57">
        <w:rPr>
          <w:rFonts w:ascii="Garamond" w:hAnsi="Garamond"/>
          <w:sz w:val="24"/>
          <w:szCs w:val="24"/>
        </w:rPr>
        <w:t xml:space="preserve">tatimor </w:t>
      </w:r>
      <w:r w:rsidRPr="00830F4C">
        <w:rPr>
          <w:rFonts w:ascii="Garamond" w:hAnsi="Garamond"/>
          <w:sz w:val="24"/>
          <w:szCs w:val="24"/>
        </w:rPr>
        <w:t xml:space="preserve">dhe </w:t>
      </w:r>
      <w:r w:rsidRPr="00542C57">
        <w:rPr>
          <w:rFonts w:ascii="Garamond" w:hAnsi="Garamond"/>
          <w:sz w:val="24"/>
          <w:szCs w:val="24"/>
        </w:rPr>
        <w:t>tatimor</w:t>
      </w:r>
      <w:r w:rsidRPr="00830F4C">
        <w:rPr>
          <w:rFonts w:ascii="Garamond" w:hAnsi="Garamond"/>
          <w:sz w:val="24"/>
          <w:szCs w:val="24"/>
        </w:rPr>
        <w:t>, eliminimin e deformimeve të krijuara në sistem</w:t>
      </w:r>
      <w:r w:rsidR="00EC6559" w:rsidRPr="00830F4C">
        <w:rPr>
          <w:rFonts w:ascii="Garamond" w:hAnsi="Garamond"/>
          <w:sz w:val="24"/>
          <w:szCs w:val="24"/>
        </w:rPr>
        <w:t>,</w:t>
      </w:r>
      <w:r w:rsidRPr="00830F4C">
        <w:rPr>
          <w:rFonts w:ascii="Garamond" w:hAnsi="Garamond"/>
          <w:sz w:val="24"/>
          <w:szCs w:val="24"/>
        </w:rPr>
        <w:t xml:space="preserve"> si dhe përmirësimin e nivelit të normave tatimore</w:t>
      </w:r>
      <w:r w:rsidR="0055471B" w:rsidRPr="00830F4C">
        <w:rPr>
          <w:rFonts w:ascii="Garamond" w:hAnsi="Garamond"/>
          <w:sz w:val="24"/>
          <w:szCs w:val="24"/>
        </w:rPr>
        <w:t>,</w:t>
      </w:r>
      <w:r w:rsidRPr="00830F4C">
        <w:rPr>
          <w:rFonts w:ascii="Garamond" w:hAnsi="Garamond"/>
          <w:sz w:val="24"/>
          <w:szCs w:val="24"/>
        </w:rPr>
        <w:t xml:space="preserve"> me qëllim stimulimin e sektorëve prioritarë të ekonomisë.</w:t>
      </w:r>
    </w:p>
    <w:p w14:paraId="07A9331C" w14:textId="7726FEB6" w:rsidR="00854A2A" w:rsidRPr="00830F4C" w:rsidRDefault="00854A2A" w:rsidP="00854A2A">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Reformat tatimore 2022</w:t>
      </w:r>
      <w:r w:rsidR="00EC6559" w:rsidRPr="00830F4C">
        <w:rPr>
          <w:rFonts w:ascii="Garamond" w:hAnsi="Garamond"/>
          <w:sz w:val="24"/>
          <w:szCs w:val="24"/>
        </w:rPr>
        <w:t>–</w:t>
      </w:r>
      <w:r w:rsidRPr="00830F4C">
        <w:rPr>
          <w:rFonts w:ascii="Garamond" w:hAnsi="Garamond"/>
          <w:sz w:val="24"/>
          <w:szCs w:val="24"/>
        </w:rPr>
        <w:t xml:space="preserve">2030 pritet të rrisin të ardhurat tatimore, duke e çuar raportin </w:t>
      </w:r>
      <w:r w:rsidR="00D22EA5" w:rsidRPr="00830F4C">
        <w:rPr>
          <w:rFonts w:ascii="Garamond" w:hAnsi="Garamond"/>
          <w:sz w:val="24"/>
          <w:szCs w:val="24"/>
        </w:rPr>
        <w:t>“</w:t>
      </w:r>
      <w:r w:rsidRPr="00830F4C">
        <w:rPr>
          <w:rFonts w:ascii="Garamond" w:hAnsi="Garamond"/>
          <w:sz w:val="24"/>
          <w:szCs w:val="24"/>
        </w:rPr>
        <w:t>Të ardhurat tatimore</w:t>
      </w:r>
      <w:r w:rsidR="00D22EA5" w:rsidRPr="00830F4C">
        <w:rPr>
          <w:rFonts w:ascii="Garamond" w:hAnsi="Garamond"/>
          <w:sz w:val="24"/>
          <w:szCs w:val="24"/>
        </w:rPr>
        <w:t>”</w:t>
      </w:r>
      <w:r w:rsidRPr="00830F4C">
        <w:rPr>
          <w:rFonts w:ascii="Garamond" w:hAnsi="Garamond"/>
          <w:sz w:val="24"/>
          <w:szCs w:val="24"/>
        </w:rPr>
        <w:t>/PBB në 30% nga 25.2% që rezultoi në vitin 2019.</w:t>
      </w:r>
    </w:p>
    <w:p w14:paraId="011A775E" w14:textId="77777777" w:rsidR="00854A2A" w:rsidRPr="00830F4C" w:rsidRDefault="00854A2A" w:rsidP="00854A2A">
      <w:pPr>
        <w:pStyle w:val="ListParagraph"/>
        <w:spacing w:after="0" w:line="240" w:lineRule="auto"/>
        <w:ind w:left="0" w:firstLine="284"/>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Dy drejtimet kryesore mbi të cilat do të mbështetet reforma e sistemit tatimor shqiptar dhe mbi të cilat do të bazohet Strategjia e të Ardhurave janë:</w:t>
      </w:r>
    </w:p>
    <w:p w14:paraId="6F61FB7B" w14:textId="1E064C86" w:rsidR="00854A2A" w:rsidRPr="00830F4C" w:rsidRDefault="00854A2A" w:rsidP="00854A2A">
      <w:pPr>
        <w:pStyle w:val="ListParagraph"/>
        <w:spacing w:after="0" w:line="240" w:lineRule="auto"/>
        <w:ind w:left="0" w:firstLine="284"/>
        <w:jc w:val="both"/>
        <w:rPr>
          <w:rFonts w:ascii="Garamond" w:hAnsi="Garamond"/>
          <w:b/>
          <w:bCs/>
          <w:sz w:val="24"/>
          <w:szCs w:val="24"/>
        </w:rPr>
      </w:pPr>
      <w:r w:rsidRPr="00830F4C">
        <w:rPr>
          <w:rFonts w:ascii="Garamond" w:hAnsi="Garamond" w:cs="Courier New"/>
          <w:sz w:val="24"/>
          <w:szCs w:val="24"/>
        </w:rPr>
        <w:t xml:space="preserve">- </w:t>
      </w:r>
      <w:r w:rsidRPr="00830F4C">
        <w:rPr>
          <w:rFonts w:ascii="Garamond" w:hAnsi="Garamond"/>
          <w:sz w:val="24"/>
          <w:szCs w:val="24"/>
        </w:rPr>
        <w:t>Rishikimi dhe ridizen</w:t>
      </w:r>
      <w:r w:rsidR="0055471B" w:rsidRPr="00830F4C">
        <w:rPr>
          <w:rFonts w:ascii="Garamond" w:hAnsi="Garamond"/>
          <w:sz w:val="24"/>
          <w:szCs w:val="24"/>
        </w:rPr>
        <w:t>j</w:t>
      </w:r>
      <w:r w:rsidRPr="00830F4C">
        <w:rPr>
          <w:rFonts w:ascii="Garamond" w:hAnsi="Garamond"/>
          <w:sz w:val="24"/>
          <w:szCs w:val="24"/>
        </w:rPr>
        <w:t>imi i politikave tatimore nëpërmjet analizës së efekteve të politikave aktuale dhe korrigjimeve të nevojshme për periudhën afatmesme</w:t>
      </w:r>
      <w:r w:rsidR="0055471B" w:rsidRPr="00830F4C">
        <w:rPr>
          <w:rFonts w:ascii="Garamond" w:hAnsi="Garamond"/>
          <w:sz w:val="24"/>
          <w:szCs w:val="24"/>
        </w:rPr>
        <w:t>;</w:t>
      </w:r>
    </w:p>
    <w:p w14:paraId="1CF98F94" w14:textId="517722B9" w:rsidR="00854A2A" w:rsidRPr="00830F4C" w:rsidRDefault="00854A2A" w:rsidP="00854A2A">
      <w:pPr>
        <w:pStyle w:val="ListParagraph"/>
        <w:spacing w:after="0" w:line="240" w:lineRule="auto"/>
        <w:ind w:left="0" w:firstLine="284"/>
        <w:jc w:val="both"/>
        <w:rPr>
          <w:rFonts w:ascii="Garamond" w:hAnsi="Garamond"/>
          <w:b/>
          <w:bCs/>
          <w:sz w:val="24"/>
          <w:szCs w:val="24"/>
        </w:rPr>
      </w:pPr>
      <w:r w:rsidRPr="00830F4C">
        <w:rPr>
          <w:rFonts w:ascii="Garamond" w:hAnsi="Garamond" w:cs="Courier New"/>
          <w:sz w:val="24"/>
          <w:szCs w:val="24"/>
        </w:rPr>
        <w:t xml:space="preserve">- </w:t>
      </w:r>
      <w:r w:rsidRPr="00830F4C">
        <w:rPr>
          <w:rFonts w:ascii="Garamond" w:hAnsi="Garamond"/>
          <w:sz w:val="24"/>
          <w:szCs w:val="24"/>
        </w:rPr>
        <w:t>Përmirësimi i procedurave të administratës tatimore dhe doganore</w:t>
      </w:r>
      <w:r w:rsidR="00936C84" w:rsidRPr="00830F4C">
        <w:rPr>
          <w:rFonts w:ascii="Garamond" w:hAnsi="Garamond"/>
          <w:sz w:val="24"/>
          <w:szCs w:val="24"/>
        </w:rPr>
        <w:t>,</w:t>
      </w:r>
      <w:r w:rsidRPr="00830F4C">
        <w:rPr>
          <w:rFonts w:ascii="Garamond" w:hAnsi="Garamond"/>
          <w:sz w:val="24"/>
          <w:szCs w:val="24"/>
        </w:rPr>
        <w:t xml:space="preserve"> me qëllim rritjen e efikasitetit të administratës fiskale nëpërmjet investimeve në teknologji, burimet njerëzore dhe modernizimin e procedurave operacionale</w:t>
      </w:r>
      <w:r w:rsidR="0055471B" w:rsidRPr="00830F4C">
        <w:rPr>
          <w:rFonts w:ascii="Garamond" w:hAnsi="Garamond"/>
          <w:sz w:val="24"/>
          <w:szCs w:val="24"/>
        </w:rPr>
        <w:t>;</w:t>
      </w:r>
    </w:p>
    <w:p w14:paraId="2D05E361" w14:textId="627BF8BC" w:rsidR="00854A2A" w:rsidRPr="00830F4C" w:rsidRDefault="00854A2A" w:rsidP="00854A2A">
      <w:pPr>
        <w:pStyle w:val="ListParagraph"/>
        <w:spacing w:after="0" w:line="240" w:lineRule="auto"/>
        <w:ind w:left="0" w:firstLine="284"/>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Konsensusi politik sa më i gjerë për objektivat afatmesme</w:t>
      </w:r>
      <w:r w:rsidR="00936C84" w:rsidRPr="00830F4C">
        <w:rPr>
          <w:rFonts w:ascii="Garamond" w:hAnsi="Garamond"/>
          <w:sz w:val="24"/>
          <w:szCs w:val="24"/>
        </w:rPr>
        <w:t>,</w:t>
      </w:r>
      <w:r w:rsidRPr="00830F4C">
        <w:rPr>
          <w:rFonts w:ascii="Garamond" w:hAnsi="Garamond"/>
          <w:sz w:val="24"/>
          <w:szCs w:val="24"/>
        </w:rPr>
        <w:t xml:space="preserve"> në lidhje me të ardhurat e nevojshme për financimin e shpenzimeve publike të dakordësuara;</w:t>
      </w:r>
    </w:p>
    <w:p w14:paraId="55F0C612" w14:textId="72000E3D" w:rsidR="00854A2A" w:rsidRPr="00830F4C" w:rsidRDefault="00854A2A" w:rsidP="00854A2A">
      <w:pPr>
        <w:pStyle w:val="ListParagraph"/>
        <w:spacing w:after="0" w:line="240" w:lineRule="auto"/>
        <w:ind w:left="0" w:firstLine="284"/>
        <w:rPr>
          <w:rFonts w:ascii="Garamond" w:hAnsi="Garamond"/>
          <w:b/>
          <w:bCs/>
          <w:sz w:val="24"/>
          <w:szCs w:val="24"/>
        </w:rPr>
      </w:pPr>
      <w:r w:rsidRPr="00830F4C">
        <w:rPr>
          <w:rFonts w:ascii="Garamond" w:hAnsi="Garamond"/>
          <w:b/>
          <w:bCs/>
          <w:sz w:val="24"/>
          <w:szCs w:val="24"/>
        </w:rPr>
        <w:t>c) Kuadri Makroekonomik dhe Fiskal 2025</w:t>
      </w:r>
      <w:r w:rsidR="00936C84" w:rsidRPr="00830F4C">
        <w:rPr>
          <w:rFonts w:ascii="Garamond" w:hAnsi="Garamond"/>
          <w:b/>
          <w:bCs/>
          <w:sz w:val="24"/>
          <w:szCs w:val="24"/>
        </w:rPr>
        <w:t>–</w:t>
      </w:r>
      <w:r w:rsidRPr="00830F4C">
        <w:rPr>
          <w:rFonts w:ascii="Garamond" w:hAnsi="Garamond"/>
          <w:b/>
          <w:bCs/>
          <w:sz w:val="24"/>
          <w:szCs w:val="24"/>
        </w:rPr>
        <w:t>2027</w:t>
      </w:r>
    </w:p>
    <w:p w14:paraId="10EB8578" w14:textId="6C00BC79" w:rsidR="00854A2A" w:rsidRPr="00830F4C" w:rsidRDefault="00854A2A" w:rsidP="00854A2A">
      <w:pPr>
        <w:ind w:firstLine="284"/>
        <w:jc w:val="both"/>
        <w:rPr>
          <w:rFonts w:ascii="Garamond" w:hAnsi="Garamond"/>
        </w:rPr>
      </w:pPr>
      <w:r w:rsidRPr="00830F4C">
        <w:rPr>
          <w:rFonts w:ascii="Garamond" w:hAnsi="Garamond"/>
        </w:rPr>
        <w:t>Kuadri Makroekonomik dhe Fiskal 2025</w:t>
      </w:r>
      <w:r w:rsidR="00D22EA5" w:rsidRPr="00830F4C">
        <w:rPr>
          <w:rFonts w:ascii="Garamond" w:hAnsi="Garamond"/>
        </w:rPr>
        <w:t>–</w:t>
      </w:r>
      <w:r w:rsidRPr="00830F4C">
        <w:rPr>
          <w:rFonts w:ascii="Garamond" w:hAnsi="Garamond"/>
        </w:rPr>
        <w:t>2027, miratuar me VKM</w:t>
      </w:r>
      <w:r w:rsidR="00D22EA5" w:rsidRPr="00830F4C">
        <w:rPr>
          <w:rFonts w:ascii="Garamond" w:hAnsi="Garamond"/>
        </w:rPr>
        <w:t>-në</w:t>
      </w:r>
      <w:r w:rsidRPr="00830F4C">
        <w:rPr>
          <w:rFonts w:ascii="Garamond" w:hAnsi="Garamond"/>
        </w:rPr>
        <w:t xml:space="preserve"> </w:t>
      </w:r>
      <w:r w:rsidR="00D22EA5" w:rsidRPr="00830F4C">
        <w:rPr>
          <w:rFonts w:ascii="Garamond" w:hAnsi="Garamond"/>
        </w:rPr>
        <w:t>n</w:t>
      </w:r>
      <w:r w:rsidRPr="00830F4C">
        <w:rPr>
          <w:rFonts w:ascii="Garamond" w:hAnsi="Garamond"/>
        </w:rPr>
        <w:t>r. 399, datë 19.6.2024, ka përcaktuar se në vitin 2027 të ardhurat totale të buxhetit të shtetit do të jenë 29.1% e PBB</w:t>
      </w:r>
      <w:r w:rsidR="00236281" w:rsidRPr="00830F4C">
        <w:rPr>
          <w:rFonts w:ascii="Garamond" w:hAnsi="Garamond"/>
        </w:rPr>
        <w:t>-së</w:t>
      </w:r>
      <w:r w:rsidRPr="00830F4C">
        <w:rPr>
          <w:rFonts w:ascii="Garamond" w:hAnsi="Garamond"/>
        </w:rPr>
        <w:t>, ndërsa të ardhurat tatimore në masën 27.7% e PBB</w:t>
      </w:r>
      <w:r w:rsidR="00236281" w:rsidRPr="00830F4C">
        <w:rPr>
          <w:rFonts w:ascii="Garamond" w:hAnsi="Garamond"/>
        </w:rPr>
        <w:t>-së</w:t>
      </w:r>
      <w:r w:rsidRPr="00830F4C">
        <w:rPr>
          <w:rFonts w:ascii="Garamond" w:hAnsi="Garamond"/>
        </w:rPr>
        <w:t>.</w:t>
      </w:r>
    </w:p>
    <w:p w14:paraId="366C19C5" w14:textId="15E898A3" w:rsidR="00854A2A" w:rsidRPr="00830F4C" w:rsidRDefault="00854A2A" w:rsidP="00854A2A">
      <w:pPr>
        <w:pStyle w:val="ListParagraph"/>
        <w:spacing w:after="0" w:line="240" w:lineRule="auto"/>
        <w:ind w:left="0" w:firstLine="284"/>
        <w:rPr>
          <w:rFonts w:ascii="Garamond" w:hAnsi="Garamond"/>
          <w:b/>
          <w:bCs/>
          <w:sz w:val="24"/>
          <w:szCs w:val="24"/>
        </w:rPr>
      </w:pPr>
      <w:r w:rsidRPr="00830F4C">
        <w:rPr>
          <w:rFonts w:ascii="Garamond" w:hAnsi="Garamond"/>
          <w:b/>
          <w:bCs/>
          <w:sz w:val="24"/>
          <w:szCs w:val="24"/>
        </w:rPr>
        <w:t>ç) Strategjia e Menaxhimit të Financave Publike (MFP) 2023</w:t>
      </w:r>
      <w:r w:rsidR="00D22EA5" w:rsidRPr="00830F4C">
        <w:rPr>
          <w:rFonts w:ascii="Garamond" w:hAnsi="Garamond"/>
        </w:rPr>
        <w:t>–</w:t>
      </w:r>
      <w:r w:rsidRPr="00830F4C">
        <w:rPr>
          <w:rFonts w:ascii="Garamond" w:hAnsi="Garamond"/>
          <w:b/>
          <w:bCs/>
          <w:sz w:val="24"/>
          <w:szCs w:val="24"/>
        </w:rPr>
        <w:t>2030</w:t>
      </w:r>
    </w:p>
    <w:p w14:paraId="6C2577DA" w14:textId="072F1C78" w:rsidR="00854A2A" w:rsidRPr="00830F4C" w:rsidRDefault="00854A2A" w:rsidP="00854A2A">
      <w:pPr>
        <w:ind w:firstLine="284"/>
        <w:jc w:val="both"/>
        <w:rPr>
          <w:rFonts w:ascii="Garamond" w:hAnsi="Garamond"/>
        </w:rPr>
      </w:pPr>
      <w:r w:rsidRPr="00830F4C">
        <w:rPr>
          <w:rFonts w:ascii="Garamond" w:hAnsi="Garamond"/>
        </w:rPr>
        <w:t>Strategjia e Menaxhimit të Financave Publike (MFP) dhe Plani i Veprimit për periudhën 2023</w:t>
      </w:r>
      <w:r w:rsidR="00D22EA5" w:rsidRPr="00830F4C">
        <w:rPr>
          <w:rFonts w:ascii="Garamond" w:hAnsi="Garamond"/>
        </w:rPr>
        <w:t>–</w:t>
      </w:r>
      <w:r w:rsidRPr="00830F4C">
        <w:rPr>
          <w:rFonts w:ascii="Garamond" w:hAnsi="Garamond"/>
        </w:rPr>
        <w:t>2026 paraqet reformat e planifikuara për përmirësimin e sistemeve të MFP-së. Qëllimi i përgjithshëm i strategjisë është të krijojë një sistem të menaxhimit të financave publike që garanton transparencë, llogaridhënie, disiplinë fiskale dhe efikasitet në përdorimin e burimeve publike për ofrimin e shërbimeve publike të përmirësuara dhe zhvillimit ekonomik që të sigurojë një integrim të lehtë dhe të shpejtë të Shqipërisë në Bashkimin Evropian (BE).</w:t>
      </w:r>
    </w:p>
    <w:p w14:paraId="7473C580" w14:textId="23C5016F" w:rsidR="00854A2A" w:rsidRPr="00830F4C" w:rsidRDefault="00854A2A" w:rsidP="00854A2A">
      <w:pPr>
        <w:ind w:firstLine="284"/>
        <w:jc w:val="both"/>
        <w:rPr>
          <w:rFonts w:ascii="Garamond" w:hAnsi="Garamond"/>
        </w:rPr>
      </w:pPr>
      <w:r w:rsidRPr="00830F4C">
        <w:rPr>
          <w:rFonts w:ascii="Garamond" w:hAnsi="Garamond"/>
        </w:rPr>
        <w:t xml:space="preserve">Masat e reformës së MFP-së janë formuluar në gjashtë </w:t>
      </w:r>
      <w:r w:rsidR="00936C84" w:rsidRPr="00830F4C">
        <w:rPr>
          <w:rFonts w:ascii="Garamond" w:hAnsi="Garamond"/>
        </w:rPr>
        <w:t>s</w:t>
      </w:r>
      <w:r w:rsidRPr="00830F4C">
        <w:rPr>
          <w:rFonts w:ascii="Garamond" w:hAnsi="Garamond"/>
        </w:rPr>
        <w:t xml:space="preserve">htylla, një ndër të cilat është </w:t>
      </w:r>
      <w:r w:rsidR="00936C84" w:rsidRPr="00830F4C">
        <w:rPr>
          <w:rFonts w:ascii="Garamond" w:hAnsi="Garamond"/>
        </w:rPr>
        <w:t>s</w:t>
      </w:r>
      <w:r w:rsidRPr="00830F4C">
        <w:rPr>
          <w:rFonts w:ascii="Garamond" w:hAnsi="Garamond"/>
        </w:rPr>
        <w:t xml:space="preserve">htylla 3 </w:t>
      </w:r>
      <w:r w:rsidR="00D22EA5" w:rsidRPr="00830F4C">
        <w:rPr>
          <w:rFonts w:ascii="Garamond" w:hAnsi="Garamond"/>
        </w:rPr>
        <w:t>“</w:t>
      </w:r>
      <w:r w:rsidRPr="00830F4C">
        <w:rPr>
          <w:rFonts w:ascii="Garamond" w:hAnsi="Garamond"/>
        </w:rPr>
        <w:t>Menaxhimi dhe mobilizimi i të ardhurave</w:t>
      </w:r>
      <w:r w:rsidR="00D22EA5" w:rsidRPr="00830F4C">
        <w:rPr>
          <w:rFonts w:ascii="Garamond" w:hAnsi="Garamond"/>
        </w:rPr>
        <w:t>”</w:t>
      </w:r>
      <w:r w:rsidRPr="00830F4C">
        <w:rPr>
          <w:rFonts w:ascii="Garamond" w:hAnsi="Garamond"/>
        </w:rPr>
        <w:t>. Objektivi specifik i kësaj shtylle është përmirësimi i sistemeve të menaxhimit doganor dhe të të ardhurave</w:t>
      </w:r>
      <w:r w:rsidR="00936C84" w:rsidRPr="00830F4C">
        <w:rPr>
          <w:rFonts w:ascii="Garamond" w:hAnsi="Garamond"/>
        </w:rPr>
        <w:t>,</w:t>
      </w:r>
      <w:r w:rsidRPr="00830F4C">
        <w:rPr>
          <w:rFonts w:ascii="Garamond" w:hAnsi="Garamond"/>
        </w:rPr>
        <w:t xml:space="preserve"> me synim rritjen e të ardhurave dhe përmirësimin e ofrimit të shërbimeve dhe mbulon komponentët: Menaxhimi i Taksave, Menaxhimi i Taksës së Pasurisë (Kadastra Fiskale) dhe Menaxhimi Doganor. Miratimi i Strategjisë Afatmesme të të Ardhurave, 2024</w:t>
      </w:r>
      <w:r w:rsidR="00D22EA5" w:rsidRPr="00830F4C">
        <w:rPr>
          <w:rFonts w:ascii="Garamond" w:hAnsi="Garamond"/>
        </w:rPr>
        <w:t>–</w:t>
      </w:r>
      <w:r w:rsidRPr="00830F4C">
        <w:rPr>
          <w:rFonts w:ascii="Garamond" w:hAnsi="Garamond"/>
        </w:rPr>
        <w:t>2027 është një ndër masat e parashikuara nën këtë shtyllë.</w:t>
      </w:r>
    </w:p>
    <w:p w14:paraId="186CC181" w14:textId="77777777" w:rsidR="00854A2A" w:rsidRPr="00830F4C" w:rsidRDefault="00854A2A" w:rsidP="00854A2A">
      <w:pPr>
        <w:tabs>
          <w:tab w:val="left" w:pos="720"/>
        </w:tabs>
        <w:ind w:firstLine="284"/>
        <w:jc w:val="both"/>
        <w:rPr>
          <w:rFonts w:ascii="Garamond" w:hAnsi="Garamond"/>
        </w:rPr>
      </w:pPr>
      <w:r w:rsidRPr="00830F4C">
        <w:rPr>
          <w:rFonts w:ascii="Garamond" w:hAnsi="Garamond"/>
          <w:b/>
          <w:bCs/>
        </w:rPr>
        <w:t>d) Dokumenti i Programit të Reformave Ekonomike (ERP)</w:t>
      </w:r>
    </w:p>
    <w:p w14:paraId="1F482B09" w14:textId="300B9A9E" w:rsidR="00854A2A" w:rsidRPr="00830F4C" w:rsidRDefault="00854A2A" w:rsidP="00854A2A">
      <w:pPr>
        <w:ind w:firstLine="284"/>
        <w:jc w:val="both"/>
        <w:rPr>
          <w:rFonts w:ascii="Garamond" w:hAnsi="Garamond"/>
        </w:rPr>
      </w:pPr>
      <w:r w:rsidRPr="00830F4C">
        <w:rPr>
          <w:rFonts w:ascii="Garamond" w:hAnsi="Garamond"/>
        </w:rPr>
        <w:t>Në janar 2024 është miratuar Dokumenti i ERP</w:t>
      </w:r>
      <w:r w:rsidR="00936C84" w:rsidRPr="00830F4C">
        <w:rPr>
          <w:rFonts w:ascii="Garamond" w:hAnsi="Garamond"/>
        </w:rPr>
        <w:t>-së</w:t>
      </w:r>
      <w:r w:rsidRPr="00830F4C">
        <w:rPr>
          <w:rFonts w:ascii="Garamond" w:hAnsi="Garamond"/>
        </w:rPr>
        <w:t>,</w:t>
      </w:r>
      <w:r w:rsidRPr="00830F4C">
        <w:rPr>
          <w:rFonts w:ascii="Garamond" w:hAnsi="Garamond"/>
          <w:b/>
          <w:bCs/>
        </w:rPr>
        <w:t xml:space="preserve"> </w:t>
      </w:r>
      <w:r w:rsidRPr="00830F4C">
        <w:rPr>
          <w:rFonts w:ascii="Garamond" w:hAnsi="Garamond"/>
        </w:rPr>
        <w:t>me VKM</w:t>
      </w:r>
      <w:r w:rsidR="00D22EA5" w:rsidRPr="00830F4C">
        <w:rPr>
          <w:rFonts w:ascii="Garamond" w:hAnsi="Garamond"/>
        </w:rPr>
        <w:t>-në</w:t>
      </w:r>
      <w:r w:rsidRPr="00830F4C">
        <w:rPr>
          <w:rFonts w:ascii="Garamond" w:hAnsi="Garamond"/>
        </w:rPr>
        <w:t xml:space="preserve"> </w:t>
      </w:r>
      <w:r w:rsidR="00D22EA5" w:rsidRPr="00830F4C">
        <w:rPr>
          <w:rFonts w:ascii="Garamond" w:hAnsi="Garamond"/>
        </w:rPr>
        <w:t>n</w:t>
      </w:r>
      <w:r w:rsidRPr="00830F4C">
        <w:rPr>
          <w:rFonts w:ascii="Garamond" w:hAnsi="Garamond"/>
        </w:rPr>
        <w:t>r. 12, datë 11.1.2024</w:t>
      </w:r>
      <w:r w:rsidR="00D22EA5" w:rsidRPr="00830F4C">
        <w:rPr>
          <w:rFonts w:ascii="Garamond" w:hAnsi="Garamond"/>
        </w:rPr>
        <w:t>,</w:t>
      </w:r>
      <w:r w:rsidRPr="00830F4C">
        <w:rPr>
          <w:rFonts w:ascii="Garamond" w:hAnsi="Garamond"/>
        </w:rPr>
        <w:t xml:space="preserve"> </w:t>
      </w:r>
      <w:r w:rsidR="00D22EA5" w:rsidRPr="00830F4C">
        <w:rPr>
          <w:rFonts w:ascii="Garamond" w:hAnsi="Garamond"/>
        </w:rPr>
        <w:t>“</w:t>
      </w:r>
      <w:r w:rsidRPr="00830F4C">
        <w:rPr>
          <w:rFonts w:ascii="Garamond" w:hAnsi="Garamond"/>
        </w:rPr>
        <w:t>Për miratimin e programit të reformave ekonomike (ERP) 2024–2026</w:t>
      </w:r>
      <w:r w:rsidR="00D22EA5" w:rsidRPr="00830F4C">
        <w:rPr>
          <w:rFonts w:ascii="Garamond" w:hAnsi="Garamond"/>
        </w:rPr>
        <w:t>”</w:t>
      </w:r>
      <w:r w:rsidRPr="00830F4C">
        <w:rPr>
          <w:rFonts w:ascii="Garamond" w:hAnsi="Garamond"/>
        </w:rPr>
        <w:t>, sipas të cilit administrata tatimore ka përcaktuar 6 masa (në linjë me SAA</w:t>
      </w:r>
      <w:r w:rsidR="00936C84" w:rsidRPr="00830F4C">
        <w:rPr>
          <w:rFonts w:ascii="Garamond" w:hAnsi="Garamond"/>
        </w:rPr>
        <w:t>-në</w:t>
      </w:r>
      <w:r w:rsidRPr="00830F4C">
        <w:rPr>
          <w:rFonts w:ascii="Garamond" w:hAnsi="Garamond"/>
        </w:rPr>
        <w:t xml:space="preserve"> </w:t>
      </w:r>
      <w:r w:rsidR="00120EA0" w:rsidRPr="00830F4C">
        <w:rPr>
          <w:rFonts w:ascii="Garamond" w:hAnsi="Garamond"/>
        </w:rPr>
        <w:t>2022–2026</w:t>
      </w:r>
      <w:r w:rsidRPr="00830F4C">
        <w:rPr>
          <w:rFonts w:ascii="Garamond" w:hAnsi="Garamond"/>
        </w:rPr>
        <w:t xml:space="preserve">) nën reformën </w:t>
      </w:r>
      <w:r w:rsidR="00D22EA5" w:rsidRPr="00830F4C">
        <w:rPr>
          <w:rFonts w:ascii="Garamond" w:hAnsi="Garamond"/>
        </w:rPr>
        <w:t>“</w:t>
      </w:r>
      <w:r w:rsidRPr="00830F4C">
        <w:rPr>
          <w:rFonts w:ascii="Garamond" w:hAnsi="Garamond"/>
        </w:rPr>
        <w:t>Forcimi i luftës kundër informalitetit</w:t>
      </w:r>
      <w:r w:rsidR="00D22EA5" w:rsidRPr="00830F4C">
        <w:rPr>
          <w:rFonts w:ascii="Garamond" w:hAnsi="Garamond"/>
        </w:rPr>
        <w:t>”</w:t>
      </w:r>
      <w:r w:rsidRPr="00830F4C">
        <w:rPr>
          <w:rFonts w:ascii="Garamond" w:hAnsi="Garamond"/>
        </w:rPr>
        <w:t xml:space="preserve">. </w:t>
      </w:r>
    </w:p>
    <w:p w14:paraId="2EA7C273" w14:textId="57AFEE3D" w:rsidR="00854A2A" w:rsidRPr="00830F4C" w:rsidRDefault="00854A2A" w:rsidP="00854A2A">
      <w:pPr>
        <w:pStyle w:val="Heading1"/>
        <w:spacing w:before="0" w:line="240" w:lineRule="auto"/>
        <w:ind w:firstLine="284"/>
        <w:rPr>
          <w:rFonts w:ascii="Garamond" w:hAnsi="Garamond"/>
          <w:b/>
          <w:bCs/>
          <w:color w:val="auto"/>
          <w:sz w:val="24"/>
          <w:szCs w:val="24"/>
        </w:rPr>
      </w:pPr>
      <w:r w:rsidRPr="00830F4C">
        <w:rPr>
          <w:rFonts w:ascii="Garamond" w:hAnsi="Garamond"/>
          <w:b/>
          <w:bCs/>
          <w:color w:val="auto"/>
          <w:sz w:val="24"/>
          <w:szCs w:val="24"/>
        </w:rPr>
        <w:t>IV</w:t>
      </w:r>
      <w:r w:rsidR="00D22EA5" w:rsidRPr="00830F4C">
        <w:rPr>
          <w:rFonts w:ascii="Garamond" w:hAnsi="Garamond"/>
          <w:b/>
          <w:bCs/>
          <w:color w:val="auto"/>
          <w:sz w:val="24"/>
          <w:szCs w:val="24"/>
        </w:rPr>
        <w:t>.</w:t>
      </w:r>
      <w:r w:rsidRPr="00830F4C">
        <w:rPr>
          <w:rFonts w:ascii="Garamond" w:hAnsi="Garamond"/>
          <w:b/>
          <w:bCs/>
          <w:color w:val="auto"/>
          <w:sz w:val="24"/>
          <w:szCs w:val="24"/>
        </w:rPr>
        <w:t xml:space="preserve"> Shtylla 1: Rishikimi i politikave tatimore</w:t>
      </w:r>
    </w:p>
    <w:p w14:paraId="74DB88DF" w14:textId="7C9D007A" w:rsidR="00854A2A" w:rsidRPr="00830F4C" w:rsidRDefault="00854A2A" w:rsidP="00854A2A">
      <w:pPr>
        <w:pStyle w:val="Heading2"/>
        <w:spacing w:before="0"/>
        <w:ind w:firstLine="284"/>
        <w:rPr>
          <w:rFonts w:ascii="Garamond" w:hAnsi="Garamond"/>
          <w:b/>
          <w:bCs/>
          <w:color w:val="auto"/>
          <w:sz w:val="24"/>
          <w:szCs w:val="24"/>
        </w:rPr>
      </w:pPr>
      <w:r w:rsidRPr="00830F4C">
        <w:rPr>
          <w:rFonts w:ascii="Garamond" w:hAnsi="Garamond"/>
          <w:b/>
          <w:bCs/>
          <w:color w:val="auto"/>
          <w:sz w:val="24"/>
          <w:szCs w:val="24"/>
        </w:rPr>
        <w:t>IV.1 Hyrje</w:t>
      </w:r>
    </w:p>
    <w:p w14:paraId="251EBDB6" w14:textId="2D78B908" w:rsidR="00854A2A" w:rsidRPr="00830F4C" w:rsidRDefault="00854A2A" w:rsidP="00854A2A">
      <w:pPr>
        <w:ind w:firstLine="284"/>
        <w:jc w:val="both"/>
        <w:rPr>
          <w:rFonts w:ascii="Garamond" w:hAnsi="Garamond"/>
        </w:rPr>
      </w:pPr>
      <w:r w:rsidRPr="00830F4C">
        <w:rPr>
          <w:rFonts w:ascii="Garamond" w:hAnsi="Garamond"/>
        </w:rPr>
        <w:t xml:space="preserve">Në 10 vitet e fundit, Shqipëria ka rritur gradualisht përqindjen e të ardhurave të mbledhura në raport me PBB-në. Ecuria e mbledhjes së të ardhurave është parashikuar të vazhdojë me trend </w:t>
      </w:r>
      <w:r w:rsidR="00236281" w:rsidRPr="00830F4C">
        <w:rPr>
          <w:rFonts w:ascii="Garamond" w:hAnsi="Garamond"/>
        </w:rPr>
        <w:t>rritës</w:t>
      </w:r>
      <w:r w:rsidRPr="00830F4C">
        <w:rPr>
          <w:rFonts w:ascii="Garamond" w:hAnsi="Garamond"/>
        </w:rPr>
        <w:t xml:space="preserve"> të raportit </w:t>
      </w:r>
      <w:r w:rsidR="00936C84" w:rsidRPr="00830F4C">
        <w:rPr>
          <w:rFonts w:ascii="Garamond" w:hAnsi="Garamond"/>
        </w:rPr>
        <w:t>t</w:t>
      </w:r>
      <w:r w:rsidRPr="00830F4C">
        <w:rPr>
          <w:rFonts w:ascii="Garamond" w:hAnsi="Garamond"/>
        </w:rPr>
        <w:t>ë ardhura/PBB edhe sipas parashikimeve të bëra në Kuadrin Makrofiskal 2025–2027 të Ministrisë së Financave, ndërkohë që, kërkesat për më tepër shpenzime buxhetore të tilla si investime, mbrojtjen sociale, rritje pensionesh apo paga, do të vijojnë në rritje.</w:t>
      </w:r>
    </w:p>
    <w:p w14:paraId="2760BBC5" w14:textId="0B5F3DDA" w:rsidR="00854A2A" w:rsidRPr="00830F4C" w:rsidRDefault="00854A2A" w:rsidP="00854A2A">
      <w:pPr>
        <w:ind w:firstLine="284"/>
        <w:jc w:val="both"/>
        <w:rPr>
          <w:rFonts w:ascii="Garamond" w:hAnsi="Garamond"/>
        </w:rPr>
      </w:pPr>
      <w:r w:rsidRPr="00830F4C">
        <w:rPr>
          <w:rFonts w:ascii="Garamond" w:hAnsi="Garamond"/>
        </w:rPr>
        <w:t>Nëse do të ndërmerren ndryshime që lidhen me legjislacionin tatimor dhe kryesisht mirëadministrimin tatimor, këto përqindje të të ardhurave ndaj PBB-së duhet dhe mund të rriten edhe më tej, duke suportuar në këtë mënyrë rritjen e presionit për shpenzime dhe duke garantuar realizimin e objektivave për defiçitin buxhetor dhe borxhin publik.</w:t>
      </w:r>
    </w:p>
    <w:p w14:paraId="45104770" w14:textId="795CAC85" w:rsidR="00854A2A" w:rsidRPr="00830F4C" w:rsidRDefault="00854A2A" w:rsidP="00854A2A">
      <w:pPr>
        <w:ind w:firstLine="284"/>
        <w:jc w:val="both"/>
        <w:rPr>
          <w:rFonts w:ascii="Garamond" w:hAnsi="Garamond"/>
        </w:rPr>
      </w:pPr>
      <w:r w:rsidRPr="00830F4C">
        <w:rPr>
          <w:rFonts w:ascii="Garamond" w:hAnsi="Garamond"/>
        </w:rPr>
        <w:t xml:space="preserve">Nën seksionin II.2. 2. Politikat tatimore – Përjashtimet dhe normat e reduktuara përshkruhen të ardhurat tatimore të munguara nga përjashtimet tatimore dhe incentivat tatimore që janë në fuqi. Një kusht i rëndësishëm i vendosur për Shqipërinë në Planin e Rritjes së Agjendës së Reformës së BE-së është i lidhur me vlerësimin e të gjithë </w:t>
      </w:r>
      <w:r w:rsidR="00236281" w:rsidRPr="00830F4C">
        <w:rPr>
          <w:rFonts w:ascii="Garamond" w:hAnsi="Garamond"/>
        </w:rPr>
        <w:t>përjashtimeve</w:t>
      </w:r>
      <w:r w:rsidRPr="00830F4C">
        <w:rPr>
          <w:rFonts w:ascii="Garamond" w:hAnsi="Garamond"/>
        </w:rPr>
        <w:t xml:space="preserve"> tatimore brenda qershorit 2025, me qëllim që të vendoset nëse ndonjë mund të hiqet gradualisht. Për këtë arsye, nën këtë </w:t>
      </w:r>
      <w:r w:rsidR="00936C84" w:rsidRPr="00830F4C">
        <w:rPr>
          <w:rFonts w:ascii="Garamond" w:hAnsi="Garamond"/>
        </w:rPr>
        <w:t>s</w:t>
      </w:r>
      <w:r w:rsidRPr="00830F4C">
        <w:rPr>
          <w:rFonts w:ascii="Garamond" w:hAnsi="Garamond"/>
        </w:rPr>
        <w:t>htyllë, janë të detajuara aktivitetet që do të ndërmerren për kryerjen e këtyre vlerësimeve. Për këto aktivitete, asnjë vlerësim i të ardhurave shtesë nuk përfshihet në këtë Strategji sepse do të varet nga masat tatimore që do të vendosen të hiqen gradualisht bazuar në këto vlerësime.</w:t>
      </w:r>
    </w:p>
    <w:p w14:paraId="1C91697C" w14:textId="77777777" w:rsidR="00854A2A" w:rsidRPr="00830F4C" w:rsidRDefault="00854A2A" w:rsidP="00854A2A">
      <w:pPr>
        <w:ind w:firstLine="284"/>
        <w:jc w:val="both"/>
        <w:rPr>
          <w:rFonts w:ascii="Garamond" w:hAnsi="Garamond"/>
        </w:rPr>
      </w:pPr>
      <w:r w:rsidRPr="00830F4C">
        <w:rPr>
          <w:rFonts w:ascii="Garamond" w:hAnsi="Garamond"/>
        </w:rPr>
        <w:t>Shtesa në të ardhurat e buxhetit të shtetit lidhet më së shumti me faktorët e mëposhtëm:</w:t>
      </w:r>
    </w:p>
    <w:p w14:paraId="11886CB4" w14:textId="77777777" w:rsidR="00854A2A" w:rsidRPr="00830F4C" w:rsidRDefault="00854A2A" w:rsidP="00854A2A">
      <w:pPr>
        <w:pStyle w:val="ListParagraph"/>
        <w:spacing w:after="0" w:line="240" w:lineRule="auto"/>
        <w:ind w:left="0" w:firstLine="284"/>
        <w:jc w:val="both"/>
        <w:rPr>
          <w:rFonts w:ascii="Garamond" w:hAnsi="Garamond"/>
          <w:sz w:val="24"/>
          <w:szCs w:val="24"/>
        </w:rPr>
      </w:pPr>
      <w:r w:rsidRPr="00830F4C">
        <w:rPr>
          <w:rFonts w:ascii="Garamond" w:hAnsi="Garamond"/>
          <w:sz w:val="24"/>
          <w:szCs w:val="24"/>
          <w:u w:val="single"/>
        </w:rPr>
        <w:t>i. Të ardhura shtesë nga strategjia dhe reformat tatimore që do ndërmerren dhe që lidhen me mirëadministrimin fiskal</w:t>
      </w:r>
      <w:r w:rsidRPr="00830F4C">
        <w:rPr>
          <w:rFonts w:ascii="Garamond" w:hAnsi="Garamond"/>
          <w:sz w:val="24"/>
          <w:szCs w:val="24"/>
        </w:rPr>
        <w:t xml:space="preserve"> në administratën tatimore dhe atë doganore. Ky do të jetë edhe burimi kryesor i rritjes së të ardhurave në 4 vitet në vijim.</w:t>
      </w:r>
    </w:p>
    <w:p w14:paraId="39BEE0C6" w14:textId="0702AE3B" w:rsidR="00854A2A" w:rsidRPr="00830F4C" w:rsidRDefault="00854A2A" w:rsidP="00854A2A">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 xml:space="preserve">ii. Të ardhura shtesë nga </w:t>
      </w:r>
      <w:r w:rsidRPr="00830F4C">
        <w:rPr>
          <w:rFonts w:ascii="Garamond" w:hAnsi="Garamond"/>
          <w:sz w:val="24"/>
          <w:szCs w:val="24"/>
          <w:u w:val="single"/>
        </w:rPr>
        <w:t>zbatimi i akteve ligjore dhe nënligjore</w:t>
      </w:r>
      <w:r w:rsidRPr="00830F4C">
        <w:rPr>
          <w:rFonts w:ascii="Garamond" w:hAnsi="Garamond"/>
          <w:sz w:val="24"/>
          <w:szCs w:val="24"/>
        </w:rPr>
        <w:t xml:space="preserve"> që mbulojnë sektorë të </w:t>
      </w:r>
      <w:r w:rsidR="00D22EA5" w:rsidRPr="00830F4C">
        <w:rPr>
          <w:rFonts w:ascii="Garamond" w:hAnsi="Garamond"/>
          <w:sz w:val="24"/>
          <w:szCs w:val="24"/>
        </w:rPr>
        <w:t>veçantë</w:t>
      </w:r>
      <w:r w:rsidRPr="00830F4C">
        <w:rPr>
          <w:rFonts w:ascii="Garamond" w:hAnsi="Garamond"/>
          <w:sz w:val="24"/>
          <w:szCs w:val="24"/>
        </w:rPr>
        <w:t xml:space="preserve"> të ekonomisë:</w:t>
      </w:r>
    </w:p>
    <w:p w14:paraId="6AC1EC49" w14:textId="5B5181CF" w:rsidR="00854A2A" w:rsidRPr="00830F4C" w:rsidRDefault="00854A2A" w:rsidP="00854A2A">
      <w:pPr>
        <w:pStyle w:val="ListParagraph"/>
        <w:spacing w:after="0" w:line="240" w:lineRule="auto"/>
        <w:ind w:left="0" w:firstLine="284"/>
        <w:jc w:val="both"/>
        <w:rPr>
          <w:rFonts w:ascii="Garamond" w:hAnsi="Garamond"/>
          <w:sz w:val="24"/>
          <w:szCs w:val="24"/>
        </w:rPr>
      </w:pPr>
      <w:r w:rsidRPr="00830F4C">
        <w:rPr>
          <w:rFonts w:ascii="Garamond" w:hAnsi="Garamond" w:cs="Wingdings"/>
          <w:sz w:val="24"/>
          <w:szCs w:val="24"/>
        </w:rPr>
        <w:t xml:space="preserve">- </w:t>
      </w:r>
      <w:r w:rsidRPr="00830F4C">
        <w:rPr>
          <w:rFonts w:ascii="Garamond" w:hAnsi="Garamond"/>
          <w:sz w:val="24"/>
          <w:szCs w:val="24"/>
        </w:rPr>
        <w:t>Zbatimi i dispozitave të reja të legjislacionit në fushën e turizmit nëpërmjet: i</w:t>
      </w:r>
      <w:r w:rsidR="00D22EA5" w:rsidRPr="00830F4C">
        <w:rPr>
          <w:rFonts w:ascii="Garamond" w:hAnsi="Garamond"/>
          <w:sz w:val="24"/>
          <w:szCs w:val="24"/>
        </w:rPr>
        <w:t>.</w:t>
      </w:r>
      <w:r w:rsidRPr="00830F4C">
        <w:rPr>
          <w:rFonts w:ascii="Garamond" w:hAnsi="Garamond"/>
          <w:sz w:val="24"/>
          <w:szCs w:val="24"/>
        </w:rPr>
        <w:t xml:space="preserve"> verifikimit të kapaciteteve dhe llogaritjen e detyrimeve tatimore mbi bazën e koeficientit minimal të shfrytëzimit të kapaciteteve, sipas përcaktimeve në aktet nënligjore në zbatim të tij</w:t>
      </w:r>
      <w:r w:rsidR="00D22EA5" w:rsidRPr="00830F4C">
        <w:rPr>
          <w:rFonts w:ascii="Garamond" w:hAnsi="Garamond"/>
          <w:sz w:val="24"/>
          <w:szCs w:val="24"/>
        </w:rPr>
        <w:t>;</w:t>
      </w:r>
      <w:r w:rsidRPr="00830F4C">
        <w:rPr>
          <w:rFonts w:ascii="Garamond" w:hAnsi="Garamond"/>
          <w:sz w:val="24"/>
          <w:szCs w:val="24"/>
        </w:rPr>
        <w:t xml:space="preserve"> ii</w:t>
      </w:r>
      <w:r w:rsidR="00D22EA5" w:rsidRPr="00830F4C">
        <w:rPr>
          <w:rFonts w:ascii="Garamond" w:hAnsi="Garamond"/>
          <w:sz w:val="24"/>
          <w:szCs w:val="24"/>
        </w:rPr>
        <w:t>.</w:t>
      </w:r>
      <w:r w:rsidRPr="00830F4C">
        <w:rPr>
          <w:rFonts w:ascii="Garamond" w:hAnsi="Garamond"/>
          <w:sz w:val="24"/>
          <w:szCs w:val="24"/>
        </w:rPr>
        <w:t xml:space="preserve"> marrjen e informacionit nga </w:t>
      </w:r>
      <w:r w:rsidRPr="00830F4C">
        <w:rPr>
          <w:rFonts w:ascii="Garamond" w:hAnsi="Garamond"/>
          <w:i/>
          <w:sz w:val="24"/>
          <w:szCs w:val="24"/>
        </w:rPr>
        <w:t>site</w:t>
      </w:r>
      <w:r w:rsidRPr="00830F4C">
        <w:rPr>
          <w:rFonts w:ascii="Garamond" w:hAnsi="Garamond"/>
          <w:sz w:val="24"/>
          <w:szCs w:val="24"/>
        </w:rPr>
        <w:t>-t ndërkombëtare të prenotimeve të shërbimit të akomodimit. Dispozitat e reja në legjislacionin e turizmit do të impaktojnë njëkohësisht: i</w:t>
      </w:r>
      <w:r w:rsidR="00D22EA5" w:rsidRPr="00830F4C">
        <w:rPr>
          <w:rFonts w:ascii="Garamond" w:hAnsi="Garamond"/>
          <w:sz w:val="24"/>
          <w:szCs w:val="24"/>
        </w:rPr>
        <w:t>.</w:t>
      </w:r>
      <w:r w:rsidRPr="00830F4C">
        <w:rPr>
          <w:rFonts w:ascii="Garamond" w:hAnsi="Garamond"/>
          <w:sz w:val="24"/>
          <w:szCs w:val="24"/>
        </w:rPr>
        <w:t xml:space="preserve"> tatimin mbi vlerën e shtuar</w:t>
      </w:r>
      <w:r w:rsidR="00D22EA5" w:rsidRPr="00830F4C">
        <w:rPr>
          <w:rFonts w:ascii="Garamond" w:hAnsi="Garamond"/>
          <w:sz w:val="24"/>
          <w:szCs w:val="24"/>
        </w:rPr>
        <w:t>;</w:t>
      </w:r>
      <w:r w:rsidRPr="00830F4C">
        <w:rPr>
          <w:rFonts w:ascii="Garamond" w:hAnsi="Garamond"/>
          <w:sz w:val="24"/>
          <w:szCs w:val="24"/>
        </w:rPr>
        <w:t xml:space="preserve"> ii</w:t>
      </w:r>
      <w:r w:rsidR="00D22EA5" w:rsidRPr="00830F4C">
        <w:rPr>
          <w:rFonts w:ascii="Garamond" w:hAnsi="Garamond"/>
          <w:sz w:val="24"/>
          <w:szCs w:val="24"/>
        </w:rPr>
        <w:t>.</w:t>
      </w:r>
      <w:r w:rsidRPr="00830F4C">
        <w:rPr>
          <w:rFonts w:ascii="Garamond" w:hAnsi="Garamond"/>
          <w:sz w:val="24"/>
          <w:szCs w:val="24"/>
        </w:rPr>
        <w:t xml:space="preserve"> tatimin mbi fitimin e njësive akomoduese</w:t>
      </w:r>
      <w:r w:rsidR="00D22EA5" w:rsidRPr="00830F4C">
        <w:rPr>
          <w:rFonts w:ascii="Garamond" w:hAnsi="Garamond"/>
          <w:sz w:val="24"/>
          <w:szCs w:val="24"/>
        </w:rPr>
        <w:t>;</w:t>
      </w:r>
      <w:r w:rsidRPr="00830F4C">
        <w:rPr>
          <w:rFonts w:ascii="Garamond" w:hAnsi="Garamond"/>
          <w:sz w:val="24"/>
          <w:szCs w:val="24"/>
        </w:rPr>
        <w:t xml:space="preserve"> dhe iii</w:t>
      </w:r>
      <w:r w:rsidR="00D22EA5" w:rsidRPr="00830F4C">
        <w:rPr>
          <w:rFonts w:ascii="Garamond" w:hAnsi="Garamond"/>
          <w:sz w:val="24"/>
          <w:szCs w:val="24"/>
        </w:rPr>
        <w:t>.</w:t>
      </w:r>
      <w:r w:rsidRPr="00830F4C">
        <w:rPr>
          <w:rFonts w:ascii="Garamond" w:hAnsi="Garamond"/>
          <w:sz w:val="24"/>
          <w:szCs w:val="24"/>
        </w:rPr>
        <w:t xml:space="preserve"> tatimin mbi të ardhurat personale nga </w:t>
      </w:r>
      <w:r w:rsidR="001A567D" w:rsidRPr="00830F4C">
        <w:rPr>
          <w:rFonts w:ascii="Garamond" w:hAnsi="Garamond"/>
          <w:sz w:val="24"/>
          <w:szCs w:val="24"/>
        </w:rPr>
        <w:t>qiradhënia</w:t>
      </w:r>
      <w:r w:rsidRPr="00830F4C">
        <w:rPr>
          <w:rFonts w:ascii="Garamond" w:hAnsi="Garamond"/>
          <w:sz w:val="24"/>
          <w:szCs w:val="24"/>
        </w:rPr>
        <w:t xml:space="preserve"> afatshkurtër </w:t>
      </w:r>
      <w:r w:rsidR="001A567D" w:rsidRPr="00830F4C">
        <w:rPr>
          <w:rFonts w:ascii="Garamond" w:hAnsi="Garamond"/>
          <w:sz w:val="24"/>
          <w:szCs w:val="24"/>
        </w:rPr>
        <w:t xml:space="preserve">e </w:t>
      </w:r>
      <w:r w:rsidRPr="00830F4C">
        <w:rPr>
          <w:rFonts w:ascii="Garamond" w:hAnsi="Garamond"/>
          <w:sz w:val="24"/>
          <w:szCs w:val="24"/>
        </w:rPr>
        <w:t>individëve.</w:t>
      </w:r>
    </w:p>
    <w:p w14:paraId="2C929CFD" w14:textId="1D28283A" w:rsidR="00854A2A" w:rsidRPr="00830F4C" w:rsidRDefault="001B0E93" w:rsidP="001B0E93">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w:t>
      </w:r>
      <w:r w:rsidR="00D22EA5" w:rsidRPr="00830F4C">
        <w:rPr>
          <w:rFonts w:ascii="Garamond" w:hAnsi="Garamond"/>
          <w:sz w:val="24"/>
          <w:szCs w:val="24"/>
        </w:rPr>
        <w:t xml:space="preserve"> </w:t>
      </w:r>
      <w:r w:rsidR="00854A2A" w:rsidRPr="00830F4C">
        <w:rPr>
          <w:rFonts w:ascii="Garamond" w:hAnsi="Garamond"/>
          <w:sz w:val="24"/>
          <w:szCs w:val="24"/>
        </w:rPr>
        <w:t xml:space="preserve">Zbatimi i dispozitave të VKM-së </w:t>
      </w:r>
      <w:r w:rsidR="00D22EA5" w:rsidRPr="00830F4C">
        <w:rPr>
          <w:rFonts w:ascii="Garamond" w:hAnsi="Garamond"/>
          <w:sz w:val="24"/>
          <w:szCs w:val="24"/>
        </w:rPr>
        <w:t>n</w:t>
      </w:r>
      <w:r w:rsidR="00854A2A" w:rsidRPr="00830F4C">
        <w:rPr>
          <w:rFonts w:ascii="Garamond" w:hAnsi="Garamond"/>
          <w:sz w:val="24"/>
          <w:szCs w:val="24"/>
        </w:rPr>
        <w:t>r.</w:t>
      </w:r>
      <w:r w:rsidR="00D22EA5" w:rsidRPr="00830F4C">
        <w:rPr>
          <w:rFonts w:ascii="Garamond" w:hAnsi="Garamond"/>
          <w:sz w:val="24"/>
          <w:szCs w:val="24"/>
        </w:rPr>
        <w:t xml:space="preserve"> </w:t>
      </w:r>
      <w:r w:rsidR="00854A2A" w:rsidRPr="00830F4C">
        <w:rPr>
          <w:rFonts w:ascii="Garamond" w:hAnsi="Garamond"/>
          <w:sz w:val="24"/>
          <w:szCs w:val="24"/>
        </w:rPr>
        <w:t xml:space="preserve">132, </w:t>
      </w:r>
      <w:r w:rsidR="00D22EA5" w:rsidRPr="00830F4C">
        <w:rPr>
          <w:rFonts w:ascii="Garamond" w:hAnsi="Garamond"/>
          <w:sz w:val="24"/>
          <w:szCs w:val="24"/>
        </w:rPr>
        <w:t>d</w:t>
      </w:r>
      <w:r w:rsidR="00854A2A" w:rsidRPr="00830F4C">
        <w:rPr>
          <w:rFonts w:ascii="Garamond" w:hAnsi="Garamond"/>
          <w:sz w:val="24"/>
          <w:szCs w:val="24"/>
        </w:rPr>
        <w:t>atë 7.3.2024</w:t>
      </w:r>
      <w:r w:rsidR="00D22EA5" w:rsidRPr="00830F4C">
        <w:rPr>
          <w:rFonts w:ascii="Garamond" w:hAnsi="Garamond"/>
          <w:sz w:val="24"/>
          <w:szCs w:val="24"/>
        </w:rPr>
        <w:t>,</w:t>
      </w:r>
      <w:r w:rsidR="00854A2A" w:rsidRPr="00830F4C">
        <w:rPr>
          <w:rFonts w:ascii="Garamond" w:hAnsi="Garamond"/>
          <w:sz w:val="24"/>
          <w:szCs w:val="24"/>
        </w:rPr>
        <w:t xml:space="preserve"> </w:t>
      </w:r>
      <w:r w:rsidR="00D22EA5" w:rsidRPr="00830F4C">
        <w:rPr>
          <w:rFonts w:ascii="Garamond" w:hAnsi="Garamond"/>
          <w:sz w:val="24"/>
          <w:szCs w:val="24"/>
        </w:rPr>
        <w:t>“</w:t>
      </w:r>
      <w:r w:rsidR="00854A2A" w:rsidRPr="00830F4C">
        <w:rPr>
          <w:rFonts w:ascii="Garamond" w:hAnsi="Garamond"/>
          <w:sz w:val="24"/>
          <w:szCs w:val="24"/>
        </w:rPr>
        <w:t>Për metodologjinë për përcaktimin e vlerës së taksueshme të pasurisë së paluajtshme</w:t>
      </w:r>
      <w:r w:rsidR="00D22EA5" w:rsidRPr="00830F4C">
        <w:rPr>
          <w:rFonts w:ascii="Garamond" w:hAnsi="Garamond"/>
          <w:sz w:val="24"/>
          <w:szCs w:val="24"/>
        </w:rPr>
        <w:t xml:space="preserve"> “</w:t>
      </w:r>
      <w:r w:rsidR="00854A2A" w:rsidRPr="00830F4C">
        <w:rPr>
          <w:rFonts w:ascii="Garamond" w:hAnsi="Garamond"/>
          <w:sz w:val="24"/>
          <w:szCs w:val="24"/>
        </w:rPr>
        <w:t>ndërtesa</w:t>
      </w:r>
      <w:r w:rsidR="00D22EA5" w:rsidRPr="00830F4C">
        <w:rPr>
          <w:rFonts w:ascii="Garamond" w:hAnsi="Garamond"/>
          <w:sz w:val="24"/>
          <w:szCs w:val="24"/>
        </w:rPr>
        <w:t>”</w:t>
      </w:r>
      <w:r w:rsidR="00854A2A" w:rsidRPr="00830F4C">
        <w:rPr>
          <w:rFonts w:ascii="Garamond" w:hAnsi="Garamond"/>
          <w:sz w:val="24"/>
          <w:szCs w:val="24"/>
        </w:rPr>
        <w:t>, e bazës së taksës për kategori specifike, natyrën dhe prioritetin e informacionit, dhe të dhënave për përcaktimin e bazës së taksës, si dhe të kritereve dhe rregullave për vlerësimin alternativ të detyrimit</w:t>
      </w:r>
      <w:r w:rsidR="00D22EA5" w:rsidRPr="00830F4C">
        <w:rPr>
          <w:rFonts w:ascii="Garamond" w:hAnsi="Garamond"/>
          <w:sz w:val="24"/>
          <w:szCs w:val="24"/>
        </w:rPr>
        <w:t>”</w:t>
      </w:r>
      <w:r w:rsidR="00854A2A" w:rsidRPr="00830F4C">
        <w:rPr>
          <w:rFonts w:ascii="Garamond" w:hAnsi="Garamond"/>
          <w:sz w:val="24"/>
          <w:szCs w:val="24"/>
        </w:rPr>
        <w:t>.</w:t>
      </w:r>
      <w:r w:rsidR="00D22EA5" w:rsidRPr="00830F4C">
        <w:rPr>
          <w:rFonts w:ascii="Garamond" w:hAnsi="Garamond"/>
          <w:sz w:val="24"/>
          <w:szCs w:val="24"/>
        </w:rPr>
        <w:t xml:space="preserve"> </w:t>
      </w:r>
      <w:r w:rsidR="00854A2A" w:rsidRPr="00830F4C">
        <w:rPr>
          <w:rFonts w:ascii="Garamond" w:hAnsi="Garamond"/>
          <w:sz w:val="24"/>
          <w:szCs w:val="24"/>
        </w:rPr>
        <w:t xml:space="preserve">Ndryshimet e këtij </w:t>
      </w:r>
      <w:r w:rsidR="001A567D" w:rsidRPr="00830F4C">
        <w:rPr>
          <w:rFonts w:ascii="Garamond" w:hAnsi="Garamond"/>
          <w:sz w:val="24"/>
          <w:szCs w:val="24"/>
        </w:rPr>
        <w:t>v</w:t>
      </w:r>
      <w:r w:rsidR="00854A2A" w:rsidRPr="00830F4C">
        <w:rPr>
          <w:rFonts w:ascii="Garamond" w:hAnsi="Garamond"/>
          <w:sz w:val="24"/>
          <w:szCs w:val="24"/>
        </w:rPr>
        <w:t>endimi do të impaktojnë bazën e llogaritjes së: i</w:t>
      </w:r>
      <w:r w:rsidR="00D22EA5" w:rsidRPr="00830F4C">
        <w:rPr>
          <w:rFonts w:ascii="Garamond" w:hAnsi="Garamond"/>
          <w:sz w:val="24"/>
          <w:szCs w:val="24"/>
        </w:rPr>
        <w:t>.</w:t>
      </w:r>
      <w:r w:rsidR="00854A2A" w:rsidRPr="00830F4C">
        <w:rPr>
          <w:rFonts w:ascii="Garamond" w:hAnsi="Garamond"/>
          <w:sz w:val="24"/>
          <w:szCs w:val="24"/>
        </w:rPr>
        <w:t xml:space="preserve"> tatimit mbi fitimin e ndërmarrjeve të ndërtimit</w:t>
      </w:r>
      <w:r w:rsidR="00D22EA5" w:rsidRPr="00830F4C">
        <w:rPr>
          <w:rFonts w:ascii="Garamond" w:hAnsi="Garamond"/>
          <w:sz w:val="24"/>
          <w:szCs w:val="24"/>
        </w:rPr>
        <w:t>;</w:t>
      </w:r>
      <w:r w:rsidR="00854A2A" w:rsidRPr="00830F4C">
        <w:rPr>
          <w:rFonts w:ascii="Garamond" w:hAnsi="Garamond"/>
          <w:sz w:val="24"/>
          <w:szCs w:val="24"/>
        </w:rPr>
        <w:t xml:space="preserve"> ii</w:t>
      </w:r>
      <w:r w:rsidR="00D22EA5" w:rsidRPr="00830F4C">
        <w:rPr>
          <w:rFonts w:ascii="Garamond" w:hAnsi="Garamond"/>
          <w:sz w:val="24"/>
          <w:szCs w:val="24"/>
        </w:rPr>
        <w:t>.</w:t>
      </w:r>
      <w:r w:rsidR="00854A2A" w:rsidRPr="00830F4C">
        <w:rPr>
          <w:rFonts w:ascii="Garamond" w:hAnsi="Garamond"/>
          <w:sz w:val="24"/>
          <w:szCs w:val="24"/>
        </w:rPr>
        <w:t xml:space="preserve"> tatimit mbi të ardhurat personale nga transferimi i së drejtës së pronësisë</w:t>
      </w:r>
      <w:r w:rsidR="00D22EA5" w:rsidRPr="00830F4C">
        <w:rPr>
          <w:rFonts w:ascii="Garamond" w:hAnsi="Garamond"/>
          <w:sz w:val="24"/>
          <w:szCs w:val="24"/>
        </w:rPr>
        <w:t>;</w:t>
      </w:r>
      <w:r w:rsidR="00854A2A" w:rsidRPr="00830F4C">
        <w:rPr>
          <w:rFonts w:ascii="Garamond" w:hAnsi="Garamond"/>
          <w:sz w:val="24"/>
          <w:szCs w:val="24"/>
        </w:rPr>
        <w:t xml:space="preserve"> dhe iii</w:t>
      </w:r>
      <w:r w:rsidR="00D22EA5" w:rsidRPr="00830F4C">
        <w:rPr>
          <w:rFonts w:ascii="Garamond" w:hAnsi="Garamond"/>
          <w:sz w:val="24"/>
          <w:szCs w:val="24"/>
        </w:rPr>
        <w:t>.</w:t>
      </w:r>
      <w:r w:rsidR="00854A2A" w:rsidRPr="00830F4C">
        <w:rPr>
          <w:rFonts w:ascii="Garamond" w:hAnsi="Garamond"/>
          <w:sz w:val="24"/>
          <w:szCs w:val="24"/>
        </w:rPr>
        <w:t xml:space="preserve"> taksës lokale mbi pasurinë (ndërtesa).</w:t>
      </w:r>
    </w:p>
    <w:p w14:paraId="0F9D620A" w14:textId="71C9DD77" w:rsidR="00854A2A" w:rsidRPr="00830F4C" w:rsidRDefault="00854A2A" w:rsidP="00854A2A">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 xml:space="preserve">iii. </w:t>
      </w:r>
      <w:r w:rsidRPr="00830F4C">
        <w:rPr>
          <w:rFonts w:ascii="Garamond" w:hAnsi="Garamond"/>
          <w:sz w:val="24"/>
          <w:szCs w:val="24"/>
          <w:u w:val="single"/>
        </w:rPr>
        <w:t>Të ardhura shtesë nga tatimet/taksat indirekte – tatimet/taksat mbi konsumin</w:t>
      </w:r>
      <w:r w:rsidRPr="00830F4C">
        <w:rPr>
          <w:rFonts w:ascii="Garamond" w:hAnsi="Garamond"/>
          <w:sz w:val="24"/>
          <w:szCs w:val="24"/>
        </w:rPr>
        <w:t>. Këto të ardhura do të sigurohen kryesisht nga zbatimi i akteve ligjore që do të miratohen bazuar në rezultatet dhe vendimet e marra pas analizës së ndikimit të politikave fiskale në të ardhurat e deritanishme, nga rishikimi i përjashtimeve, kryesisht nga</w:t>
      </w:r>
      <w:r w:rsidR="00DE65FB">
        <w:rPr>
          <w:rFonts w:ascii="Garamond" w:hAnsi="Garamond"/>
          <w:sz w:val="24"/>
          <w:szCs w:val="24"/>
        </w:rPr>
        <w:t xml:space="preserve"> TVSh</w:t>
      </w:r>
      <w:r w:rsidRPr="00830F4C">
        <w:rPr>
          <w:rFonts w:ascii="Garamond" w:hAnsi="Garamond"/>
          <w:sz w:val="24"/>
          <w:szCs w:val="24"/>
        </w:rPr>
        <w:t>-ja</w:t>
      </w:r>
      <w:r w:rsidR="001A567D" w:rsidRPr="00830F4C">
        <w:rPr>
          <w:rFonts w:ascii="Garamond" w:hAnsi="Garamond"/>
          <w:sz w:val="24"/>
          <w:szCs w:val="24"/>
        </w:rPr>
        <w:t>,</w:t>
      </w:r>
      <w:r w:rsidRPr="00830F4C">
        <w:rPr>
          <w:rFonts w:ascii="Garamond" w:hAnsi="Garamond"/>
          <w:sz w:val="24"/>
          <w:szCs w:val="24"/>
        </w:rPr>
        <w:t xml:space="preserve"> të disa furnizimeve të mallrave dhe shërbimeve, të cilat kanë përfunduar misionin për të cilin janë projektuar ose që kanë rezultuar jo me ndikimet e pritura pozitive, si dhe nga zbatimi i skedulit të rritjes të nivelit të akcizave për mallra</w:t>
      </w:r>
      <w:r w:rsidR="001A567D" w:rsidRPr="00830F4C">
        <w:rPr>
          <w:rFonts w:ascii="Garamond" w:hAnsi="Garamond"/>
          <w:sz w:val="24"/>
          <w:szCs w:val="24"/>
        </w:rPr>
        <w:t>,</w:t>
      </w:r>
      <w:r w:rsidRPr="00830F4C">
        <w:rPr>
          <w:rFonts w:ascii="Garamond" w:hAnsi="Garamond"/>
          <w:sz w:val="24"/>
          <w:szCs w:val="24"/>
        </w:rPr>
        <w:t xml:space="preserve"> të tillë si cigaret dhe duhan</w:t>
      </w:r>
      <w:r w:rsidR="00FC30A9" w:rsidRPr="00830F4C">
        <w:rPr>
          <w:rFonts w:ascii="Garamond" w:hAnsi="Garamond"/>
          <w:sz w:val="24"/>
          <w:szCs w:val="24"/>
        </w:rPr>
        <w:t>i</w:t>
      </w:r>
      <w:r w:rsidRPr="00830F4C">
        <w:rPr>
          <w:rFonts w:ascii="Garamond" w:hAnsi="Garamond"/>
          <w:sz w:val="24"/>
          <w:szCs w:val="24"/>
        </w:rPr>
        <w:t>.</w:t>
      </w:r>
    </w:p>
    <w:p w14:paraId="23C6E217" w14:textId="1C518959" w:rsidR="00854A2A" w:rsidRPr="00830F4C" w:rsidRDefault="00854A2A" w:rsidP="00854A2A">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 xml:space="preserve">iv. </w:t>
      </w:r>
      <w:r w:rsidRPr="00830F4C">
        <w:rPr>
          <w:rFonts w:ascii="Garamond" w:hAnsi="Garamond"/>
          <w:sz w:val="24"/>
          <w:szCs w:val="24"/>
          <w:u w:val="single"/>
        </w:rPr>
        <w:t>Të ardhura shtesë nga tatimet direkte</w:t>
      </w:r>
      <w:r w:rsidRPr="00830F4C">
        <w:rPr>
          <w:rFonts w:ascii="Garamond" w:hAnsi="Garamond"/>
          <w:sz w:val="24"/>
          <w:szCs w:val="24"/>
        </w:rPr>
        <w:t>. Këto të ardhura do të sigurohen nga ndryshime të mundshme në sistemin ligjor që prekin tatimet direkte</w:t>
      </w:r>
      <w:r w:rsidR="001A567D" w:rsidRPr="00830F4C">
        <w:rPr>
          <w:rFonts w:ascii="Garamond" w:hAnsi="Garamond"/>
          <w:sz w:val="24"/>
          <w:szCs w:val="24"/>
        </w:rPr>
        <w:t>,</w:t>
      </w:r>
      <w:r w:rsidRPr="00830F4C">
        <w:rPr>
          <w:rFonts w:ascii="Garamond" w:hAnsi="Garamond"/>
          <w:sz w:val="24"/>
          <w:szCs w:val="24"/>
        </w:rPr>
        <w:t xml:space="preserve"> të tilla si:</w:t>
      </w:r>
    </w:p>
    <w:p w14:paraId="1FDC58A2" w14:textId="78A48FE6" w:rsidR="00854A2A" w:rsidRPr="00830F4C" w:rsidRDefault="001B0E93" w:rsidP="00854A2A">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w:t>
      </w:r>
      <w:r w:rsidR="00854A2A" w:rsidRPr="00830F4C">
        <w:rPr>
          <w:rFonts w:ascii="Garamond" w:hAnsi="Garamond" w:cs="Symbol"/>
          <w:sz w:val="24"/>
          <w:szCs w:val="24"/>
        </w:rPr>
        <w:t xml:space="preserve"> </w:t>
      </w:r>
      <w:r w:rsidR="00854A2A" w:rsidRPr="00830F4C">
        <w:rPr>
          <w:rFonts w:ascii="Garamond" w:hAnsi="Garamond"/>
          <w:sz w:val="24"/>
          <w:szCs w:val="24"/>
        </w:rPr>
        <w:t>analiza dhe rishikimi i tarifave preferenciale sektoriale</w:t>
      </w:r>
      <w:r w:rsidR="001A567D" w:rsidRPr="00830F4C">
        <w:rPr>
          <w:rFonts w:ascii="Garamond" w:hAnsi="Garamond"/>
          <w:sz w:val="24"/>
          <w:szCs w:val="24"/>
        </w:rPr>
        <w:t>;</w:t>
      </w:r>
    </w:p>
    <w:p w14:paraId="6341153E" w14:textId="5C31680F" w:rsidR="00854A2A" w:rsidRPr="00830F4C" w:rsidRDefault="001B0E93" w:rsidP="00854A2A">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w:t>
      </w:r>
      <w:r w:rsidR="00854A2A" w:rsidRPr="00830F4C">
        <w:rPr>
          <w:rFonts w:ascii="Garamond" w:hAnsi="Garamond" w:cs="Symbol"/>
          <w:sz w:val="24"/>
          <w:szCs w:val="24"/>
        </w:rPr>
        <w:t xml:space="preserve"> </w:t>
      </w:r>
      <w:r w:rsidR="00854A2A" w:rsidRPr="00830F4C">
        <w:rPr>
          <w:rFonts w:ascii="Garamond" w:hAnsi="Garamond"/>
          <w:sz w:val="24"/>
          <w:szCs w:val="24"/>
        </w:rPr>
        <w:t>analiza për politika fiskale më të drejta</w:t>
      </w:r>
      <w:r w:rsidR="001A567D" w:rsidRPr="00830F4C">
        <w:rPr>
          <w:rFonts w:ascii="Garamond" w:hAnsi="Garamond"/>
          <w:sz w:val="24"/>
          <w:szCs w:val="24"/>
        </w:rPr>
        <w:t>,</w:t>
      </w:r>
      <w:r w:rsidR="00854A2A" w:rsidRPr="00830F4C">
        <w:rPr>
          <w:rFonts w:ascii="Garamond" w:hAnsi="Garamond"/>
          <w:sz w:val="24"/>
          <w:szCs w:val="24"/>
        </w:rPr>
        <w:t xml:space="preserve"> në funksion të mbrojtjes së ambientit.</w:t>
      </w:r>
    </w:p>
    <w:p w14:paraId="52D8D5EC" w14:textId="77777777" w:rsidR="00854A2A" w:rsidRPr="00830F4C" w:rsidRDefault="00854A2A" w:rsidP="00854A2A">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v. Të ardhura shtesë nga taksat e pasurisë së paluajtshme. Këto të ardhura do të sigurohen nëpërmjet rishikimit të sistemit tatimor mbi këto pasuri, rritjes së eficiencës së Kadastrës Tatimore, si dhe rishikimit të përjashtimeve të shumta nga këto taksa, përfshirë edhe rishikimin e tarifës së taksës për kategori të caktuara rezidenciale apo disponim të pasurive rezidenciale të dyta dhe të treta.</w:t>
      </w:r>
    </w:p>
    <w:p w14:paraId="639395E0" w14:textId="4BFD0421" w:rsidR="00854A2A" w:rsidRPr="00830F4C" w:rsidRDefault="00854A2A" w:rsidP="00854A2A">
      <w:pPr>
        <w:ind w:firstLine="284"/>
        <w:jc w:val="both"/>
        <w:rPr>
          <w:rFonts w:ascii="Garamond" w:hAnsi="Garamond"/>
        </w:rPr>
      </w:pPr>
      <w:r w:rsidRPr="00830F4C">
        <w:rPr>
          <w:rFonts w:ascii="Garamond" w:hAnsi="Garamond"/>
        </w:rPr>
        <w:t xml:space="preserve">Nevojitet që krahas dizenjimit të një sistemi tatimor të qëndrueshëm vëmendja të </w:t>
      </w:r>
      <w:r w:rsidR="001A567D" w:rsidRPr="00830F4C">
        <w:rPr>
          <w:rFonts w:ascii="Garamond" w:hAnsi="Garamond"/>
        </w:rPr>
        <w:t>përqendrohet</w:t>
      </w:r>
      <w:r w:rsidRPr="00830F4C">
        <w:rPr>
          <w:rFonts w:ascii="Garamond" w:hAnsi="Garamond"/>
        </w:rPr>
        <w:t xml:space="preserve"> edhe tek nevojat për rritjen e kapaciteteve institucionale</w:t>
      </w:r>
      <w:r w:rsidR="001A567D" w:rsidRPr="00830F4C">
        <w:rPr>
          <w:rFonts w:ascii="Garamond" w:hAnsi="Garamond"/>
        </w:rPr>
        <w:t>,</w:t>
      </w:r>
      <w:r w:rsidRPr="00830F4C">
        <w:rPr>
          <w:rFonts w:ascii="Garamond" w:hAnsi="Garamond"/>
        </w:rPr>
        <w:t xml:space="preserve"> me qëllim hartimin dhe zbatimin e reformave që ndërmerren.</w:t>
      </w:r>
    </w:p>
    <w:p w14:paraId="2FE995BB" w14:textId="77777777" w:rsidR="00854A2A" w:rsidRPr="00830F4C" w:rsidRDefault="001B0E93" w:rsidP="00854A2A">
      <w:pPr>
        <w:pStyle w:val="ListParagraph"/>
        <w:tabs>
          <w:tab w:val="left" w:pos="720"/>
        </w:tabs>
        <w:spacing w:after="0" w:line="240" w:lineRule="auto"/>
        <w:ind w:left="0" w:firstLine="284"/>
        <w:jc w:val="both"/>
        <w:rPr>
          <w:rFonts w:ascii="Garamond" w:hAnsi="Garamond"/>
          <w:sz w:val="24"/>
          <w:szCs w:val="24"/>
        </w:rPr>
      </w:pPr>
      <w:r w:rsidRPr="00830F4C">
        <w:rPr>
          <w:rFonts w:ascii="Garamond" w:hAnsi="Garamond" w:cs="Symbol"/>
          <w:sz w:val="24"/>
          <w:szCs w:val="24"/>
        </w:rPr>
        <w:t>-</w:t>
      </w:r>
      <w:r w:rsidR="00854A2A" w:rsidRPr="00830F4C">
        <w:rPr>
          <w:rFonts w:ascii="Garamond" w:hAnsi="Garamond" w:cs="Symbol"/>
          <w:sz w:val="24"/>
          <w:szCs w:val="24"/>
        </w:rPr>
        <w:t xml:space="preserve"> </w:t>
      </w:r>
      <w:r w:rsidR="00854A2A" w:rsidRPr="00830F4C">
        <w:rPr>
          <w:rFonts w:ascii="Garamond" w:hAnsi="Garamond"/>
          <w:sz w:val="24"/>
          <w:szCs w:val="24"/>
        </w:rPr>
        <w:t>Rritja e besimit, stabilitetit dhe qëndrueshmërisë në sistemit tatimor shqiptar, të cilat çojnë drejt zbatimit vullnetar të ligjit tatimor nga publiku tatimpagues, mund të realizohen nëpërmjet krijimit të një sistemi të qëndrueshëm, të parashikueshëm dhe frenues ndaj ndryshimeve të shpeshta.</w:t>
      </w:r>
    </w:p>
    <w:p w14:paraId="2F21FB3B" w14:textId="44944BBE" w:rsidR="00854A2A" w:rsidRPr="00830F4C" w:rsidRDefault="001B0E93" w:rsidP="00854A2A">
      <w:pPr>
        <w:pStyle w:val="ListParagraph"/>
        <w:tabs>
          <w:tab w:val="left" w:pos="720"/>
        </w:tabs>
        <w:spacing w:after="0" w:line="240" w:lineRule="auto"/>
        <w:ind w:left="0" w:firstLine="284"/>
        <w:jc w:val="both"/>
        <w:rPr>
          <w:rFonts w:ascii="Garamond" w:hAnsi="Garamond"/>
          <w:sz w:val="24"/>
          <w:szCs w:val="24"/>
        </w:rPr>
      </w:pPr>
      <w:r w:rsidRPr="00830F4C">
        <w:rPr>
          <w:rFonts w:ascii="Garamond" w:hAnsi="Garamond" w:cs="Symbol"/>
          <w:sz w:val="24"/>
          <w:szCs w:val="24"/>
        </w:rPr>
        <w:t>-</w:t>
      </w:r>
      <w:r w:rsidR="00854A2A" w:rsidRPr="00830F4C">
        <w:rPr>
          <w:rFonts w:ascii="Garamond" w:hAnsi="Garamond" w:cs="Symbol"/>
          <w:sz w:val="24"/>
          <w:szCs w:val="24"/>
        </w:rPr>
        <w:t xml:space="preserve"> </w:t>
      </w:r>
      <w:r w:rsidR="00854A2A" w:rsidRPr="00830F4C">
        <w:rPr>
          <w:rFonts w:ascii="Garamond" w:hAnsi="Garamond"/>
          <w:sz w:val="24"/>
          <w:szCs w:val="24"/>
        </w:rPr>
        <w:t>Forcimi i kapaciteteve</w:t>
      </w:r>
      <w:r w:rsidR="001A567D" w:rsidRPr="00830F4C">
        <w:rPr>
          <w:rFonts w:ascii="Garamond" w:hAnsi="Garamond"/>
          <w:sz w:val="24"/>
          <w:szCs w:val="24"/>
        </w:rPr>
        <w:t>,</w:t>
      </w:r>
      <w:r w:rsidR="00854A2A" w:rsidRPr="00830F4C">
        <w:rPr>
          <w:rFonts w:ascii="Garamond" w:hAnsi="Garamond"/>
          <w:sz w:val="24"/>
          <w:szCs w:val="24"/>
        </w:rPr>
        <w:t xml:space="preserve"> me qëllim kryerjen e analizave të detajuara dhe të thelluara të politikave tatimore të ndjekura, efekteve të tyre në ekonomi dhe në sjelljen e tatimpaguesve janë të domosdoshme për dizenjimin e perspektivës dhe të ndryshimeve që mund të bëhen, në funksion të përmirësimeve të sistemit tatimor dhe rritjes së transparencës së tij.</w:t>
      </w:r>
    </w:p>
    <w:p w14:paraId="45AFC72C" w14:textId="69CC0249" w:rsidR="00854A2A" w:rsidRPr="00830F4C" w:rsidRDefault="001B0E93" w:rsidP="00854A2A">
      <w:pPr>
        <w:pStyle w:val="ListParagraph"/>
        <w:tabs>
          <w:tab w:val="left" w:pos="720"/>
        </w:tabs>
        <w:spacing w:after="0" w:line="240" w:lineRule="auto"/>
        <w:ind w:left="0" w:firstLine="284"/>
        <w:jc w:val="both"/>
        <w:rPr>
          <w:rFonts w:ascii="Garamond" w:hAnsi="Garamond"/>
          <w:sz w:val="24"/>
          <w:szCs w:val="24"/>
        </w:rPr>
      </w:pPr>
      <w:r w:rsidRPr="00830F4C">
        <w:rPr>
          <w:rFonts w:ascii="Garamond" w:hAnsi="Garamond" w:cs="Symbol"/>
          <w:sz w:val="24"/>
          <w:szCs w:val="24"/>
        </w:rPr>
        <w:t>-</w:t>
      </w:r>
      <w:r w:rsidR="00854A2A" w:rsidRPr="00830F4C">
        <w:rPr>
          <w:rFonts w:ascii="Garamond" w:hAnsi="Garamond" w:cs="Symbol"/>
          <w:sz w:val="24"/>
          <w:szCs w:val="24"/>
        </w:rPr>
        <w:t xml:space="preserve"> </w:t>
      </w:r>
      <w:r w:rsidR="00854A2A" w:rsidRPr="00830F4C">
        <w:rPr>
          <w:rFonts w:ascii="Garamond" w:hAnsi="Garamond"/>
          <w:sz w:val="24"/>
          <w:szCs w:val="24"/>
        </w:rPr>
        <w:t>Forcimi dhe rritja e kapaciteteve në strukturat e administratës tatimore (</w:t>
      </w:r>
      <w:r w:rsidR="00FC30A9" w:rsidRPr="00830F4C">
        <w:rPr>
          <w:rFonts w:ascii="Garamond" w:hAnsi="Garamond"/>
          <w:sz w:val="24"/>
          <w:szCs w:val="24"/>
        </w:rPr>
        <w:t>tatimore dhe doganore</w:t>
      </w:r>
      <w:r w:rsidR="00854A2A" w:rsidRPr="00830F4C">
        <w:rPr>
          <w:rFonts w:ascii="Garamond" w:hAnsi="Garamond"/>
          <w:sz w:val="24"/>
          <w:szCs w:val="24"/>
        </w:rPr>
        <w:t>) si dhe në Ministrinë e Financave (Drejtoria e Përgjithshme e Politikave Tatimore), me qëllim menaxhimin e zbatimit të Strategjisë Afatmesme të të Ardhurave, përbëjnë element</w:t>
      </w:r>
      <w:r w:rsidR="008C0C0F" w:rsidRPr="00830F4C">
        <w:rPr>
          <w:rFonts w:ascii="Garamond" w:hAnsi="Garamond"/>
          <w:sz w:val="24"/>
          <w:szCs w:val="24"/>
        </w:rPr>
        <w:t>e</w:t>
      </w:r>
      <w:r w:rsidR="00854A2A" w:rsidRPr="00830F4C">
        <w:rPr>
          <w:rFonts w:ascii="Garamond" w:hAnsi="Garamond"/>
          <w:sz w:val="24"/>
          <w:szCs w:val="24"/>
        </w:rPr>
        <w:t xml:space="preserve"> të </w:t>
      </w:r>
      <w:r w:rsidR="00FC30A9" w:rsidRPr="00830F4C">
        <w:rPr>
          <w:rFonts w:ascii="Garamond" w:hAnsi="Garamond"/>
          <w:sz w:val="24"/>
          <w:szCs w:val="24"/>
        </w:rPr>
        <w:t>rëndësishme</w:t>
      </w:r>
      <w:r w:rsidR="00854A2A" w:rsidRPr="00830F4C">
        <w:rPr>
          <w:rFonts w:ascii="Garamond" w:hAnsi="Garamond"/>
          <w:sz w:val="24"/>
          <w:szCs w:val="24"/>
        </w:rPr>
        <w:t xml:space="preserve"> për mbarëvajtjen e </w:t>
      </w:r>
      <w:r w:rsidR="00D22EA5" w:rsidRPr="00830F4C">
        <w:rPr>
          <w:rFonts w:ascii="Garamond" w:hAnsi="Garamond"/>
          <w:sz w:val="24"/>
          <w:szCs w:val="24"/>
        </w:rPr>
        <w:t>procesit</w:t>
      </w:r>
      <w:r w:rsidR="00854A2A" w:rsidRPr="00830F4C">
        <w:rPr>
          <w:rFonts w:ascii="Garamond" w:hAnsi="Garamond"/>
          <w:sz w:val="24"/>
          <w:szCs w:val="24"/>
        </w:rPr>
        <w:t xml:space="preserve"> dhe suksesin e kësaj Strategjie. </w:t>
      </w:r>
    </w:p>
    <w:p w14:paraId="0378BA6E" w14:textId="77777777" w:rsidR="00854A2A" w:rsidRPr="00830F4C" w:rsidRDefault="00854A2A" w:rsidP="00854A2A">
      <w:pPr>
        <w:ind w:firstLine="284"/>
        <w:rPr>
          <w:rFonts w:ascii="Garamond" w:hAnsi="Garamond"/>
          <w:b/>
          <w:bCs/>
        </w:rPr>
      </w:pPr>
      <w:r w:rsidRPr="00830F4C">
        <w:rPr>
          <w:rFonts w:ascii="Garamond" w:hAnsi="Garamond"/>
          <w:b/>
          <w:bCs/>
        </w:rPr>
        <w:t>Objektivi</w:t>
      </w:r>
    </w:p>
    <w:p w14:paraId="4994C076" w14:textId="40260A54" w:rsidR="00854A2A" w:rsidRPr="00830F4C" w:rsidRDefault="00854A2A" w:rsidP="00723888">
      <w:pPr>
        <w:ind w:firstLine="284"/>
        <w:jc w:val="both"/>
        <w:rPr>
          <w:rFonts w:ascii="Garamond" w:hAnsi="Garamond"/>
        </w:rPr>
      </w:pPr>
      <w:r w:rsidRPr="00830F4C">
        <w:rPr>
          <w:rFonts w:ascii="Garamond" w:hAnsi="Garamond"/>
        </w:rPr>
        <w:t>Objektivi kryesor për periudhën afatmesme, 2024</w:t>
      </w:r>
      <w:r w:rsidR="00D22EA5" w:rsidRPr="00830F4C">
        <w:rPr>
          <w:rFonts w:ascii="Garamond" w:hAnsi="Garamond"/>
        </w:rPr>
        <w:t>–</w:t>
      </w:r>
      <w:r w:rsidRPr="00830F4C">
        <w:rPr>
          <w:rFonts w:ascii="Garamond" w:hAnsi="Garamond"/>
        </w:rPr>
        <w:t>2027, është vlerësimi i të gjitha përjashtimeve tatimore dhe stimujve brenda qershorit 2025, në bazë të të cilit do të bëhet rishikimi i politikës tatimore për të minimizuar përjashtimet tatimore dhe taksat me norma të reduktuara, në përputhje me kuadrin ligjor evropian dhe Planin e Rritjes së A</w:t>
      </w:r>
      <w:r w:rsidR="00FC30A9" w:rsidRPr="00830F4C">
        <w:rPr>
          <w:rFonts w:ascii="Garamond" w:hAnsi="Garamond"/>
        </w:rPr>
        <w:t>gj</w:t>
      </w:r>
      <w:r w:rsidRPr="00830F4C">
        <w:rPr>
          <w:rFonts w:ascii="Garamond" w:hAnsi="Garamond"/>
        </w:rPr>
        <w:t>endës së Reformës së KE-së.</w:t>
      </w:r>
    </w:p>
    <w:tbl>
      <w:tblPr>
        <w:tblStyle w:val="TableGrid"/>
        <w:tblW w:w="0" w:type="auto"/>
        <w:shd w:val="clear" w:color="auto" w:fill="DBE5F1" w:themeFill="accent1" w:themeFillTint="33"/>
        <w:tblLook w:val="04A0" w:firstRow="1" w:lastRow="0" w:firstColumn="1" w:lastColumn="0" w:noHBand="0" w:noVBand="1"/>
      </w:tblPr>
      <w:tblGrid>
        <w:gridCol w:w="9016"/>
      </w:tblGrid>
      <w:tr w:rsidR="001B0E93" w:rsidRPr="00830F4C" w14:paraId="41EB1766" w14:textId="77777777" w:rsidTr="001B0E93">
        <w:trPr>
          <w:trHeight w:val="983"/>
        </w:trPr>
        <w:tc>
          <w:tcPr>
            <w:tcW w:w="9016" w:type="dxa"/>
            <w:shd w:val="clear" w:color="auto" w:fill="DBE5F1" w:themeFill="accent1" w:themeFillTint="33"/>
          </w:tcPr>
          <w:p w14:paraId="6AA8590A" w14:textId="2C3EBFBE" w:rsidR="001B0E93" w:rsidRPr="00830F4C" w:rsidRDefault="001B0E93" w:rsidP="00FC30A9">
            <w:pPr>
              <w:jc w:val="both"/>
              <w:rPr>
                <w:rFonts w:ascii="Garamond" w:hAnsi="Garamond"/>
                <w:b/>
                <w:sz w:val="20"/>
                <w:szCs w:val="20"/>
              </w:rPr>
            </w:pPr>
            <w:bookmarkStart w:id="22" w:name="_Hlk187058655"/>
            <w:r w:rsidRPr="00830F4C">
              <w:rPr>
                <w:rFonts w:ascii="Garamond" w:hAnsi="Garamond"/>
                <w:b/>
                <w:sz w:val="20"/>
                <w:szCs w:val="20"/>
              </w:rPr>
              <w:t>Komponenti 1.1: Rishikimi i politikës tatimore të tatimeve indirekte (taksave mbi konsumin)</w:t>
            </w:r>
          </w:p>
          <w:p w14:paraId="576CBD3B" w14:textId="35E4C948" w:rsidR="001B0E93" w:rsidRPr="00830F4C" w:rsidRDefault="001B0E93" w:rsidP="00FC30A9">
            <w:pPr>
              <w:jc w:val="both"/>
              <w:rPr>
                <w:rFonts w:ascii="Garamond" w:hAnsi="Garamond"/>
                <w:sz w:val="20"/>
                <w:szCs w:val="20"/>
              </w:rPr>
            </w:pPr>
            <w:r w:rsidRPr="00830F4C">
              <w:rPr>
                <w:rFonts w:ascii="Garamond" w:hAnsi="Garamond"/>
                <w:sz w:val="20"/>
                <w:szCs w:val="20"/>
              </w:rPr>
              <w:t>Synohet që brenda vitit 2027 të kemi një rishikim të politikës tatimore bazuar në një analizë e detajuar të të gjitha përjashtimeve/shkallëve të reduktuara për tatimin mbi vlerën e shtuar, përfshirë pragun e regjistrimit dhe akcizën, për të përcaktuar nëse ndonjë prej tyre mund të hiqet gradualisht, si dhe të niveleve të akcizës</w:t>
            </w:r>
            <w:r w:rsidR="00D22EA5" w:rsidRPr="00830F4C">
              <w:rPr>
                <w:rFonts w:ascii="Garamond" w:hAnsi="Garamond"/>
                <w:sz w:val="20"/>
                <w:szCs w:val="20"/>
              </w:rPr>
              <w:t xml:space="preserve"> </w:t>
            </w:r>
            <w:r w:rsidRPr="00830F4C">
              <w:rPr>
                <w:rFonts w:ascii="Garamond" w:hAnsi="Garamond"/>
                <w:sz w:val="20"/>
                <w:szCs w:val="20"/>
              </w:rPr>
              <w:t>krahasuar me ato minimale të BE-së.</w:t>
            </w:r>
          </w:p>
          <w:p w14:paraId="01A47028" w14:textId="77777777" w:rsidR="001B0E93" w:rsidRPr="00830F4C" w:rsidRDefault="001B0E93" w:rsidP="00FC30A9">
            <w:pPr>
              <w:jc w:val="both"/>
              <w:rPr>
                <w:rFonts w:ascii="Garamond" w:hAnsi="Garamond"/>
                <w:sz w:val="20"/>
                <w:szCs w:val="20"/>
              </w:rPr>
            </w:pPr>
          </w:p>
          <w:p w14:paraId="1C6F5B57" w14:textId="2222CDD2" w:rsidR="001B0E93" w:rsidRPr="00830F4C" w:rsidRDefault="001B0E93" w:rsidP="00FC30A9">
            <w:pPr>
              <w:jc w:val="both"/>
              <w:rPr>
                <w:rFonts w:ascii="Garamond" w:hAnsi="Garamond"/>
                <w:sz w:val="20"/>
                <w:szCs w:val="20"/>
              </w:rPr>
            </w:pPr>
            <w:r w:rsidRPr="00830F4C">
              <w:rPr>
                <w:rFonts w:ascii="Garamond" w:hAnsi="Garamond"/>
                <w:sz w:val="20"/>
                <w:szCs w:val="20"/>
              </w:rPr>
              <w:t>Masat për vitet 2024</w:t>
            </w:r>
            <w:r w:rsidR="00D22EA5" w:rsidRPr="00830F4C">
              <w:rPr>
                <w:rFonts w:ascii="Garamond" w:hAnsi="Garamond"/>
                <w:sz w:val="20"/>
                <w:szCs w:val="20"/>
              </w:rPr>
              <w:t>–</w:t>
            </w:r>
            <w:r w:rsidRPr="00830F4C">
              <w:rPr>
                <w:rFonts w:ascii="Garamond" w:hAnsi="Garamond"/>
                <w:sz w:val="20"/>
                <w:szCs w:val="20"/>
              </w:rPr>
              <w:t>2027:</w:t>
            </w:r>
          </w:p>
          <w:p w14:paraId="770FE3E8" w14:textId="4C541189" w:rsidR="001B0E93" w:rsidRPr="00830F4C" w:rsidRDefault="001B0E93" w:rsidP="00FC30A9">
            <w:pPr>
              <w:pStyle w:val="ListParagraph"/>
              <w:numPr>
                <w:ilvl w:val="0"/>
                <w:numId w:val="4"/>
              </w:numPr>
              <w:spacing w:after="0" w:line="240" w:lineRule="auto"/>
              <w:ind w:left="0" w:firstLine="0"/>
              <w:jc w:val="both"/>
              <w:rPr>
                <w:rFonts w:ascii="Garamond" w:hAnsi="Garamond"/>
                <w:sz w:val="20"/>
                <w:szCs w:val="20"/>
              </w:rPr>
            </w:pPr>
            <w:r w:rsidRPr="00830F4C">
              <w:rPr>
                <w:rFonts w:ascii="Garamond" w:hAnsi="Garamond"/>
                <w:sz w:val="20"/>
                <w:szCs w:val="20"/>
              </w:rPr>
              <w:t>Masa 1.1.1 Analiza e përjashtimeve/normave të reduktuara në</w:t>
            </w:r>
            <w:r w:rsidR="00DE65FB">
              <w:rPr>
                <w:rFonts w:ascii="Garamond" w:hAnsi="Garamond"/>
                <w:sz w:val="20"/>
                <w:szCs w:val="20"/>
              </w:rPr>
              <w:t xml:space="preserve"> TVSh</w:t>
            </w:r>
            <w:r w:rsidR="00FC30A9" w:rsidRPr="00830F4C">
              <w:rPr>
                <w:rFonts w:ascii="Garamond" w:hAnsi="Garamond"/>
                <w:sz w:val="20"/>
                <w:szCs w:val="20"/>
              </w:rPr>
              <w:t>;</w:t>
            </w:r>
          </w:p>
          <w:p w14:paraId="37A735AD" w14:textId="18AEA30B" w:rsidR="001B0E93" w:rsidRPr="00830F4C" w:rsidRDefault="001B0E93" w:rsidP="00FC30A9">
            <w:pPr>
              <w:pStyle w:val="ListParagraph"/>
              <w:numPr>
                <w:ilvl w:val="0"/>
                <w:numId w:val="4"/>
              </w:numPr>
              <w:spacing w:after="0" w:line="240" w:lineRule="auto"/>
              <w:ind w:left="0" w:firstLine="0"/>
              <w:jc w:val="both"/>
              <w:rPr>
                <w:rFonts w:ascii="Garamond" w:hAnsi="Garamond"/>
                <w:sz w:val="20"/>
                <w:szCs w:val="20"/>
              </w:rPr>
            </w:pPr>
            <w:r w:rsidRPr="00830F4C">
              <w:rPr>
                <w:rFonts w:ascii="Garamond" w:hAnsi="Garamond"/>
                <w:sz w:val="20"/>
                <w:szCs w:val="20"/>
              </w:rPr>
              <w:t>Masa 1.1.2 Analiza e kufirit minimal (pragu i regjistrimit) për</w:t>
            </w:r>
            <w:r w:rsidR="00DE65FB">
              <w:rPr>
                <w:rFonts w:ascii="Garamond" w:hAnsi="Garamond"/>
                <w:sz w:val="20"/>
                <w:szCs w:val="20"/>
              </w:rPr>
              <w:t xml:space="preserve"> TVSh</w:t>
            </w:r>
            <w:r w:rsidRPr="00830F4C">
              <w:rPr>
                <w:rFonts w:ascii="Garamond" w:hAnsi="Garamond"/>
                <w:sz w:val="20"/>
                <w:szCs w:val="20"/>
              </w:rPr>
              <w:t>-në</w:t>
            </w:r>
            <w:r w:rsidR="00FC30A9" w:rsidRPr="00830F4C">
              <w:rPr>
                <w:rFonts w:ascii="Garamond" w:hAnsi="Garamond"/>
                <w:sz w:val="20"/>
                <w:szCs w:val="20"/>
              </w:rPr>
              <w:t>;</w:t>
            </w:r>
          </w:p>
          <w:p w14:paraId="24C30FC8" w14:textId="005BBCF7" w:rsidR="001B0E93" w:rsidRPr="00830F4C" w:rsidRDefault="001B0E93" w:rsidP="00FC30A9">
            <w:pPr>
              <w:pStyle w:val="ListParagraph"/>
              <w:numPr>
                <w:ilvl w:val="0"/>
                <w:numId w:val="4"/>
              </w:numPr>
              <w:spacing w:after="0" w:line="240" w:lineRule="auto"/>
              <w:ind w:left="0" w:firstLine="0"/>
              <w:jc w:val="both"/>
              <w:rPr>
                <w:rFonts w:ascii="Garamond" w:hAnsi="Garamond"/>
                <w:sz w:val="20"/>
                <w:szCs w:val="20"/>
              </w:rPr>
            </w:pPr>
            <w:r w:rsidRPr="00830F4C">
              <w:rPr>
                <w:rFonts w:ascii="Garamond" w:hAnsi="Garamond"/>
                <w:sz w:val="20"/>
                <w:szCs w:val="20"/>
              </w:rPr>
              <w:t>Masa 1.1.3 Hartimi i akteve konkrete ligjore për</w:t>
            </w:r>
            <w:r w:rsidR="00DE65FB">
              <w:rPr>
                <w:rFonts w:ascii="Garamond" w:hAnsi="Garamond"/>
                <w:sz w:val="20"/>
                <w:szCs w:val="20"/>
              </w:rPr>
              <w:t xml:space="preserve"> TVSh</w:t>
            </w:r>
            <w:r w:rsidRPr="00830F4C">
              <w:rPr>
                <w:rFonts w:ascii="Garamond" w:hAnsi="Garamond"/>
                <w:sz w:val="20"/>
                <w:szCs w:val="20"/>
              </w:rPr>
              <w:t>-në bazuar në rezultatet dhe vendimet e marra pas analizës</w:t>
            </w:r>
            <w:r w:rsidR="00FC30A9" w:rsidRPr="00830F4C">
              <w:rPr>
                <w:rFonts w:ascii="Garamond" w:hAnsi="Garamond"/>
                <w:sz w:val="20"/>
                <w:szCs w:val="20"/>
              </w:rPr>
              <w:t>;</w:t>
            </w:r>
          </w:p>
          <w:p w14:paraId="6A412EA4" w14:textId="44628812" w:rsidR="001B0E93" w:rsidRPr="00830F4C" w:rsidRDefault="001B0E93" w:rsidP="00FC30A9">
            <w:pPr>
              <w:pStyle w:val="ListParagraph"/>
              <w:numPr>
                <w:ilvl w:val="0"/>
                <w:numId w:val="4"/>
              </w:numPr>
              <w:spacing w:after="0" w:line="240" w:lineRule="auto"/>
              <w:ind w:left="0" w:firstLine="0"/>
              <w:jc w:val="both"/>
              <w:rPr>
                <w:rFonts w:ascii="Garamond" w:hAnsi="Garamond" w:cs="Times New Roman"/>
                <w:sz w:val="20"/>
                <w:szCs w:val="20"/>
              </w:rPr>
            </w:pPr>
            <w:r w:rsidRPr="00830F4C">
              <w:rPr>
                <w:rFonts w:ascii="Garamond" w:hAnsi="Garamond" w:cs="Times New Roman"/>
                <w:sz w:val="20"/>
                <w:szCs w:val="20"/>
              </w:rPr>
              <w:t>Masa 1.1.4 Analiza e niveleve të akcizës duke synuar harmonizimin me BE-në</w:t>
            </w:r>
            <w:r w:rsidR="00FC30A9" w:rsidRPr="00830F4C">
              <w:rPr>
                <w:rFonts w:ascii="Garamond" w:hAnsi="Garamond" w:cs="Times New Roman"/>
                <w:sz w:val="20"/>
                <w:szCs w:val="20"/>
              </w:rPr>
              <w:t>;</w:t>
            </w:r>
          </w:p>
          <w:p w14:paraId="61A73240" w14:textId="130AFB59" w:rsidR="001B0E93" w:rsidRPr="00830F4C" w:rsidRDefault="001B0E93" w:rsidP="00FC30A9">
            <w:pPr>
              <w:pStyle w:val="ListParagraph"/>
              <w:numPr>
                <w:ilvl w:val="0"/>
                <w:numId w:val="4"/>
              </w:numPr>
              <w:spacing w:after="0" w:line="240" w:lineRule="auto"/>
              <w:ind w:left="0" w:firstLine="0"/>
              <w:jc w:val="both"/>
              <w:rPr>
                <w:rFonts w:ascii="Garamond" w:hAnsi="Garamond"/>
                <w:sz w:val="20"/>
                <w:szCs w:val="20"/>
              </w:rPr>
            </w:pPr>
            <w:r w:rsidRPr="00830F4C">
              <w:rPr>
                <w:rFonts w:ascii="Garamond" w:hAnsi="Garamond"/>
                <w:sz w:val="20"/>
                <w:szCs w:val="20"/>
              </w:rPr>
              <w:t>Masa 1.1.5 Hartimi i akteve ligjore konkrete për akcizën bazuar në rezultatet dhe vendimet e marra pas analizës</w:t>
            </w:r>
            <w:r w:rsidR="00FC30A9" w:rsidRPr="00830F4C">
              <w:rPr>
                <w:rFonts w:ascii="Garamond" w:hAnsi="Garamond"/>
                <w:sz w:val="20"/>
                <w:szCs w:val="20"/>
              </w:rPr>
              <w:t>;</w:t>
            </w:r>
          </w:p>
          <w:p w14:paraId="663FB7EF" w14:textId="28CD81DE" w:rsidR="001B0E93" w:rsidRPr="00830F4C" w:rsidRDefault="001B0E93" w:rsidP="00FC30A9">
            <w:pPr>
              <w:pStyle w:val="ListParagraph"/>
              <w:numPr>
                <w:ilvl w:val="0"/>
                <w:numId w:val="4"/>
              </w:numPr>
              <w:spacing w:after="0" w:line="240" w:lineRule="auto"/>
              <w:ind w:left="0" w:firstLine="0"/>
              <w:jc w:val="both"/>
              <w:rPr>
                <w:rFonts w:ascii="Garamond" w:hAnsi="Garamond"/>
                <w:sz w:val="20"/>
                <w:szCs w:val="20"/>
              </w:rPr>
            </w:pPr>
            <w:r w:rsidRPr="00830F4C">
              <w:rPr>
                <w:rFonts w:ascii="Garamond" w:hAnsi="Garamond"/>
                <w:sz w:val="20"/>
                <w:szCs w:val="20"/>
              </w:rPr>
              <w:t>Masa 1.1.6 Hartimi i kalendarit të ri të nivelit të akcizës së duhanit</w:t>
            </w:r>
            <w:r w:rsidR="00FC30A9" w:rsidRPr="00830F4C">
              <w:rPr>
                <w:rFonts w:ascii="Garamond" w:hAnsi="Garamond"/>
                <w:sz w:val="20"/>
                <w:szCs w:val="20"/>
              </w:rPr>
              <w:t>;</w:t>
            </w:r>
          </w:p>
          <w:p w14:paraId="3580413D" w14:textId="38FC63B5" w:rsidR="001B0E93" w:rsidRPr="00830F4C" w:rsidRDefault="001B0E93" w:rsidP="00FC30A9">
            <w:pPr>
              <w:pStyle w:val="ListParagraph"/>
              <w:numPr>
                <w:ilvl w:val="0"/>
                <w:numId w:val="4"/>
              </w:numPr>
              <w:spacing w:after="0" w:line="240" w:lineRule="auto"/>
              <w:ind w:left="0" w:firstLine="0"/>
              <w:jc w:val="both"/>
              <w:rPr>
                <w:rFonts w:ascii="Garamond" w:hAnsi="Garamond"/>
                <w:sz w:val="20"/>
                <w:szCs w:val="20"/>
              </w:rPr>
            </w:pPr>
            <w:r w:rsidRPr="00830F4C">
              <w:rPr>
                <w:rFonts w:ascii="Garamond" w:hAnsi="Garamond"/>
                <w:sz w:val="20"/>
                <w:szCs w:val="20"/>
              </w:rPr>
              <w:t>Masa 1.1.7 Analiza e skemave fiskale incentivuese (direkte dhe indirekte) si pjesë e politikave për nxitjen e përdorimit të energjisë së rinovueshme, efi</w:t>
            </w:r>
            <w:r w:rsidR="00D22EA5" w:rsidRPr="00830F4C">
              <w:rPr>
                <w:rFonts w:ascii="Garamond" w:hAnsi="Garamond"/>
                <w:sz w:val="20"/>
                <w:szCs w:val="20"/>
              </w:rPr>
              <w:t>ci</w:t>
            </w:r>
            <w:r w:rsidRPr="00830F4C">
              <w:rPr>
                <w:rFonts w:ascii="Garamond" w:hAnsi="Garamond"/>
                <w:sz w:val="20"/>
                <w:szCs w:val="20"/>
              </w:rPr>
              <w:t xml:space="preserve">encës së energjisë dhe performancës </w:t>
            </w:r>
            <w:r w:rsidR="00FC30A9" w:rsidRPr="00830F4C">
              <w:rPr>
                <w:rFonts w:ascii="Garamond" w:hAnsi="Garamond"/>
                <w:sz w:val="20"/>
                <w:szCs w:val="20"/>
              </w:rPr>
              <w:t>energjetike</w:t>
            </w:r>
            <w:r w:rsidRPr="00830F4C">
              <w:rPr>
                <w:rFonts w:ascii="Garamond" w:hAnsi="Garamond"/>
                <w:sz w:val="20"/>
                <w:szCs w:val="20"/>
              </w:rPr>
              <w:t xml:space="preserve"> në ndërtesa</w:t>
            </w:r>
            <w:r w:rsidR="00FC30A9" w:rsidRPr="00830F4C">
              <w:rPr>
                <w:rFonts w:ascii="Garamond" w:hAnsi="Garamond"/>
                <w:sz w:val="20"/>
                <w:szCs w:val="20"/>
              </w:rPr>
              <w:t>.</w:t>
            </w:r>
          </w:p>
          <w:p w14:paraId="14538CD7" w14:textId="77777777" w:rsidR="001B0E93" w:rsidRPr="00830F4C" w:rsidRDefault="001B0E93" w:rsidP="00FC30A9">
            <w:pPr>
              <w:jc w:val="both"/>
              <w:rPr>
                <w:rFonts w:ascii="Garamond" w:hAnsi="Garamond"/>
                <w:b/>
                <w:sz w:val="20"/>
                <w:szCs w:val="20"/>
              </w:rPr>
            </w:pPr>
            <w:r w:rsidRPr="00830F4C">
              <w:rPr>
                <w:rFonts w:ascii="Garamond" w:hAnsi="Garamond"/>
                <w:b/>
                <w:sz w:val="20"/>
                <w:szCs w:val="20"/>
              </w:rPr>
              <w:t>Komponenti 1.2: Rishikimi i politikës tatimore të tatimeve direkte</w:t>
            </w:r>
          </w:p>
          <w:p w14:paraId="3FEC128A" w14:textId="6EFBEC59" w:rsidR="001B0E93" w:rsidRPr="00830F4C" w:rsidRDefault="001B0E93" w:rsidP="00FC30A9">
            <w:pPr>
              <w:jc w:val="both"/>
              <w:rPr>
                <w:rFonts w:ascii="Garamond" w:hAnsi="Garamond"/>
                <w:sz w:val="20"/>
                <w:szCs w:val="20"/>
              </w:rPr>
            </w:pPr>
            <w:r w:rsidRPr="00830F4C">
              <w:rPr>
                <w:rFonts w:ascii="Garamond" w:hAnsi="Garamond"/>
                <w:sz w:val="20"/>
                <w:szCs w:val="20"/>
              </w:rPr>
              <w:t>Synohet që brenda vitit 2027 të kemi një analizë të detajuar të të gjitha përjashtimeve dhe normave të reduktu</w:t>
            </w:r>
            <w:r w:rsidR="00FC30A9" w:rsidRPr="00830F4C">
              <w:rPr>
                <w:rFonts w:ascii="Garamond" w:hAnsi="Garamond"/>
                <w:sz w:val="20"/>
                <w:szCs w:val="20"/>
              </w:rPr>
              <w:t>a</w:t>
            </w:r>
            <w:r w:rsidRPr="00830F4C">
              <w:rPr>
                <w:rFonts w:ascii="Garamond" w:hAnsi="Garamond"/>
                <w:sz w:val="20"/>
                <w:szCs w:val="20"/>
              </w:rPr>
              <w:t>ra për tatimin mbi të ardhurat dhe përafrim me legjislacionin e BE-së për tatimet direkte.</w:t>
            </w:r>
          </w:p>
          <w:p w14:paraId="5E900C47" w14:textId="2E2173AF" w:rsidR="001B0E93" w:rsidRPr="00830F4C" w:rsidRDefault="001B0E93" w:rsidP="00FC30A9">
            <w:pPr>
              <w:jc w:val="both"/>
              <w:rPr>
                <w:rFonts w:ascii="Garamond" w:hAnsi="Garamond"/>
                <w:sz w:val="20"/>
                <w:szCs w:val="20"/>
              </w:rPr>
            </w:pPr>
            <w:r w:rsidRPr="00830F4C">
              <w:rPr>
                <w:rFonts w:ascii="Garamond" w:hAnsi="Garamond"/>
                <w:sz w:val="20"/>
                <w:szCs w:val="20"/>
              </w:rPr>
              <w:t>Masat për vitet 2024</w:t>
            </w:r>
            <w:r w:rsidR="00D22EA5" w:rsidRPr="00830F4C">
              <w:rPr>
                <w:rFonts w:ascii="Garamond" w:hAnsi="Garamond"/>
                <w:sz w:val="20"/>
                <w:szCs w:val="20"/>
              </w:rPr>
              <w:t>–</w:t>
            </w:r>
            <w:r w:rsidRPr="00830F4C">
              <w:rPr>
                <w:rFonts w:ascii="Garamond" w:hAnsi="Garamond"/>
                <w:sz w:val="20"/>
                <w:szCs w:val="20"/>
              </w:rPr>
              <w:t>2027:</w:t>
            </w:r>
          </w:p>
          <w:p w14:paraId="5733D8F5" w14:textId="120BBD1C" w:rsidR="001B0E93" w:rsidRPr="00830F4C" w:rsidRDefault="001B0E93" w:rsidP="00FC30A9">
            <w:pPr>
              <w:pStyle w:val="ListParagraph"/>
              <w:numPr>
                <w:ilvl w:val="0"/>
                <w:numId w:val="3"/>
              </w:numPr>
              <w:spacing w:after="0" w:line="240" w:lineRule="auto"/>
              <w:ind w:left="0" w:firstLine="0"/>
              <w:jc w:val="both"/>
              <w:rPr>
                <w:rFonts w:ascii="Garamond" w:hAnsi="Garamond"/>
                <w:sz w:val="20"/>
                <w:szCs w:val="20"/>
              </w:rPr>
            </w:pPr>
            <w:r w:rsidRPr="00830F4C">
              <w:rPr>
                <w:rFonts w:ascii="Garamond" w:hAnsi="Garamond"/>
                <w:sz w:val="20"/>
                <w:szCs w:val="20"/>
              </w:rPr>
              <w:t>Masa 1.2.1 Analiza e skemës tatimore të personave fizikë</w:t>
            </w:r>
            <w:r w:rsidR="00FC30A9" w:rsidRPr="00830F4C">
              <w:rPr>
                <w:rFonts w:ascii="Garamond" w:hAnsi="Garamond"/>
                <w:sz w:val="20"/>
                <w:szCs w:val="20"/>
              </w:rPr>
              <w:t>;</w:t>
            </w:r>
          </w:p>
          <w:p w14:paraId="7B170EAF" w14:textId="4971FA36" w:rsidR="001B0E93" w:rsidRPr="00830F4C" w:rsidRDefault="001B0E93" w:rsidP="00FC30A9">
            <w:pPr>
              <w:pStyle w:val="ListParagraph"/>
              <w:numPr>
                <w:ilvl w:val="0"/>
                <w:numId w:val="3"/>
              </w:numPr>
              <w:spacing w:after="0" w:line="240" w:lineRule="auto"/>
              <w:ind w:left="0" w:firstLine="0"/>
              <w:jc w:val="both"/>
              <w:rPr>
                <w:rFonts w:ascii="Garamond" w:hAnsi="Garamond"/>
                <w:sz w:val="20"/>
                <w:szCs w:val="20"/>
              </w:rPr>
            </w:pPr>
            <w:r w:rsidRPr="00830F4C">
              <w:rPr>
                <w:rFonts w:ascii="Garamond" w:hAnsi="Garamond"/>
                <w:sz w:val="20"/>
                <w:szCs w:val="20"/>
              </w:rPr>
              <w:t>Masa 1.2.2 Vlerësimi i të gjitha përjashtimeve dhe normave të reduktuara në ligjin për tatimin mbi të ardhurat</w:t>
            </w:r>
            <w:r w:rsidR="00FC30A9" w:rsidRPr="00830F4C">
              <w:rPr>
                <w:rFonts w:ascii="Garamond" w:hAnsi="Garamond"/>
                <w:sz w:val="20"/>
                <w:szCs w:val="20"/>
              </w:rPr>
              <w:t>;</w:t>
            </w:r>
          </w:p>
          <w:p w14:paraId="3E9B4E0E" w14:textId="64558840" w:rsidR="001B0E93" w:rsidRPr="00830F4C" w:rsidRDefault="001B0E93" w:rsidP="00FC30A9">
            <w:pPr>
              <w:pStyle w:val="ListParagraph"/>
              <w:numPr>
                <w:ilvl w:val="0"/>
                <w:numId w:val="3"/>
              </w:numPr>
              <w:spacing w:after="0" w:line="240" w:lineRule="auto"/>
              <w:ind w:left="0" w:firstLine="0"/>
              <w:jc w:val="both"/>
              <w:rPr>
                <w:rFonts w:ascii="Garamond" w:hAnsi="Garamond"/>
                <w:sz w:val="20"/>
                <w:szCs w:val="20"/>
              </w:rPr>
            </w:pPr>
            <w:r w:rsidRPr="00830F4C">
              <w:rPr>
                <w:rFonts w:ascii="Garamond" w:hAnsi="Garamond"/>
                <w:sz w:val="20"/>
                <w:szCs w:val="20"/>
              </w:rPr>
              <w:t>Masa 1.2.3 Harton aktin ligjor bazuar, nëse është e nevojshme, në analizën e përjashtimeve dhe normave të reduktuara dhe skemën tatimore të personave fizikë</w:t>
            </w:r>
            <w:r w:rsidR="00FC30A9" w:rsidRPr="00830F4C">
              <w:rPr>
                <w:rFonts w:ascii="Garamond" w:hAnsi="Garamond"/>
                <w:sz w:val="20"/>
                <w:szCs w:val="20"/>
              </w:rPr>
              <w:t>;</w:t>
            </w:r>
          </w:p>
          <w:p w14:paraId="670E39F0" w14:textId="4058EF31" w:rsidR="001B0E93" w:rsidRPr="00830F4C" w:rsidRDefault="001B0E93" w:rsidP="00FC30A9">
            <w:pPr>
              <w:pStyle w:val="ListParagraph"/>
              <w:numPr>
                <w:ilvl w:val="0"/>
                <w:numId w:val="3"/>
              </w:numPr>
              <w:spacing w:after="0" w:line="240" w:lineRule="auto"/>
              <w:ind w:left="0" w:firstLine="0"/>
              <w:jc w:val="both"/>
              <w:rPr>
                <w:rFonts w:ascii="Garamond" w:hAnsi="Garamond"/>
                <w:sz w:val="20"/>
                <w:szCs w:val="20"/>
              </w:rPr>
            </w:pPr>
            <w:r w:rsidRPr="00830F4C">
              <w:rPr>
                <w:rFonts w:ascii="Garamond" w:hAnsi="Garamond"/>
                <w:sz w:val="20"/>
                <w:szCs w:val="20"/>
              </w:rPr>
              <w:t>Masa 1.2.4 Marrëveshjet për shmangien e taksimit të dyfishtë</w:t>
            </w:r>
            <w:r w:rsidR="00FC30A9" w:rsidRPr="00830F4C">
              <w:rPr>
                <w:rFonts w:ascii="Garamond" w:hAnsi="Garamond"/>
                <w:sz w:val="20"/>
                <w:szCs w:val="20"/>
              </w:rPr>
              <w:t>;</w:t>
            </w:r>
          </w:p>
          <w:p w14:paraId="27D197A3" w14:textId="722A00AD" w:rsidR="001B0E93" w:rsidRPr="00830F4C" w:rsidRDefault="001B0E93" w:rsidP="00FC30A9">
            <w:pPr>
              <w:pStyle w:val="ListParagraph"/>
              <w:numPr>
                <w:ilvl w:val="0"/>
                <w:numId w:val="3"/>
              </w:numPr>
              <w:spacing w:after="0" w:line="240" w:lineRule="auto"/>
              <w:ind w:left="0" w:firstLine="0"/>
              <w:jc w:val="both"/>
              <w:rPr>
                <w:rFonts w:ascii="Garamond" w:hAnsi="Garamond"/>
                <w:sz w:val="20"/>
                <w:szCs w:val="20"/>
              </w:rPr>
            </w:pPr>
            <w:r w:rsidRPr="00830F4C">
              <w:rPr>
                <w:rFonts w:ascii="Garamond" w:hAnsi="Garamond"/>
                <w:sz w:val="20"/>
                <w:szCs w:val="20"/>
              </w:rPr>
              <w:t>Masa 1.2.5 Plotësimi i angazhimeve për tatimin ndërkombëtar, kryesisht ato në kuadër të projektit ndërkombëtar BEPS</w:t>
            </w:r>
            <w:r w:rsidR="00FC30A9" w:rsidRPr="00830F4C">
              <w:rPr>
                <w:rFonts w:ascii="Garamond" w:hAnsi="Garamond"/>
                <w:sz w:val="20"/>
                <w:szCs w:val="20"/>
              </w:rPr>
              <w:t>;</w:t>
            </w:r>
          </w:p>
          <w:p w14:paraId="2EB30DD3" w14:textId="5068DCDD" w:rsidR="001B0E93" w:rsidRPr="00830F4C" w:rsidRDefault="001B0E93" w:rsidP="00FC30A9">
            <w:pPr>
              <w:pStyle w:val="ListParagraph"/>
              <w:numPr>
                <w:ilvl w:val="0"/>
                <w:numId w:val="3"/>
              </w:numPr>
              <w:spacing w:after="0" w:line="240" w:lineRule="auto"/>
              <w:ind w:left="0" w:firstLine="0"/>
              <w:jc w:val="both"/>
              <w:rPr>
                <w:rFonts w:ascii="Garamond" w:hAnsi="Garamond"/>
                <w:sz w:val="20"/>
                <w:szCs w:val="20"/>
              </w:rPr>
            </w:pPr>
            <w:r w:rsidRPr="00830F4C">
              <w:rPr>
                <w:rFonts w:ascii="Garamond" w:hAnsi="Garamond"/>
                <w:sz w:val="20"/>
                <w:szCs w:val="20"/>
              </w:rPr>
              <w:t xml:space="preserve">Masa 1.2.6 Harmonizimet e plota të legjislacionit vendas me </w:t>
            </w:r>
            <w:r w:rsidRPr="00830F4C">
              <w:rPr>
                <w:rFonts w:ascii="Garamond" w:hAnsi="Garamond"/>
                <w:i/>
                <w:sz w:val="20"/>
                <w:szCs w:val="20"/>
              </w:rPr>
              <w:t>acquis</w:t>
            </w:r>
            <w:r w:rsidRPr="00830F4C">
              <w:rPr>
                <w:rFonts w:ascii="Garamond" w:hAnsi="Garamond"/>
                <w:sz w:val="20"/>
                <w:szCs w:val="20"/>
              </w:rPr>
              <w:t xml:space="preserve"> të BE-së në fushën e taksimit të drejtpërdrejtë</w:t>
            </w:r>
            <w:r w:rsidR="00FC30A9" w:rsidRPr="00830F4C">
              <w:rPr>
                <w:rFonts w:ascii="Garamond" w:hAnsi="Garamond"/>
                <w:sz w:val="20"/>
                <w:szCs w:val="20"/>
              </w:rPr>
              <w:t>;</w:t>
            </w:r>
          </w:p>
          <w:p w14:paraId="5AA99F83" w14:textId="0185CC93" w:rsidR="00D22EA5" w:rsidRPr="00830F4C" w:rsidRDefault="001B0E93" w:rsidP="00FC30A9">
            <w:pPr>
              <w:pStyle w:val="ListParagraph"/>
              <w:numPr>
                <w:ilvl w:val="0"/>
                <w:numId w:val="3"/>
              </w:numPr>
              <w:spacing w:after="0" w:line="240" w:lineRule="auto"/>
              <w:ind w:left="0" w:firstLine="0"/>
              <w:jc w:val="both"/>
              <w:rPr>
                <w:rFonts w:ascii="Garamond" w:hAnsi="Garamond"/>
                <w:sz w:val="20"/>
                <w:szCs w:val="20"/>
              </w:rPr>
            </w:pPr>
            <w:r w:rsidRPr="00830F4C">
              <w:rPr>
                <w:rFonts w:ascii="Garamond" w:hAnsi="Garamond"/>
                <w:sz w:val="20"/>
                <w:szCs w:val="20"/>
              </w:rPr>
              <w:t>Masa 1.2.7 Analizon përjashtimet nga taksat dhe tarifat kombëtare, duke përfshirë taksat mjedisore</w:t>
            </w:r>
            <w:r w:rsidR="00FC30A9" w:rsidRPr="00830F4C">
              <w:rPr>
                <w:rFonts w:ascii="Garamond" w:hAnsi="Garamond"/>
                <w:sz w:val="20"/>
                <w:szCs w:val="20"/>
              </w:rPr>
              <w:t>;</w:t>
            </w:r>
          </w:p>
          <w:p w14:paraId="20CCF164" w14:textId="133E5E05" w:rsidR="001B0E93" w:rsidRPr="00830F4C" w:rsidRDefault="001B0E93" w:rsidP="00FC30A9">
            <w:pPr>
              <w:pStyle w:val="ListParagraph"/>
              <w:numPr>
                <w:ilvl w:val="0"/>
                <w:numId w:val="3"/>
              </w:numPr>
              <w:spacing w:after="0" w:line="240" w:lineRule="auto"/>
              <w:ind w:left="0" w:firstLine="0"/>
              <w:jc w:val="both"/>
              <w:rPr>
                <w:rFonts w:ascii="Garamond" w:hAnsi="Garamond"/>
                <w:sz w:val="20"/>
                <w:szCs w:val="20"/>
              </w:rPr>
            </w:pPr>
            <w:r w:rsidRPr="00830F4C">
              <w:rPr>
                <w:rFonts w:ascii="Garamond" w:hAnsi="Garamond"/>
                <w:sz w:val="20"/>
                <w:szCs w:val="20"/>
              </w:rPr>
              <w:t>Masa 1.2.8 Hartimi i aktit ligjor bazuar në analizën e taksave kombëtare, përfshirë taksat mjedisore.</w:t>
            </w:r>
          </w:p>
          <w:p w14:paraId="71553F20" w14:textId="77777777" w:rsidR="001B0E93" w:rsidRPr="00830F4C" w:rsidRDefault="001B0E93" w:rsidP="00FC30A9">
            <w:pPr>
              <w:jc w:val="both"/>
              <w:rPr>
                <w:rFonts w:ascii="Garamond" w:hAnsi="Garamond"/>
                <w:b/>
                <w:sz w:val="20"/>
                <w:szCs w:val="20"/>
              </w:rPr>
            </w:pPr>
            <w:r w:rsidRPr="00830F4C">
              <w:rPr>
                <w:rFonts w:ascii="Garamond" w:hAnsi="Garamond"/>
                <w:b/>
                <w:sz w:val="20"/>
                <w:szCs w:val="20"/>
              </w:rPr>
              <w:t>Komponenti 1.3: Rishikimi i politikës tatimore të taksimit të pasurisë së paluajtshme</w:t>
            </w:r>
          </w:p>
          <w:p w14:paraId="7DDE334C" w14:textId="36670529" w:rsidR="001B0E93" w:rsidRPr="00830F4C" w:rsidRDefault="001B0E93" w:rsidP="00FC30A9">
            <w:pPr>
              <w:jc w:val="both"/>
              <w:rPr>
                <w:rFonts w:ascii="Garamond" w:hAnsi="Garamond"/>
                <w:sz w:val="20"/>
                <w:szCs w:val="20"/>
              </w:rPr>
            </w:pPr>
            <w:r w:rsidRPr="00830F4C">
              <w:rPr>
                <w:rFonts w:ascii="Garamond" w:hAnsi="Garamond"/>
                <w:sz w:val="20"/>
                <w:szCs w:val="20"/>
              </w:rPr>
              <w:t>Synohet miratimi i ligjit të ri për pasuritë e paluajtshme, taksën e pasurisë dhe fillimi i zbatimit të tij.</w:t>
            </w:r>
          </w:p>
          <w:p w14:paraId="5062F1DB" w14:textId="48C67B15" w:rsidR="001B0E93" w:rsidRPr="00830F4C" w:rsidRDefault="001B0E93" w:rsidP="00FC30A9">
            <w:pPr>
              <w:jc w:val="both"/>
              <w:rPr>
                <w:rFonts w:ascii="Garamond" w:hAnsi="Garamond"/>
                <w:sz w:val="20"/>
                <w:szCs w:val="20"/>
              </w:rPr>
            </w:pPr>
            <w:r w:rsidRPr="00830F4C">
              <w:rPr>
                <w:rFonts w:ascii="Garamond" w:hAnsi="Garamond"/>
                <w:sz w:val="20"/>
                <w:szCs w:val="20"/>
              </w:rPr>
              <w:t>Masat për vitet 2024</w:t>
            </w:r>
            <w:r w:rsidR="00D22EA5" w:rsidRPr="00830F4C">
              <w:rPr>
                <w:rFonts w:ascii="Garamond" w:hAnsi="Garamond"/>
                <w:sz w:val="20"/>
                <w:szCs w:val="20"/>
              </w:rPr>
              <w:t>–</w:t>
            </w:r>
            <w:r w:rsidRPr="00830F4C">
              <w:rPr>
                <w:rFonts w:ascii="Garamond" w:hAnsi="Garamond"/>
                <w:sz w:val="20"/>
                <w:szCs w:val="20"/>
              </w:rPr>
              <w:t>2027:</w:t>
            </w:r>
          </w:p>
          <w:p w14:paraId="7EE53326" w14:textId="0505C2F3" w:rsidR="001B0E93" w:rsidRPr="00830F4C" w:rsidRDefault="001B0E93" w:rsidP="00FC30A9">
            <w:pPr>
              <w:pStyle w:val="ListParagraph"/>
              <w:numPr>
                <w:ilvl w:val="0"/>
                <w:numId w:val="5"/>
              </w:numPr>
              <w:spacing w:after="0" w:line="240" w:lineRule="auto"/>
              <w:ind w:left="0" w:firstLine="0"/>
              <w:jc w:val="both"/>
              <w:rPr>
                <w:rFonts w:ascii="Garamond" w:hAnsi="Garamond"/>
                <w:sz w:val="20"/>
                <w:szCs w:val="20"/>
              </w:rPr>
            </w:pPr>
            <w:r w:rsidRPr="00830F4C">
              <w:rPr>
                <w:rFonts w:ascii="Garamond" w:hAnsi="Garamond"/>
                <w:sz w:val="20"/>
                <w:szCs w:val="20"/>
              </w:rPr>
              <w:t>Masa 1.3.1 Miratimi i ligjit dhe konsolidimi i Kadastrës Tatimore</w:t>
            </w:r>
            <w:r w:rsidR="00FC30A9" w:rsidRPr="00830F4C">
              <w:rPr>
                <w:rFonts w:ascii="Garamond" w:hAnsi="Garamond"/>
                <w:sz w:val="20"/>
                <w:szCs w:val="20"/>
              </w:rPr>
              <w:t>;</w:t>
            </w:r>
          </w:p>
          <w:p w14:paraId="39E83BC8" w14:textId="4914A9D0" w:rsidR="001B0E93" w:rsidRPr="00830F4C" w:rsidRDefault="001B0E93" w:rsidP="00FC30A9">
            <w:pPr>
              <w:pStyle w:val="ListParagraph"/>
              <w:numPr>
                <w:ilvl w:val="0"/>
                <w:numId w:val="5"/>
              </w:numPr>
              <w:spacing w:after="0" w:line="240" w:lineRule="auto"/>
              <w:ind w:left="0" w:firstLine="0"/>
              <w:jc w:val="both"/>
              <w:rPr>
                <w:rFonts w:ascii="Garamond" w:hAnsi="Garamond"/>
                <w:sz w:val="20"/>
                <w:szCs w:val="20"/>
              </w:rPr>
            </w:pPr>
            <w:r w:rsidRPr="00830F4C">
              <w:rPr>
                <w:rFonts w:ascii="Garamond" w:hAnsi="Garamond"/>
                <w:sz w:val="20"/>
                <w:szCs w:val="20"/>
              </w:rPr>
              <w:t>Masa 1.3.2 Popullimi me të dhëna i Kadastrës Tatimore</w:t>
            </w:r>
            <w:r w:rsidR="00FC30A9" w:rsidRPr="00830F4C">
              <w:rPr>
                <w:rFonts w:ascii="Garamond" w:hAnsi="Garamond"/>
                <w:sz w:val="20"/>
                <w:szCs w:val="20"/>
              </w:rPr>
              <w:t>;</w:t>
            </w:r>
          </w:p>
          <w:p w14:paraId="1D4A2E9E" w14:textId="38C3651D" w:rsidR="001B0E93" w:rsidRPr="00830F4C" w:rsidRDefault="001B0E93" w:rsidP="00FC30A9">
            <w:pPr>
              <w:pStyle w:val="ListParagraph"/>
              <w:numPr>
                <w:ilvl w:val="0"/>
                <w:numId w:val="5"/>
              </w:numPr>
              <w:spacing w:after="0" w:line="240" w:lineRule="auto"/>
              <w:ind w:left="0" w:firstLine="0"/>
              <w:jc w:val="both"/>
              <w:rPr>
                <w:rFonts w:ascii="Garamond" w:hAnsi="Garamond"/>
                <w:sz w:val="20"/>
                <w:szCs w:val="20"/>
              </w:rPr>
            </w:pPr>
            <w:r w:rsidRPr="00830F4C">
              <w:rPr>
                <w:rFonts w:ascii="Garamond" w:hAnsi="Garamond"/>
                <w:sz w:val="20"/>
                <w:szCs w:val="20"/>
              </w:rPr>
              <w:t>Masa 1.3.3 Fillimi i taksimit të pasurive të paluajtshme mbështetur në ligjin e ri</w:t>
            </w:r>
            <w:r w:rsidR="00FC30A9" w:rsidRPr="00830F4C">
              <w:rPr>
                <w:rFonts w:ascii="Garamond" w:hAnsi="Garamond"/>
                <w:sz w:val="20"/>
                <w:szCs w:val="20"/>
              </w:rPr>
              <w:t>.</w:t>
            </w:r>
          </w:p>
        </w:tc>
      </w:tr>
    </w:tbl>
    <w:bookmarkEnd w:id="22"/>
    <w:p w14:paraId="72ED8024" w14:textId="23497C94" w:rsidR="001B0E93" w:rsidRPr="00830F4C" w:rsidRDefault="001B0E93" w:rsidP="001B0E93">
      <w:pPr>
        <w:pStyle w:val="Heading2"/>
        <w:spacing w:before="0"/>
        <w:ind w:firstLine="284"/>
        <w:rPr>
          <w:rFonts w:ascii="Garamond" w:hAnsi="Garamond"/>
          <w:b/>
          <w:bCs/>
          <w:color w:val="auto"/>
          <w:sz w:val="24"/>
          <w:szCs w:val="24"/>
        </w:rPr>
      </w:pPr>
      <w:r w:rsidRPr="00830F4C">
        <w:rPr>
          <w:rFonts w:ascii="Garamond" w:hAnsi="Garamond"/>
          <w:b/>
          <w:bCs/>
          <w:color w:val="auto"/>
          <w:sz w:val="24"/>
          <w:szCs w:val="24"/>
        </w:rPr>
        <w:t>IV.2 Komponenti 1.1 Rishikimi i politikës tatimore të tatimeve indirekte (taksave mbi konsumin)</w:t>
      </w:r>
    </w:p>
    <w:p w14:paraId="1C59C7FC" w14:textId="77777777" w:rsidR="001B0E93" w:rsidRPr="00830F4C" w:rsidRDefault="001B0E93" w:rsidP="001B0E93">
      <w:pPr>
        <w:ind w:firstLine="284"/>
        <w:rPr>
          <w:rFonts w:ascii="Garamond" w:hAnsi="Garamond"/>
          <w:b/>
          <w:bCs/>
        </w:rPr>
      </w:pPr>
      <w:r w:rsidRPr="00830F4C">
        <w:rPr>
          <w:rFonts w:ascii="Garamond" w:hAnsi="Garamond"/>
          <w:b/>
          <w:bCs/>
        </w:rPr>
        <w:t>Objektivi:</w:t>
      </w:r>
    </w:p>
    <w:p w14:paraId="3B59DF65" w14:textId="456019E0" w:rsidR="001B0E93" w:rsidRPr="00830F4C" w:rsidRDefault="001B0E93" w:rsidP="001B0E93">
      <w:pPr>
        <w:ind w:firstLine="284"/>
        <w:jc w:val="both"/>
        <w:rPr>
          <w:rFonts w:ascii="Garamond" w:hAnsi="Garamond"/>
        </w:rPr>
      </w:pPr>
      <w:r w:rsidRPr="00830F4C">
        <w:rPr>
          <w:rFonts w:ascii="Garamond" w:hAnsi="Garamond"/>
        </w:rPr>
        <w:t xml:space="preserve">Synimi është që brenda vitit 2027 të bëhet një rishikim i politikës tatimore bazuar në një analizë të detajuar (brenda qershor 2025) të të gjitha përjashtimeve </w:t>
      </w:r>
      <w:r w:rsidR="00FC30A9" w:rsidRPr="00830F4C">
        <w:rPr>
          <w:rFonts w:ascii="Garamond" w:hAnsi="Garamond"/>
        </w:rPr>
        <w:t>të</w:t>
      </w:r>
      <w:r w:rsidRPr="00830F4C">
        <w:rPr>
          <w:rFonts w:ascii="Garamond" w:hAnsi="Garamond"/>
        </w:rPr>
        <w:t xml:space="preserve"> furnizimeve, normave të reduktuara, si dhe të niveleve të akcizës të lidhura</w:t>
      </w:r>
      <w:r w:rsidR="00D22EA5" w:rsidRPr="00830F4C">
        <w:rPr>
          <w:rFonts w:ascii="Garamond" w:hAnsi="Garamond"/>
        </w:rPr>
        <w:t xml:space="preserve"> </w:t>
      </w:r>
      <w:r w:rsidRPr="00830F4C">
        <w:rPr>
          <w:rFonts w:ascii="Garamond" w:hAnsi="Garamond"/>
        </w:rPr>
        <w:t>me nivelet minimale të BE-së për këtë taksë, me synimin për të përcaktuar nëse ndonjë prej tyre mund të hiqet gradualisht.</w:t>
      </w:r>
    </w:p>
    <w:p w14:paraId="01DBFF29" w14:textId="77777777" w:rsidR="001B0E93" w:rsidRPr="00830F4C" w:rsidRDefault="001B0E93" w:rsidP="001B0E93">
      <w:pPr>
        <w:ind w:firstLine="284"/>
        <w:jc w:val="both"/>
        <w:rPr>
          <w:rFonts w:ascii="Garamond" w:hAnsi="Garamond"/>
          <w:b/>
          <w:bCs/>
        </w:rPr>
      </w:pPr>
      <w:r w:rsidRPr="00830F4C">
        <w:rPr>
          <w:rFonts w:ascii="Garamond" w:hAnsi="Garamond"/>
          <w:b/>
          <w:bCs/>
        </w:rPr>
        <w:t>Konteksti</w:t>
      </w:r>
    </w:p>
    <w:p w14:paraId="6FD876B9" w14:textId="20421305" w:rsidR="001B0E93" w:rsidRPr="00830F4C" w:rsidRDefault="001B0E93" w:rsidP="001B0E93">
      <w:pPr>
        <w:ind w:firstLine="284"/>
        <w:jc w:val="both"/>
        <w:rPr>
          <w:rFonts w:ascii="Garamond" w:hAnsi="Garamond"/>
        </w:rPr>
      </w:pPr>
      <w:r w:rsidRPr="00830F4C">
        <w:rPr>
          <w:rFonts w:ascii="Garamond" w:hAnsi="Garamond"/>
        </w:rPr>
        <w:t>Një nga kushtet e vendosura në Planin e Rritjes së Agjendës së Reformave të KE-së lidhet me vlerësimin e të gjitha përjashtimeve apo stimujve tatimorë brenda qershorit 2025. Për këtë arsye, ky komponent për taksat indirekte është hartuar bazuar në këtë kusht. Për këtë arsye, sipas këtij komponenti, vlerësimi i të ardhurave shtesë lidhet vetëm me efektet në të ardhurat nga akciza</w:t>
      </w:r>
      <w:r w:rsidR="00FC30A9" w:rsidRPr="00830F4C">
        <w:rPr>
          <w:rFonts w:ascii="Garamond" w:hAnsi="Garamond"/>
        </w:rPr>
        <w:t>,</w:t>
      </w:r>
      <w:r w:rsidRPr="00830F4C">
        <w:rPr>
          <w:rFonts w:ascii="Garamond" w:hAnsi="Garamond"/>
        </w:rPr>
        <w:t xml:space="preserve"> nga zbatimi i kalendarit të rritjes së akcizës së duhanit.</w:t>
      </w:r>
    </w:p>
    <w:p w14:paraId="5E4F8534" w14:textId="22632277" w:rsidR="001B0E93" w:rsidRPr="00830F4C" w:rsidRDefault="001B0E93" w:rsidP="001B0E93">
      <w:pPr>
        <w:ind w:firstLine="284"/>
        <w:jc w:val="both"/>
        <w:rPr>
          <w:rFonts w:ascii="Garamond" w:hAnsi="Garamond"/>
        </w:rPr>
      </w:pPr>
      <w:r w:rsidRPr="00830F4C">
        <w:rPr>
          <w:rFonts w:ascii="Garamond" w:hAnsi="Garamond"/>
        </w:rPr>
        <w:t>Tatimet mbi konsumin ose tatimet indirekte</w:t>
      </w:r>
      <w:r w:rsidR="00382642" w:rsidRPr="00830F4C">
        <w:rPr>
          <w:rFonts w:ascii="Garamond" w:hAnsi="Garamond"/>
        </w:rPr>
        <w:t>,</w:t>
      </w:r>
      <w:r w:rsidRPr="00830F4C">
        <w:rPr>
          <w:rFonts w:ascii="Garamond" w:hAnsi="Garamond"/>
        </w:rPr>
        <w:t xml:space="preserve"> siç janë</w:t>
      </w:r>
      <w:r w:rsidR="00DE65FB">
        <w:rPr>
          <w:rFonts w:ascii="Garamond" w:hAnsi="Garamond"/>
        </w:rPr>
        <w:t xml:space="preserve"> TVSh</w:t>
      </w:r>
      <w:r w:rsidRPr="00830F4C">
        <w:rPr>
          <w:rFonts w:ascii="Garamond" w:hAnsi="Garamond"/>
        </w:rPr>
        <w:t>-ja dhe akciza, zënë një peshë të konsiderueshme në të ardhurat e buxhetit. Në 10 vitet e fundit ato janë rreth 11.4% të PBB-së dhe në strukturën e të ardhurave tatimore, përbëjnë rreth 46.4% të tyre. Për shkak të rëndësisë dhe peshës së madhe që kanë në të ardhurat tatimore, është e nevojshme</w:t>
      </w:r>
      <w:r w:rsidR="0052377F" w:rsidRPr="00830F4C">
        <w:rPr>
          <w:rFonts w:ascii="Garamond" w:hAnsi="Garamond"/>
        </w:rPr>
        <w:t xml:space="preserve"> </w:t>
      </w:r>
      <w:r w:rsidR="006A23E9" w:rsidRPr="00830F4C">
        <w:rPr>
          <w:rFonts w:ascii="Garamond" w:hAnsi="Garamond"/>
        </w:rPr>
        <w:t>t’i</w:t>
      </w:r>
      <w:r w:rsidR="0052377F" w:rsidRPr="00830F4C">
        <w:rPr>
          <w:rFonts w:ascii="Garamond" w:hAnsi="Garamond"/>
        </w:rPr>
        <w:t xml:space="preserve"> </w:t>
      </w:r>
      <w:r w:rsidRPr="00830F4C">
        <w:rPr>
          <w:rFonts w:ascii="Garamond" w:hAnsi="Garamond"/>
        </w:rPr>
        <w:t>kushtohet vëmendje e veçantë politikave tatimore që duhet të ndiqen për tatimet indirekte (tatimet mbi konsumin).</w:t>
      </w:r>
    </w:p>
    <w:p w14:paraId="2BB5FF52" w14:textId="0DF9ED6D" w:rsidR="001B0E93" w:rsidRPr="00830F4C" w:rsidRDefault="001B0E93" w:rsidP="001B0E93">
      <w:pPr>
        <w:ind w:firstLine="284"/>
        <w:jc w:val="both"/>
        <w:rPr>
          <w:rFonts w:ascii="Garamond" w:hAnsi="Garamond"/>
        </w:rPr>
      </w:pPr>
      <w:r w:rsidRPr="00830F4C">
        <w:rPr>
          <w:rFonts w:ascii="Garamond" w:hAnsi="Garamond"/>
        </w:rPr>
        <w:t>Theksojmë se rritjet e parashikuara në programet buxhetore afatmesme nga të ardhurat nga taksat e konsumit, bazuar edhe në këtë Strategji, do të parashikohen kryesisht si rezultat i analizës dhe rishikimit të përjashtimeve të shumta, reduktimit të rimbursimeve joekonomike apo eliminimi i disa furnizimeve me tarifa të reduktuara që janë aplikuar, por që nuk kanë qenë efektive. Rritja e të ardhurave në buxhet do të vijë për shkak të rishikimit të politikave ekzistuese përjashtuese, apo eliminimit të disa furnizimeve të</w:t>
      </w:r>
      <w:r w:rsidR="00DE65FB">
        <w:rPr>
          <w:rFonts w:ascii="Garamond" w:hAnsi="Garamond"/>
        </w:rPr>
        <w:t xml:space="preserve"> TVSh</w:t>
      </w:r>
      <w:r w:rsidRPr="00830F4C">
        <w:rPr>
          <w:rFonts w:ascii="Garamond" w:hAnsi="Garamond"/>
        </w:rPr>
        <w:t>-së me normë të reduktuar</w:t>
      </w:r>
      <w:r w:rsidR="00382642" w:rsidRPr="00830F4C">
        <w:rPr>
          <w:rFonts w:ascii="Garamond" w:hAnsi="Garamond"/>
        </w:rPr>
        <w:t>,</w:t>
      </w:r>
      <w:r w:rsidRPr="00830F4C">
        <w:rPr>
          <w:rFonts w:ascii="Garamond" w:hAnsi="Garamond"/>
        </w:rPr>
        <w:t xml:space="preserve"> si dhe nga rritja e nivelit të akcizës së duhanit sipas kalendarit të ri.</w:t>
      </w:r>
    </w:p>
    <w:p w14:paraId="0010C80E" w14:textId="6760250D" w:rsidR="001B0E93" w:rsidRPr="00830F4C" w:rsidRDefault="001B0E93" w:rsidP="001B0E93">
      <w:pPr>
        <w:ind w:firstLine="284"/>
        <w:jc w:val="both"/>
        <w:rPr>
          <w:rFonts w:ascii="Garamond" w:hAnsi="Garamond"/>
        </w:rPr>
      </w:pPr>
      <w:r w:rsidRPr="00830F4C">
        <w:rPr>
          <w:rFonts w:ascii="Garamond" w:hAnsi="Garamond"/>
        </w:rPr>
        <w:t>Peshën më të madhe të efekteve pritet ta sjellë reduktimi i përjashtimeve joefektive të përcaktuara në ligjin nr. 92/2014</w:t>
      </w:r>
      <w:r w:rsidR="00D22EA5" w:rsidRPr="00830F4C">
        <w:rPr>
          <w:rFonts w:ascii="Garamond" w:hAnsi="Garamond"/>
        </w:rPr>
        <w:t>,</w:t>
      </w:r>
      <w:r w:rsidRPr="00830F4C">
        <w:rPr>
          <w:rFonts w:ascii="Garamond" w:hAnsi="Garamond"/>
        </w:rPr>
        <w:t xml:space="preserve"> </w:t>
      </w:r>
      <w:r w:rsidR="00D22EA5" w:rsidRPr="00830F4C">
        <w:rPr>
          <w:rFonts w:ascii="Garamond" w:hAnsi="Garamond"/>
        </w:rPr>
        <w:t>“</w:t>
      </w:r>
      <w:r w:rsidRPr="00830F4C">
        <w:rPr>
          <w:rFonts w:ascii="Garamond" w:hAnsi="Garamond"/>
        </w:rPr>
        <w:t xml:space="preserve">Për </w:t>
      </w:r>
      <w:r w:rsidR="00382642" w:rsidRPr="00830F4C">
        <w:rPr>
          <w:rFonts w:ascii="Garamond" w:hAnsi="Garamond"/>
        </w:rPr>
        <w:t xml:space="preserve">tatimin mbi vlerën e shtuar </w:t>
      </w:r>
      <w:r w:rsidRPr="00830F4C">
        <w:rPr>
          <w:rFonts w:ascii="Garamond" w:hAnsi="Garamond"/>
        </w:rPr>
        <w:t>në Republikën e Shqipërisë</w:t>
      </w:r>
      <w:r w:rsidR="00D22EA5" w:rsidRPr="00830F4C">
        <w:rPr>
          <w:rFonts w:ascii="Garamond" w:hAnsi="Garamond"/>
        </w:rPr>
        <w:t>”</w:t>
      </w:r>
      <w:r w:rsidRPr="00830F4C">
        <w:rPr>
          <w:rFonts w:ascii="Garamond" w:hAnsi="Garamond"/>
        </w:rPr>
        <w:t>, i ndryshuar, apo përjashtimeve të cilat do të zëvendësohen nëpërmjet politikave subvencionuese për produkte, sektorë apo operatorë specifikë.</w:t>
      </w:r>
    </w:p>
    <w:p w14:paraId="1ED77DB5" w14:textId="6797B56F" w:rsidR="001B0E93" w:rsidRPr="00830F4C" w:rsidRDefault="001B0E93" w:rsidP="001B0E93">
      <w:pPr>
        <w:ind w:firstLine="284"/>
        <w:jc w:val="both"/>
        <w:rPr>
          <w:rFonts w:ascii="Garamond" w:hAnsi="Garamond"/>
        </w:rPr>
      </w:pPr>
      <w:r w:rsidRPr="00830F4C">
        <w:rPr>
          <w:rFonts w:ascii="Garamond" w:hAnsi="Garamond"/>
        </w:rPr>
        <w:t>Gjithashtu, do të mbahet në vëmendje dhe analizimi i politikave fiskale incentivuese në fushën e energjisë së rinovueshme, efi</w:t>
      </w:r>
      <w:r w:rsidR="008C0C0F" w:rsidRPr="00830F4C">
        <w:rPr>
          <w:rFonts w:ascii="Garamond" w:hAnsi="Garamond"/>
        </w:rPr>
        <w:t>ci</w:t>
      </w:r>
      <w:r w:rsidRPr="00830F4C">
        <w:rPr>
          <w:rFonts w:ascii="Garamond" w:hAnsi="Garamond"/>
        </w:rPr>
        <w:t xml:space="preserve">encës së energjisë dhe performancës </w:t>
      </w:r>
      <w:r w:rsidR="008C0C0F" w:rsidRPr="00830F4C">
        <w:rPr>
          <w:rFonts w:ascii="Garamond" w:hAnsi="Garamond"/>
        </w:rPr>
        <w:t>energjetike</w:t>
      </w:r>
      <w:r w:rsidRPr="00830F4C">
        <w:rPr>
          <w:rFonts w:ascii="Garamond" w:hAnsi="Garamond"/>
        </w:rPr>
        <w:t xml:space="preserve"> në ndërtesa, politika të cilat do të fillojnë materializimin e tyre</w:t>
      </w:r>
      <w:r w:rsidR="00382642" w:rsidRPr="00830F4C">
        <w:rPr>
          <w:rFonts w:ascii="Garamond" w:hAnsi="Garamond"/>
        </w:rPr>
        <w:t>,</w:t>
      </w:r>
      <w:r w:rsidRPr="00830F4C">
        <w:rPr>
          <w:rFonts w:ascii="Garamond" w:hAnsi="Garamond"/>
        </w:rPr>
        <w:t xml:space="preserve"> në kuadër të përafrimit të legjislacionit kombëtar për këto fusha me atë të BE-së.</w:t>
      </w:r>
    </w:p>
    <w:p w14:paraId="4BFE3A35" w14:textId="77777777" w:rsidR="001B0E93" w:rsidRPr="00830F4C" w:rsidRDefault="001B0E93" w:rsidP="001B0E93">
      <w:pPr>
        <w:ind w:firstLine="284"/>
        <w:jc w:val="both"/>
        <w:rPr>
          <w:rFonts w:ascii="Garamond" w:hAnsi="Garamond"/>
        </w:rPr>
      </w:pPr>
      <w:r w:rsidRPr="00830F4C">
        <w:rPr>
          <w:rFonts w:ascii="Garamond" w:hAnsi="Garamond"/>
          <w:b/>
          <w:bCs/>
        </w:rPr>
        <w:t>Prioriteti:</w:t>
      </w:r>
    </w:p>
    <w:p w14:paraId="730BE63B" w14:textId="523CF5D0" w:rsidR="001B0E93" w:rsidRPr="00830F4C" w:rsidRDefault="001B0E93" w:rsidP="001B0E93">
      <w:pPr>
        <w:ind w:firstLine="284"/>
        <w:jc w:val="both"/>
        <w:rPr>
          <w:rFonts w:ascii="Garamond" w:hAnsi="Garamond"/>
        </w:rPr>
      </w:pPr>
      <w:r w:rsidRPr="00830F4C">
        <w:rPr>
          <w:rFonts w:ascii="Garamond" w:hAnsi="Garamond"/>
        </w:rPr>
        <w:t>Prioriteti për periudhën 2024</w:t>
      </w:r>
      <w:r w:rsidR="00D22EA5" w:rsidRPr="00830F4C">
        <w:rPr>
          <w:rFonts w:ascii="Garamond" w:hAnsi="Garamond"/>
        </w:rPr>
        <w:t>–</w:t>
      </w:r>
      <w:r w:rsidRPr="00830F4C">
        <w:rPr>
          <w:rFonts w:ascii="Garamond" w:hAnsi="Garamond"/>
        </w:rPr>
        <w:t>2027 është:</w:t>
      </w:r>
    </w:p>
    <w:p w14:paraId="2A8C639D" w14:textId="38033984" w:rsidR="001B0E93" w:rsidRPr="00830F4C" w:rsidRDefault="001B0E93" w:rsidP="001B0E93">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Zbatimi i kushteve të vendosura në Planin e Rritjes së A</w:t>
      </w:r>
      <w:r w:rsidR="00D22EA5" w:rsidRPr="00830F4C">
        <w:rPr>
          <w:rFonts w:ascii="Garamond" w:hAnsi="Garamond"/>
          <w:sz w:val="24"/>
          <w:szCs w:val="24"/>
        </w:rPr>
        <w:t>gj</w:t>
      </w:r>
      <w:r w:rsidRPr="00830F4C">
        <w:rPr>
          <w:rFonts w:ascii="Garamond" w:hAnsi="Garamond"/>
          <w:sz w:val="24"/>
          <w:szCs w:val="24"/>
        </w:rPr>
        <w:t xml:space="preserve">endës së Reformës për kryerjen e një vlerësimi të të gjitha përjashtimeve dhe furnizimeve me normë të reduktuar nga tatimet indirekte, brenda </w:t>
      </w:r>
      <w:r w:rsidR="00382642" w:rsidRPr="00830F4C">
        <w:rPr>
          <w:rFonts w:ascii="Garamond" w:hAnsi="Garamond"/>
          <w:sz w:val="24"/>
          <w:szCs w:val="24"/>
        </w:rPr>
        <w:t>q</w:t>
      </w:r>
      <w:r w:rsidRPr="00830F4C">
        <w:rPr>
          <w:rFonts w:ascii="Garamond" w:hAnsi="Garamond"/>
          <w:sz w:val="24"/>
          <w:szCs w:val="24"/>
        </w:rPr>
        <w:t>ershorit 2025.</w:t>
      </w:r>
    </w:p>
    <w:p w14:paraId="66D65360" w14:textId="1487C02E" w:rsidR="001B0E93" w:rsidRPr="00830F4C" w:rsidRDefault="001B0E93" w:rsidP="001B0E93">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Analizë e detajuar lidhur me efektivitetin e incentivave të dhëna për</w:t>
      </w:r>
      <w:r w:rsidR="00DE65FB">
        <w:rPr>
          <w:rFonts w:ascii="Garamond" w:hAnsi="Garamond"/>
          <w:sz w:val="24"/>
          <w:szCs w:val="24"/>
        </w:rPr>
        <w:t xml:space="preserve"> TVSh</w:t>
      </w:r>
      <w:r w:rsidR="00382642" w:rsidRPr="00830F4C">
        <w:rPr>
          <w:rFonts w:ascii="Garamond" w:hAnsi="Garamond"/>
          <w:sz w:val="24"/>
          <w:szCs w:val="24"/>
        </w:rPr>
        <w:t>-në</w:t>
      </w:r>
      <w:r w:rsidRPr="00830F4C">
        <w:rPr>
          <w:rFonts w:ascii="Garamond" w:hAnsi="Garamond"/>
          <w:sz w:val="24"/>
          <w:szCs w:val="24"/>
        </w:rPr>
        <w:t xml:space="preserve"> dhe </w:t>
      </w:r>
      <w:r w:rsidR="00382642" w:rsidRPr="00830F4C">
        <w:rPr>
          <w:rFonts w:ascii="Garamond" w:hAnsi="Garamond"/>
          <w:sz w:val="24"/>
          <w:szCs w:val="24"/>
        </w:rPr>
        <w:t>a</w:t>
      </w:r>
      <w:r w:rsidRPr="00830F4C">
        <w:rPr>
          <w:rFonts w:ascii="Garamond" w:hAnsi="Garamond"/>
          <w:sz w:val="24"/>
          <w:szCs w:val="24"/>
        </w:rPr>
        <w:t>kcizën.</w:t>
      </w:r>
    </w:p>
    <w:p w14:paraId="474985CE" w14:textId="77777777" w:rsidR="001B0E93" w:rsidRPr="00830F4C" w:rsidRDefault="001B0E93" w:rsidP="001B0E93">
      <w:pPr>
        <w:jc w:val="both"/>
        <w:rPr>
          <w:rFonts w:ascii="Garamond" w:hAnsi="Garamond"/>
          <w:b/>
        </w:rPr>
      </w:pPr>
      <w:r w:rsidRPr="00830F4C">
        <w:rPr>
          <w:rFonts w:ascii="Garamond" w:hAnsi="Garamond"/>
          <w:b/>
        </w:rPr>
        <w:t>Masat dhe aktivitetet</w:t>
      </w:r>
    </w:p>
    <w:tbl>
      <w:tblPr>
        <w:tblStyle w:val="GridTable1Light"/>
        <w:tblW w:w="0" w:type="auto"/>
        <w:tblInd w:w="-113" w:type="dxa"/>
        <w:tblLook w:val="04A0" w:firstRow="1" w:lastRow="0" w:firstColumn="1" w:lastColumn="0" w:noHBand="0" w:noVBand="1"/>
      </w:tblPr>
      <w:tblGrid>
        <w:gridCol w:w="2227"/>
        <w:gridCol w:w="2279"/>
        <w:gridCol w:w="1510"/>
        <w:gridCol w:w="1558"/>
        <w:gridCol w:w="1555"/>
      </w:tblGrid>
      <w:tr w:rsidR="00723888" w:rsidRPr="00A72159" w14:paraId="153D654A" w14:textId="77777777" w:rsidTr="00382642">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227" w:type="dxa"/>
            <w:vAlign w:val="center"/>
          </w:tcPr>
          <w:p w14:paraId="6A9F1A4F" w14:textId="77777777" w:rsidR="001B0E93" w:rsidRPr="00A72159" w:rsidRDefault="001B0E93" w:rsidP="00382642">
            <w:pPr>
              <w:jc w:val="center"/>
              <w:rPr>
                <w:rFonts w:ascii="Garamond" w:hAnsi="Garamond"/>
                <w:b w:val="0"/>
                <w:sz w:val="12"/>
                <w:szCs w:val="12"/>
              </w:rPr>
            </w:pPr>
            <w:r w:rsidRPr="00A72159">
              <w:rPr>
                <w:rFonts w:ascii="Garamond" w:hAnsi="Garamond"/>
                <w:sz w:val="12"/>
                <w:szCs w:val="12"/>
              </w:rPr>
              <w:t>Masa</w:t>
            </w:r>
          </w:p>
        </w:tc>
        <w:tc>
          <w:tcPr>
            <w:tcW w:w="2279" w:type="dxa"/>
            <w:vAlign w:val="center"/>
          </w:tcPr>
          <w:p w14:paraId="74C126CE" w14:textId="77777777" w:rsidR="001B0E93" w:rsidRPr="00A72159" w:rsidRDefault="001B0E93" w:rsidP="00382642">
            <w:pPr>
              <w:jc w:val="center"/>
              <w:cnfStyle w:val="100000000000" w:firstRow="1" w:lastRow="0" w:firstColumn="0" w:lastColumn="0" w:oddVBand="0" w:evenVBand="0" w:oddHBand="0" w:evenHBand="0" w:firstRowFirstColumn="0" w:firstRowLastColumn="0" w:lastRowFirstColumn="0" w:lastRowLastColumn="0"/>
              <w:rPr>
                <w:rFonts w:ascii="Garamond" w:hAnsi="Garamond"/>
                <w:b w:val="0"/>
                <w:sz w:val="12"/>
                <w:szCs w:val="12"/>
              </w:rPr>
            </w:pPr>
            <w:r w:rsidRPr="00A72159">
              <w:rPr>
                <w:rFonts w:ascii="Garamond" w:hAnsi="Garamond"/>
                <w:sz w:val="12"/>
                <w:szCs w:val="12"/>
              </w:rPr>
              <w:t>Aktiviteti</w:t>
            </w:r>
          </w:p>
        </w:tc>
        <w:tc>
          <w:tcPr>
            <w:tcW w:w="1510" w:type="dxa"/>
            <w:vAlign w:val="center"/>
          </w:tcPr>
          <w:p w14:paraId="30FAB26F" w14:textId="77777777" w:rsidR="001B0E93" w:rsidRPr="00A72159" w:rsidRDefault="001B0E93" w:rsidP="00382642">
            <w:pPr>
              <w:jc w:val="center"/>
              <w:cnfStyle w:val="100000000000" w:firstRow="1" w:lastRow="0" w:firstColumn="0" w:lastColumn="0" w:oddVBand="0" w:evenVBand="0" w:oddHBand="0" w:evenHBand="0" w:firstRowFirstColumn="0" w:firstRowLastColumn="0" w:lastRowFirstColumn="0" w:lastRowLastColumn="0"/>
              <w:rPr>
                <w:rFonts w:ascii="Garamond" w:hAnsi="Garamond"/>
                <w:b w:val="0"/>
                <w:sz w:val="12"/>
                <w:szCs w:val="12"/>
              </w:rPr>
            </w:pPr>
            <w:r w:rsidRPr="00A72159">
              <w:rPr>
                <w:rFonts w:ascii="Garamond" w:hAnsi="Garamond"/>
                <w:sz w:val="12"/>
                <w:szCs w:val="12"/>
              </w:rPr>
              <w:t>Fillimi</w:t>
            </w:r>
          </w:p>
        </w:tc>
        <w:tc>
          <w:tcPr>
            <w:tcW w:w="1558" w:type="dxa"/>
            <w:vAlign w:val="center"/>
          </w:tcPr>
          <w:p w14:paraId="1C9C2112" w14:textId="77777777" w:rsidR="001B0E93" w:rsidRPr="00A72159" w:rsidRDefault="001B0E93" w:rsidP="00382642">
            <w:pPr>
              <w:jc w:val="center"/>
              <w:cnfStyle w:val="100000000000" w:firstRow="1" w:lastRow="0" w:firstColumn="0" w:lastColumn="0" w:oddVBand="0" w:evenVBand="0" w:oddHBand="0" w:evenHBand="0" w:firstRowFirstColumn="0" w:firstRowLastColumn="0" w:lastRowFirstColumn="0" w:lastRowLastColumn="0"/>
              <w:rPr>
                <w:rFonts w:ascii="Garamond" w:hAnsi="Garamond"/>
                <w:b w:val="0"/>
                <w:sz w:val="12"/>
                <w:szCs w:val="12"/>
              </w:rPr>
            </w:pPr>
            <w:r w:rsidRPr="00A72159">
              <w:rPr>
                <w:rFonts w:ascii="Garamond" w:hAnsi="Garamond"/>
                <w:sz w:val="12"/>
                <w:szCs w:val="12"/>
              </w:rPr>
              <w:t>Mbarimi</w:t>
            </w:r>
          </w:p>
        </w:tc>
        <w:tc>
          <w:tcPr>
            <w:tcW w:w="1555" w:type="dxa"/>
            <w:vAlign w:val="center"/>
          </w:tcPr>
          <w:p w14:paraId="2CAD73BA" w14:textId="77777777" w:rsidR="001B0E93" w:rsidRPr="00A72159" w:rsidRDefault="001B0E93" w:rsidP="00382642">
            <w:pPr>
              <w:jc w:val="center"/>
              <w:cnfStyle w:val="100000000000" w:firstRow="1" w:lastRow="0" w:firstColumn="0" w:lastColumn="0" w:oddVBand="0" w:evenVBand="0" w:oddHBand="0" w:evenHBand="0" w:firstRowFirstColumn="0" w:firstRowLastColumn="0" w:lastRowFirstColumn="0" w:lastRowLastColumn="0"/>
              <w:rPr>
                <w:rFonts w:ascii="Garamond" w:hAnsi="Garamond"/>
                <w:b w:val="0"/>
                <w:sz w:val="12"/>
                <w:szCs w:val="12"/>
              </w:rPr>
            </w:pPr>
            <w:r w:rsidRPr="00A72159">
              <w:rPr>
                <w:rFonts w:ascii="Garamond" w:hAnsi="Garamond"/>
                <w:sz w:val="12"/>
                <w:szCs w:val="12"/>
              </w:rPr>
              <w:t>Institucioni përgjegjës</w:t>
            </w:r>
          </w:p>
        </w:tc>
      </w:tr>
      <w:tr w:rsidR="00723888" w:rsidRPr="00A72159" w14:paraId="11AB7ADE" w14:textId="77777777" w:rsidTr="003858EE">
        <w:trPr>
          <w:trHeight w:val="397"/>
        </w:trPr>
        <w:tc>
          <w:tcPr>
            <w:cnfStyle w:val="001000000000" w:firstRow="0" w:lastRow="0" w:firstColumn="1" w:lastColumn="0" w:oddVBand="0" w:evenVBand="0" w:oddHBand="0" w:evenHBand="0" w:firstRowFirstColumn="0" w:firstRowLastColumn="0" w:lastRowFirstColumn="0" w:lastRowLastColumn="0"/>
            <w:tcW w:w="2227" w:type="dxa"/>
          </w:tcPr>
          <w:p w14:paraId="6F637CA1" w14:textId="730664DD" w:rsidR="001B0E93" w:rsidRPr="00A72159" w:rsidRDefault="001B0E93" w:rsidP="003858EE">
            <w:pPr>
              <w:jc w:val="center"/>
              <w:rPr>
                <w:rFonts w:ascii="Garamond" w:hAnsi="Garamond"/>
                <w:b w:val="0"/>
                <w:bCs w:val="0"/>
                <w:sz w:val="12"/>
                <w:szCs w:val="12"/>
              </w:rPr>
            </w:pPr>
            <w:r w:rsidRPr="00A72159">
              <w:rPr>
                <w:rFonts w:ascii="Garamond" w:hAnsi="Garamond"/>
                <w:b w:val="0"/>
                <w:bCs w:val="0"/>
                <w:sz w:val="12"/>
                <w:szCs w:val="12"/>
              </w:rPr>
              <w:t>Masa 1.1.1 Analizë e përjashtimeve/normave të reduktuara në</w:t>
            </w:r>
            <w:r w:rsidR="00DE65FB" w:rsidRPr="00A72159">
              <w:rPr>
                <w:rFonts w:ascii="Garamond" w:hAnsi="Garamond"/>
                <w:b w:val="0"/>
                <w:bCs w:val="0"/>
                <w:sz w:val="12"/>
                <w:szCs w:val="12"/>
              </w:rPr>
              <w:t xml:space="preserve"> TVSh</w:t>
            </w:r>
          </w:p>
        </w:tc>
        <w:tc>
          <w:tcPr>
            <w:tcW w:w="2279" w:type="dxa"/>
          </w:tcPr>
          <w:p w14:paraId="56B127E5" w14:textId="03DB1C27"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Aktiviteti 1.1.1</w:t>
            </w:r>
            <w:r w:rsidR="00A72159" w:rsidRPr="00A72159">
              <w:rPr>
                <w:rFonts w:ascii="Garamond" w:hAnsi="Garamond"/>
                <w:sz w:val="12"/>
                <w:szCs w:val="12"/>
              </w:rPr>
              <w:t>:</w:t>
            </w:r>
            <w:r w:rsidRPr="00A72159">
              <w:rPr>
                <w:rFonts w:ascii="Garamond" w:hAnsi="Garamond"/>
                <w:sz w:val="12"/>
                <w:szCs w:val="12"/>
              </w:rPr>
              <w:t xml:space="preserve"> Kryerja e një analize</w:t>
            </w:r>
            <w:r w:rsidR="00382642" w:rsidRPr="00A72159">
              <w:rPr>
                <w:rFonts w:ascii="Garamond" w:hAnsi="Garamond"/>
                <w:sz w:val="12"/>
                <w:szCs w:val="12"/>
              </w:rPr>
              <w:t>,</w:t>
            </w:r>
            <w:r w:rsidRPr="00A72159">
              <w:rPr>
                <w:rFonts w:ascii="Garamond" w:hAnsi="Garamond"/>
                <w:sz w:val="12"/>
                <w:szCs w:val="12"/>
              </w:rPr>
              <w:t xml:space="preserve"> lidhur me efektivitetin e përjashtimeve/normave të reduktuara në</w:t>
            </w:r>
            <w:r w:rsidR="00DE65FB" w:rsidRPr="00A72159">
              <w:rPr>
                <w:rFonts w:ascii="Garamond" w:hAnsi="Garamond"/>
                <w:sz w:val="12"/>
                <w:szCs w:val="12"/>
              </w:rPr>
              <w:t xml:space="preserve"> TVSh</w:t>
            </w:r>
            <w:r w:rsidRPr="00A72159">
              <w:rPr>
                <w:rFonts w:ascii="Garamond" w:hAnsi="Garamond"/>
                <w:sz w:val="12"/>
                <w:szCs w:val="12"/>
              </w:rPr>
              <w:t>, me synimin për të përcaktuar nëse ndonjë mund të hiqet gradualisht.</w:t>
            </w:r>
          </w:p>
        </w:tc>
        <w:tc>
          <w:tcPr>
            <w:tcW w:w="1510" w:type="dxa"/>
          </w:tcPr>
          <w:p w14:paraId="65545C53" w14:textId="77777777"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2024</w:t>
            </w:r>
          </w:p>
        </w:tc>
        <w:tc>
          <w:tcPr>
            <w:tcW w:w="1558" w:type="dxa"/>
          </w:tcPr>
          <w:p w14:paraId="7066B7B6" w14:textId="77777777"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Qershor 2025</w:t>
            </w:r>
          </w:p>
        </w:tc>
        <w:tc>
          <w:tcPr>
            <w:tcW w:w="1555" w:type="dxa"/>
          </w:tcPr>
          <w:p w14:paraId="2FA2BFF9" w14:textId="4BE1AC36"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MF, DPT, DPD dhe me asistencën e FMN</w:t>
            </w:r>
            <w:r w:rsidR="00382642" w:rsidRPr="00A72159">
              <w:rPr>
                <w:rFonts w:ascii="Garamond" w:hAnsi="Garamond"/>
                <w:sz w:val="12"/>
                <w:szCs w:val="12"/>
              </w:rPr>
              <w:t>-së</w:t>
            </w:r>
          </w:p>
        </w:tc>
      </w:tr>
      <w:tr w:rsidR="00723888" w:rsidRPr="00A72159" w14:paraId="752DE4EC" w14:textId="77777777" w:rsidTr="003858EE">
        <w:trPr>
          <w:trHeight w:val="397"/>
        </w:trPr>
        <w:tc>
          <w:tcPr>
            <w:cnfStyle w:val="001000000000" w:firstRow="0" w:lastRow="0" w:firstColumn="1" w:lastColumn="0" w:oddVBand="0" w:evenVBand="0" w:oddHBand="0" w:evenHBand="0" w:firstRowFirstColumn="0" w:firstRowLastColumn="0" w:lastRowFirstColumn="0" w:lastRowLastColumn="0"/>
            <w:tcW w:w="2227" w:type="dxa"/>
          </w:tcPr>
          <w:p w14:paraId="7A954E18" w14:textId="1320373E" w:rsidR="001B0E93" w:rsidRPr="00A72159" w:rsidRDefault="001B0E93" w:rsidP="003858EE">
            <w:pPr>
              <w:jc w:val="center"/>
              <w:rPr>
                <w:rFonts w:ascii="Garamond" w:hAnsi="Garamond"/>
                <w:b w:val="0"/>
                <w:bCs w:val="0"/>
                <w:sz w:val="12"/>
                <w:szCs w:val="12"/>
              </w:rPr>
            </w:pPr>
            <w:r w:rsidRPr="00A72159">
              <w:rPr>
                <w:rFonts w:ascii="Garamond" w:hAnsi="Garamond"/>
                <w:b w:val="0"/>
                <w:bCs w:val="0"/>
                <w:sz w:val="12"/>
                <w:szCs w:val="12"/>
              </w:rPr>
              <w:t>Masa 1.1.2 Analiza e (pragut të regjistrimit për</w:t>
            </w:r>
            <w:r w:rsidR="00DE65FB" w:rsidRPr="00A72159">
              <w:rPr>
                <w:rFonts w:ascii="Garamond" w:hAnsi="Garamond"/>
                <w:b w:val="0"/>
                <w:bCs w:val="0"/>
                <w:sz w:val="12"/>
                <w:szCs w:val="12"/>
              </w:rPr>
              <w:t xml:space="preserve"> TVSh</w:t>
            </w:r>
            <w:r w:rsidRPr="00A72159">
              <w:rPr>
                <w:rFonts w:ascii="Garamond" w:hAnsi="Garamond"/>
                <w:b w:val="0"/>
                <w:bCs w:val="0"/>
                <w:sz w:val="12"/>
                <w:szCs w:val="12"/>
              </w:rPr>
              <w:t>-në</w:t>
            </w:r>
          </w:p>
          <w:p w14:paraId="4CE1D871" w14:textId="77777777" w:rsidR="001B0E93" w:rsidRPr="00A72159" w:rsidRDefault="001B0E93" w:rsidP="003858EE">
            <w:pPr>
              <w:jc w:val="center"/>
              <w:rPr>
                <w:rFonts w:ascii="Garamond" w:hAnsi="Garamond"/>
                <w:b w:val="0"/>
                <w:bCs w:val="0"/>
                <w:sz w:val="12"/>
                <w:szCs w:val="12"/>
              </w:rPr>
            </w:pPr>
          </w:p>
        </w:tc>
        <w:tc>
          <w:tcPr>
            <w:tcW w:w="2279" w:type="dxa"/>
          </w:tcPr>
          <w:p w14:paraId="0F394C48" w14:textId="07D3C12A"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Aktiviteti 1.1.2.1</w:t>
            </w:r>
            <w:r w:rsidR="00A72159" w:rsidRPr="00A72159">
              <w:rPr>
                <w:rFonts w:ascii="Garamond" w:hAnsi="Garamond"/>
                <w:sz w:val="12"/>
                <w:szCs w:val="12"/>
              </w:rPr>
              <w:t>:</w:t>
            </w:r>
            <w:r w:rsidRPr="00A72159">
              <w:rPr>
                <w:rFonts w:ascii="Garamond" w:hAnsi="Garamond"/>
                <w:sz w:val="12"/>
                <w:szCs w:val="12"/>
              </w:rPr>
              <w:t xml:space="preserve"> Kryerja e një analize</w:t>
            </w:r>
            <w:r w:rsidR="00382642" w:rsidRPr="00A72159">
              <w:rPr>
                <w:rFonts w:ascii="Garamond" w:hAnsi="Garamond"/>
                <w:sz w:val="12"/>
                <w:szCs w:val="12"/>
              </w:rPr>
              <w:t>,</w:t>
            </w:r>
            <w:r w:rsidRPr="00A72159">
              <w:rPr>
                <w:rFonts w:ascii="Garamond" w:hAnsi="Garamond"/>
                <w:sz w:val="12"/>
                <w:szCs w:val="12"/>
              </w:rPr>
              <w:t xml:space="preserve"> në lidhje me pragun e regjistrimit të</w:t>
            </w:r>
            <w:r w:rsidR="00DE65FB" w:rsidRPr="00A72159">
              <w:rPr>
                <w:rFonts w:ascii="Garamond" w:hAnsi="Garamond"/>
                <w:sz w:val="12"/>
                <w:szCs w:val="12"/>
              </w:rPr>
              <w:t xml:space="preserve"> TVSh</w:t>
            </w:r>
            <w:r w:rsidRPr="00A72159">
              <w:rPr>
                <w:rFonts w:ascii="Garamond" w:hAnsi="Garamond"/>
                <w:sz w:val="12"/>
                <w:szCs w:val="12"/>
              </w:rPr>
              <w:t>-së</w:t>
            </w:r>
          </w:p>
        </w:tc>
        <w:tc>
          <w:tcPr>
            <w:tcW w:w="1510" w:type="dxa"/>
          </w:tcPr>
          <w:p w14:paraId="243028D8" w14:textId="77777777"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2024</w:t>
            </w:r>
          </w:p>
        </w:tc>
        <w:tc>
          <w:tcPr>
            <w:tcW w:w="1558" w:type="dxa"/>
          </w:tcPr>
          <w:p w14:paraId="669BB345" w14:textId="77777777"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Qershor 2025</w:t>
            </w:r>
          </w:p>
        </w:tc>
        <w:tc>
          <w:tcPr>
            <w:tcW w:w="1555" w:type="dxa"/>
          </w:tcPr>
          <w:p w14:paraId="7E393EDF" w14:textId="3B2BC1CE"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MF, DPT, DPD dhe me asistencën e FMN</w:t>
            </w:r>
            <w:r w:rsidR="00382642" w:rsidRPr="00A72159">
              <w:rPr>
                <w:rFonts w:ascii="Garamond" w:hAnsi="Garamond"/>
                <w:sz w:val="12"/>
                <w:szCs w:val="12"/>
              </w:rPr>
              <w:t>-së</w:t>
            </w:r>
          </w:p>
        </w:tc>
      </w:tr>
      <w:tr w:rsidR="00723888" w:rsidRPr="00A72159" w14:paraId="42B602F5" w14:textId="77777777" w:rsidTr="003858EE">
        <w:trPr>
          <w:trHeight w:val="397"/>
        </w:trPr>
        <w:tc>
          <w:tcPr>
            <w:cnfStyle w:val="001000000000" w:firstRow="0" w:lastRow="0" w:firstColumn="1" w:lastColumn="0" w:oddVBand="0" w:evenVBand="0" w:oddHBand="0" w:evenHBand="0" w:firstRowFirstColumn="0" w:firstRowLastColumn="0" w:lastRowFirstColumn="0" w:lastRowLastColumn="0"/>
            <w:tcW w:w="2227" w:type="dxa"/>
          </w:tcPr>
          <w:p w14:paraId="7CB431EF" w14:textId="40CC060A" w:rsidR="001B0E93" w:rsidRPr="00A72159" w:rsidRDefault="001B0E93" w:rsidP="003858EE">
            <w:pPr>
              <w:jc w:val="center"/>
              <w:rPr>
                <w:rFonts w:ascii="Garamond" w:hAnsi="Garamond"/>
                <w:b w:val="0"/>
                <w:bCs w:val="0"/>
                <w:sz w:val="12"/>
                <w:szCs w:val="12"/>
              </w:rPr>
            </w:pPr>
            <w:r w:rsidRPr="00A72159">
              <w:rPr>
                <w:rFonts w:ascii="Garamond" w:hAnsi="Garamond"/>
                <w:b w:val="0"/>
                <w:bCs w:val="0"/>
                <w:sz w:val="12"/>
                <w:szCs w:val="12"/>
              </w:rPr>
              <w:t>Masa 1.1.3 Hartimi i akteve konkrete ligjore për</w:t>
            </w:r>
            <w:r w:rsidR="00DE65FB" w:rsidRPr="00A72159">
              <w:rPr>
                <w:rFonts w:ascii="Garamond" w:hAnsi="Garamond"/>
                <w:b w:val="0"/>
                <w:bCs w:val="0"/>
                <w:sz w:val="12"/>
                <w:szCs w:val="12"/>
              </w:rPr>
              <w:t xml:space="preserve"> TVSh</w:t>
            </w:r>
            <w:r w:rsidRPr="00A72159">
              <w:rPr>
                <w:rFonts w:ascii="Garamond" w:hAnsi="Garamond"/>
                <w:b w:val="0"/>
                <w:bCs w:val="0"/>
                <w:sz w:val="12"/>
                <w:szCs w:val="12"/>
              </w:rPr>
              <w:t>-në bazuar në rezultatet dhe vendimet e marra pas analizave</w:t>
            </w:r>
          </w:p>
          <w:p w14:paraId="27EC95F0" w14:textId="77777777" w:rsidR="001B0E93" w:rsidRPr="00A72159" w:rsidRDefault="001B0E93" w:rsidP="003858EE">
            <w:pPr>
              <w:jc w:val="center"/>
              <w:rPr>
                <w:rFonts w:ascii="Garamond" w:hAnsi="Garamond"/>
                <w:b w:val="0"/>
                <w:bCs w:val="0"/>
                <w:sz w:val="12"/>
                <w:szCs w:val="12"/>
              </w:rPr>
            </w:pPr>
          </w:p>
        </w:tc>
        <w:tc>
          <w:tcPr>
            <w:tcW w:w="2279" w:type="dxa"/>
          </w:tcPr>
          <w:p w14:paraId="3A40D242" w14:textId="61A61630"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Aktiviteti 1.1.3.1</w:t>
            </w:r>
            <w:r w:rsidR="00A72159" w:rsidRPr="00A72159">
              <w:rPr>
                <w:rFonts w:ascii="Garamond" w:hAnsi="Garamond"/>
                <w:sz w:val="12"/>
                <w:szCs w:val="12"/>
              </w:rPr>
              <w:t>:</w:t>
            </w:r>
            <w:r w:rsidRPr="00A72159">
              <w:rPr>
                <w:rFonts w:ascii="Garamond" w:hAnsi="Garamond"/>
                <w:sz w:val="12"/>
                <w:szCs w:val="12"/>
              </w:rPr>
              <w:t xml:space="preserve"> Përgatitja e projekt ndryshimeve ligjore bazuar në vendimin e marrë pas analizës dhe në përputhje me </w:t>
            </w:r>
            <w:r w:rsidRPr="00A72159">
              <w:rPr>
                <w:rFonts w:ascii="Garamond" w:hAnsi="Garamond"/>
                <w:i/>
                <w:sz w:val="12"/>
                <w:szCs w:val="12"/>
              </w:rPr>
              <w:t>acquis</w:t>
            </w:r>
            <w:r w:rsidRPr="00A72159">
              <w:rPr>
                <w:rFonts w:ascii="Garamond" w:hAnsi="Garamond"/>
                <w:sz w:val="12"/>
                <w:szCs w:val="12"/>
              </w:rPr>
              <w:t xml:space="preserve"> të BE-së</w:t>
            </w:r>
          </w:p>
        </w:tc>
        <w:tc>
          <w:tcPr>
            <w:tcW w:w="1510" w:type="dxa"/>
          </w:tcPr>
          <w:p w14:paraId="63CEFF0C" w14:textId="77777777"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2024</w:t>
            </w:r>
          </w:p>
        </w:tc>
        <w:tc>
          <w:tcPr>
            <w:tcW w:w="1558" w:type="dxa"/>
          </w:tcPr>
          <w:p w14:paraId="171B5DBB" w14:textId="77777777"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Në varësi të raportit</w:t>
            </w:r>
          </w:p>
        </w:tc>
        <w:tc>
          <w:tcPr>
            <w:tcW w:w="1555" w:type="dxa"/>
          </w:tcPr>
          <w:p w14:paraId="0FE797C4" w14:textId="77777777"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MF, me asistencë nga TAIEX</w:t>
            </w:r>
          </w:p>
        </w:tc>
      </w:tr>
      <w:tr w:rsidR="00723888" w:rsidRPr="00A72159" w14:paraId="229119DB" w14:textId="77777777" w:rsidTr="003858EE">
        <w:trPr>
          <w:trHeight w:val="397"/>
        </w:trPr>
        <w:tc>
          <w:tcPr>
            <w:cnfStyle w:val="001000000000" w:firstRow="0" w:lastRow="0" w:firstColumn="1" w:lastColumn="0" w:oddVBand="0" w:evenVBand="0" w:oddHBand="0" w:evenHBand="0" w:firstRowFirstColumn="0" w:firstRowLastColumn="0" w:lastRowFirstColumn="0" w:lastRowLastColumn="0"/>
            <w:tcW w:w="2227" w:type="dxa"/>
          </w:tcPr>
          <w:p w14:paraId="5B9C5927" w14:textId="4F1BE6AB" w:rsidR="001B0E93" w:rsidRPr="00A72159" w:rsidRDefault="001B0E93" w:rsidP="003858EE">
            <w:pPr>
              <w:jc w:val="center"/>
              <w:rPr>
                <w:rFonts w:ascii="Garamond" w:hAnsi="Garamond"/>
                <w:b w:val="0"/>
                <w:bCs w:val="0"/>
                <w:sz w:val="12"/>
                <w:szCs w:val="12"/>
              </w:rPr>
            </w:pPr>
            <w:r w:rsidRPr="00A72159">
              <w:rPr>
                <w:rFonts w:ascii="Garamond" w:hAnsi="Garamond"/>
                <w:b w:val="0"/>
                <w:bCs w:val="0"/>
                <w:sz w:val="12"/>
                <w:szCs w:val="12"/>
              </w:rPr>
              <w:t>Masa 1.1.4 Analiza e niveleve të akcizës me synim harmonizimin me BE-në</w:t>
            </w:r>
          </w:p>
          <w:p w14:paraId="18151971" w14:textId="77777777" w:rsidR="001B0E93" w:rsidRPr="00A72159" w:rsidRDefault="001B0E93" w:rsidP="003858EE">
            <w:pPr>
              <w:jc w:val="center"/>
              <w:rPr>
                <w:rFonts w:ascii="Garamond" w:hAnsi="Garamond"/>
                <w:sz w:val="12"/>
                <w:szCs w:val="12"/>
              </w:rPr>
            </w:pPr>
          </w:p>
        </w:tc>
        <w:tc>
          <w:tcPr>
            <w:tcW w:w="2279" w:type="dxa"/>
          </w:tcPr>
          <w:p w14:paraId="7C7DC995" w14:textId="3BAE168A"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Aktiviteti 1.1.4.1</w:t>
            </w:r>
            <w:r w:rsidR="00A72159" w:rsidRPr="00A72159">
              <w:rPr>
                <w:rFonts w:ascii="Garamond" w:hAnsi="Garamond"/>
                <w:sz w:val="12"/>
                <w:szCs w:val="12"/>
              </w:rPr>
              <w:t>:</w:t>
            </w:r>
            <w:r w:rsidRPr="00A72159">
              <w:rPr>
                <w:rFonts w:ascii="Garamond" w:hAnsi="Garamond"/>
                <w:sz w:val="12"/>
                <w:szCs w:val="12"/>
              </w:rPr>
              <w:t xml:space="preserve"> Kryerja e një analize</w:t>
            </w:r>
            <w:r w:rsidR="00382642" w:rsidRPr="00A72159">
              <w:rPr>
                <w:rFonts w:ascii="Garamond" w:hAnsi="Garamond"/>
                <w:sz w:val="12"/>
                <w:szCs w:val="12"/>
              </w:rPr>
              <w:t>,</w:t>
            </w:r>
            <w:r w:rsidRPr="00A72159">
              <w:rPr>
                <w:rFonts w:ascii="Garamond" w:hAnsi="Garamond"/>
                <w:sz w:val="12"/>
                <w:szCs w:val="12"/>
              </w:rPr>
              <w:t xml:space="preserve"> në lidhje me nivelet e akcizës dhe nivelet minimale të BE-së</w:t>
            </w:r>
          </w:p>
          <w:p w14:paraId="00AB488D" w14:textId="77777777"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tc>
        <w:tc>
          <w:tcPr>
            <w:tcW w:w="1510" w:type="dxa"/>
          </w:tcPr>
          <w:p w14:paraId="460B0098" w14:textId="77777777"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2024</w:t>
            </w:r>
          </w:p>
        </w:tc>
        <w:tc>
          <w:tcPr>
            <w:tcW w:w="1558" w:type="dxa"/>
          </w:tcPr>
          <w:p w14:paraId="2F22A9FA" w14:textId="77777777"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Qershor 2025</w:t>
            </w:r>
          </w:p>
        </w:tc>
        <w:tc>
          <w:tcPr>
            <w:tcW w:w="1555" w:type="dxa"/>
          </w:tcPr>
          <w:p w14:paraId="5FDFAA32" w14:textId="77777777"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MF, DPD</w:t>
            </w:r>
          </w:p>
        </w:tc>
      </w:tr>
      <w:tr w:rsidR="00723888" w:rsidRPr="00A72159" w14:paraId="0A3E44A5" w14:textId="77777777" w:rsidTr="003858EE">
        <w:trPr>
          <w:trHeight w:val="397"/>
        </w:trPr>
        <w:tc>
          <w:tcPr>
            <w:cnfStyle w:val="001000000000" w:firstRow="0" w:lastRow="0" w:firstColumn="1" w:lastColumn="0" w:oddVBand="0" w:evenVBand="0" w:oddHBand="0" w:evenHBand="0" w:firstRowFirstColumn="0" w:firstRowLastColumn="0" w:lastRowFirstColumn="0" w:lastRowLastColumn="0"/>
            <w:tcW w:w="2227" w:type="dxa"/>
          </w:tcPr>
          <w:p w14:paraId="3399AA4B" w14:textId="1280BFA4" w:rsidR="001B0E93" w:rsidRPr="00A72159" w:rsidRDefault="001B0E93" w:rsidP="003858EE">
            <w:pPr>
              <w:jc w:val="center"/>
              <w:rPr>
                <w:rFonts w:ascii="Garamond" w:hAnsi="Garamond"/>
                <w:b w:val="0"/>
                <w:bCs w:val="0"/>
                <w:sz w:val="12"/>
                <w:szCs w:val="12"/>
              </w:rPr>
            </w:pPr>
            <w:r w:rsidRPr="00A72159">
              <w:rPr>
                <w:rFonts w:ascii="Garamond" w:hAnsi="Garamond"/>
                <w:b w:val="0"/>
                <w:bCs w:val="0"/>
                <w:sz w:val="12"/>
                <w:szCs w:val="12"/>
              </w:rPr>
              <w:t>Masa 1.1.5 Hartimi i akteve konkrete ligjore për akcizën, bazuar në rezultatet dhe vendimet e marra pas analizave</w:t>
            </w:r>
          </w:p>
          <w:p w14:paraId="2926E0E1" w14:textId="77777777" w:rsidR="001B0E93" w:rsidRPr="00A72159" w:rsidRDefault="001B0E93" w:rsidP="003858EE">
            <w:pPr>
              <w:jc w:val="center"/>
              <w:rPr>
                <w:rFonts w:ascii="Garamond" w:hAnsi="Garamond"/>
                <w:b w:val="0"/>
                <w:bCs w:val="0"/>
                <w:sz w:val="12"/>
                <w:szCs w:val="12"/>
              </w:rPr>
            </w:pPr>
          </w:p>
        </w:tc>
        <w:tc>
          <w:tcPr>
            <w:tcW w:w="2279" w:type="dxa"/>
          </w:tcPr>
          <w:p w14:paraId="538DE537" w14:textId="20A38394"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Aktiviteti 1.1.5.1</w:t>
            </w:r>
            <w:r w:rsidR="00A72159" w:rsidRPr="00A72159">
              <w:rPr>
                <w:rFonts w:ascii="Garamond" w:hAnsi="Garamond"/>
                <w:sz w:val="12"/>
                <w:szCs w:val="12"/>
              </w:rPr>
              <w:t>:</w:t>
            </w:r>
            <w:r w:rsidRPr="00A72159">
              <w:rPr>
                <w:rFonts w:ascii="Garamond" w:hAnsi="Garamond"/>
                <w:sz w:val="12"/>
                <w:szCs w:val="12"/>
              </w:rPr>
              <w:t xml:space="preserve"> Përgatitja e projekt</w:t>
            </w:r>
            <w:r w:rsidR="00382642" w:rsidRPr="00A72159">
              <w:rPr>
                <w:rFonts w:ascii="Garamond" w:hAnsi="Garamond"/>
                <w:sz w:val="12"/>
                <w:szCs w:val="12"/>
              </w:rPr>
              <w:t xml:space="preserve"> </w:t>
            </w:r>
            <w:r w:rsidRPr="00A72159">
              <w:rPr>
                <w:rFonts w:ascii="Garamond" w:hAnsi="Garamond"/>
                <w:sz w:val="12"/>
                <w:szCs w:val="12"/>
              </w:rPr>
              <w:t xml:space="preserve">ndryshimeve ligjore bazuar në vendimin e marrë pas analizës dhe në përputhje me </w:t>
            </w:r>
            <w:r w:rsidRPr="00A72159">
              <w:rPr>
                <w:rFonts w:ascii="Garamond" w:hAnsi="Garamond"/>
                <w:i/>
                <w:sz w:val="12"/>
                <w:szCs w:val="12"/>
              </w:rPr>
              <w:t>acquis</w:t>
            </w:r>
            <w:r w:rsidRPr="00A72159">
              <w:rPr>
                <w:rFonts w:ascii="Garamond" w:hAnsi="Garamond"/>
                <w:sz w:val="12"/>
                <w:szCs w:val="12"/>
              </w:rPr>
              <w:t xml:space="preserve"> të BE-së</w:t>
            </w:r>
          </w:p>
        </w:tc>
        <w:tc>
          <w:tcPr>
            <w:tcW w:w="1510" w:type="dxa"/>
          </w:tcPr>
          <w:p w14:paraId="059F41C8" w14:textId="77777777"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2024</w:t>
            </w:r>
          </w:p>
        </w:tc>
        <w:tc>
          <w:tcPr>
            <w:tcW w:w="1558" w:type="dxa"/>
          </w:tcPr>
          <w:p w14:paraId="49AB3E1E" w14:textId="77777777"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Në varësi të raportit</w:t>
            </w:r>
          </w:p>
        </w:tc>
        <w:tc>
          <w:tcPr>
            <w:tcW w:w="1555" w:type="dxa"/>
          </w:tcPr>
          <w:p w14:paraId="497AE209" w14:textId="77777777"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MF</w:t>
            </w:r>
          </w:p>
        </w:tc>
      </w:tr>
      <w:tr w:rsidR="00723888" w:rsidRPr="00A72159" w14:paraId="52EFB043" w14:textId="77777777" w:rsidTr="003858EE">
        <w:trPr>
          <w:trHeight w:val="397"/>
        </w:trPr>
        <w:tc>
          <w:tcPr>
            <w:cnfStyle w:val="001000000000" w:firstRow="0" w:lastRow="0" w:firstColumn="1" w:lastColumn="0" w:oddVBand="0" w:evenVBand="0" w:oddHBand="0" w:evenHBand="0" w:firstRowFirstColumn="0" w:firstRowLastColumn="0" w:lastRowFirstColumn="0" w:lastRowLastColumn="0"/>
            <w:tcW w:w="2227" w:type="dxa"/>
          </w:tcPr>
          <w:p w14:paraId="11DC2B76" w14:textId="77777777" w:rsidR="001B0E93" w:rsidRPr="00A72159" w:rsidRDefault="001B0E93" w:rsidP="003858EE">
            <w:pPr>
              <w:jc w:val="center"/>
              <w:rPr>
                <w:rFonts w:ascii="Garamond" w:hAnsi="Garamond"/>
                <w:b w:val="0"/>
                <w:bCs w:val="0"/>
                <w:sz w:val="12"/>
                <w:szCs w:val="12"/>
              </w:rPr>
            </w:pPr>
            <w:r w:rsidRPr="00A72159">
              <w:rPr>
                <w:rFonts w:ascii="Garamond" w:hAnsi="Garamond"/>
                <w:b w:val="0"/>
                <w:bCs w:val="0"/>
                <w:sz w:val="12"/>
                <w:szCs w:val="12"/>
              </w:rPr>
              <w:t>Masa 1.1.6</w:t>
            </w:r>
          </w:p>
          <w:p w14:paraId="467C0637" w14:textId="77777777" w:rsidR="001B0E93" w:rsidRPr="00A72159" w:rsidRDefault="001B0E93" w:rsidP="003858EE">
            <w:pPr>
              <w:jc w:val="center"/>
              <w:rPr>
                <w:rFonts w:ascii="Garamond" w:hAnsi="Garamond"/>
                <w:b w:val="0"/>
                <w:bCs w:val="0"/>
                <w:sz w:val="12"/>
                <w:szCs w:val="12"/>
              </w:rPr>
            </w:pPr>
            <w:r w:rsidRPr="00A72159">
              <w:rPr>
                <w:rFonts w:ascii="Garamond" w:hAnsi="Garamond"/>
                <w:b w:val="0"/>
                <w:bCs w:val="0"/>
                <w:sz w:val="12"/>
                <w:szCs w:val="12"/>
              </w:rPr>
              <w:t>Hartimi i kalendarit të ri të nivelit të akcizës së duhanit</w:t>
            </w:r>
          </w:p>
        </w:tc>
        <w:tc>
          <w:tcPr>
            <w:tcW w:w="2279" w:type="dxa"/>
          </w:tcPr>
          <w:p w14:paraId="1F07363D" w14:textId="66977B84"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Aktiviteti 1.1.6.1</w:t>
            </w:r>
            <w:r w:rsidR="00A72159">
              <w:rPr>
                <w:rFonts w:ascii="Garamond" w:hAnsi="Garamond"/>
                <w:sz w:val="12"/>
                <w:szCs w:val="12"/>
              </w:rPr>
              <w:t>:</w:t>
            </w:r>
            <w:r w:rsidRPr="00A72159">
              <w:rPr>
                <w:rFonts w:ascii="Garamond" w:hAnsi="Garamond"/>
                <w:sz w:val="12"/>
                <w:szCs w:val="12"/>
              </w:rPr>
              <w:t xml:space="preserve"> Hartimi dhe miratimi i amendamentit në ligjin e akcizës</w:t>
            </w:r>
            <w:r w:rsidR="00944908" w:rsidRPr="00A72159">
              <w:rPr>
                <w:rFonts w:ascii="Garamond" w:hAnsi="Garamond"/>
                <w:sz w:val="12"/>
                <w:szCs w:val="12"/>
              </w:rPr>
              <w:t>,</w:t>
            </w:r>
            <w:r w:rsidRPr="00A72159">
              <w:rPr>
                <w:rFonts w:ascii="Garamond" w:hAnsi="Garamond"/>
                <w:sz w:val="12"/>
                <w:szCs w:val="12"/>
              </w:rPr>
              <w:t xml:space="preserve"> lidhur me kalendarin e ri të tarifave të duhanit</w:t>
            </w:r>
          </w:p>
        </w:tc>
        <w:tc>
          <w:tcPr>
            <w:tcW w:w="1510" w:type="dxa"/>
          </w:tcPr>
          <w:p w14:paraId="72B875DC" w14:textId="77777777" w:rsidR="001B0E93" w:rsidRPr="00A72159" w:rsidDel="006D321E"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2026</w:t>
            </w:r>
          </w:p>
        </w:tc>
        <w:tc>
          <w:tcPr>
            <w:tcW w:w="1558" w:type="dxa"/>
          </w:tcPr>
          <w:p w14:paraId="298E5F80" w14:textId="77777777"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2026</w:t>
            </w:r>
          </w:p>
        </w:tc>
        <w:tc>
          <w:tcPr>
            <w:tcW w:w="1555" w:type="dxa"/>
          </w:tcPr>
          <w:p w14:paraId="55F27E9A" w14:textId="77777777"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MF, DPD, dhe me asistencën e FMN dhe DG TAXUD</w:t>
            </w:r>
          </w:p>
        </w:tc>
      </w:tr>
      <w:tr w:rsidR="00723888" w:rsidRPr="00A72159" w14:paraId="01EC9F9E" w14:textId="77777777" w:rsidTr="003858EE">
        <w:trPr>
          <w:trHeight w:val="397"/>
        </w:trPr>
        <w:tc>
          <w:tcPr>
            <w:cnfStyle w:val="001000000000" w:firstRow="0" w:lastRow="0" w:firstColumn="1" w:lastColumn="0" w:oddVBand="0" w:evenVBand="0" w:oddHBand="0" w:evenHBand="0" w:firstRowFirstColumn="0" w:firstRowLastColumn="0" w:lastRowFirstColumn="0" w:lastRowLastColumn="0"/>
            <w:tcW w:w="2227" w:type="dxa"/>
            <w:vMerge w:val="restart"/>
          </w:tcPr>
          <w:p w14:paraId="5049DDC5" w14:textId="1B862D2A" w:rsidR="001B0E93" w:rsidRPr="00A72159" w:rsidRDefault="001B0E93" w:rsidP="003858EE">
            <w:pPr>
              <w:jc w:val="center"/>
              <w:rPr>
                <w:rFonts w:ascii="Garamond" w:hAnsi="Garamond"/>
                <w:b w:val="0"/>
                <w:bCs w:val="0"/>
                <w:sz w:val="12"/>
                <w:szCs w:val="12"/>
              </w:rPr>
            </w:pPr>
            <w:r w:rsidRPr="00A72159">
              <w:rPr>
                <w:rFonts w:ascii="Garamond" w:hAnsi="Garamond"/>
                <w:b w:val="0"/>
                <w:bCs w:val="0"/>
                <w:sz w:val="12"/>
                <w:szCs w:val="12"/>
              </w:rPr>
              <w:t>Masa 1.1.7 Analiza e skemave fiskale incentivuese (direkte dhe indirekte) si pjesë e politikave për nxitjen e përdorimit të energjisë së rinovueshme, efi</w:t>
            </w:r>
            <w:r w:rsidR="008C0C0F" w:rsidRPr="00A72159">
              <w:rPr>
                <w:rFonts w:ascii="Garamond" w:hAnsi="Garamond"/>
                <w:b w:val="0"/>
                <w:bCs w:val="0"/>
                <w:sz w:val="12"/>
                <w:szCs w:val="12"/>
              </w:rPr>
              <w:t>ci</w:t>
            </w:r>
            <w:r w:rsidRPr="00A72159">
              <w:rPr>
                <w:rFonts w:ascii="Garamond" w:hAnsi="Garamond"/>
                <w:b w:val="0"/>
                <w:bCs w:val="0"/>
                <w:sz w:val="12"/>
                <w:szCs w:val="12"/>
              </w:rPr>
              <w:t xml:space="preserve">encës së energjisë dhe performancës </w:t>
            </w:r>
            <w:r w:rsidR="008C0C0F" w:rsidRPr="00A72159">
              <w:rPr>
                <w:rFonts w:ascii="Garamond" w:hAnsi="Garamond"/>
                <w:b w:val="0"/>
                <w:bCs w:val="0"/>
                <w:sz w:val="12"/>
                <w:szCs w:val="12"/>
              </w:rPr>
              <w:t>energjetike</w:t>
            </w:r>
            <w:r w:rsidRPr="00A72159">
              <w:rPr>
                <w:rFonts w:ascii="Garamond" w:hAnsi="Garamond"/>
                <w:b w:val="0"/>
                <w:bCs w:val="0"/>
                <w:sz w:val="12"/>
                <w:szCs w:val="12"/>
              </w:rPr>
              <w:t xml:space="preserve"> në ndërtesa</w:t>
            </w:r>
          </w:p>
        </w:tc>
        <w:tc>
          <w:tcPr>
            <w:tcW w:w="2279" w:type="dxa"/>
          </w:tcPr>
          <w:p w14:paraId="3CCDA9D4" w14:textId="5C6A689E"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Aktiviteti 1.1.7.1</w:t>
            </w:r>
            <w:r w:rsidR="00A72159">
              <w:rPr>
                <w:rFonts w:ascii="Garamond" w:hAnsi="Garamond"/>
                <w:sz w:val="12"/>
                <w:szCs w:val="12"/>
              </w:rPr>
              <w:t>:</w:t>
            </w:r>
            <w:r w:rsidRPr="00A72159">
              <w:rPr>
                <w:rFonts w:ascii="Garamond" w:hAnsi="Garamond"/>
                <w:sz w:val="12"/>
                <w:szCs w:val="12"/>
              </w:rPr>
              <w:t xml:space="preserve"> Kryerja e një analize për incentiva fiskale (direkte dhe indirekte) si pjesë e politikave për nxitjen e përdorimit të energjisë së rinovueshme, efi</w:t>
            </w:r>
            <w:r w:rsidR="008C0C0F" w:rsidRPr="00A72159">
              <w:rPr>
                <w:rFonts w:ascii="Garamond" w:hAnsi="Garamond"/>
                <w:sz w:val="12"/>
                <w:szCs w:val="12"/>
              </w:rPr>
              <w:t>c</w:t>
            </w:r>
            <w:r w:rsidRPr="00A72159">
              <w:rPr>
                <w:rFonts w:ascii="Garamond" w:hAnsi="Garamond"/>
                <w:sz w:val="12"/>
                <w:szCs w:val="12"/>
              </w:rPr>
              <w:t xml:space="preserve">iencës së energjisë dhe performacës </w:t>
            </w:r>
            <w:r w:rsidR="008C0C0F" w:rsidRPr="004857C4">
              <w:rPr>
                <w:rFonts w:ascii="Garamond" w:hAnsi="Garamond"/>
                <w:sz w:val="12"/>
                <w:szCs w:val="12"/>
              </w:rPr>
              <w:t>energjetike</w:t>
            </w:r>
            <w:r w:rsidRPr="004857C4">
              <w:rPr>
                <w:rFonts w:ascii="Garamond" w:hAnsi="Garamond"/>
                <w:sz w:val="12"/>
                <w:szCs w:val="12"/>
              </w:rPr>
              <w:t>, të</w:t>
            </w:r>
          </w:p>
        </w:tc>
        <w:tc>
          <w:tcPr>
            <w:tcW w:w="1510" w:type="dxa"/>
          </w:tcPr>
          <w:p w14:paraId="38F90CFF" w14:textId="77777777"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2025</w:t>
            </w:r>
          </w:p>
        </w:tc>
        <w:tc>
          <w:tcPr>
            <w:tcW w:w="1558" w:type="dxa"/>
          </w:tcPr>
          <w:p w14:paraId="45746A74" w14:textId="77777777"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2026</w:t>
            </w:r>
          </w:p>
        </w:tc>
        <w:tc>
          <w:tcPr>
            <w:tcW w:w="1555" w:type="dxa"/>
          </w:tcPr>
          <w:p w14:paraId="1E24B97D" w14:textId="77777777"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MF dhe MIE</w:t>
            </w:r>
          </w:p>
        </w:tc>
      </w:tr>
      <w:tr w:rsidR="00723888" w:rsidRPr="00A72159" w14:paraId="3A382F10" w14:textId="77777777" w:rsidTr="003858EE">
        <w:trPr>
          <w:trHeight w:val="397"/>
        </w:trPr>
        <w:tc>
          <w:tcPr>
            <w:cnfStyle w:val="001000000000" w:firstRow="0" w:lastRow="0" w:firstColumn="1" w:lastColumn="0" w:oddVBand="0" w:evenVBand="0" w:oddHBand="0" w:evenHBand="0" w:firstRowFirstColumn="0" w:firstRowLastColumn="0" w:lastRowFirstColumn="0" w:lastRowLastColumn="0"/>
            <w:tcW w:w="2227" w:type="dxa"/>
            <w:vMerge/>
          </w:tcPr>
          <w:p w14:paraId="6DB43481" w14:textId="77777777" w:rsidR="001B0E93" w:rsidRPr="00A72159" w:rsidRDefault="001B0E93" w:rsidP="003858EE">
            <w:pPr>
              <w:jc w:val="center"/>
              <w:rPr>
                <w:rFonts w:ascii="Garamond" w:hAnsi="Garamond"/>
                <w:b w:val="0"/>
                <w:bCs w:val="0"/>
                <w:sz w:val="12"/>
                <w:szCs w:val="12"/>
              </w:rPr>
            </w:pPr>
          </w:p>
        </w:tc>
        <w:tc>
          <w:tcPr>
            <w:tcW w:w="2279" w:type="dxa"/>
          </w:tcPr>
          <w:p w14:paraId="354F3D57" w14:textId="793C644A"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Aktiviteti 1.1.7.2</w:t>
            </w:r>
            <w:r w:rsidR="00A72159">
              <w:rPr>
                <w:rFonts w:ascii="Garamond" w:hAnsi="Garamond"/>
                <w:sz w:val="12"/>
                <w:szCs w:val="12"/>
              </w:rPr>
              <w:t>:</w:t>
            </w:r>
            <w:r w:rsidRPr="00A72159">
              <w:rPr>
                <w:rFonts w:ascii="Garamond" w:hAnsi="Garamond"/>
                <w:sz w:val="12"/>
                <w:szCs w:val="12"/>
              </w:rPr>
              <w:t xml:space="preserve"> Përgatitja e projekt ndryshimeve ligjore bazuar në vendimin e marrë pas analizës dhe në përputhje me </w:t>
            </w:r>
            <w:r w:rsidRPr="00A72159">
              <w:rPr>
                <w:rFonts w:ascii="Garamond" w:hAnsi="Garamond"/>
                <w:i/>
                <w:sz w:val="12"/>
                <w:szCs w:val="12"/>
              </w:rPr>
              <w:t>acquis</w:t>
            </w:r>
            <w:r w:rsidRPr="00A72159">
              <w:rPr>
                <w:rFonts w:ascii="Garamond" w:hAnsi="Garamond"/>
                <w:sz w:val="12"/>
                <w:szCs w:val="12"/>
              </w:rPr>
              <w:t xml:space="preserve"> të BE-së, në bashkëpunim të të dy institucioneve</w:t>
            </w:r>
            <w:r w:rsidR="00944908" w:rsidRPr="00A72159">
              <w:rPr>
                <w:rFonts w:ascii="Garamond" w:hAnsi="Garamond"/>
                <w:sz w:val="12"/>
                <w:szCs w:val="12"/>
              </w:rPr>
              <w:t>.</w:t>
            </w:r>
          </w:p>
        </w:tc>
        <w:tc>
          <w:tcPr>
            <w:tcW w:w="1510" w:type="dxa"/>
          </w:tcPr>
          <w:p w14:paraId="3BF1028E" w14:textId="77777777"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2027</w:t>
            </w:r>
          </w:p>
        </w:tc>
        <w:tc>
          <w:tcPr>
            <w:tcW w:w="1558" w:type="dxa"/>
          </w:tcPr>
          <w:p w14:paraId="27FBD429" w14:textId="77777777"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2027</w:t>
            </w:r>
          </w:p>
        </w:tc>
        <w:tc>
          <w:tcPr>
            <w:tcW w:w="1555" w:type="dxa"/>
          </w:tcPr>
          <w:p w14:paraId="0306E2D1" w14:textId="77777777" w:rsidR="001B0E93" w:rsidRPr="00A72159" w:rsidRDefault="001B0E93"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A72159">
              <w:rPr>
                <w:rFonts w:ascii="Garamond" w:hAnsi="Garamond"/>
                <w:sz w:val="12"/>
                <w:szCs w:val="12"/>
              </w:rPr>
              <w:t>MF dhe MIE</w:t>
            </w:r>
          </w:p>
        </w:tc>
      </w:tr>
    </w:tbl>
    <w:p w14:paraId="18724911" w14:textId="77777777" w:rsidR="001B0E93" w:rsidRPr="00830F4C" w:rsidRDefault="001B0E93" w:rsidP="003858EE">
      <w:pPr>
        <w:jc w:val="both"/>
        <w:rPr>
          <w:rFonts w:ascii="Garamond" w:hAnsi="Garamond"/>
          <w:b/>
        </w:rPr>
      </w:pPr>
      <w:r w:rsidRPr="00830F4C">
        <w:rPr>
          <w:rFonts w:ascii="Garamond" w:hAnsi="Garamond"/>
          <w:b/>
        </w:rPr>
        <w:t>Treguesit e performancës dhe vlerat e synuara</w:t>
      </w:r>
    </w:p>
    <w:tbl>
      <w:tblPr>
        <w:tblStyle w:val="TableGrid"/>
        <w:tblW w:w="8908" w:type="dxa"/>
        <w:tblLook w:val="04A0" w:firstRow="1" w:lastRow="0" w:firstColumn="1" w:lastColumn="0" w:noHBand="0" w:noVBand="1"/>
      </w:tblPr>
      <w:tblGrid>
        <w:gridCol w:w="2240"/>
        <w:gridCol w:w="1504"/>
        <w:gridCol w:w="1171"/>
        <w:gridCol w:w="1085"/>
        <w:gridCol w:w="1454"/>
        <w:gridCol w:w="1454"/>
      </w:tblGrid>
      <w:tr w:rsidR="001B0E93" w:rsidRPr="00A72159" w14:paraId="0963790F" w14:textId="77777777" w:rsidTr="003858EE">
        <w:trPr>
          <w:trHeight w:val="20"/>
        </w:trPr>
        <w:tc>
          <w:tcPr>
            <w:tcW w:w="2240" w:type="dxa"/>
            <w:vMerge w:val="restart"/>
          </w:tcPr>
          <w:p w14:paraId="7369C9E5" w14:textId="77777777" w:rsidR="001B0E93" w:rsidRPr="00A72159" w:rsidRDefault="001B0E93" w:rsidP="003858EE">
            <w:pPr>
              <w:jc w:val="center"/>
              <w:rPr>
                <w:rFonts w:ascii="Garamond" w:hAnsi="Garamond"/>
                <w:b/>
                <w:sz w:val="12"/>
                <w:szCs w:val="12"/>
              </w:rPr>
            </w:pPr>
            <w:r w:rsidRPr="00A72159">
              <w:rPr>
                <w:rFonts w:ascii="Garamond" w:hAnsi="Garamond"/>
                <w:b/>
                <w:sz w:val="12"/>
                <w:szCs w:val="12"/>
              </w:rPr>
              <w:t>Treguesi</w:t>
            </w:r>
          </w:p>
        </w:tc>
        <w:tc>
          <w:tcPr>
            <w:tcW w:w="1504" w:type="dxa"/>
            <w:vMerge w:val="restart"/>
          </w:tcPr>
          <w:p w14:paraId="3C73434A" w14:textId="2AC5F987" w:rsidR="001B0E93" w:rsidRPr="00A72159" w:rsidRDefault="001B0E93" w:rsidP="003858EE">
            <w:pPr>
              <w:jc w:val="center"/>
              <w:rPr>
                <w:rFonts w:ascii="Garamond" w:hAnsi="Garamond"/>
                <w:b/>
                <w:sz w:val="12"/>
                <w:szCs w:val="12"/>
              </w:rPr>
            </w:pPr>
            <w:r w:rsidRPr="00A72159">
              <w:rPr>
                <w:rFonts w:ascii="Garamond" w:hAnsi="Garamond"/>
                <w:b/>
                <w:sz w:val="12"/>
                <w:szCs w:val="12"/>
              </w:rPr>
              <w:t xml:space="preserve">Vlera </w:t>
            </w:r>
            <w:r w:rsidR="00D22EA5" w:rsidRPr="00A72159">
              <w:rPr>
                <w:rFonts w:ascii="Garamond" w:hAnsi="Garamond"/>
                <w:b/>
                <w:sz w:val="12"/>
                <w:szCs w:val="12"/>
              </w:rPr>
              <w:t>b</w:t>
            </w:r>
            <w:r w:rsidRPr="00A72159">
              <w:rPr>
                <w:rFonts w:ascii="Garamond" w:hAnsi="Garamond"/>
                <w:b/>
                <w:sz w:val="12"/>
                <w:szCs w:val="12"/>
              </w:rPr>
              <w:t>azë</w:t>
            </w:r>
            <w:r w:rsidR="00D22EA5" w:rsidRPr="00A72159">
              <w:rPr>
                <w:rFonts w:ascii="Garamond" w:hAnsi="Garamond"/>
                <w:b/>
                <w:sz w:val="12"/>
                <w:szCs w:val="12"/>
              </w:rPr>
              <w:t xml:space="preserve"> </w:t>
            </w:r>
            <w:r w:rsidRPr="00A72159">
              <w:rPr>
                <w:rFonts w:ascii="Garamond" w:hAnsi="Garamond"/>
                <w:b/>
                <w:sz w:val="12"/>
                <w:szCs w:val="12"/>
              </w:rPr>
              <w:t>(viti)</w:t>
            </w:r>
          </w:p>
        </w:tc>
        <w:tc>
          <w:tcPr>
            <w:tcW w:w="5164" w:type="dxa"/>
            <w:gridSpan w:val="4"/>
          </w:tcPr>
          <w:p w14:paraId="2CE93358" w14:textId="77777777" w:rsidR="001B0E93" w:rsidRPr="00A72159" w:rsidRDefault="001B0E93" w:rsidP="003858EE">
            <w:pPr>
              <w:jc w:val="center"/>
              <w:rPr>
                <w:rFonts w:ascii="Garamond" w:hAnsi="Garamond"/>
                <w:b/>
                <w:sz w:val="12"/>
                <w:szCs w:val="12"/>
              </w:rPr>
            </w:pPr>
            <w:r w:rsidRPr="00A72159">
              <w:rPr>
                <w:rFonts w:ascii="Garamond" w:hAnsi="Garamond"/>
                <w:b/>
                <w:sz w:val="12"/>
                <w:szCs w:val="12"/>
              </w:rPr>
              <w:t>Vlera e synuar</w:t>
            </w:r>
          </w:p>
        </w:tc>
      </w:tr>
      <w:tr w:rsidR="001B0E93" w:rsidRPr="00A72159" w14:paraId="74E1CEC3" w14:textId="77777777" w:rsidTr="003858EE">
        <w:trPr>
          <w:trHeight w:val="20"/>
        </w:trPr>
        <w:tc>
          <w:tcPr>
            <w:tcW w:w="2240" w:type="dxa"/>
            <w:vMerge/>
          </w:tcPr>
          <w:p w14:paraId="4827EFDE" w14:textId="77777777" w:rsidR="001B0E93" w:rsidRPr="00A72159" w:rsidRDefault="001B0E93" w:rsidP="003858EE">
            <w:pPr>
              <w:jc w:val="center"/>
              <w:rPr>
                <w:rFonts w:ascii="Garamond" w:hAnsi="Garamond"/>
                <w:b/>
                <w:sz w:val="12"/>
                <w:szCs w:val="12"/>
              </w:rPr>
            </w:pPr>
          </w:p>
        </w:tc>
        <w:tc>
          <w:tcPr>
            <w:tcW w:w="1504" w:type="dxa"/>
            <w:vMerge/>
          </w:tcPr>
          <w:p w14:paraId="3F29F310" w14:textId="77777777" w:rsidR="001B0E93" w:rsidRPr="00A72159" w:rsidRDefault="001B0E93" w:rsidP="003858EE">
            <w:pPr>
              <w:jc w:val="center"/>
              <w:rPr>
                <w:rFonts w:ascii="Garamond" w:hAnsi="Garamond"/>
                <w:b/>
                <w:sz w:val="12"/>
                <w:szCs w:val="12"/>
              </w:rPr>
            </w:pPr>
          </w:p>
        </w:tc>
        <w:tc>
          <w:tcPr>
            <w:tcW w:w="1171" w:type="dxa"/>
          </w:tcPr>
          <w:p w14:paraId="475E775E" w14:textId="77777777" w:rsidR="001B0E93" w:rsidRPr="00A72159" w:rsidRDefault="001B0E93" w:rsidP="003858EE">
            <w:pPr>
              <w:jc w:val="center"/>
              <w:rPr>
                <w:rFonts w:ascii="Garamond" w:hAnsi="Garamond"/>
                <w:b/>
                <w:sz w:val="12"/>
                <w:szCs w:val="12"/>
              </w:rPr>
            </w:pPr>
            <w:r w:rsidRPr="00A72159">
              <w:rPr>
                <w:rFonts w:ascii="Garamond" w:hAnsi="Garamond"/>
                <w:b/>
                <w:sz w:val="12"/>
                <w:szCs w:val="12"/>
              </w:rPr>
              <w:t>2024</w:t>
            </w:r>
          </w:p>
        </w:tc>
        <w:tc>
          <w:tcPr>
            <w:tcW w:w="1085" w:type="dxa"/>
          </w:tcPr>
          <w:p w14:paraId="0E1620BA" w14:textId="77777777" w:rsidR="001B0E93" w:rsidRPr="00A72159" w:rsidRDefault="001B0E93" w:rsidP="003858EE">
            <w:pPr>
              <w:jc w:val="center"/>
              <w:rPr>
                <w:rFonts w:ascii="Garamond" w:hAnsi="Garamond"/>
                <w:b/>
                <w:sz w:val="12"/>
                <w:szCs w:val="12"/>
              </w:rPr>
            </w:pPr>
            <w:r w:rsidRPr="00A72159">
              <w:rPr>
                <w:rFonts w:ascii="Garamond" w:hAnsi="Garamond"/>
                <w:b/>
                <w:sz w:val="12"/>
                <w:szCs w:val="12"/>
              </w:rPr>
              <w:t>2025</w:t>
            </w:r>
          </w:p>
        </w:tc>
        <w:tc>
          <w:tcPr>
            <w:tcW w:w="1454" w:type="dxa"/>
          </w:tcPr>
          <w:p w14:paraId="01F22F4E" w14:textId="77777777" w:rsidR="001B0E93" w:rsidRPr="00A72159" w:rsidRDefault="001B0E93" w:rsidP="003858EE">
            <w:pPr>
              <w:jc w:val="center"/>
              <w:rPr>
                <w:rFonts w:ascii="Garamond" w:hAnsi="Garamond"/>
                <w:b/>
                <w:sz w:val="12"/>
                <w:szCs w:val="12"/>
              </w:rPr>
            </w:pPr>
            <w:r w:rsidRPr="00A72159">
              <w:rPr>
                <w:rFonts w:ascii="Garamond" w:hAnsi="Garamond"/>
                <w:b/>
                <w:sz w:val="12"/>
                <w:szCs w:val="12"/>
              </w:rPr>
              <w:t>2026</w:t>
            </w:r>
          </w:p>
        </w:tc>
        <w:tc>
          <w:tcPr>
            <w:tcW w:w="1454" w:type="dxa"/>
          </w:tcPr>
          <w:p w14:paraId="430D6B7F" w14:textId="77777777" w:rsidR="001B0E93" w:rsidRPr="00A72159" w:rsidRDefault="001B0E93" w:rsidP="003858EE">
            <w:pPr>
              <w:jc w:val="center"/>
              <w:rPr>
                <w:rFonts w:ascii="Garamond" w:hAnsi="Garamond"/>
                <w:b/>
                <w:sz w:val="12"/>
                <w:szCs w:val="12"/>
              </w:rPr>
            </w:pPr>
            <w:r w:rsidRPr="00A72159">
              <w:rPr>
                <w:rFonts w:ascii="Garamond" w:hAnsi="Garamond"/>
                <w:b/>
                <w:sz w:val="12"/>
                <w:szCs w:val="12"/>
              </w:rPr>
              <w:t>2027</w:t>
            </w:r>
          </w:p>
        </w:tc>
      </w:tr>
      <w:tr w:rsidR="001B0E93" w:rsidRPr="00A72159" w14:paraId="778F2429" w14:textId="77777777" w:rsidTr="003858EE">
        <w:trPr>
          <w:trHeight w:val="20"/>
        </w:trPr>
        <w:tc>
          <w:tcPr>
            <w:tcW w:w="2240" w:type="dxa"/>
          </w:tcPr>
          <w:p w14:paraId="15C607B4" w14:textId="0A1EAAA9" w:rsidR="001B0E93" w:rsidRPr="00A72159" w:rsidRDefault="001B0E93" w:rsidP="003858EE">
            <w:pPr>
              <w:jc w:val="center"/>
              <w:rPr>
                <w:rFonts w:ascii="Garamond" w:hAnsi="Garamond"/>
                <w:bCs/>
                <w:sz w:val="12"/>
                <w:szCs w:val="12"/>
              </w:rPr>
            </w:pPr>
            <w:r w:rsidRPr="00A72159">
              <w:rPr>
                <w:rFonts w:ascii="Garamond" w:hAnsi="Garamond"/>
                <w:bCs/>
                <w:sz w:val="12"/>
                <w:szCs w:val="12"/>
              </w:rPr>
              <w:t>Raporti mbi analizën e përjashtimeve/normave të reduktuara të</w:t>
            </w:r>
            <w:r w:rsidR="00DE65FB" w:rsidRPr="00A72159">
              <w:rPr>
                <w:rFonts w:ascii="Garamond" w:hAnsi="Garamond"/>
                <w:bCs/>
                <w:sz w:val="12"/>
                <w:szCs w:val="12"/>
              </w:rPr>
              <w:t xml:space="preserve"> TVSh</w:t>
            </w:r>
            <w:r w:rsidR="00944908" w:rsidRPr="00A72159">
              <w:rPr>
                <w:rFonts w:ascii="Garamond" w:hAnsi="Garamond"/>
                <w:sz w:val="12"/>
                <w:szCs w:val="12"/>
              </w:rPr>
              <w:t>-së</w:t>
            </w:r>
          </w:p>
        </w:tc>
        <w:tc>
          <w:tcPr>
            <w:tcW w:w="1504" w:type="dxa"/>
          </w:tcPr>
          <w:p w14:paraId="6922376A" w14:textId="77777777" w:rsidR="001B0E93" w:rsidRPr="00A72159" w:rsidRDefault="001B0E93" w:rsidP="003858EE">
            <w:pPr>
              <w:jc w:val="center"/>
              <w:rPr>
                <w:rFonts w:ascii="Garamond" w:hAnsi="Garamond"/>
                <w:b/>
                <w:sz w:val="12"/>
                <w:szCs w:val="12"/>
              </w:rPr>
            </w:pPr>
          </w:p>
        </w:tc>
        <w:tc>
          <w:tcPr>
            <w:tcW w:w="1171" w:type="dxa"/>
          </w:tcPr>
          <w:p w14:paraId="60B4D218" w14:textId="77777777" w:rsidR="001B0E93" w:rsidRPr="00A72159" w:rsidRDefault="001B0E93" w:rsidP="003858EE">
            <w:pPr>
              <w:jc w:val="center"/>
              <w:rPr>
                <w:rFonts w:ascii="Garamond" w:hAnsi="Garamond"/>
                <w:b/>
                <w:sz w:val="12"/>
                <w:szCs w:val="12"/>
              </w:rPr>
            </w:pPr>
          </w:p>
        </w:tc>
        <w:tc>
          <w:tcPr>
            <w:tcW w:w="1085" w:type="dxa"/>
          </w:tcPr>
          <w:p w14:paraId="13ECD4D6" w14:textId="77777777" w:rsidR="001B0E93" w:rsidRPr="00A72159" w:rsidRDefault="001B0E93" w:rsidP="003858EE">
            <w:pPr>
              <w:jc w:val="center"/>
              <w:rPr>
                <w:rFonts w:ascii="Garamond" w:hAnsi="Garamond"/>
                <w:bCs/>
                <w:sz w:val="12"/>
                <w:szCs w:val="12"/>
              </w:rPr>
            </w:pPr>
            <w:r w:rsidRPr="00A72159">
              <w:rPr>
                <w:rFonts w:ascii="Garamond" w:hAnsi="Garamond"/>
                <w:bCs/>
                <w:sz w:val="12"/>
                <w:szCs w:val="12"/>
              </w:rPr>
              <w:t>Analiza e kryer</w:t>
            </w:r>
          </w:p>
        </w:tc>
        <w:tc>
          <w:tcPr>
            <w:tcW w:w="1454" w:type="dxa"/>
          </w:tcPr>
          <w:p w14:paraId="7FADE1B7" w14:textId="77777777" w:rsidR="001B0E93" w:rsidRPr="00A72159" w:rsidRDefault="001B0E93" w:rsidP="003858EE">
            <w:pPr>
              <w:jc w:val="center"/>
              <w:rPr>
                <w:rFonts w:ascii="Garamond" w:hAnsi="Garamond"/>
                <w:b/>
                <w:sz w:val="12"/>
                <w:szCs w:val="12"/>
              </w:rPr>
            </w:pPr>
          </w:p>
        </w:tc>
        <w:tc>
          <w:tcPr>
            <w:tcW w:w="1454" w:type="dxa"/>
          </w:tcPr>
          <w:p w14:paraId="4CB930BA" w14:textId="77777777" w:rsidR="001B0E93" w:rsidRPr="00A72159" w:rsidRDefault="001B0E93" w:rsidP="003858EE">
            <w:pPr>
              <w:jc w:val="center"/>
              <w:rPr>
                <w:rFonts w:ascii="Garamond" w:hAnsi="Garamond"/>
                <w:b/>
                <w:sz w:val="12"/>
                <w:szCs w:val="12"/>
              </w:rPr>
            </w:pPr>
          </w:p>
        </w:tc>
      </w:tr>
      <w:tr w:rsidR="001B0E93" w:rsidRPr="00A72159" w14:paraId="55ACB167" w14:textId="77777777" w:rsidTr="003858EE">
        <w:trPr>
          <w:trHeight w:val="20"/>
        </w:trPr>
        <w:tc>
          <w:tcPr>
            <w:tcW w:w="2240" w:type="dxa"/>
          </w:tcPr>
          <w:p w14:paraId="496B3BDE" w14:textId="085B25FB" w:rsidR="001B0E93" w:rsidRPr="00A72159" w:rsidRDefault="001B0E93" w:rsidP="003858EE">
            <w:pPr>
              <w:jc w:val="center"/>
              <w:rPr>
                <w:rFonts w:ascii="Garamond" w:hAnsi="Garamond"/>
                <w:sz w:val="12"/>
                <w:szCs w:val="12"/>
              </w:rPr>
            </w:pPr>
            <w:r w:rsidRPr="00A72159">
              <w:rPr>
                <w:rFonts w:ascii="Garamond" w:hAnsi="Garamond"/>
                <w:sz w:val="12"/>
                <w:szCs w:val="12"/>
              </w:rPr>
              <w:t>Raporti mbi analizën e pragut të regjistrimit të</w:t>
            </w:r>
            <w:r w:rsidR="00DE65FB" w:rsidRPr="00A72159">
              <w:rPr>
                <w:rFonts w:ascii="Garamond" w:hAnsi="Garamond"/>
                <w:sz w:val="12"/>
                <w:szCs w:val="12"/>
              </w:rPr>
              <w:t xml:space="preserve"> TVSh</w:t>
            </w:r>
            <w:r w:rsidR="00944908" w:rsidRPr="00A72159">
              <w:rPr>
                <w:rFonts w:ascii="Garamond" w:hAnsi="Garamond"/>
                <w:sz w:val="12"/>
                <w:szCs w:val="12"/>
              </w:rPr>
              <w:t>-së</w:t>
            </w:r>
          </w:p>
        </w:tc>
        <w:tc>
          <w:tcPr>
            <w:tcW w:w="1504" w:type="dxa"/>
          </w:tcPr>
          <w:p w14:paraId="31E4A0F8" w14:textId="77777777" w:rsidR="001B0E93" w:rsidRPr="00A72159" w:rsidRDefault="001B0E93" w:rsidP="003858EE">
            <w:pPr>
              <w:jc w:val="center"/>
              <w:rPr>
                <w:rFonts w:ascii="Garamond" w:hAnsi="Garamond"/>
                <w:sz w:val="12"/>
                <w:szCs w:val="12"/>
              </w:rPr>
            </w:pPr>
          </w:p>
        </w:tc>
        <w:tc>
          <w:tcPr>
            <w:tcW w:w="1171" w:type="dxa"/>
          </w:tcPr>
          <w:p w14:paraId="2B002475" w14:textId="77777777" w:rsidR="001B0E93" w:rsidRPr="00A72159" w:rsidRDefault="001B0E93" w:rsidP="003858EE">
            <w:pPr>
              <w:jc w:val="center"/>
              <w:rPr>
                <w:rFonts w:ascii="Garamond" w:hAnsi="Garamond"/>
                <w:sz w:val="12"/>
                <w:szCs w:val="12"/>
              </w:rPr>
            </w:pPr>
          </w:p>
        </w:tc>
        <w:tc>
          <w:tcPr>
            <w:tcW w:w="1085" w:type="dxa"/>
          </w:tcPr>
          <w:p w14:paraId="3F837897" w14:textId="77777777" w:rsidR="001B0E93" w:rsidRPr="00A72159" w:rsidRDefault="001B0E93" w:rsidP="003858EE">
            <w:pPr>
              <w:jc w:val="center"/>
              <w:rPr>
                <w:rFonts w:ascii="Garamond" w:hAnsi="Garamond"/>
                <w:bCs/>
                <w:sz w:val="12"/>
                <w:szCs w:val="12"/>
              </w:rPr>
            </w:pPr>
            <w:r w:rsidRPr="00A72159">
              <w:rPr>
                <w:rFonts w:ascii="Garamond" w:hAnsi="Garamond"/>
                <w:bCs/>
                <w:sz w:val="12"/>
                <w:szCs w:val="12"/>
              </w:rPr>
              <w:t>Analiza e kryer</w:t>
            </w:r>
          </w:p>
        </w:tc>
        <w:tc>
          <w:tcPr>
            <w:tcW w:w="1454" w:type="dxa"/>
          </w:tcPr>
          <w:p w14:paraId="31B61BC3" w14:textId="77777777" w:rsidR="001B0E93" w:rsidRPr="00A72159" w:rsidRDefault="001B0E93" w:rsidP="003858EE">
            <w:pPr>
              <w:jc w:val="center"/>
              <w:rPr>
                <w:rFonts w:ascii="Garamond" w:hAnsi="Garamond"/>
                <w:bCs/>
                <w:sz w:val="12"/>
                <w:szCs w:val="12"/>
              </w:rPr>
            </w:pPr>
          </w:p>
        </w:tc>
        <w:tc>
          <w:tcPr>
            <w:tcW w:w="1454" w:type="dxa"/>
          </w:tcPr>
          <w:p w14:paraId="3253D8B0" w14:textId="77777777" w:rsidR="001B0E93" w:rsidRPr="00A72159" w:rsidRDefault="001B0E93" w:rsidP="003858EE">
            <w:pPr>
              <w:jc w:val="center"/>
              <w:rPr>
                <w:rFonts w:ascii="Garamond" w:hAnsi="Garamond"/>
                <w:bCs/>
                <w:sz w:val="12"/>
                <w:szCs w:val="12"/>
              </w:rPr>
            </w:pPr>
          </w:p>
        </w:tc>
      </w:tr>
      <w:tr w:rsidR="001B0E93" w:rsidRPr="00A72159" w14:paraId="79A8B4D3" w14:textId="77777777" w:rsidTr="00725293">
        <w:trPr>
          <w:trHeight w:val="20"/>
        </w:trPr>
        <w:tc>
          <w:tcPr>
            <w:tcW w:w="2240" w:type="dxa"/>
          </w:tcPr>
          <w:p w14:paraId="5D1E919C" w14:textId="698A3DED" w:rsidR="001B0E93" w:rsidRPr="00A72159" w:rsidRDefault="001B0E93" w:rsidP="003858EE">
            <w:pPr>
              <w:jc w:val="center"/>
              <w:rPr>
                <w:rFonts w:ascii="Garamond" w:hAnsi="Garamond"/>
                <w:sz w:val="12"/>
                <w:szCs w:val="12"/>
              </w:rPr>
            </w:pPr>
            <w:r w:rsidRPr="00A72159">
              <w:rPr>
                <w:rFonts w:ascii="Garamond" w:hAnsi="Garamond"/>
                <w:sz w:val="12"/>
                <w:szCs w:val="12"/>
              </w:rPr>
              <w:t>Ndryshimi i ligjit për për</w:t>
            </w:r>
            <w:r w:rsidR="00DE65FB" w:rsidRPr="00A72159">
              <w:rPr>
                <w:rFonts w:ascii="Garamond" w:hAnsi="Garamond"/>
                <w:sz w:val="12"/>
                <w:szCs w:val="12"/>
              </w:rPr>
              <w:t xml:space="preserve"> TVSh</w:t>
            </w:r>
            <w:r w:rsidRPr="00A72159">
              <w:rPr>
                <w:rFonts w:ascii="Garamond" w:hAnsi="Garamond"/>
                <w:sz w:val="12"/>
                <w:szCs w:val="12"/>
              </w:rPr>
              <w:t>-në bazuar në rezultatet dhe vendimet e marra pas analizës</w:t>
            </w:r>
          </w:p>
          <w:p w14:paraId="78C4FBAA" w14:textId="77777777" w:rsidR="001B0E93" w:rsidRPr="00A72159" w:rsidRDefault="001B0E93" w:rsidP="003858EE">
            <w:pPr>
              <w:jc w:val="center"/>
              <w:rPr>
                <w:rFonts w:ascii="Garamond" w:hAnsi="Garamond"/>
                <w:bCs/>
                <w:sz w:val="12"/>
                <w:szCs w:val="12"/>
              </w:rPr>
            </w:pPr>
          </w:p>
        </w:tc>
        <w:tc>
          <w:tcPr>
            <w:tcW w:w="1504" w:type="dxa"/>
          </w:tcPr>
          <w:p w14:paraId="37F79B79" w14:textId="77777777" w:rsidR="001B0E93" w:rsidRPr="00A72159" w:rsidRDefault="001B0E93" w:rsidP="003858EE">
            <w:pPr>
              <w:jc w:val="center"/>
              <w:rPr>
                <w:rFonts w:ascii="Garamond" w:hAnsi="Garamond"/>
                <w:bCs/>
                <w:sz w:val="12"/>
                <w:szCs w:val="12"/>
              </w:rPr>
            </w:pPr>
          </w:p>
        </w:tc>
        <w:tc>
          <w:tcPr>
            <w:tcW w:w="1171" w:type="dxa"/>
          </w:tcPr>
          <w:p w14:paraId="31144E65" w14:textId="77777777" w:rsidR="001B0E93" w:rsidRPr="00A72159" w:rsidRDefault="001B0E93" w:rsidP="003858EE">
            <w:pPr>
              <w:jc w:val="center"/>
              <w:rPr>
                <w:rFonts w:ascii="Garamond" w:hAnsi="Garamond"/>
                <w:bCs/>
                <w:sz w:val="12"/>
                <w:szCs w:val="12"/>
              </w:rPr>
            </w:pPr>
          </w:p>
        </w:tc>
        <w:tc>
          <w:tcPr>
            <w:tcW w:w="1085" w:type="dxa"/>
            <w:vAlign w:val="center"/>
          </w:tcPr>
          <w:p w14:paraId="73103F92" w14:textId="77777777" w:rsidR="001B0E93" w:rsidRPr="00A72159" w:rsidRDefault="001B0E93" w:rsidP="00725293">
            <w:pPr>
              <w:jc w:val="center"/>
              <w:rPr>
                <w:rFonts w:ascii="Garamond" w:hAnsi="Garamond"/>
                <w:bCs/>
                <w:sz w:val="12"/>
                <w:szCs w:val="12"/>
              </w:rPr>
            </w:pPr>
            <w:r w:rsidRPr="00A72159">
              <w:rPr>
                <w:rFonts w:ascii="Garamond" w:hAnsi="Garamond"/>
                <w:bCs/>
                <w:sz w:val="12"/>
                <w:szCs w:val="12"/>
              </w:rPr>
              <w:t>Në varësi të Raportit</w:t>
            </w:r>
          </w:p>
        </w:tc>
        <w:tc>
          <w:tcPr>
            <w:tcW w:w="1454" w:type="dxa"/>
            <w:vAlign w:val="center"/>
          </w:tcPr>
          <w:p w14:paraId="5163BDCC" w14:textId="77777777" w:rsidR="001B0E93" w:rsidRPr="00A72159" w:rsidRDefault="001B0E93" w:rsidP="00725293">
            <w:pPr>
              <w:jc w:val="center"/>
              <w:rPr>
                <w:rFonts w:ascii="Garamond" w:hAnsi="Garamond"/>
                <w:bCs/>
                <w:sz w:val="12"/>
                <w:szCs w:val="12"/>
              </w:rPr>
            </w:pPr>
            <w:r w:rsidRPr="00A72159">
              <w:rPr>
                <w:rFonts w:ascii="Garamond" w:hAnsi="Garamond"/>
                <w:bCs/>
                <w:sz w:val="12"/>
                <w:szCs w:val="12"/>
              </w:rPr>
              <w:t>Në varësi të Raportit</w:t>
            </w:r>
          </w:p>
        </w:tc>
        <w:tc>
          <w:tcPr>
            <w:tcW w:w="1454" w:type="dxa"/>
            <w:vAlign w:val="center"/>
          </w:tcPr>
          <w:p w14:paraId="7A751B64" w14:textId="77777777" w:rsidR="001B0E93" w:rsidRPr="00A72159" w:rsidRDefault="001B0E93" w:rsidP="00725293">
            <w:pPr>
              <w:jc w:val="center"/>
              <w:rPr>
                <w:rFonts w:ascii="Garamond" w:hAnsi="Garamond"/>
                <w:bCs/>
                <w:sz w:val="12"/>
                <w:szCs w:val="12"/>
              </w:rPr>
            </w:pPr>
            <w:r w:rsidRPr="00A72159">
              <w:rPr>
                <w:rFonts w:ascii="Garamond" w:hAnsi="Garamond"/>
                <w:bCs/>
                <w:sz w:val="12"/>
                <w:szCs w:val="12"/>
              </w:rPr>
              <w:t>Në varësi të Raportit</w:t>
            </w:r>
          </w:p>
        </w:tc>
      </w:tr>
      <w:tr w:rsidR="001B0E93" w:rsidRPr="00A72159" w14:paraId="6F090F2C" w14:textId="77777777" w:rsidTr="00725293">
        <w:trPr>
          <w:trHeight w:val="20"/>
        </w:trPr>
        <w:tc>
          <w:tcPr>
            <w:tcW w:w="2240" w:type="dxa"/>
          </w:tcPr>
          <w:p w14:paraId="582DF943" w14:textId="3643C2D3" w:rsidR="001B0E93" w:rsidRPr="00A72159" w:rsidRDefault="001B0E93" w:rsidP="003858EE">
            <w:pPr>
              <w:jc w:val="center"/>
              <w:rPr>
                <w:rFonts w:ascii="Garamond" w:hAnsi="Garamond"/>
                <w:sz w:val="12"/>
                <w:szCs w:val="12"/>
              </w:rPr>
            </w:pPr>
            <w:r w:rsidRPr="00A72159">
              <w:rPr>
                <w:rFonts w:ascii="Garamond" w:hAnsi="Garamond"/>
                <w:sz w:val="12"/>
                <w:szCs w:val="12"/>
              </w:rPr>
              <w:t>Raport mbi analizën e niveleve të akcizës</w:t>
            </w:r>
            <w:r w:rsidR="00944908" w:rsidRPr="00A72159">
              <w:rPr>
                <w:rFonts w:ascii="Garamond" w:hAnsi="Garamond"/>
                <w:sz w:val="12"/>
                <w:szCs w:val="12"/>
              </w:rPr>
              <w:t>,</w:t>
            </w:r>
            <w:r w:rsidRPr="00A72159">
              <w:rPr>
                <w:rFonts w:ascii="Garamond" w:hAnsi="Garamond"/>
                <w:sz w:val="12"/>
                <w:szCs w:val="12"/>
              </w:rPr>
              <w:t xml:space="preserve"> lidhur me nivelet minimale të BE-së</w:t>
            </w:r>
          </w:p>
        </w:tc>
        <w:tc>
          <w:tcPr>
            <w:tcW w:w="1504" w:type="dxa"/>
          </w:tcPr>
          <w:p w14:paraId="76C06DDB" w14:textId="77777777" w:rsidR="001B0E93" w:rsidRPr="00A72159" w:rsidRDefault="001B0E93" w:rsidP="003858EE">
            <w:pPr>
              <w:jc w:val="center"/>
              <w:rPr>
                <w:rFonts w:ascii="Garamond" w:hAnsi="Garamond"/>
                <w:sz w:val="12"/>
                <w:szCs w:val="12"/>
              </w:rPr>
            </w:pPr>
          </w:p>
        </w:tc>
        <w:tc>
          <w:tcPr>
            <w:tcW w:w="1171" w:type="dxa"/>
          </w:tcPr>
          <w:p w14:paraId="4F4367B0" w14:textId="77777777" w:rsidR="001B0E93" w:rsidRPr="00A72159" w:rsidRDefault="001B0E93" w:rsidP="003858EE">
            <w:pPr>
              <w:jc w:val="center"/>
              <w:rPr>
                <w:rFonts w:ascii="Garamond" w:hAnsi="Garamond"/>
                <w:sz w:val="12"/>
                <w:szCs w:val="12"/>
              </w:rPr>
            </w:pPr>
          </w:p>
        </w:tc>
        <w:tc>
          <w:tcPr>
            <w:tcW w:w="1085" w:type="dxa"/>
            <w:vAlign w:val="center"/>
          </w:tcPr>
          <w:p w14:paraId="67EDB1F6" w14:textId="77777777" w:rsidR="001B0E93" w:rsidRPr="00A72159" w:rsidRDefault="001B0E93" w:rsidP="00725293">
            <w:pPr>
              <w:jc w:val="center"/>
              <w:rPr>
                <w:rFonts w:ascii="Garamond" w:hAnsi="Garamond"/>
                <w:bCs/>
                <w:sz w:val="12"/>
                <w:szCs w:val="12"/>
              </w:rPr>
            </w:pPr>
            <w:r w:rsidRPr="00A72159">
              <w:rPr>
                <w:rFonts w:ascii="Garamond" w:hAnsi="Garamond"/>
                <w:bCs/>
                <w:sz w:val="12"/>
                <w:szCs w:val="12"/>
              </w:rPr>
              <w:t>Analizë e kryer</w:t>
            </w:r>
          </w:p>
        </w:tc>
        <w:tc>
          <w:tcPr>
            <w:tcW w:w="1454" w:type="dxa"/>
            <w:vAlign w:val="center"/>
          </w:tcPr>
          <w:p w14:paraId="24D12135" w14:textId="77777777" w:rsidR="001B0E93" w:rsidRPr="00A72159" w:rsidRDefault="001B0E93" w:rsidP="00725293">
            <w:pPr>
              <w:jc w:val="center"/>
              <w:rPr>
                <w:rFonts w:ascii="Garamond" w:hAnsi="Garamond"/>
                <w:bCs/>
                <w:sz w:val="12"/>
                <w:szCs w:val="12"/>
              </w:rPr>
            </w:pPr>
          </w:p>
        </w:tc>
        <w:tc>
          <w:tcPr>
            <w:tcW w:w="1454" w:type="dxa"/>
          </w:tcPr>
          <w:p w14:paraId="05F3A4E1" w14:textId="77777777" w:rsidR="001B0E93" w:rsidRPr="00A72159" w:rsidRDefault="001B0E93" w:rsidP="003858EE">
            <w:pPr>
              <w:jc w:val="center"/>
              <w:rPr>
                <w:rFonts w:ascii="Garamond" w:hAnsi="Garamond"/>
                <w:bCs/>
                <w:sz w:val="12"/>
                <w:szCs w:val="12"/>
              </w:rPr>
            </w:pPr>
          </w:p>
        </w:tc>
      </w:tr>
      <w:tr w:rsidR="001B0E93" w:rsidRPr="00A72159" w14:paraId="63605072" w14:textId="77777777" w:rsidTr="00725293">
        <w:trPr>
          <w:trHeight w:val="20"/>
        </w:trPr>
        <w:tc>
          <w:tcPr>
            <w:tcW w:w="2240" w:type="dxa"/>
          </w:tcPr>
          <w:p w14:paraId="4997F71B" w14:textId="77777777" w:rsidR="001B0E93" w:rsidRPr="00A72159" w:rsidRDefault="001B0E93" w:rsidP="003858EE">
            <w:pPr>
              <w:jc w:val="center"/>
              <w:rPr>
                <w:rFonts w:ascii="Garamond" w:hAnsi="Garamond"/>
                <w:bCs/>
                <w:sz w:val="12"/>
                <w:szCs w:val="12"/>
              </w:rPr>
            </w:pPr>
            <w:r w:rsidRPr="00A72159">
              <w:rPr>
                <w:rFonts w:ascii="Garamond" w:hAnsi="Garamond"/>
                <w:bCs/>
                <w:sz w:val="12"/>
                <w:szCs w:val="12"/>
              </w:rPr>
              <w:t>Hartimi dhe miratimi i ndryshimeve në ligjin për akcizat, për rinovimin e kalendarit të cigareve dhe duhanit</w:t>
            </w:r>
          </w:p>
        </w:tc>
        <w:tc>
          <w:tcPr>
            <w:tcW w:w="1504" w:type="dxa"/>
          </w:tcPr>
          <w:p w14:paraId="65EFA4D7" w14:textId="77777777" w:rsidR="001B0E93" w:rsidRPr="00A72159" w:rsidRDefault="001B0E93" w:rsidP="003858EE">
            <w:pPr>
              <w:jc w:val="center"/>
              <w:rPr>
                <w:rFonts w:ascii="Garamond" w:hAnsi="Garamond"/>
                <w:bCs/>
                <w:sz w:val="12"/>
                <w:szCs w:val="12"/>
              </w:rPr>
            </w:pPr>
          </w:p>
        </w:tc>
        <w:tc>
          <w:tcPr>
            <w:tcW w:w="1171" w:type="dxa"/>
          </w:tcPr>
          <w:p w14:paraId="3593CABC" w14:textId="77777777" w:rsidR="001B0E93" w:rsidRPr="00A72159" w:rsidRDefault="001B0E93" w:rsidP="003858EE">
            <w:pPr>
              <w:jc w:val="center"/>
              <w:rPr>
                <w:rFonts w:ascii="Garamond" w:hAnsi="Garamond"/>
                <w:bCs/>
                <w:sz w:val="12"/>
                <w:szCs w:val="12"/>
              </w:rPr>
            </w:pPr>
          </w:p>
        </w:tc>
        <w:tc>
          <w:tcPr>
            <w:tcW w:w="1085" w:type="dxa"/>
            <w:vAlign w:val="center"/>
          </w:tcPr>
          <w:p w14:paraId="01D56717" w14:textId="77777777" w:rsidR="001B0E93" w:rsidRPr="00A72159" w:rsidRDefault="001B0E93" w:rsidP="00725293">
            <w:pPr>
              <w:jc w:val="center"/>
              <w:rPr>
                <w:rFonts w:ascii="Garamond" w:hAnsi="Garamond"/>
                <w:bCs/>
                <w:sz w:val="12"/>
                <w:szCs w:val="12"/>
              </w:rPr>
            </w:pPr>
          </w:p>
        </w:tc>
        <w:tc>
          <w:tcPr>
            <w:tcW w:w="1454" w:type="dxa"/>
            <w:vAlign w:val="center"/>
          </w:tcPr>
          <w:p w14:paraId="72E09A32" w14:textId="77777777" w:rsidR="001B0E93" w:rsidRPr="00A72159" w:rsidRDefault="001B0E93" w:rsidP="00725293">
            <w:pPr>
              <w:jc w:val="center"/>
              <w:rPr>
                <w:rFonts w:ascii="Garamond" w:hAnsi="Garamond"/>
                <w:sz w:val="12"/>
                <w:szCs w:val="12"/>
              </w:rPr>
            </w:pPr>
            <w:r w:rsidRPr="00A72159">
              <w:rPr>
                <w:rFonts w:ascii="Garamond" w:hAnsi="Garamond"/>
                <w:sz w:val="12"/>
                <w:szCs w:val="12"/>
              </w:rPr>
              <w:t>Hartimi dhe miratimi i ligjit</w:t>
            </w:r>
          </w:p>
        </w:tc>
        <w:tc>
          <w:tcPr>
            <w:tcW w:w="1454" w:type="dxa"/>
          </w:tcPr>
          <w:p w14:paraId="2D885CE4" w14:textId="77777777" w:rsidR="001B0E93" w:rsidRPr="00A72159" w:rsidRDefault="001B0E93" w:rsidP="003858EE">
            <w:pPr>
              <w:jc w:val="center"/>
              <w:rPr>
                <w:rFonts w:ascii="Garamond" w:hAnsi="Garamond"/>
                <w:sz w:val="12"/>
                <w:szCs w:val="12"/>
              </w:rPr>
            </w:pPr>
          </w:p>
        </w:tc>
      </w:tr>
      <w:tr w:rsidR="001B0E93" w:rsidRPr="00A72159" w14:paraId="3DE442C3" w14:textId="77777777" w:rsidTr="00725293">
        <w:trPr>
          <w:trHeight w:val="20"/>
        </w:trPr>
        <w:tc>
          <w:tcPr>
            <w:tcW w:w="2240" w:type="dxa"/>
          </w:tcPr>
          <w:p w14:paraId="00FB1968" w14:textId="77777777" w:rsidR="001B0E93" w:rsidRPr="00A72159" w:rsidRDefault="001B0E93" w:rsidP="003858EE">
            <w:pPr>
              <w:jc w:val="center"/>
              <w:rPr>
                <w:rFonts w:ascii="Garamond" w:hAnsi="Garamond"/>
                <w:bCs/>
                <w:sz w:val="12"/>
                <w:szCs w:val="12"/>
              </w:rPr>
            </w:pPr>
            <w:r w:rsidRPr="00A72159">
              <w:rPr>
                <w:rFonts w:ascii="Garamond" w:hAnsi="Garamond"/>
                <w:bCs/>
                <w:sz w:val="12"/>
                <w:szCs w:val="12"/>
              </w:rPr>
              <w:t>Rritja e të ardhurave doganore nga rritja e normave të akcizës së cigareve dhe duhaneve</w:t>
            </w:r>
          </w:p>
        </w:tc>
        <w:tc>
          <w:tcPr>
            <w:tcW w:w="1504" w:type="dxa"/>
          </w:tcPr>
          <w:p w14:paraId="3C0A6527" w14:textId="77777777" w:rsidR="001B0E93" w:rsidRPr="00A72159" w:rsidRDefault="001B0E93" w:rsidP="003858EE">
            <w:pPr>
              <w:jc w:val="center"/>
              <w:rPr>
                <w:rFonts w:ascii="Garamond" w:hAnsi="Garamond"/>
                <w:bCs/>
                <w:sz w:val="12"/>
                <w:szCs w:val="12"/>
              </w:rPr>
            </w:pPr>
          </w:p>
        </w:tc>
        <w:tc>
          <w:tcPr>
            <w:tcW w:w="1171" w:type="dxa"/>
            <w:vAlign w:val="center"/>
          </w:tcPr>
          <w:p w14:paraId="75D74FC0" w14:textId="77777777" w:rsidR="001B0E93" w:rsidRPr="00A72159" w:rsidRDefault="001B0E93" w:rsidP="00725293">
            <w:pPr>
              <w:jc w:val="center"/>
              <w:rPr>
                <w:rFonts w:ascii="Garamond" w:hAnsi="Garamond"/>
                <w:bCs/>
                <w:sz w:val="12"/>
                <w:szCs w:val="12"/>
              </w:rPr>
            </w:pPr>
            <w:r w:rsidRPr="00A72159">
              <w:rPr>
                <w:rFonts w:ascii="Garamond" w:hAnsi="Garamond"/>
                <w:bCs/>
                <w:sz w:val="12"/>
                <w:szCs w:val="12"/>
              </w:rPr>
              <w:t>0.03% e</w:t>
            </w:r>
          </w:p>
          <w:p w14:paraId="601B6219" w14:textId="1C198164" w:rsidR="001B0E93" w:rsidRPr="00A72159" w:rsidRDefault="001B0E93" w:rsidP="00725293">
            <w:pPr>
              <w:jc w:val="center"/>
              <w:rPr>
                <w:rFonts w:ascii="Garamond" w:hAnsi="Garamond"/>
                <w:bCs/>
                <w:sz w:val="12"/>
                <w:szCs w:val="12"/>
              </w:rPr>
            </w:pPr>
            <w:r w:rsidRPr="00A72159">
              <w:rPr>
                <w:rFonts w:ascii="Garamond" w:hAnsi="Garamond"/>
                <w:bCs/>
                <w:sz w:val="12"/>
                <w:szCs w:val="12"/>
              </w:rPr>
              <w:t>PBB</w:t>
            </w:r>
            <w:r w:rsidR="00D22EA5" w:rsidRPr="00A72159">
              <w:rPr>
                <w:rFonts w:ascii="Garamond" w:hAnsi="Garamond"/>
                <w:bCs/>
                <w:sz w:val="12"/>
                <w:szCs w:val="12"/>
              </w:rPr>
              <w:t>-së</w:t>
            </w:r>
          </w:p>
        </w:tc>
        <w:tc>
          <w:tcPr>
            <w:tcW w:w="1085" w:type="dxa"/>
            <w:vAlign w:val="center"/>
          </w:tcPr>
          <w:p w14:paraId="158F41E9" w14:textId="3CD6EB9C" w:rsidR="001B0E93" w:rsidRPr="00A72159" w:rsidRDefault="001B0E93" w:rsidP="00725293">
            <w:pPr>
              <w:jc w:val="center"/>
              <w:rPr>
                <w:rFonts w:ascii="Garamond" w:hAnsi="Garamond"/>
                <w:bCs/>
                <w:sz w:val="12"/>
                <w:szCs w:val="12"/>
              </w:rPr>
            </w:pPr>
            <w:r w:rsidRPr="00A72159">
              <w:rPr>
                <w:rFonts w:ascii="Garamond" w:hAnsi="Garamond"/>
                <w:bCs/>
                <w:sz w:val="12"/>
                <w:szCs w:val="12"/>
              </w:rPr>
              <w:t>0.03% e PBB</w:t>
            </w:r>
            <w:r w:rsidR="00D22EA5" w:rsidRPr="00A72159">
              <w:rPr>
                <w:rFonts w:ascii="Garamond" w:hAnsi="Garamond"/>
                <w:bCs/>
                <w:sz w:val="12"/>
                <w:szCs w:val="12"/>
              </w:rPr>
              <w:t>-së</w:t>
            </w:r>
          </w:p>
        </w:tc>
        <w:tc>
          <w:tcPr>
            <w:tcW w:w="1454" w:type="dxa"/>
            <w:vAlign w:val="center"/>
          </w:tcPr>
          <w:p w14:paraId="33E03F8B" w14:textId="7B565228" w:rsidR="001B0E93" w:rsidRPr="00A72159" w:rsidRDefault="001B0E93" w:rsidP="00725293">
            <w:pPr>
              <w:jc w:val="center"/>
              <w:rPr>
                <w:rFonts w:ascii="Garamond" w:hAnsi="Garamond"/>
                <w:bCs/>
                <w:sz w:val="12"/>
                <w:szCs w:val="12"/>
              </w:rPr>
            </w:pPr>
            <w:r w:rsidRPr="00A72159">
              <w:rPr>
                <w:rFonts w:ascii="Garamond" w:hAnsi="Garamond"/>
                <w:bCs/>
                <w:sz w:val="12"/>
                <w:szCs w:val="12"/>
              </w:rPr>
              <w:t>0.03% e PBB</w:t>
            </w:r>
            <w:r w:rsidR="00D22EA5" w:rsidRPr="00A72159">
              <w:rPr>
                <w:rFonts w:ascii="Garamond" w:hAnsi="Garamond"/>
                <w:bCs/>
                <w:sz w:val="12"/>
                <w:szCs w:val="12"/>
              </w:rPr>
              <w:t>-së</w:t>
            </w:r>
          </w:p>
        </w:tc>
        <w:tc>
          <w:tcPr>
            <w:tcW w:w="1454" w:type="dxa"/>
            <w:vAlign w:val="center"/>
          </w:tcPr>
          <w:p w14:paraId="3CF27E4E" w14:textId="198588E9" w:rsidR="001B0E93" w:rsidRPr="00A72159" w:rsidRDefault="001B0E93" w:rsidP="00725293">
            <w:pPr>
              <w:jc w:val="center"/>
              <w:rPr>
                <w:rFonts w:ascii="Garamond" w:hAnsi="Garamond"/>
                <w:bCs/>
                <w:sz w:val="12"/>
                <w:szCs w:val="12"/>
              </w:rPr>
            </w:pPr>
            <w:r w:rsidRPr="00A72159">
              <w:rPr>
                <w:rFonts w:ascii="Garamond" w:hAnsi="Garamond"/>
                <w:bCs/>
                <w:sz w:val="12"/>
                <w:szCs w:val="12"/>
              </w:rPr>
              <w:t>0.03% e PBB</w:t>
            </w:r>
            <w:r w:rsidR="00D22EA5" w:rsidRPr="00A72159">
              <w:rPr>
                <w:rFonts w:ascii="Garamond" w:hAnsi="Garamond"/>
                <w:bCs/>
                <w:sz w:val="12"/>
                <w:szCs w:val="12"/>
              </w:rPr>
              <w:t>-së</w:t>
            </w:r>
          </w:p>
        </w:tc>
      </w:tr>
    </w:tbl>
    <w:p w14:paraId="78E2172A" w14:textId="77777777" w:rsidR="00723888" w:rsidRPr="00830F4C" w:rsidRDefault="00723888" w:rsidP="003858EE">
      <w:pPr>
        <w:ind w:firstLine="284"/>
        <w:jc w:val="both"/>
        <w:rPr>
          <w:rFonts w:ascii="Garamond" w:hAnsi="Garamond"/>
        </w:rPr>
      </w:pPr>
      <w:bookmarkStart w:id="23" w:name="_Toc173483105"/>
    </w:p>
    <w:p w14:paraId="149FAEC8" w14:textId="1C4E1264" w:rsidR="003858EE" w:rsidRPr="00830F4C" w:rsidRDefault="003858EE" w:rsidP="003858EE">
      <w:pPr>
        <w:ind w:firstLine="284"/>
        <w:jc w:val="both"/>
        <w:rPr>
          <w:rFonts w:ascii="Garamond" w:hAnsi="Garamond"/>
          <w:b/>
          <w:bCs/>
        </w:rPr>
      </w:pPr>
      <w:r w:rsidRPr="00830F4C">
        <w:rPr>
          <w:rFonts w:ascii="Garamond" w:hAnsi="Garamond"/>
          <w:b/>
          <w:bCs/>
        </w:rPr>
        <w:t>Masa 1.1.1 Analiza e përjashtimeve/normave të reduktuara në</w:t>
      </w:r>
      <w:r w:rsidR="00DE65FB">
        <w:rPr>
          <w:rFonts w:ascii="Garamond" w:hAnsi="Garamond"/>
          <w:b/>
          <w:bCs/>
        </w:rPr>
        <w:t xml:space="preserve"> TVSh</w:t>
      </w:r>
      <w:bookmarkEnd w:id="23"/>
    </w:p>
    <w:p w14:paraId="35AB0721" w14:textId="5EC9B777" w:rsidR="003858EE" w:rsidRPr="00830F4C" w:rsidRDefault="003858EE" w:rsidP="00725293">
      <w:pPr>
        <w:ind w:firstLine="284"/>
        <w:jc w:val="both"/>
        <w:rPr>
          <w:rFonts w:ascii="Garamond" w:hAnsi="Garamond"/>
        </w:rPr>
      </w:pPr>
      <w:r w:rsidRPr="00830F4C">
        <w:rPr>
          <w:rFonts w:ascii="Garamond" w:hAnsi="Garamond"/>
        </w:rPr>
        <w:t>Tatimi mbi Vlerën e Shtuar është burim kryesor dhe më i rëndësishëm në strukturën e të ardhurave tatimore, duke siguruar rreth 8.7% të PBB-së në 10 vitet e fundit. Shqipëria aplikon</w:t>
      </w:r>
      <w:r w:rsidR="00DE65FB">
        <w:rPr>
          <w:rFonts w:ascii="Garamond" w:hAnsi="Garamond"/>
        </w:rPr>
        <w:t xml:space="preserve"> TVSh</w:t>
      </w:r>
      <w:r w:rsidR="00D22EA5" w:rsidRPr="00830F4C">
        <w:rPr>
          <w:rFonts w:ascii="Garamond" w:hAnsi="Garamond"/>
          <w:bCs/>
        </w:rPr>
        <w:t>-në</w:t>
      </w:r>
      <w:r w:rsidRPr="00830F4C">
        <w:rPr>
          <w:rFonts w:ascii="Garamond" w:hAnsi="Garamond"/>
        </w:rPr>
        <w:t xml:space="preserve"> me bazë të gjerë, me shkallë standarde 20% dhe dy shkallë të reduktuara 6% dhe 10%. Legjislacioni në fushën e këtij tatimi është </w:t>
      </w:r>
      <w:r w:rsidRPr="00830F4C">
        <w:rPr>
          <w:rFonts w:ascii="Garamond" w:eastAsia="SimSun" w:hAnsi="Garamond"/>
          <w:lang w:eastAsia="zh-CN"/>
        </w:rPr>
        <w:t xml:space="preserve">në përputhje të pjesshme me </w:t>
      </w:r>
      <w:r w:rsidR="00725293" w:rsidRPr="00830F4C">
        <w:rPr>
          <w:rFonts w:ascii="Garamond" w:eastAsia="SimSun" w:hAnsi="Garamond"/>
          <w:lang w:eastAsia="zh-CN"/>
        </w:rPr>
        <w:t>d</w:t>
      </w:r>
      <w:r w:rsidRPr="00830F4C">
        <w:rPr>
          <w:rFonts w:ascii="Garamond" w:eastAsia="SimSun" w:hAnsi="Garamond"/>
          <w:lang w:eastAsia="zh-CN"/>
        </w:rPr>
        <w:t xml:space="preserve">irektivën 2006/112/CE të Këshillit </w:t>
      </w:r>
      <w:r w:rsidR="00D22EA5" w:rsidRPr="00830F4C">
        <w:rPr>
          <w:rFonts w:ascii="Garamond" w:eastAsia="SimSun" w:hAnsi="Garamond"/>
          <w:lang w:eastAsia="zh-CN"/>
        </w:rPr>
        <w:t>“</w:t>
      </w:r>
      <w:r w:rsidRPr="00830F4C">
        <w:rPr>
          <w:rFonts w:ascii="Garamond" w:eastAsia="SimSun" w:hAnsi="Garamond"/>
          <w:lang w:eastAsia="zh-CN"/>
        </w:rPr>
        <w:t>Mbi sistemin e përbashkët të Tatimit mbi Vlerën e Shtuar</w:t>
      </w:r>
      <w:r w:rsidR="00D22EA5" w:rsidRPr="00830F4C">
        <w:rPr>
          <w:rFonts w:ascii="Garamond" w:eastAsia="SimSun" w:hAnsi="Garamond"/>
          <w:lang w:eastAsia="zh-CN"/>
        </w:rPr>
        <w:t>”</w:t>
      </w:r>
      <w:r w:rsidRPr="00830F4C">
        <w:rPr>
          <w:rFonts w:ascii="Garamond" w:eastAsia="SimSun" w:hAnsi="Garamond"/>
          <w:lang w:eastAsia="zh-CN"/>
        </w:rPr>
        <w:t>, të ndryshuar.</w:t>
      </w:r>
      <w:r w:rsidRPr="00830F4C">
        <w:rPr>
          <w:rFonts w:ascii="Garamond" w:hAnsi="Garamond"/>
        </w:rPr>
        <w:t xml:space="preserve"> </w:t>
      </w:r>
    </w:p>
    <w:p w14:paraId="7D3D4631" w14:textId="68FA948C" w:rsidR="003858EE" w:rsidRPr="00830F4C" w:rsidRDefault="003858EE" w:rsidP="00723888">
      <w:pPr>
        <w:pStyle w:val="Caption"/>
        <w:spacing w:after="0"/>
        <w:ind w:firstLine="284"/>
        <w:rPr>
          <w:rFonts w:ascii="Garamond" w:hAnsi="Garamond" w:cs="Times New Roman"/>
          <w:color w:val="auto"/>
          <w:sz w:val="28"/>
          <w:szCs w:val="24"/>
        </w:rPr>
      </w:pPr>
      <w:bookmarkStart w:id="24" w:name="_Toc185235121"/>
      <w:r w:rsidRPr="00830F4C">
        <w:rPr>
          <w:rFonts w:ascii="Garamond" w:hAnsi="Garamond"/>
          <w:color w:val="auto"/>
          <w:sz w:val="20"/>
        </w:rPr>
        <w:t xml:space="preserve">Grafik </w:t>
      </w:r>
      <w:r w:rsidRPr="00830F4C">
        <w:rPr>
          <w:rFonts w:ascii="Garamond" w:hAnsi="Garamond"/>
          <w:color w:val="auto"/>
          <w:sz w:val="20"/>
        </w:rPr>
        <w:fldChar w:fldCharType="begin"/>
      </w:r>
      <w:r w:rsidRPr="00830F4C">
        <w:rPr>
          <w:rFonts w:ascii="Garamond" w:hAnsi="Garamond"/>
          <w:color w:val="auto"/>
          <w:sz w:val="20"/>
        </w:rPr>
        <w:instrText xml:space="preserve"> SEQ Grafik \* ARABIC </w:instrText>
      </w:r>
      <w:r w:rsidRPr="00830F4C">
        <w:rPr>
          <w:rFonts w:ascii="Garamond" w:hAnsi="Garamond"/>
          <w:color w:val="auto"/>
          <w:sz w:val="20"/>
        </w:rPr>
        <w:fldChar w:fldCharType="separate"/>
      </w:r>
      <w:r w:rsidRPr="00830F4C">
        <w:rPr>
          <w:rFonts w:ascii="Garamond" w:hAnsi="Garamond"/>
          <w:color w:val="auto"/>
          <w:sz w:val="20"/>
        </w:rPr>
        <w:t>5</w:t>
      </w:r>
      <w:r w:rsidRPr="00830F4C">
        <w:rPr>
          <w:rFonts w:ascii="Garamond" w:hAnsi="Garamond"/>
          <w:color w:val="auto"/>
          <w:sz w:val="20"/>
        </w:rPr>
        <w:fldChar w:fldCharType="end"/>
      </w:r>
      <w:r w:rsidRPr="00830F4C">
        <w:rPr>
          <w:rFonts w:ascii="Garamond" w:hAnsi="Garamond" w:cs="Times New Roman"/>
          <w:color w:val="auto"/>
          <w:sz w:val="20"/>
        </w:rPr>
        <w:t xml:space="preserve"> : Të ardhurat nga</w:t>
      </w:r>
      <w:r w:rsidR="00DE65FB">
        <w:rPr>
          <w:rFonts w:ascii="Garamond" w:hAnsi="Garamond" w:cs="Times New Roman"/>
          <w:color w:val="auto"/>
          <w:sz w:val="20"/>
        </w:rPr>
        <w:t xml:space="preserve"> TVSh</w:t>
      </w:r>
      <w:r w:rsidR="00725293" w:rsidRPr="00830F4C">
        <w:rPr>
          <w:rFonts w:ascii="Garamond" w:hAnsi="Garamond" w:cs="Times New Roman"/>
          <w:color w:val="auto"/>
          <w:sz w:val="20"/>
        </w:rPr>
        <w:t>-ja</w:t>
      </w:r>
      <w:r w:rsidRPr="00830F4C">
        <w:rPr>
          <w:rFonts w:ascii="Garamond" w:hAnsi="Garamond" w:cs="Times New Roman"/>
          <w:color w:val="auto"/>
          <w:sz w:val="20"/>
        </w:rPr>
        <w:t xml:space="preserve"> në % ndaj PBB</w:t>
      </w:r>
      <w:r w:rsidR="00236281" w:rsidRPr="00830F4C">
        <w:rPr>
          <w:rFonts w:ascii="Garamond" w:hAnsi="Garamond"/>
        </w:rPr>
        <w:t>-së</w:t>
      </w:r>
      <w:r w:rsidRPr="00830F4C">
        <w:rPr>
          <w:rFonts w:ascii="Garamond" w:hAnsi="Garamond" w:cs="Times New Roman"/>
          <w:color w:val="auto"/>
          <w:sz w:val="20"/>
        </w:rPr>
        <w:t xml:space="preserve"> në Shqipëri</w:t>
      </w:r>
      <w:bookmarkEnd w:id="24"/>
    </w:p>
    <w:p w14:paraId="32BAB166" w14:textId="2A1765B1" w:rsidR="003858EE" w:rsidRPr="00830F4C" w:rsidRDefault="003858EE" w:rsidP="003858EE">
      <w:pPr>
        <w:tabs>
          <w:tab w:val="num" w:pos="720"/>
        </w:tabs>
        <w:spacing w:after="240"/>
        <w:contextualSpacing/>
        <w:jc w:val="both"/>
        <w:rPr>
          <w:rFonts w:ascii="Garamond" w:hAnsi="Garamond"/>
          <w:i/>
          <w:iCs/>
          <w:sz w:val="20"/>
          <w:szCs w:val="20"/>
        </w:rPr>
      </w:pPr>
      <w:r w:rsidRPr="00830F4C">
        <w:rPr>
          <w:noProof/>
          <w:lang w:val="en-US"/>
        </w:rPr>
        <w:drawing>
          <wp:inline distT="0" distB="0" distL="0" distR="0" wp14:anchorId="4E2DDB25" wp14:editId="503CF0C2">
            <wp:extent cx="5734050" cy="1600200"/>
            <wp:effectExtent l="0" t="0" r="0" b="0"/>
            <wp:docPr id="541017695" name="Chart 541017695">
              <a:extLst xmlns:a="http://schemas.openxmlformats.org/drawingml/2006/main">
                <a:ext uri="{FF2B5EF4-FFF2-40B4-BE49-F238E27FC236}">
                  <a16:creationId xmlns:a16="http://schemas.microsoft.com/office/drawing/2014/main" id="{14F7ABEE-044D-4CEF-B4F1-F3D3136E56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830F4C">
        <w:rPr>
          <w:rFonts w:ascii="Garamond" w:hAnsi="Garamond"/>
          <w:i/>
          <w:iCs/>
          <w:sz w:val="20"/>
          <w:szCs w:val="20"/>
        </w:rPr>
        <w:t>Burimi: Ministria e Financave</w:t>
      </w:r>
    </w:p>
    <w:p w14:paraId="3F34699A" w14:textId="59A88F92" w:rsidR="003858EE" w:rsidRPr="00830F4C" w:rsidRDefault="003858EE" w:rsidP="003858EE">
      <w:pPr>
        <w:tabs>
          <w:tab w:val="left" w:pos="720"/>
        </w:tabs>
        <w:autoSpaceDE w:val="0"/>
        <w:autoSpaceDN w:val="0"/>
        <w:adjustRightInd w:val="0"/>
        <w:ind w:firstLine="284"/>
        <w:jc w:val="both"/>
        <w:rPr>
          <w:rFonts w:ascii="Garamond" w:eastAsiaTheme="minorHAnsi" w:hAnsi="Garamond"/>
        </w:rPr>
      </w:pPr>
      <w:r w:rsidRPr="00830F4C">
        <w:rPr>
          <w:rFonts w:ascii="Garamond" w:eastAsiaTheme="minorHAnsi" w:hAnsi="Garamond"/>
        </w:rPr>
        <w:t>Nëse do supozonim se çdo mall dhe shërbim i furnizuar në Republikën e Shqipërisë do të ngarkohej me</w:t>
      </w:r>
      <w:r w:rsidR="00DE65FB">
        <w:rPr>
          <w:rFonts w:ascii="Garamond" w:eastAsiaTheme="minorHAnsi" w:hAnsi="Garamond"/>
        </w:rPr>
        <w:t xml:space="preserve"> TVSh</w:t>
      </w:r>
      <w:r w:rsidRPr="00830F4C">
        <w:rPr>
          <w:rFonts w:ascii="Garamond" w:eastAsiaTheme="minorHAnsi" w:hAnsi="Garamond"/>
        </w:rPr>
        <w:t xml:space="preserve"> sipas shkallës standarde 20%, rezulton se humbja e të ardhurave tatimore për shkak të përjashtimeve/shkallëve të reduktuara të</w:t>
      </w:r>
      <w:r w:rsidR="00DE65FB">
        <w:rPr>
          <w:rFonts w:ascii="Garamond" w:eastAsiaTheme="minorHAnsi" w:hAnsi="Garamond"/>
        </w:rPr>
        <w:t xml:space="preserve"> TVSh</w:t>
      </w:r>
      <w:r w:rsidRPr="00830F4C">
        <w:rPr>
          <w:rFonts w:ascii="Garamond" w:eastAsiaTheme="minorHAnsi" w:hAnsi="Garamond"/>
        </w:rPr>
        <w:t>-së të parashikuara në legjislacion, llogaritet në rreth 4,7</w:t>
      </w:r>
      <w:r w:rsidR="00D22EA5" w:rsidRPr="00830F4C">
        <w:rPr>
          <w:rFonts w:ascii="Garamond" w:eastAsiaTheme="minorHAnsi" w:hAnsi="Garamond"/>
        </w:rPr>
        <w:t>–</w:t>
      </w:r>
      <w:r w:rsidRPr="00830F4C">
        <w:rPr>
          <w:rFonts w:ascii="Garamond" w:eastAsiaTheme="minorHAnsi" w:hAnsi="Garamond"/>
        </w:rPr>
        <w:t>4,8 për qind e PBB-së. Reduktimi gradual dhe eliminimi i përjashtimeve të papërshtatshme dhe pa efekt ekonomik thelbësor nga</w:t>
      </w:r>
      <w:r w:rsidR="00DE65FB">
        <w:rPr>
          <w:rFonts w:ascii="Garamond" w:eastAsiaTheme="minorHAnsi" w:hAnsi="Garamond"/>
        </w:rPr>
        <w:t xml:space="preserve"> TVSh</w:t>
      </w:r>
      <w:r w:rsidRPr="00830F4C">
        <w:rPr>
          <w:rFonts w:ascii="Garamond" w:eastAsiaTheme="minorHAnsi" w:hAnsi="Garamond"/>
        </w:rPr>
        <w:t>-ja, ka impakt shumë të rëndësishëm, pasi e bën</w:t>
      </w:r>
      <w:r w:rsidR="00DE65FB">
        <w:rPr>
          <w:rFonts w:ascii="Garamond" w:eastAsiaTheme="minorHAnsi" w:hAnsi="Garamond"/>
        </w:rPr>
        <w:t xml:space="preserve"> TVSh</w:t>
      </w:r>
      <w:r w:rsidRPr="00830F4C">
        <w:rPr>
          <w:rFonts w:ascii="Garamond" w:eastAsiaTheme="minorHAnsi" w:hAnsi="Garamond"/>
        </w:rPr>
        <w:t xml:space="preserve">-në më transparente dhe më të thjeshtë për t’u mbledhur dhe administruar. Është e nevojshme që të eliminohen disa përjashtime nga ky tatim, ato që nuk kanë efekt dhe nuk realizojnë qëllimet për të cilat janë dizenjuar, si dhe e komplikojnë në mënyrë të panevojshme sistemin dhe e bëjnë të vështirë administrimin efikas të tij. Në vende me sistem fiskal relativisht të ri sikurse është vendi ynë, reduktimet e normave të tatimeve të konsumit, apo edhe përjashtimet nga tatimi, nuk shkojnë plotësisht në favor të konsumatorit, qytetarit, për të cilin janë dizenjuar por </w:t>
      </w:r>
      <w:r w:rsidR="00D22EA5" w:rsidRPr="00830F4C">
        <w:rPr>
          <w:rFonts w:ascii="Garamond" w:eastAsiaTheme="minorHAnsi" w:hAnsi="Garamond"/>
        </w:rPr>
        <w:t>“</w:t>
      </w:r>
      <w:r w:rsidRPr="00830F4C">
        <w:rPr>
          <w:rFonts w:ascii="Garamond" w:eastAsiaTheme="minorHAnsi" w:hAnsi="Garamond"/>
        </w:rPr>
        <w:t>përfitohen</w:t>
      </w:r>
      <w:r w:rsidR="00D22EA5" w:rsidRPr="00830F4C">
        <w:rPr>
          <w:rFonts w:ascii="Garamond" w:eastAsiaTheme="minorHAnsi" w:hAnsi="Garamond"/>
        </w:rPr>
        <w:t>”</w:t>
      </w:r>
      <w:r w:rsidRPr="00830F4C">
        <w:rPr>
          <w:rFonts w:ascii="Garamond" w:eastAsiaTheme="minorHAnsi" w:hAnsi="Garamond"/>
        </w:rPr>
        <w:t xml:space="preserve"> nga sipërmarrjet në zinxhirin e transaksioneve ku kalon malli/shërbimi.</w:t>
      </w:r>
      <w:r w:rsidR="00D22EA5" w:rsidRPr="00830F4C">
        <w:rPr>
          <w:rFonts w:ascii="Garamond" w:eastAsiaTheme="minorHAnsi" w:hAnsi="Garamond"/>
        </w:rPr>
        <w:t xml:space="preserve"> </w:t>
      </w:r>
    </w:p>
    <w:p w14:paraId="58C400BA" w14:textId="7E5F51EB" w:rsidR="003858EE" w:rsidRPr="00830F4C" w:rsidRDefault="003858EE" w:rsidP="003858EE">
      <w:pPr>
        <w:tabs>
          <w:tab w:val="left" w:pos="720"/>
        </w:tabs>
        <w:autoSpaceDE w:val="0"/>
        <w:autoSpaceDN w:val="0"/>
        <w:adjustRightInd w:val="0"/>
        <w:ind w:firstLine="284"/>
        <w:jc w:val="both"/>
        <w:rPr>
          <w:rFonts w:ascii="Garamond" w:eastAsiaTheme="minorHAnsi" w:hAnsi="Garamond"/>
        </w:rPr>
      </w:pPr>
      <w:r w:rsidRPr="00830F4C">
        <w:rPr>
          <w:rFonts w:ascii="Garamond" w:eastAsiaTheme="minorHAnsi" w:hAnsi="Garamond"/>
        </w:rPr>
        <w:t>Për këtë arsye, lista e përjashtimeve/normave të reduktuara të tatimit duhet të jetë objekt analizimi dhe matje performance të vazhdueshme, sikurse çdo përjashtim/normë e reduktuar apo incentivë tjetër duhet të ketë karakter të përkohshëm dhe jo të përhershëm. Rishikimi i politikave tatimore në fushën e Tatimit mbi Vlerën e Shtuar do të synojë harmonizimin e mëtejshëm me legjislacionin kuadër të BE-së. Gjithashtu, do të synojë heqjen apo vendosjen e afateve kufizuese për përjashtime/shkallë të reduktuara të implementuara në vitet e mëparshme.</w:t>
      </w:r>
    </w:p>
    <w:p w14:paraId="725CB9DB" w14:textId="04214CE4" w:rsidR="003858EE" w:rsidRPr="00830F4C" w:rsidRDefault="003858EE" w:rsidP="003858EE">
      <w:pPr>
        <w:tabs>
          <w:tab w:val="left" w:pos="720"/>
        </w:tabs>
        <w:autoSpaceDE w:val="0"/>
        <w:autoSpaceDN w:val="0"/>
        <w:adjustRightInd w:val="0"/>
        <w:ind w:firstLine="284"/>
        <w:jc w:val="both"/>
        <w:rPr>
          <w:rFonts w:ascii="Garamond" w:eastAsiaTheme="minorHAnsi" w:hAnsi="Garamond"/>
        </w:rPr>
      </w:pPr>
      <w:r w:rsidRPr="00830F4C">
        <w:rPr>
          <w:rFonts w:ascii="Garamond" w:eastAsiaTheme="minorHAnsi" w:hAnsi="Garamond"/>
        </w:rPr>
        <w:t xml:space="preserve">Së pari do analizohen të gjitha incentiva/përjashtimet/normat e reduktuara të cilat kanë </w:t>
      </w:r>
      <w:r w:rsidR="00725293" w:rsidRPr="00830F4C">
        <w:rPr>
          <w:rFonts w:ascii="Garamond" w:eastAsiaTheme="minorHAnsi" w:hAnsi="Garamond"/>
        </w:rPr>
        <w:t>qenë</w:t>
      </w:r>
      <w:r w:rsidRPr="00830F4C">
        <w:rPr>
          <w:rFonts w:ascii="Garamond" w:eastAsiaTheme="minorHAnsi" w:hAnsi="Garamond"/>
        </w:rPr>
        <w:t xml:space="preserve"> politikë e brendshme e vendit tonë, dhe më pas të gjitha inventivat/përjashtimet/normat e reduktuara që janë të përfshira si të tilla në </w:t>
      </w:r>
      <w:r w:rsidR="00725293" w:rsidRPr="00830F4C">
        <w:rPr>
          <w:rFonts w:ascii="Garamond" w:eastAsiaTheme="minorHAnsi" w:hAnsi="Garamond"/>
        </w:rPr>
        <w:t>d</w:t>
      </w:r>
      <w:r w:rsidRPr="00830F4C">
        <w:rPr>
          <w:rFonts w:ascii="Garamond" w:eastAsiaTheme="minorHAnsi" w:hAnsi="Garamond"/>
        </w:rPr>
        <w:t xml:space="preserve">irektivën 2006/112/CE e Këshillit dhe Direktivat amenduese të saj. </w:t>
      </w:r>
    </w:p>
    <w:p w14:paraId="6A53020A" w14:textId="2FFD6B90" w:rsidR="003858EE" w:rsidRPr="00830F4C" w:rsidRDefault="003858EE" w:rsidP="003858EE">
      <w:pPr>
        <w:autoSpaceDE w:val="0"/>
        <w:autoSpaceDN w:val="0"/>
        <w:adjustRightInd w:val="0"/>
        <w:ind w:firstLine="284"/>
        <w:jc w:val="both"/>
        <w:rPr>
          <w:rFonts w:ascii="Garamond" w:eastAsiaTheme="minorHAnsi" w:hAnsi="Garamond"/>
        </w:rPr>
      </w:pPr>
      <w:r w:rsidRPr="00830F4C">
        <w:rPr>
          <w:rFonts w:ascii="Garamond" w:eastAsiaTheme="minorHAnsi" w:hAnsi="Garamond"/>
        </w:rPr>
        <w:t>Në këtë kuadër, rishikimi i politikave tatimore për</w:t>
      </w:r>
      <w:r w:rsidR="00DE65FB">
        <w:rPr>
          <w:rFonts w:ascii="Garamond" w:eastAsiaTheme="minorHAnsi" w:hAnsi="Garamond"/>
        </w:rPr>
        <w:t xml:space="preserve"> TVSh</w:t>
      </w:r>
      <w:r w:rsidRPr="00830F4C">
        <w:rPr>
          <w:rFonts w:ascii="Garamond" w:eastAsiaTheme="minorHAnsi" w:hAnsi="Garamond"/>
        </w:rPr>
        <w:t>-në do përfshijë: analizën e listës së përjashtimeve nga</w:t>
      </w:r>
      <w:r w:rsidR="00DE65FB">
        <w:rPr>
          <w:rFonts w:ascii="Garamond" w:eastAsiaTheme="minorHAnsi" w:hAnsi="Garamond"/>
        </w:rPr>
        <w:t xml:space="preserve"> TVSh</w:t>
      </w:r>
      <w:r w:rsidRPr="00830F4C">
        <w:rPr>
          <w:rFonts w:ascii="Garamond" w:eastAsiaTheme="minorHAnsi" w:hAnsi="Garamond"/>
        </w:rPr>
        <w:t xml:space="preserve">-ja në import dhe brenda vendit, </w:t>
      </w:r>
      <w:r w:rsidR="00725293" w:rsidRPr="00830F4C">
        <w:rPr>
          <w:rFonts w:ascii="Garamond" w:eastAsiaTheme="minorHAnsi" w:hAnsi="Garamond"/>
        </w:rPr>
        <w:t>analizën</w:t>
      </w:r>
      <w:r w:rsidRPr="00830F4C">
        <w:rPr>
          <w:rFonts w:ascii="Garamond" w:eastAsiaTheme="minorHAnsi" w:hAnsi="Garamond"/>
        </w:rPr>
        <w:t xml:space="preserve"> e furnizimeve me norma të reduktuara</w:t>
      </w:r>
      <w:r w:rsidR="00DE65FB">
        <w:rPr>
          <w:rFonts w:ascii="Garamond" w:eastAsiaTheme="minorHAnsi" w:hAnsi="Garamond"/>
        </w:rPr>
        <w:t xml:space="preserve"> TVSh</w:t>
      </w:r>
      <w:r w:rsidRPr="00830F4C">
        <w:rPr>
          <w:rFonts w:ascii="Garamond" w:eastAsiaTheme="minorHAnsi" w:hAnsi="Garamond"/>
        </w:rPr>
        <w:t>-je, si dhe analizën e pragut të regjistrimit për</w:t>
      </w:r>
      <w:r w:rsidR="00DE65FB">
        <w:rPr>
          <w:rFonts w:ascii="Garamond" w:eastAsiaTheme="minorHAnsi" w:hAnsi="Garamond"/>
        </w:rPr>
        <w:t xml:space="preserve"> TVSh</w:t>
      </w:r>
      <w:r w:rsidR="00725293" w:rsidRPr="00830F4C">
        <w:rPr>
          <w:rFonts w:ascii="Garamond" w:hAnsi="Garamond"/>
        </w:rPr>
        <w:t>-në.</w:t>
      </w:r>
    </w:p>
    <w:p w14:paraId="0D8220AA" w14:textId="4C6CC960" w:rsidR="003858EE" w:rsidRPr="00830F4C" w:rsidRDefault="003858EE" w:rsidP="003858EE">
      <w:pPr>
        <w:autoSpaceDE w:val="0"/>
        <w:autoSpaceDN w:val="0"/>
        <w:adjustRightInd w:val="0"/>
        <w:ind w:firstLine="284"/>
        <w:jc w:val="both"/>
        <w:rPr>
          <w:rFonts w:ascii="Garamond" w:eastAsiaTheme="minorHAnsi" w:hAnsi="Garamond"/>
          <w:b/>
        </w:rPr>
      </w:pPr>
      <w:r w:rsidRPr="00830F4C">
        <w:rPr>
          <w:rFonts w:ascii="Garamond" w:eastAsiaTheme="minorHAnsi" w:hAnsi="Garamond"/>
          <w:b/>
        </w:rPr>
        <w:t>Aktiviteti 1.1.1.1</w:t>
      </w:r>
      <w:r w:rsidR="00AF1255">
        <w:rPr>
          <w:rFonts w:ascii="Garamond" w:eastAsiaTheme="minorHAnsi" w:hAnsi="Garamond"/>
          <w:b/>
        </w:rPr>
        <w:t>:</w:t>
      </w:r>
      <w:r w:rsidRPr="00830F4C">
        <w:rPr>
          <w:rFonts w:ascii="Garamond" w:eastAsiaTheme="minorHAnsi" w:hAnsi="Garamond"/>
          <w:b/>
        </w:rPr>
        <w:t xml:space="preserve"> Kryerja e një analize</w:t>
      </w:r>
      <w:r w:rsidR="00725293" w:rsidRPr="00830F4C">
        <w:rPr>
          <w:rFonts w:ascii="Garamond" w:eastAsiaTheme="minorHAnsi" w:hAnsi="Garamond"/>
          <w:b/>
        </w:rPr>
        <w:t>,</w:t>
      </w:r>
      <w:r w:rsidRPr="00830F4C">
        <w:rPr>
          <w:rFonts w:ascii="Garamond" w:eastAsiaTheme="minorHAnsi" w:hAnsi="Garamond"/>
          <w:b/>
        </w:rPr>
        <w:t xml:space="preserve"> në lidhje me efektivitetin e listës së përjashtimeve/normave të reduktuara të</w:t>
      </w:r>
      <w:r w:rsidR="00DE65FB">
        <w:rPr>
          <w:rFonts w:ascii="Garamond" w:eastAsiaTheme="minorHAnsi" w:hAnsi="Garamond"/>
          <w:b/>
        </w:rPr>
        <w:t xml:space="preserve"> TVSh</w:t>
      </w:r>
      <w:r w:rsidRPr="00830F4C">
        <w:rPr>
          <w:rFonts w:ascii="Garamond" w:eastAsiaTheme="minorHAnsi" w:hAnsi="Garamond"/>
          <w:b/>
        </w:rPr>
        <w:t xml:space="preserve">-së, për të përcaktuar nëse ndonjë prej tyre mund të hiqet gradualisht. </w:t>
      </w:r>
    </w:p>
    <w:p w14:paraId="542BC3DE" w14:textId="5F71A067" w:rsidR="003858EE" w:rsidRPr="00830F4C" w:rsidRDefault="003858EE" w:rsidP="003858EE">
      <w:pPr>
        <w:autoSpaceDE w:val="0"/>
        <w:autoSpaceDN w:val="0"/>
        <w:adjustRightInd w:val="0"/>
        <w:ind w:firstLine="284"/>
        <w:jc w:val="both"/>
        <w:rPr>
          <w:rFonts w:ascii="Garamond" w:eastAsiaTheme="minorHAnsi" w:hAnsi="Garamond"/>
        </w:rPr>
      </w:pPr>
      <w:r w:rsidRPr="00830F4C">
        <w:rPr>
          <w:rFonts w:ascii="Garamond" w:eastAsiaTheme="minorHAnsi" w:hAnsi="Garamond"/>
        </w:rPr>
        <w:t>Ministria e Financave do të mbështetet nga Fondi Monetar Ndërkombëtar për kryerjen e këtij vlerësimi. Pjesë e kësaj asistence teknike nga FMN-ja do të jetë kryerja e një analizë kosto</w:t>
      </w:r>
      <w:r w:rsidR="0088379B">
        <w:rPr>
          <w:rFonts w:ascii="Garamond" w:eastAsiaTheme="minorHAnsi" w:hAnsi="Garamond"/>
        </w:rPr>
        <w:t>je</w:t>
      </w:r>
      <w:r w:rsidRPr="00830F4C">
        <w:rPr>
          <w:rFonts w:ascii="Garamond" w:eastAsiaTheme="minorHAnsi" w:hAnsi="Garamond"/>
        </w:rPr>
        <w:t xml:space="preserve"> përfitimi për dy ose tre lloje përjashtimesh/norma të reduktuara, të cilat do të përcaktohen ndërmjet FMN-së dhe MF-së. Në muajin </w:t>
      </w:r>
      <w:r w:rsidR="00D22EA5" w:rsidRPr="00830F4C">
        <w:rPr>
          <w:rFonts w:ascii="Garamond" w:eastAsiaTheme="minorHAnsi" w:hAnsi="Garamond"/>
        </w:rPr>
        <w:t>n</w:t>
      </w:r>
      <w:r w:rsidRPr="00830F4C">
        <w:rPr>
          <w:rFonts w:ascii="Garamond" w:eastAsiaTheme="minorHAnsi" w:hAnsi="Garamond"/>
        </w:rPr>
        <w:t>ëntor 2024 është zhvilluar takimi i parë me FMN</w:t>
      </w:r>
      <w:r w:rsidR="00725293" w:rsidRPr="00830F4C">
        <w:rPr>
          <w:rFonts w:ascii="Garamond" w:hAnsi="Garamond"/>
        </w:rPr>
        <w:t>-në</w:t>
      </w:r>
      <w:r w:rsidRPr="00830F4C">
        <w:rPr>
          <w:rFonts w:ascii="Garamond" w:eastAsiaTheme="minorHAnsi" w:hAnsi="Garamond"/>
        </w:rPr>
        <w:t xml:space="preserve"> për </w:t>
      </w:r>
      <w:r w:rsidR="00725293" w:rsidRPr="00830F4C">
        <w:rPr>
          <w:rFonts w:ascii="Garamond" w:eastAsiaTheme="minorHAnsi" w:hAnsi="Garamond"/>
        </w:rPr>
        <w:t>këtë</w:t>
      </w:r>
      <w:r w:rsidRPr="00830F4C">
        <w:rPr>
          <w:rFonts w:ascii="Garamond" w:eastAsiaTheme="minorHAnsi" w:hAnsi="Garamond"/>
        </w:rPr>
        <w:t xml:space="preserve"> </w:t>
      </w:r>
      <w:r w:rsidR="00725293" w:rsidRPr="00830F4C">
        <w:rPr>
          <w:rFonts w:ascii="Garamond" w:eastAsiaTheme="minorHAnsi" w:hAnsi="Garamond"/>
        </w:rPr>
        <w:t>çështje</w:t>
      </w:r>
      <w:r w:rsidRPr="00830F4C">
        <w:rPr>
          <w:rFonts w:ascii="Garamond" w:eastAsiaTheme="minorHAnsi" w:hAnsi="Garamond"/>
        </w:rPr>
        <w:t xml:space="preserve"> dhe në vijim do të përgatitet kalendari i misioneve të FMN-së për janar</w:t>
      </w:r>
      <w:r w:rsidR="00D22EA5" w:rsidRPr="00830F4C">
        <w:rPr>
          <w:rFonts w:ascii="Garamond" w:eastAsiaTheme="minorHAnsi" w:hAnsi="Garamond"/>
        </w:rPr>
        <w:t>–</w:t>
      </w:r>
      <w:r w:rsidRPr="00830F4C">
        <w:rPr>
          <w:rFonts w:ascii="Garamond" w:eastAsiaTheme="minorHAnsi" w:hAnsi="Garamond"/>
        </w:rPr>
        <w:t>qershor 2025.</w:t>
      </w:r>
    </w:p>
    <w:p w14:paraId="2E05F8A3" w14:textId="3391FAB8" w:rsidR="003858EE" w:rsidRPr="00830F4C" w:rsidRDefault="003858EE" w:rsidP="003858EE">
      <w:pPr>
        <w:autoSpaceDE w:val="0"/>
        <w:autoSpaceDN w:val="0"/>
        <w:adjustRightInd w:val="0"/>
        <w:ind w:firstLine="284"/>
        <w:jc w:val="both"/>
        <w:rPr>
          <w:rFonts w:ascii="Garamond" w:eastAsiaTheme="minorHAnsi" w:hAnsi="Garamond"/>
        </w:rPr>
      </w:pPr>
      <w:r w:rsidRPr="00830F4C">
        <w:rPr>
          <w:rFonts w:ascii="Garamond" w:eastAsiaTheme="minorHAnsi" w:hAnsi="Garamond"/>
        </w:rPr>
        <w:t>Aktualisht është bërë një punë parapërgatitore në vlerësimin e të ardhurave të munguara nga përjashtimi nga</w:t>
      </w:r>
      <w:r w:rsidR="00DE65FB">
        <w:rPr>
          <w:rFonts w:ascii="Garamond" w:eastAsiaTheme="minorHAnsi" w:hAnsi="Garamond"/>
        </w:rPr>
        <w:t xml:space="preserve"> TVSh</w:t>
      </w:r>
      <w:r w:rsidR="00725293" w:rsidRPr="00830F4C">
        <w:rPr>
          <w:rFonts w:ascii="Garamond" w:hAnsi="Garamond"/>
        </w:rPr>
        <w:t>-ja</w:t>
      </w:r>
      <w:r w:rsidRPr="00830F4C">
        <w:rPr>
          <w:rFonts w:ascii="Garamond" w:eastAsiaTheme="minorHAnsi" w:hAnsi="Garamond"/>
        </w:rPr>
        <w:t xml:space="preserve"> dhe norma e reduktuar e</w:t>
      </w:r>
      <w:r w:rsidR="00DE65FB">
        <w:rPr>
          <w:rFonts w:ascii="Garamond" w:eastAsiaTheme="minorHAnsi" w:hAnsi="Garamond"/>
        </w:rPr>
        <w:t xml:space="preserve"> TVSh</w:t>
      </w:r>
      <w:r w:rsidRPr="00830F4C">
        <w:rPr>
          <w:rFonts w:ascii="Garamond" w:eastAsiaTheme="minorHAnsi" w:hAnsi="Garamond"/>
        </w:rPr>
        <w:t>-së.</w:t>
      </w:r>
    </w:p>
    <w:p w14:paraId="362048A7" w14:textId="08227885" w:rsidR="003858EE" w:rsidRPr="00830F4C" w:rsidRDefault="003858EE" w:rsidP="003858EE">
      <w:pPr>
        <w:autoSpaceDE w:val="0"/>
        <w:autoSpaceDN w:val="0"/>
        <w:adjustRightInd w:val="0"/>
        <w:ind w:firstLine="284"/>
        <w:jc w:val="both"/>
        <w:rPr>
          <w:rFonts w:ascii="Garamond" w:eastAsiaTheme="minorHAnsi" w:hAnsi="Garamond"/>
        </w:rPr>
      </w:pPr>
      <w:r w:rsidRPr="00830F4C">
        <w:rPr>
          <w:rFonts w:ascii="Garamond" w:eastAsiaTheme="minorHAnsi" w:hAnsi="Garamond"/>
        </w:rPr>
        <w:t>Gjithashtu, MF</w:t>
      </w:r>
      <w:r w:rsidR="00725293" w:rsidRPr="00830F4C">
        <w:rPr>
          <w:rFonts w:ascii="Garamond" w:hAnsi="Garamond"/>
        </w:rPr>
        <w:t>-ja</w:t>
      </w:r>
      <w:r w:rsidRPr="00830F4C">
        <w:rPr>
          <w:rFonts w:ascii="Garamond" w:eastAsiaTheme="minorHAnsi" w:hAnsi="Garamond"/>
        </w:rPr>
        <w:t xml:space="preserve"> me asistencën e BB-së dhe FMN-së po përdor Modelin e</w:t>
      </w:r>
      <w:r w:rsidR="00DE65FB">
        <w:rPr>
          <w:rFonts w:ascii="Garamond" w:eastAsiaTheme="minorHAnsi" w:hAnsi="Garamond"/>
        </w:rPr>
        <w:t xml:space="preserve"> TVSh</w:t>
      </w:r>
      <w:r w:rsidRPr="00830F4C">
        <w:rPr>
          <w:rFonts w:ascii="Garamond" w:eastAsiaTheme="minorHAnsi" w:hAnsi="Garamond"/>
        </w:rPr>
        <w:t>-së që është në përditësim me të dhënat e fundit të INSTAT</w:t>
      </w:r>
      <w:r w:rsidR="00725293" w:rsidRPr="00830F4C">
        <w:rPr>
          <w:rFonts w:ascii="Garamond" w:eastAsiaTheme="minorHAnsi" w:hAnsi="Garamond"/>
        </w:rPr>
        <w:t>-it</w:t>
      </w:r>
      <w:r w:rsidRPr="00830F4C">
        <w:rPr>
          <w:rFonts w:ascii="Garamond" w:eastAsiaTheme="minorHAnsi" w:hAnsi="Garamond"/>
        </w:rPr>
        <w:t xml:space="preserve"> në Tabelën Input</w:t>
      </w:r>
      <w:r w:rsidR="00725293" w:rsidRPr="00830F4C">
        <w:rPr>
          <w:rFonts w:ascii="Garamond" w:eastAsiaTheme="minorHAnsi" w:hAnsi="Garamond"/>
        </w:rPr>
        <w:t xml:space="preserve"> </w:t>
      </w:r>
      <w:r w:rsidRPr="00830F4C">
        <w:rPr>
          <w:rFonts w:ascii="Garamond" w:eastAsiaTheme="minorHAnsi" w:hAnsi="Garamond"/>
        </w:rPr>
        <w:t>Output 2022. Gjithashtu, FMN</w:t>
      </w:r>
      <w:r w:rsidR="00725293" w:rsidRPr="00830F4C">
        <w:rPr>
          <w:rFonts w:ascii="Garamond" w:hAnsi="Garamond"/>
        </w:rPr>
        <w:t>-ja</w:t>
      </w:r>
      <w:r w:rsidRPr="00830F4C">
        <w:rPr>
          <w:rFonts w:ascii="Garamond" w:eastAsiaTheme="minorHAnsi" w:hAnsi="Garamond"/>
        </w:rPr>
        <w:t xml:space="preserve"> do të asistojë MF-në në përditësimin e këtij modeli. Modeli i</w:t>
      </w:r>
      <w:r w:rsidR="00DE65FB">
        <w:rPr>
          <w:rFonts w:ascii="Garamond" w:eastAsiaTheme="minorHAnsi" w:hAnsi="Garamond"/>
        </w:rPr>
        <w:t xml:space="preserve"> TVSh</w:t>
      </w:r>
      <w:r w:rsidRPr="00830F4C">
        <w:rPr>
          <w:rFonts w:ascii="Garamond" w:eastAsiaTheme="minorHAnsi" w:hAnsi="Garamond"/>
        </w:rPr>
        <w:t>-së lejon të vlerësohet se sa do të ishte mbledhja e</w:t>
      </w:r>
      <w:r w:rsidR="00DE65FB">
        <w:rPr>
          <w:rFonts w:ascii="Garamond" w:eastAsiaTheme="minorHAnsi" w:hAnsi="Garamond"/>
        </w:rPr>
        <w:t xml:space="preserve"> TVSh</w:t>
      </w:r>
      <w:r w:rsidRPr="00830F4C">
        <w:rPr>
          <w:rFonts w:ascii="Garamond" w:eastAsiaTheme="minorHAnsi" w:hAnsi="Garamond"/>
        </w:rPr>
        <w:t>-së me pajtueshmëri të plotë, në kushtet e strukturës aktuale të politikës dhe çdo strukture hipotetike të politikës.</w:t>
      </w:r>
    </w:p>
    <w:p w14:paraId="0F8FF46E" w14:textId="29214E9D" w:rsidR="003858EE" w:rsidRPr="00830F4C" w:rsidRDefault="003858EE" w:rsidP="003858EE">
      <w:pPr>
        <w:autoSpaceDE w:val="0"/>
        <w:autoSpaceDN w:val="0"/>
        <w:adjustRightInd w:val="0"/>
        <w:ind w:firstLine="284"/>
        <w:jc w:val="both"/>
        <w:rPr>
          <w:rFonts w:ascii="Garamond" w:eastAsiaTheme="minorHAnsi" w:hAnsi="Garamond"/>
        </w:rPr>
      </w:pPr>
      <w:r w:rsidRPr="00830F4C">
        <w:rPr>
          <w:rFonts w:ascii="Garamond" w:eastAsiaTheme="minorHAnsi" w:hAnsi="Garamond"/>
        </w:rPr>
        <w:t>Sipas këtij aktiviteti, lista e përjashtimeve/normave të reduktuara të</w:t>
      </w:r>
      <w:r w:rsidR="00DE65FB">
        <w:rPr>
          <w:rFonts w:ascii="Garamond" w:eastAsiaTheme="minorHAnsi" w:hAnsi="Garamond"/>
        </w:rPr>
        <w:t xml:space="preserve"> TVSh</w:t>
      </w:r>
      <w:r w:rsidRPr="00830F4C">
        <w:rPr>
          <w:rFonts w:ascii="Garamond" w:eastAsiaTheme="minorHAnsi" w:hAnsi="Garamond"/>
        </w:rPr>
        <w:t>-së ekzistuese do</w:t>
      </w:r>
      <w:r w:rsidR="0052377F" w:rsidRPr="00830F4C">
        <w:rPr>
          <w:rFonts w:ascii="Garamond" w:eastAsiaTheme="minorHAnsi" w:hAnsi="Garamond"/>
        </w:rPr>
        <w:t xml:space="preserve"> </w:t>
      </w:r>
      <w:r w:rsidR="006A23E9" w:rsidRPr="00830F4C">
        <w:rPr>
          <w:rFonts w:ascii="Garamond" w:eastAsiaTheme="minorHAnsi" w:hAnsi="Garamond"/>
        </w:rPr>
        <w:t>t’i</w:t>
      </w:r>
      <w:r w:rsidR="0052377F" w:rsidRPr="00830F4C">
        <w:rPr>
          <w:rFonts w:ascii="Garamond" w:eastAsiaTheme="minorHAnsi" w:hAnsi="Garamond"/>
        </w:rPr>
        <w:t xml:space="preserve"> </w:t>
      </w:r>
      <w:r w:rsidRPr="00830F4C">
        <w:rPr>
          <w:rFonts w:ascii="Garamond" w:eastAsiaTheme="minorHAnsi" w:hAnsi="Garamond"/>
        </w:rPr>
        <w:t>nënshtrohet analizës dhe matjes së performancës. Vlerësimet do të synojnë harmonizimin e mëtejshëm me legjislacionin kuadër të BE-së dhe do të synojnë heqjen ose vendosjen e periudhave të kufizimit për përjashtimet/normat e reduktuara të zbatuara në vitet e mëparshme.</w:t>
      </w:r>
    </w:p>
    <w:p w14:paraId="20A0D78F" w14:textId="4CB63D7B" w:rsidR="003858EE" w:rsidRPr="00830F4C" w:rsidRDefault="003858EE" w:rsidP="003858EE">
      <w:pPr>
        <w:autoSpaceDE w:val="0"/>
        <w:autoSpaceDN w:val="0"/>
        <w:adjustRightInd w:val="0"/>
        <w:ind w:firstLine="284"/>
        <w:jc w:val="both"/>
        <w:rPr>
          <w:rFonts w:ascii="Garamond" w:eastAsiaTheme="minorHAnsi" w:hAnsi="Garamond"/>
        </w:rPr>
      </w:pPr>
      <w:r w:rsidRPr="00830F4C">
        <w:rPr>
          <w:rFonts w:ascii="Garamond" w:eastAsiaTheme="minorHAnsi" w:hAnsi="Garamond"/>
        </w:rPr>
        <w:t>Fillimisht do të analizohen përjashtimet/normat e reduktuara që kanë qenë politika e brendshme e vendit tonë dhe më pas përjashtimet/normat e reduktuara që përfshihen si të tilla në Direktivën e Këshillit 2006/112/CE dhe ndryshimin e saj.</w:t>
      </w:r>
    </w:p>
    <w:p w14:paraId="557A5A3F" w14:textId="77777777" w:rsidR="003858EE" w:rsidRPr="00830F4C" w:rsidRDefault="003858EE" w:rsidP="003858EE">
      <w:pPr>
        <w:autoSpaceDE w:val="0"/>
        <w:autoSpaceDN w:val="0"/>
        <w:adjustRightInd w:val="0"/>
        <w:ind w:firstLine="284"/>
        <w:jc w:val="both"/>
        <w:rPr>
          <w:rFonts w:ascii="Garamond" w:eastAsiaTheme="minorHAnsi" w:hAnsi="Garamond"/>
        </w:rPr>
      </w:pPr>
      <w:r w:rsidRPr="00830F4C">
        <w:rPr>
          <w:rFonts w:ascii="Garamond" w:eastAsiaTheme="minorHAnsi" w:hAnsi="Garamond"/>
        </w:rPr>
        <w:t>Ky vlerësim do të përfshijë:</w:t>
      </w:r>
    </w:p>
    <w:p w14:paraId="51E4FFCC" w14:textId="6DF7A85C" w:rsidR="003858EE" w:rsidRPr="00830F4C" w:rsidRDefault="003858EE" w:rsidP="003858EE">
      <w:pPr>
        <w:autoSpaceDE w:val="0"/>
        <w:autoSpaceDN w:val="0"/>
        <w:adjustRightInd w:val="0"/>
        <w:ind w:firstLine="284"/>
        <w:jc w:val="both"/>
        <w:rPr>
          <w:rFonts w:ascii="Garamond" w:eastAsiaTheme="minorHAnsi" w:hAnsi="Garamond"/>
        </w:rPr>
      </w:pPr>
      <w:r w:rsidRPr="00830F4C">
        <w:rPr>
          <w:rFonts w:ascii="Garamond" w:eastAsiaTheme="minorHAnsi" w:hAnsi="Garamond"/>
        </w:rPr>
        <w:t>1.</w:t>
      </w:r>
      <w:r w:rsidR="00725293" w:rsidRPr="00830F4C">
        <w:rPr>
          <w:rFonts w:ascii="Garamond" w:eastAsiaTheme="minorHAnsi" w:hAnsi="Garamond"/>
        </w:rPr>
        <w:t xml:space="preserve"> Analizën </w:t>
      </w:r>
      <w:r w:rsidRPr="00830F4C">
        <w:rPr>
          <w:rFonts w:ascii="Garamond" w:eastAsiaTheme="minorHAnsi" w:hAnsi="Garamond"/>
        </w:rPr>
        <w:t>e listës së përjashtimeve nga</w:t>
      </w:r>
      <w:r w:rsidR="00DE65FB">
        <w:rPr>
          <w:rFonts w:ascii="Garamond" w:eastAsiaTheme="minorHAnsi" w:hAnsi="Garamond"/>
        </w:rPr>
        <w:t xml:space="preserve"> TVSh</w:t>
      </w:r>
      <w:r w:rsidRPr="00830F4C">
        <w:rPr>
          <w:rFonts w:ascii="Garamond" w:eastAsiaTheme="minorHAnsi" w:hAnsi="Garamond"/>
        </w:rPr>
        <w:t>-ja në import dhe brenda vendit</w:t>
      </w:r>
      <w:r w:rsidR="00725293" w:rsidRPr="00830F4C">
        <w:rPr>
          <w:rFonts w:ascii="Garamond" w:eastAsiaTheme="minorHAnsi" w:hAnsi="Garamond"/>
        </w:rPr>
        <w:t>;</w:t>
      </w:r>
    </w:p>
    <w:p w14:paraId="593617F0" w14:textId="722B5026" w:rsidR="003858EE" w:rsidRPr="00830F4C" w:rsidRDefault="003858EE" w:rsidP="003858EE">
      <w:pPr>
        <w:autoSpaceDE w:val="0"/>
        <w:autoSpaceDN w:val="0"/>
        <w:adjustRightInd w:val="0"/>
        <w:ind w:firstLine="284"/>
        <w:jc w:val="both"/>
        <w:rPr>
          <w:rFonts w:ascii="Garamond" w:eastAsiaTheme="minorHAnsi" w:hAnsi="Garamond"/>
        </w:rPr>
      </w:pPr>
      <w:r w:rsidRPr="00830F4C">
        <w:rPr>
          <w:rFonts w:ascii="Garamond" w:eastAsiaTheme="minorHAnsi" w:hAnsi="Garamond"/>
        </w:rPr>
        <w:t>2.</w:t>
      </w:r>
      <w:r w:rsidR="00725293" w:rsidRPr="00830F4C">
        <w:rPr>
          <w:rFonts w:ascii="Garamond" w:eastAsiaTheme="minorHAnsi" w:hAnsi="Garamond"/>
        </w:rPr>
        <w:t xml:space="preserve"> Analizën </w:t>
      </w:r>
      <w:r w:rsidRPr="00830F4C">
        <w:rPr>
          <w:rFonts w:ascii="Garamond" w:eastAsiaTheme="minorHAnsi" w:hAnsi="Garamond"/>
        </w:rPr>
        <w:t>e furnizimeve me norma të reduktuara dhe analizën e pragut të regjistrimit për</w:t>
      </w:r>
      <w:r w:rsidR="00DE65FB">
        <w:rPr>
          <w:rFonts w:ascii="Garamond" w:eastAsiaTheme="minorHAnsi" w:hAnsi="Garamond"/>
        </w:rPr>
        <w:t xml:space="preserve"> TVSh</w:t>
      </w:r>
      <w:r w:rsidRPr="00830F4C">
        <w:rPr>
          <w:rFonts w:ascii="Garamond" w:eastAsiaTheme="minorHAnsi" w:hAnsi="Garamond"/>
        </w:rPr>
        <w:t>-në.</w:t>
      </w:r>
    </w:p>
    <w:p w14:paraId="0B41426F" w14:textId="027E5946" w:rsidR="003858EE" w:rsidRPr="00830F4C" w:rsidRDefault="003858EE" w:rsidP="003858EE">
      <w:pPr>
        <w:autoSpaceDE w:val="0"/>
        <w:autoSpaceDN w:val="0"/>
        <w:adjustRightInd w:val="0"/>
        <w:ind w:firstLine="284"/>
        <w:jc w:val="both"/>
        <w:rPr>
          <w:rFonts w:ascii="Garamond" w:eastAsiaTheme="minorHAnsi" w:hAnsi="Garamond"/>
        </w:rPr>
      </w:pPr>
      <w:r w:rsidRPr="00830F4C">
        <w:rPr>
          <w:rFonts w:ascii="Garamond" w:eastAsiaTheme="minorHAnsi" w:hAnsi="Garamond"/>
        </w:rPr>
        <w:t>Nenet 51, 53, 54 dhe 56</w:t>
      </w:r>
      <w:r w:rsidR="00D22EA5" w:rsidRPr="00830F4C">
        <w:rPr>
          <w:rFonts w:ascii="Garamond" w:eastAsiaTheme="minorHAnsi" w:hAnsi="Garamond"/>
        </w:rPr>
        <w:t>,</w:t>
      </w:r>
      <w:r w:rsidRPr="00830F4C">
        <w:rPr>
          <w:rFonts w:ascii="Garamond" w:eastAsiaTheme="minorHAnsi" w:hAnsi="Garamond"/>
        </w:rPr>
        <w:t xml:space="preserve"> të </w:t>
      </w:r>
      <w:r w:rsidR="00D22EA5" w:rsidRPr="00830F4C">
        <w:rPr>
          <w:rFonts w:ascii="Garamond" w:eastAsiaTheme="minorHAnsi" w:hAnsi="Garamond"/>
        </w:rPr>
        <w:t>l</w:t>
      </w:r>
      <w:r w:rsidRPr="00830F4C">
        <w:rPr>
          <w:rFonts w:ascii="Garamond" w:eastAsiaTheme="minorHAnsi" w:hAnsi="Garamond"/>
        </w:rPr>
        <w:t>igjit nr. 92/2014</w:t>
      </w:r>
      <w:r w:rsidR="00D22EA5" w:rsidRPr="00830F4C">
        <w:rPr>
          <w:rFonts w:ascii="Garamond" w:eastAsiaTheme="minorHAnsi" w:hAnsi="Garamond"/>
        </w:rPr>
        <w:t>,</w:t>
      </w:r>
      <w:r w:rsidRPr="00830F4C">
        <w:rPr>
          <w:rFonts w:ascii="Garamond" w:eastAsiaTheme="minorHAnsi" w:hAnsi="Garamond"/>
        </w:rPr>
        <w:t xml:space="preserve"> </w:t>
      </w:r>
      <w:r w:rsidR="00D22EA5" w:rsidRPr="00830F4C">
        <w:rPr>
          <w:rFonts w:ascii="Garamond" w:eastAsiaTheme="minorHAnsi" w:hAnsi="Garamond"/>
        </w:rPr>
        <w:t>“</w:t>
      </w:r>
      <w:r w:rsidRPr="00830F4C">
        <w:rPr>
          <w:rFonts w:ascii="Garamond" w:eastAsiaTheme="minorHAnsi" w:hAnsi="Garamond"/>
        </w:rPr>
        <w:t xml:space="preserve">Për </w:t>
      </w:r>
      <w:r w:rsidR="00300110" w:rsidRPr="00830F4C">
        <w:rPr>
          <w:rFonts w:ascii="Garamond" w:eastAsiaTheme="minorHAnsi" w:hAnsi="Garamond"/>
        </w:rPr>
        <w:t xml:space="preserve">tatimin mbi vlerën e shtuar </w:t>
      </w:r>
      <w:r w:rsidRPr="00830F4C">
        <w:rPr>
          <w:rFonts w:ascii="Garamond" w:eastAsiaTheme="minorHAnsi" w:hAnsi="Garamond"/>
        </w:rPr>
        <w:t>në Republikën e Shqipërisë</w:t>
      </w:r>
      <w:r w:rsidR="00D22EA5" w:rsidRPr="00830F4C">
        <w:rPr>
          <w:rFonts w:ascii="Garamond" w:eastAsiaTheme="minorHAnsi" w:hAnsi="Garamond"/>
        </w:rPr>
        <w:t>”</w:t>
      </w:r>
      <w:r w:rsidRPr="00830F4C">
        <w:rPr>
          <w:rFonts w:ascii="Garamond" w:eastAsiaTheme="minorHAnsi" w:hAnsi="Garamond"/>
        </w:rPr>
        <w:t>, të ndryshuar, përcaktojnë listën e furnizimeve që janë të përjashtuara nga</w:t>
      </w:r>
      <w:r w:rsidR="00DE65FB">
        <w:rPr>
          <w:rFonts w:ascii="Garamond" w:eastAsiaTheme="minorHAnsi" w:hAnsi="Garamond"/>
        </w:rPr>
        <w:t xml:space="preserve"> TVSh</w:t>
      </w:r>
      <w:r w:rsidRPr="00830F4C">
        <w:rPr>
          <w:rFonts w:ascii="Garamond" w:eastAsiaTheme="minorHAnsi" w:hAnsi="Garamond"/>
        </w:rPr>
        <w:t>-ja brenda vendit dhe në import. Lista e furnizimeve të përjashtuara do të rishikohet sipas parimeve të mëposhtme:</w:t>
      </w:r>
    </w:p>
    <w:p w14:paraId="619E538B" w14:textId="72BA1A98" w:rsidR="003858EE" w:rsidRPr="00830F4C" w:rsidRDefault="003858EE" w:rsidP="003858EE">
      <w:pPr>
        <w:autoSpaceDE w:val="0"/>
        <w:autoSpaceDN w:val="0"/>
        <w:adjustRightInd w:val="0"/>
        <w:ind w:firstLine="284"/>
        <w:jc w:val="both"/>
        <w:rPr>
          <w:rFonts w:ascii="Garamond" w:eastAsiaTheme="minorHAnsi" w:hAnsi="Garamond"/>
        </w:rPr>
      </w:pPr>
      <w:r w:rsidRPr="00830F4C">
        <w:rPr>
          <w:rFonts w:ascii="Garamond" w:eastAsiaTheme="minorHAnsi" w:hAnsi="Garamond"/>
        </w:rPr>
        <w:t xml:space="preserve">- do trajtohen si furnizime të përjashtuara, ato furnizime të parashikuara si të tilla nga Direktiva 2006/112/CE e Këshillit, </w:t>
      </w:r>
      <w:r w:rsidR="00300110" w:rsidRPr="00830F4C">
        <w:rPr>
          <w:rFonts w:ascii="Garamond" w:eastAsiaTheme="minorHAnsi" w:hAnsi="Garamond"/>
        </w:rPr>
        <w:t>e</w:t>
      </w:r>
      <w:r w:rsidRPr="00830F4C">
        <w:rPr>
          <w:rFonts w:ascii="Garamond" w:eastAsiaTheme="minorHAnsi" w:hAnsi="Garamond"/>
        </w:rPr>
        <w:t xml:space="preserve"> ndryshuar</w:t>
      </w:r>
      <w:r w:rsidR="00300110" w:rsidRPr="00830F4C">
        <w:rPr>
          <w:rFonts w:ascii="Garamond" w:eastAsiaTheme="minorHAnsi" w:hAnsi="Garamond"/>
        </w:rPr>
        <w:t>;</w:t>
      </w:r>
    </w:p>
    <w:p w14:paraId="11F7F6AE" w14:textId="77777777" w:rsidR="003858EE" w:rsidRPr="00830F4C" w:rsidRDefault="003858EE" w:rsidP="003858EE">
      <w:pPr>
        <w:autoSpaceDE w:val="0"/>
        <w:autoSpaceDN w:val="0"/>
        <w:adjustRightInd w:val="0"/>
        <w:ind w:firstLine="284"/>
        <w:jc w:val="both"/>
        <w:rPr>
          <w:rFonts w:ascii="Garamond" w:eastAsiaTheme="minorHAnsi" w:hAnsi="Garamond"/>
        </w:rPr>
      </w:pPr>
      <w:r w:rsidRPr="00830F4C">
        <w:rPr>
          <w:rFonts w:ascii="Garamond" w:eastAsiaTheme="minorHAnsi" w:hAnsi="Garamond"/>
        </w:rPr>
        <w:t>- efektiviteti i përjashtimeve brenda vendit dhe veçanërisht në import.</w:t>
      </w:r>
    </w:p>
    <w:p w14:paraId="70BF3C5D" w14:textId="24AA3A1E" w:rsidR="003858EE" w:rsidRPr="00830F4C" w:rsidRDefault="003858EE" w:rsidP="003858EE">
      <w:pPr>
        <w:autoSpaceDE w:val="0"/>
        <w:autoSpaceDN w:val="0"/>
        <w:adjustRightInd w:val="0"/>
        <w:ind w:firstLine="284"/>
        <w:jc w:val="both"/>
        <w:rPr>
          <w:rFonts w:ascii="Garamond" w:eastAsiaTheme="minorHAnsi" w:hAnsi="Garamond"/>
        </w:rPr>
      </w:pPr>
      <w:r w:rsidRPr="00830F4C">
        <w:rPr>
          <w:rFonts w:ascii="Garamond" w:eastAsiaTheme="minorHAnsi" w:hAnsi="Garamond"/>
        </w:rPr>
        <w:t>Do rishikohet lista e përjashtimeve nga</w:t>
      </w:r>
      <w:r w:rsidR="00DE65FB">
        <w:rPr>
          <w:rFonts w:ascii="Garamond" w:eastAsiaTheme="minorHAnsi" w:hAnsi="Garamond"/>
        </w:rPr>
        <w:t xml:space="preserve"> TVSh</w:t>
      </w:r>
      <w:r w:rsidR="00300110" w:rsidRPr="00830F4C">
        <w:rPr>
          <w:rFonts w:ascii="Garamond" w:hAnsi="Garamond"/>
        </w:rPr>
        <w:t>-ja</w:t>
      </w:r>
      <w:r w:rsidRPr="00830F4C">
        <w:rPr>
          <w:rFonts w:ascii="Garamond" w:eastAsiaTheme="minorHAnsi" w:hAnsi="Garamond"/>
        </w:rPr>
        <w:t xml:space="preserve"> në import, me synimin e heqjes së përjashtimeve të panevojshme. Në kushtet kur skema e rimbursimit të</w:t>
      </w:r>
      <w:r w:rsidR="00DE65FB">
        <w:rPr>
          <w:rFonts w:ascii="Garamond" w:eastAsiaTheme="minorHAnsi" w:hAnsi="Garamond"/>
        </w:rPr>
        <w:t xml:space="preserve"> TVSh</w:t>
      </w:r>
      <w:r w:rsidRPr="00830F4C">
        <w:rPr>
          <w:rFonts w:ascii="Garamond" w:eastAsiaTheme="minorHAnsi" w:hAnsi="Garamond"/>
        </w:rPr>
        <w:t>-së nga viti 2020 e në vijim funksionon brenda kornizave dhe afateve të përcaktuara në legjislacionin për rimbursimet, disa përjashtime në import, të cilat janë akorduar 10 apo 15 vite më parë, për shkak të problematikës dhe vonesave në rimbursimin e</w:t>
      </w:r>
      <w:r w:rsidR="00DE65FB">
        <w:rPr>
          <w:rFonts w:ascii="Garamond" w:eastAsiaTheme="minorHAnsi" w:hAnsi="Garamond"/>
        </w:rPr>
        <w:t xml:space="preserve"> TVSh</w:t>
      </w:r>
      <w:r w:rsidRPr="00830F4C">
        <w:rPr>
          <w:rFonts w:ascii="Garamond" w:eastAsiaTheme="minorHAnsi" w:hAnsi="Garamond"/>
        </w:rPr>
        <w:t>-së për investitorët e mëdhenj, nuk ka arsye objektive të vazhdojnë më tej. Këto ndryshime kanë filluar të miratohen nga viti 2022 e në vijim.</w:t>
      </w:r>
    </w:p>
    <w:p w14:paraId="737B9CBD" w14:textId="57A3CD88" w:rsidR="003858EE" w:rsidRPr="00830F4C" w:rsidRDefault="003858EE" w:rsidP="003858EE">
      <w:pPr>
        <w:autoSpaceDE w:val="0"/>
        <w:autoSpaceDN w:val="0"/>
        <w:adjustRightInd w:val="0"/>
        <w:ind w:firstLine="284"/>
        <w:jc w:val="both"/>
        <w:rPr>
          <w:rFonts w:ascii="Garamond" w:eastAsiaTheme="minorHAnsi" w:hAnsi="Garamond"/>
        </w:rPr>
      </w:pPr>
      <w:r w:rsidRPr="00830F4C">
        <w:rPr>
          <w:rFonts w:ascii="Garamond" w:eastAsiaTheme="minorHAnsi" w:hAnsi="Garamond"/>
        </w:rPr>
        <w:t>Neni 49 i ligjit të</w:t>
      </w:r>
      <w:r w:rsidR="00DE65FB">
        <w:rPr>
          <w:rFonts w:ascii="Garamond" w:eastAsiaTheme="minorHAnsi" w:hAnsi="Garamond"/>
        </w:rPr>
        <w:t xml:space="preserve"> TVSh</w:t>
      </w:r>
      <w:r w:rsidRPr="00830F4C">
        <w:rPr>
          <w:rFonts w:ascii="Garamond" w:eastAsiaTheme="minorHAnsi" w:hAnsi="Garamond"/>
        </w:rPr>
        <w:t>-së parashikon një listë të furnizimeve që trajtohen me normë të reduktuar të</w:t>
      </w:r>
      <w:r w:rsidR="00DE65FB">
        <w:rPr>
          <w:rFonts w:ascii="Garamond" w:eastAsiaTheme="minorHAnsi" w:hAnsi="Garamond"/>
        </w:rPr>
        <w:t xml:space="preserve"> TVSh</w:t>
      </w:r>
      <w:r w:rsidRPr="00830F4C">
        <w:rPr>
          <w:rFonts w:ascii="Garamond" w:eastAsiaTheme="minorHAnsi" w:hAnsi="Garamond"/>
        </w:rPr>
        <w:t>-së prej 6%</w:t>
      </w:r>
      <w:r w:rsidR="00300110" w:rsidRPr="00830F4C">
        <w:rPr>
          <w:rFonts w:ascii="Garamond" w:eastAsiaTheme="minorHAnsi" w:hAnsi="Garamond"/>
        </w:rPr>
        <w:t>,</w:t>
      </w:r>
      <w:r w:rsidRPr="00830F4C">
        <w:rPr>
          <w:rFonts w:ascii="Garamond" w:eastAsiaTheme="minorHAnsi" w:hAnsi="Garamond"/>
        </w:rPr>
        <w:t xml:space="preserve"> si</w:t>
      </w:r>
      <w:r w:rsidR="00300110" w:rsidRPr="00830F4C">
        <w:rPr>
          <w:rFonts w:ascii="Garamond" w:eastAsiaTheme="minorHAnsi" w:hAnsi="Garamond"/>
        </w:rPr>
        <w:t>:</w:t>
      </w:r>
      <w:r w:rsidRPr="00830F4C">
        <w:rPr>
          <w:rFonts w:ascii="Garamond" w:eastAsiaTheme="minorHAnsi" w:hAnsi="Garamond"/>
        </w:rPr>
        <w:t xml:space="preserve"> turizmi, shërbimi i reklamave në media audiovizive, librat etj</w:t>
      </w:r>
      <w:r w:rsidR="00236281" w:rsidRPr="00830F4C">
        <w:rPr>
          <w:rFonts w:ascii="Garamond" w:eastAsiaTheme="minorHAnsi" w:hAnsi="Garamond"/>
        </w:rPr>
        <w:t>.</w:t>
      </w:r>
      <w:r w:rsidRPr="00830F4C">
        <w:rPr>
          <w:rFonts w:ascii="Garamond" w:eastAsiaTheme="minorHAnsi" w:hAnsi="Garamond"/>
        </w:rPr>
        <w:t xml:space="preserve"> dhe një normë e reduktuar prej 10% për inputet bujqësore. Kjo listë do të rishikohet sipas të njëjtave parime siç u tha më sipër për përjashtimet.</w:t>
      </w:r>
    </w:p>
    <w:p w14:paraId="683900A9" w14:textId="15A06968" w:rsidR="003858EE" w:rsidRPr="00830F4C" w:rsidRDefault="003858EE" w:rsidP="003858EE">
      <w:pPr>
        <w:autoSpaceDE w:val="0"/>
        <w:autoSpaceDN w:val="0"/>
        <w:adjustRightInd w:val="0"/>
        <w:ind w:firstLine="284"/>
        <w:jc w:val="both"/>
        <w:rPr>
          <w:rFonts w:ascii="Garamond" w:eastAsiaTheme="minorHAnsi" w:hAnsi="Garamond"/>
          <w:b/>
        </w:rPr>
      </w:pPr>
      <w:r w:rsidRPr="00830F4C">
        <w:rPr>
          <w:rFonts w:ascii="Garamond" w:eastAsiaTheme="minorHAnsi" w:hAnsi="Garamond"/>
          <w:b/>
        </w:rPr>
        <w:t>Masa 1.1.2 Analiza e pragut të regjistrimit për</w:t>
      </w:r>
      <w:r w:rsidR="00DE65FB">
        <w:rPr>
          <w:rFonts w:ascii="Garamond" w:eastAsiaTheme="minorHAnsi" w:hAnsi="Garamond"/>
          <w:b/>
        </w:rPr>
        <w:t xml:space="preserve"> TVSh</w:t>
      </w:r>
      <w:r w:rsidRPr="00830F4C">
        <w:rPr>
          <w:rFonts w:ascii="Garamond" w:eastAsiaTheme="minorHAnsi" w:hAnsi="Garamond"/>
          <w:b/>
        </w:rPr>
        <w:t>-në</w:t>
      </w:r>
    </w:p>
    <w:p w14:paraId="6DDB32ED" w14:textId="3B62ECB8" w:rsidR="003858EE" w:rsidRPr="00830F4C" w:rsidRDefault="003858EE" w:rsidP="003858EE">
      <w:pPr>
        <w:autoSpaceDE w:val="0"/>
        <w:autoSpaceDN w:val="0"/>
        <w:adjustRightInd w:val="0"/>
        <w:ind w:firstLine="284"/>
        <w:jc w:val="both"/>
        <w:rPr>
          <w:rFonts w:ascii="Garamond" w:eastAsiaTheme="minorHAnsi" w:hAnsi="Garamond"/>
        </w:rPr>
      </w:pPr>
      <w:r w:rsidRPr="00830F4C">
        <w:rPr>
          <w:rFonts w:ascii="Garamond" w:eastAsiaTheme="minorHAnsi" w:hAnsi="Garamond"/>
        </w:rPr>
        <w:t>Në 2019, asistenca teknike e FMN-së sugjeroi rritje të pragut të regjistrimit për</w:t>
      </w:r>
      <w:r w:rsidR="00DE65FB">
        <w:rPr>
          <w:rFonts w:ascii="Garamond" w:eastAsiaTheme="minorHAnsi" w:hAnsi="Garamond"/>
        </w:rPr>
        <w:t xml:space="preserve"> TVSh</w:t>
      </w:r>
      <w:r w:rsidR="00300110" w:rsidRPr="00830F4C">
        <w:rPr>
          <w:rFonts w:ascii="Garamond" w:hAnsi="Garamond"/>
        </w:rPr>
        <w:t>-në</w:t>
      </w:r>
      <w:r w:rsidRPr="00830F4C">
        <w:rPr>
          <w:rFonts w:ascii="Garamond" w:eastAsiaTheme="minorHAnsi" w:hAnsi="Garamond"/>
        </w:rPr>
        <w:t>, pragu në 8 milionë lekë në vit, e shoqëruar kjo me lejimin e regjistrimit vullnetar në</w:t>
      </w:r>
      <w:r w:rsidR="00DE65FB">
        <w:rPr>
          <w:rFonts w:ascii="Garamond" w:eastAsiaTheme="minorHAnsi" w:hAnsi="Garamond"/>
        </w:rPr>
        <w:t xml:space="preserve"> TVSh</w:t>
      </w:r>
      <w:r w:rsidRPr="00830F4C">
        <w:rPr>
          <w:rFonts w:ascii="Garamond" w:eastAsiaTheme="minorHAnsi" w:hAnsi="Garamond"/>
        </w:rPr>
        <w:t xml:space="preserve"> të tatimpaguesve me qarkullim 5</w:t>
      </w:r>
      <w:r w:rsidR="00D22EA5" w:rsidRPr="00830F4C">
        <w:rPr>
          <w:rFonts w:ascii="Garamond" w:eastAsiaTheme="minorHAnsi" w:hAnsi="Garamond"/>
        </w:rPr>
        <w:t>–</w:t>
      </w:r>
      <w:r w:rsidRPr="00830F4C">
        <w:rPr>
          <w:rFonts w:ascii="Garamond" w:eastAsiaTheme="minorHAnsi" w:hAnsi="Garamond"/>
        </w:rPr>
        <w:t>8 milionë lekë, por jo më poshtë se 5 milionë lekë. Po ashtu</w:t>
      </w:r>
      <w:r w:rsidR="00300110" w:rsidRPr="00830F4C">
        <w:rPr>
          <w:rFonts w:ascii="Garamond" w:eastAsiaTheme="minorHAnsi" w:hAnsi="Garamond"/>
        </w:rPr>
        <w:t>,</w:t>
      </w:r>
      <w:r w:rsidRPr="00830F4C">
        <w:rPr>
          <w:rFonts w:ascii="Garamond" w:eastAsiaTheme="minorHAnsi" w:hAnsi="Garamond"/>
        </w:rPr>
        <w:t xml:space="preserve"> u sugjerua që pragu duhet të jetë unik për të gjitha kategoritë e tatimpaguesve. Pas analizave ky sugjerim u implementua në legjislacionin për</w:t>
      </w:r>
      <w:r w:rsidR="00DE65FB">
        <w:rPr>
          <w:rFonts w:ascii="Garamond" w:eastAsiaTheme="minorHAnsi" w:hAnsi="Garamond"/>
        </w:rPr>
        <w:t xml:space="preserve"> TVSh</w:t>
      </w:r>
      <w:r w:rsidRPr="00830F4C">
        <w:rPr>
          <w:rFonts w:ascii="Garamond" w:eastAsiaTheme="minorHAnsi" w:hAnsi="Garamond"/>
        </w:rPr>
        <w:t>-në, me përjashtim të nivelit të pragut, i cili nga 8 milionë lekë u rrit në 10 milionë lekë në vit, në fuqi nga janar 2021. Para këtij ndryshimi, pragu i regjistrimit në</w:t>
      </w:r>
      <w:r w:rsidR="00DE65FB">
        <w:rPr>
          <w:rFonts w:ascii="Garamond" w:eastAsiaTheme="minorHAnsi" w:hAnsi="Garamond"/>
        </w:rPr>
        <w:t xml:space="preserve"> TVSh</w:t>
      </w:r>
      <w:r w:rsidRPr="00830F4C">
        <w:rPr>
          <w:rFonts w:ascii="Garamond" w:eastAsiaTheme="minorHAnsi" w:hAnsi="Garamond"/>
        </w:rPr>
        <w:t xml:space="preserve"> ishte dhe qarkullimi mbi 2 milionë lekë në vit, ndërkohë që për tatimpaguesit që ofrojnë shërbime specifike, pragu i regjistrimit ishte zero lekë.</w:t>
      </w:r>
    </w:p>
    <w:p w14:paraId="0D3D9EA5" w14:textId="5EC48821" w:rsidR="003858EE" w:rsidRPr="00830F4C" w:rsidRDefault="003858EE" w:rsidP="003858EE">
      <w:pPr>
        <w:autoSpaceDE w:val="0"/>
        <w:autoSpaceDN w:val="0"/>
        <w:adjustRightInd w:val="0"/>
        <w:ind w:firstLine="284"/>
        <w:jc w:val="both"/>
        <w:rPr>
          <w:rFonts w:ascii="Garamond" w:eastAsiaTheme="minorHAnsi" w:hAnsi="Garamond"/>
        </w:rPr>
      </w:pPr>
      <w:r w:rsidRPr="00830F4C">
        <w:rPr>
          <w:rFonts w:ascii="Garamond" w:eastAsiaTheme="minorHAnsi" w:hAnsi="Garamond"/>
        </w:rPr>
        <w:t>Tatimpagues të regjistruar në skemën e</w:t>
      </w:r>
      <w:r w:rsidR="00DE65FB">
        <w:rPr>
          <w:rFonts w:ascii="Garamond" w:eastAsiaTheme="minorHAnsi" w:hAnsi="Garamond"/>
        </w:rPr>
        <w:t xml:space="preserve"> TVSh</w:t>
      </w:r>
      <w:r w:rsidRPr="00830F4C">
        <w:rPr>
          <w:rFonts w:ascii="Garamond" w:eastAsiaTheme="minorHAnsi" w:hAnsi="Garamond"/>
        </w:rPr>
        <w:t>-së në vitin 2023 të ndarë sipas nivelit të qarkullimit janë si në tabelën 8 më poshtë. Me rritjen e pragut të regjistrimit në</w:t>
      </w:r>
      <w:r w:rsidR="00DE65FB">
        <w:rPr>
          <w:rFonts w:ascii="Garamond" w:eastAsiaTheme="minorHAnsi" w:hAnsi="Garamond"/>
        </w:rPr>
        <w:t xml:space="preserve"> TVSh</w:t>
      </w:r>
      <w:r w:rsidRPr="00830F4C">
        <w:rPr>
          <w:rFonts w:ascii="Garamond" w:eastAsiaTheme="minorHAnsi" w:hAnsi="Garamond"/>
        </w:rPr>
        <w:t xml:space="preserve"> deri në 10 milionë lekë në vit, rezulton se krahasuar me skemën e vjetër, </w:t>
      </w:r>
      <w:r w:rsidRPr="00830F4C">
        <w:rPr>
          <w:rFonts w:ascii="Garamond" w:eastAsiaTheme="minorHAnsi" w:hAnsi="Garamond"/>
          <w:i/>
        </w:rPr>
        <w:t xml:space="preserve">rreth 48 mijë tatimpagues me xhiro të deklaruar 70.4 </w:t>
      </w:r>
      <w:r w:rsidR="00D22EA5" w:rsidRPr="00830F4C">
        <w:rPr>
          <w:rFonts w:ascii="Garamond" w:eastAsiaTheme="minorHAnsi" w:hAnsi="Garamond"/>
          <w:i/>
        </w:rPr>
        <w:t xml:space="preserve">miliardë </w:t>
      </w:r>
      <w:r w:rsidRPr="00830F4C">
        <w:rPr>
          <w:rFonts w:ascii="Garamond" w:eastAsiaTheme="minorHAnsi" w:hAnsi="Garamond"/>
          <w:i/>
        </w:rPr>
        <w:t>lekë, me</w:t>
      </w:r>
      <w:r w:rsidR="00DE65FB">
        <w:rPr>
          <w:rFonts w:ascii="Garamond" w:eastAsiaTheme="minorHAnsi" w:hAnsi="Garamond"/>
          <w:i/>
        </w:rPr>
        <w:t xml:space="preserve"> TVSh</w:t>
      </w:r>
      <w:r w:rsidRPr="00830F4C">
        <w:rPr>
          <w:rFonts w:ascii="Garamond" w:eastAsiaTheme="minorHAnsi" w:hAnsi="Garamond"/>
          <w:i/>
        </w:rPr>
        <w:t xml:space="preserve"> të llogaritur për shitje 14 </w:t>
      </w:r>
      <w:r w:rsidR="00D22EA5" w:rsidRPr="00830F4C">
        <w:rPr>
          <w:rFonts w:ascii="Garamond" w:eastAsiaTheme="minorHAnsi" w:hAnsi="Garamond"/>
          <w:i/>
        </w:rPr>
        <w:t xml:space="preserve">miliardë </w:t>
      </w:r>
      <w:r w:rsidRPr="00830F4C">
        <w:rPr>
          <w:rFonts w:ascii="Garamond" w:eastAsiaTheme="minorHAnsi" w:hAnsi="Garamond"/>
          <w:i/>
        </w:rPr>
        <w:t>lekë dhe</w:t>
      </w:r>
      <w:r w:rsidR="00DE65FB">
        <w:rPr>
          <w:rFonts w:ascii="Garamond" w:eastAsiaTheme="minorHAnsi" w:hAnsi="Garamond"/>
          <w:i/>
        </w:rPr>
        <w:t xml:space="preserve"> TVSh</w:t>
      </w:r>
      <w:r w:rsidRPr="00830F4C">
        <w:rPr>
          <w:rFonts w:ascii="Garamond" w:eastAsiaTheme="minorHAnsi" w:hAnsi="Garamond"/>
          <w:i/>
        </w:rPr>
        <w:t xml:space="preserve"> potenciale për t’u paguar 3</w:t>
      </w:r>
      <w:r w:rsidR="00D22EA5" w:rsidRPr="00830F4C">
        <w:rPr>
          <w:rFonts w:ascii="Garamond" w:eastAsiaTheme="minorHAnsi" w:hAnsi="Garamond"/>
        </w:rPr>
        <w:t>–</w:t>
      </w:r>
      <w:r w:rsidRPr="00830F4C">
        <w:rPr>
          <w:rFonts w:ascii="Garamond" w:eastAsiaTheme="minorHAnsi" w:hAnsi="Garamond"/>
          <w:i/>
        </w:rPr>
        <w:t xml:space="preserve">4 </w:t>
      </w:r>
      <w:r w:rsidR="00D22EA5" w:rsidRPr="00830F4C">
        <w:rPr>
          <w:rFonts w:ascii="Garamond" w:eastAsiaTheme="minorHAnsi" w:hAnsi="Garamond"/>
          <w:i/>
        </w:rPr>
        <w:t xml:space="preserve">miliardë </w:t>
      </w:r>
      <w:r w:rsidRPr="00830F4C">
        <w:rPr>
          <w:rFonts w:ascii="Garamond" w:eastAsiaTheme="minorHAnsi" w:hAnsi="Garamond"/>
          <w:i/>
        </w:rPr>
        <w:t>lekë, kanë dalë nga skema e</w:t>
      </w:r>
      <w:r w:rsidR="00DE65FB">
        <w:rPr>
          <w:rFonts w:ascii="Garamond" w:eastAsiaTheme="minorHAnsi" w:hAnsi="Garamond"/>
          <w:i/>
        </w:rPr>
        <w:t xml:space="preserve"> TVSh</w:t>
      </w:r>
      <w:r w:rsidRPr="00830F4C">
        <w:rPr>
          <w:rFonts w:ascii="Garamond" w:eastAsiaTheme="minorHAnsi" w:hAnsi="Garamond"/>
          <w:i/>
        </w:rPr>
        <w:t xml:space="preserve">-së. </w:t>
      </w:r>
      <w:r w:rsidRPr="00830F4C">
        <w:rPr>
          <w:rFonts w:ascii="Garamond" w:eastAsiaTheme="minorHAnsi" w:hAnsi="Garamond"/>
        </w:rPr>
        <w:t xml:space="preserve">Aktualisht janë të regjistruar </w:t>
      </w:r>
      <w:r w:rsidR="00300110" w:rsidRPr="00830F4C">
        <w:rPr>
          <w:rFonts w:ascii="Garamond" w:eastAsiaTheme="minorHAnsi" w:hAnsi="Garamond"/>
        </w:rPr>
        <w:t>vullnetarisht</w:t>
      </w:r>
      <w:r w:rsidRPr="00830F4C">
        <w:rPr>
          <w:rFonts w:ascii="Garamond" w:eastAsiaTheme="minorHAnsi" w:hAnsi="Garamond"/>
        </w:rPr>
        <w:t xml:space="preserve"> dhe paguajnë</w:t>
      </w:r>
      <w:r w:rsidR="00DE65FB">
        <w:rPr>
          <w:rFonts w:ascii="Garamond" w:eastAsiaTheme="minorHAnsi" w:hAnsi="Garamond"/>
        </w:rPr>
        <w:t xml:space="preserve"> TVSh</w:t>
      </w:r>
      <w:r w:rsidR="00300110" w:rsidRPr="00830F4C">
        <w:rPr>
          <w:rFonts w:ascii="Garamond" w:hAnsi="Garamond"/>
        </w:rPr>
        <w:t>-në</w:t>
      </w:r>
      <w:r w:rsidRPr="00830F4C">
        <w:rPr>
          <w:rFonts w:ascii="Garamond" w:eastAsiaTheme="minorHAnsi" w:hAnsi="Garamond"/>
        </w:rPr>
        <w:t xml:space="preserve"> rreth 19 mijë subjekte me qarkullim nën pragun detyrues për regjistrim</w:t>
      </w:r>
      <w:r w:rsidR="00DE65FB">
        <w:rPr>
          <w:rFonts w:ascii="Garamond" w:eastAsiaTheme="minorHAnsi" w:hAnsi="Garamond"/>
        </w:rPr>
        <w:t xml:space="preserve"> TVSh</w:t>
      </w:r>
      <w:r w:rsidRPr="00830F4C">
        <w:rPr>
          <w:rFonts w:ascii="Garamond" w:eastAsiaTheme="minorHAnsi" w:hAnsi="Garamond"/>
        </w:rPr>
        <w:t>-je.</w:t>
      </w:r>
    </w:p>
    <w:p w14:paraId="0FFBCCD4" w14:textId="0E3F94E6" w:rsidR="003858EE" w:rsidRPr="00830F4C" w:rsidRDefault="003858EE" w:rsidP="003858EE">
      <w:pPr>
        <w:pStyle w:val="Caption"/>
        <w:spacing w:after="0"/>
        <w:rPr>
          <w:rFonts w:ascii="Garamond" w:hAnsi="Garamond"/>
          <w:color w:val="auto"/>
          <w:sz w:val="20"/>
          <w:szCs w:val="20"/>
        </w:rPr>
      </w:pPr>
      <w:bookmarkStart w:id="25" w:name="_Toc185235133"/>
      <w:r w:rsidRPr="00830F4C">
        <w:rPr>
          <w:rFonts w:ascii="Garamond" w:hAnsi="Garamond"/>
          <w:color w:val="auto"/>
          <w:sz w:val="20"/>
          <w:szCs w:val="20"/>
        </w:rPr>
        <w:t xml:space="preserve">Tabela </w:t>
      </w:r>
      <w:r w:rsidRPr="00830F4C">
        <w:rPr>
          <w:rFonts w:ascii="Garamond" w:hAnsi="Garamond"/>
          <w:color w:val="auto"/>
          <w:sz w:val="20"/>
          <w:szCs w:val="20"/>
        </w:rPr>
        <w:fldChar w:fldCharType="begin"/>
      </w:r>
      <w:r w:rsidRPr="00830F4C">
        <w:rPr>
          <w:rFonts w:ascii="Garamond" w:hAnsi="Garamond"/>
          <w:color w:val="auto"/>
          <w:sz w:val="20"/>
          <w:szCs w:val="20"/>
        </w:rPr>
        <w:instrText xml:space="preserve"> SEQ Tabela \* ARABIC </w:instrText>
      </w:r>
      <w:r w:rsidRPr="00830F4C">
        <w:rPr>
          <w:rFonts w:ascii="Garamond" w:hAnsi="Garamond"/>
          <w:color w:val="auto"/>
          <w:sz w:val="20"/>
          <w:szCs w:val="20"/>
        </w:rPr>
        <w:fldChar w:fldCharType="separate"/>
      </w:r>
      <w:r w:rsidRPr="00830F4C">
        <w:rPr>
          <w:rFonts w:ascii="Garamond" w:hAnsi="Garamond"/>
          <w:color w:val="auto"/>
          <w:sz w:val="20"/>
          <w:szCs w:val="20"/>
        </w:rPr>
        <w:t>8</w:t>
      </w:r>
      <w:r w:rsidRPr="00830F4C">
        <w:rPr>
          <w:rFonts w:ascii="Garamond" w:hAnsi="Garamond"/>
          <w:color w:val="auto"/>
          <w:sz w:val="20"/>
          <w:szCs w:val="20"/>
        </w:rPr>
        <w:fldChar w:fldCharType="end"/>
      </w:r>
      <w:r w:rsidRPr="00830F4C">
        <w:rPr>
          <w:rFonts w:ascii="Garamond" w:hAnsi="Garamond" w:cs="Times New Roman"/>
          <w:color w:val="auto"/>
          <w:sz w:val="20"/>
          <w:szCs w:val="20"/>
        </w:rPr>
        <w:t>:</w:t>
      </w:r>
      <w:r w:rsidR="00300110" w:rsidRPr="00830F4C">
        <w:rPr>
          <w:rFonts w:ascii="Garamond" w:hAnsi="Garamond" w:cs="Times New Roman"/>
          <w:color w:val="auto"/>
          <w:sz w:val="20"/>
          <w:szCs w:val="20"/>
        </w:rPr>
        <w:t xml:space="preserve"> </w:t>
      </w:r>
      <w:r w:rsidRPr="00830F4C">
        <w:rPr>
          <w:rFonts w:ascii="Garamond" w:hAnsi="Garamond" w:cs="Times New Roman"/>
          <w:color w:val="auto"/>
          <w:sz w:val="20"/>
          <w:szCs w:val="20"/>
        </w:rPr>
        <w:t>Tatimpaguesit e regjistruar në skemën e</w:t>
      </w:r>
      <w:r w:rsidR="00DE65FB">
        <w:rPr>
          <w:rFonts w:ascii="Garamond" w:hAnsi="Garamond" w:cs="Times New Roman"/>
          <w:color w:val="auto"/>
          <w:sz w:val="20"/>
          <w:szCs w:val="20"/>
        </w:rPr>
        <w:t xml:space="preserve"> TVSh</w:t>
      </w:r>
      <w:r w:rsidRPr="00830F4C">
        <w:rPr>
          <w:rFonts w:ascii="Garamond" w:hAnsi="Garamond" w:cs="Times New Roman"/>
          <w:color w:val="auto"/>
          <w:sz w:val="20"/>
          <w:szCs w:val="20"/>
        </w:rPr>
        <w:t>-së në vitin 2023</w:t>
      </w:r>
      <w:bookmarkEnd w:id="25"/>
    </w:p>
    <w:tbl>
      <w:tblPr>
        <w:tblStyle w:val="GridTable1Light-Accent211"/>
        <w:tblW w:w="9143" w:type="dxa"/>
        <w:tblLook w:val="04A0" w:firstRow="1" w:lastRow="0" w:firstColumn="1" w:lastColumn="0" w:noHBand="0" w:noVBand="1"/>
      </w:tblPr>
      <w:tblGrid>
        <w:gridCol w:w="4326"/>
        <w:gridCol w:w="4817"/>
      </w:tblGrid>
      <w:tr w:rsidR="003858EE" w:rsidRPr="00830F4C" w14:paraId="063962DA" w14:textId="77777777" w:rsidTr="00300110">
        <w:trPr>
          <w:cnfStyle w:val="100000000000" w:firstRow="1" w:lastRow="0" w:firstColumn="0" w:lastColumn="0" w:oddVBand="0" w:evenVBand="0" w:oddHBand="0"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326" w:type="dxa"/>
            <w:vAlign w:val="center"/>
            <w:hideMark/>
          </w:tcPr>
          <w:p w14:paraId="49ED8CEC" w14:textId="77777777" w:rsidR="003858EE" w:rsidRPr="00830F4C" w:rsidRDefault="003858EE" w:rsidP="00300110">
            <w:pPr>
              <w:jc w:val="center"/>
              <w:rPr>
                <w:rFonts w:ascii="Garamond" w:hAnsi="Garamond"/>
                <w:sz w:val="16"/>
                <w:szCs w:val="16"/>
              </w:rPr>
            </w:pPr>
            <w:r w:rsidRPr="00830F4C">
              <w:rPr>
                <w:rFonts w:ascii="Garamond" w:hAnsi="Garamond"/>
                <w:sz w:val="16"/>
                <w:szCs w:val="16"/>
              </w:rPr>
              <w:t>Subjektet sipas xhiros</w:t>
            </w:r>
          </w:p>
        </w:tc>
        <w:tc>
          <w:tcPr>
            <w:tcW w:w="4817" w:type="dxa"/>
            <w:vAlign w:val="center"/>
            <w:hideMark/>
          </w:tcPr>
          <w:p w14:paraId="39442482" w14:textId="2F7865E9" w:rsidR="003858EE" w:rsidRPr="00830F4C" w:rsidRDefault="003858EE" w:rsidP="00300110">
            <w:pPr>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rPr>
            </w:pPr>
            <w:r w:rsidRPr="00830F4C">
              <w:rPr>
                <w:rFonts w:ascii="Garamond" w:hAnsi="Garamond"/>
                <w:sz w:val="16"/>
                <w:szCs w:val="16"/>
              </w:rPr>
              <w:t>Numri i subjekteve me përgjegjësi</w:t>
            </w:r>
            <w:r w:rsidR="00DE65FB">
              <w:rPr>
                <w:rFonts w:ascii="Garamond" w:hAnsi="Garamond"/>
                <w:sz w:val="16"/>
                <w:szCs w:val="16"/>
              </w:rPr>
              <w:t xml:space="preserve"> TVSh</w:t>
            </w:r>
            <w:r w:rsidRPr="00830F4C">
              <w:rPr>
                <w:rFonts w:ascii="Garamond" w:hAnsi="Garamond"/>
                <w:sz w:val="16"/>
                <w:szCs w:val="16"/>
              </w:rPr>
              <w:t>-je (deklarues</w:t>
            </w:r>
            <w:r w:rsidR="00DE65FB">
              <w:rPr>
                <w:rFonts w:ascii="Garamond" w:hAnsi="Garamond"/>
                <w:sz w:val="16"/>
                <w:szCs w:val="16"/>
              </w:rPr>
              <w:t xml:space="preserve"> TVSh</w:t>
            </w:r>
            <w:r w:rsidR="00300110" w:rsidRPr="00830F4C">
              <w:rPr>
                <w:rFonts w:ascii="Garamond" w:hAnsi="Garamond"/>
                <w:sz w:val="16"/>
                <w:szCs w:val="16"/>
              </w:rPr>
              <w:t>-je</w:t>
            </w:r>
            <w:r w:rsidRPr="00830F4C">
              <w:rPr>
                <w:rFonts w:ascii="Garamond" w:hAnsi="Garamond"/>
                <w:sz w:val="16"/>
                <w:szCs w:val="16"/>
              </w:rPr>
              <w:t>)</w:t>
            </w:r>
          </w:p>
        </w:tc>
      </w:tr>
      <w:tr w:rsidR="003858EE" w:rsidRPr="00830F4C" w14:paraId="22A6901B" w14:textId="77777777" w:rsidTr="003858EE">
        <w:trPr>
          <w:trHeight w:val="206"/>
        </w:trPr>
        <w:tc>
          <w:tcPr>
            <w:cnfStyle w:val="001000000000" w:firstRow="0" w:lastRow="0" w:firstColumn="1" w:lastColumn="0" w:oddVBand="0" w:evenVBand="0" w:oddHBand="0" w:evenHBand="0" w:firstRowFirstColumn="0" w:firstRowLastColumn="0" w:lastRowFirstColumn="0" w:lastRowLastColumn="0"/>
            <w:tcW w:w="4326" w:type="dxa"/>
            <w:noWrap/>
            <w:hideMark/>
          </w:tcPr>
          <w:p w14:paraId="6291ED94" w14:textId="28B12C4B" w:rsidR="003858EE" w:rsidRPr="00830F4C" w:rsidRDefault="003858EE" w:rsidP="003858EE">
            <w:pPr>
              <w:jc w:val="center"/>
              <w:rPr>
                <w:rFonts w:ascii="Garamond" w:hAnsi="Garamond"/>
                <w:b w:val="0"/>
                <w:sz w:val="16"/>
                <w:szCs w:val="16"/>
              </w:rPr>
            </w:pPr>
            <w:r w:rsidRPr="00830F4C">
              <w:rPr>
                <w:rFonts w:ascii="Garamond" w:hAnsi="Garamond"/>
                <w:b w:val="0"/>
                <w:sz w:val="16"/>
                <w:szCs w:val="16"/>
              </w:rPr>
              <w:t>0</w:t>
            </w:r>
            <w:r w:rsidR="00300110" w:rsidRPr="00830F4C">
              <w:rPr>
                <w:rFonts w:ascii="Garamond" w:hAnsi="Garamond"/>
                <w:b w:val="0"/>
                <w:sz w:val="16"/>
                <w:szCs w:val="16"/>
              </w:rPr>
              <w:t>–</w:t>
            </w:r>
            <w:r w:rsidRPr="00830F4C">
              <w:rPr>
                <w:rFonts w:ascii="Garamond" w:hAnsi="Garamond"/>
                <w:b w:val="0"/>
                <w:sz w:val="16"/>
                <w:szCs w:val="16"/>
              </w:rPr>
              <w:t>2 milionë</w:t>
            </w:r>
          </w:p>
        </w:tc>
        <w:tc>
          <w:tcPr>
            <w:tcW w:w="4817" w:type="dxa"/>
            <w:noWrap/>
            <w:hideMark/>
          </w:tcPr>
          <w:p w14:paraId="1354434D" w14:textId="77777777" w:rsidR="003858EE" w:rsidRPr="00830F4C" w:rsidRDefault="003858EE"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rPr>
            </w:pPr>
            <w:r w:rsidRPr="00830F4C">
              <w:rPr>
                <w:rFonts w:ascii="Garamond" w:hAnsi="Garamond"/>
                <w:sz w:val="16"/>
                <w:szCs w:val="16"/>
              </w:rPr>
              <w:t>5,920</w:t>
            </w:r>
          </w:p>
        </w:tc>
      </w:tr>
      <w:tr w:rsidR="003858EE" w:rsidRPr="00830F4C" w14:paraId="26E6CE2A" w14:textId="77777777" w:rsidTr="003858EE">
        <w:trPr>
          <w:trHeight w:val="206"/>
        </w:trPr>
        <w:tc>
          <w:tcPr>
            <w:cnfStyle w:val="001000000000" w:firstRow="0" w:lastRow="0" w:firstColumn="1" w:lastColumn="0" w:oddVBand="0" w:evenVBand="0" w:oddHBand="0" w:evenHBand="0" w:firstRowFirstColumn="0" w:firstRowLastColumn="0" w:lastRowFirstColumn="0" w:lastRowLastColumn="0"/>
            <w:tcW w:w="4326" w:type="dxa"/>
            <w:noWrap/>
            <w:hideMark/>
          </w:tcPr>
          <w:p w14:paraId="6AF318F3" w14:textId="1B931ED4" w:rsidR="003858EE" w:rsidRPr="00830F4C" w:rsidRDefault="003858EE" w:rsidP="003858EE">
            <w:pPr>
              <w:jc w:val="center"/>
              <w:rPr>
                <w:rFonts w:ascii="Garamond" w:hAnsi="Garamond"/>
                <w:b w:val="0"/>
                <w:sz w:val="16"/>
                <w:szCs w:val="16"/>
              </w:rPr>
            </w:pPr>
            <w:r w:rsidRPr="00830F4C">
              <w:rPr>
                <w:rFonts w:ascii="Garamond" w:hAnsi="Garamond"/>
                <w:b w:val="0"/>
                <w:sz w:val="16"/>
                <w:szCs w:val="16"/>
              </w:rPr>
              <w:t>2</w:t>
            </w:r>
            <w:r w:rsidR="00300110" w:rsidRPr="00830F4C">
              <w:rPr>
                <w:rFonts w:ascii="Garamond" w:hAnsi="Garamond"/>
                <w:b w:val="0"/>
                <w:sz w:val="16"/>
                <w:szCs w:val="16"/>
              </w:rPr>
              <w:t>–</w:t>
            </w:r>
            <w:r w:rsidRPr="00830F4C">
              <w:rPr>
                <w:rFonts w:ascii="Garamond" w:hAnsi="Garamond"/>
                <w:b w:val="0"/>
                <w:sz w:val="16"/>
                <w:szCs w:val="16"/>
              </w:rPr>
              <w:t>5 milionë</w:t>
            </w:r>
          </w:p>
        </w:tc>
        <w:tc>
          <w:tcPr>
            <w:tcW w:w="4817" w:type="dxa"/>
            <w:noWrap/>
            <w:hideMark/>
          </w:tcPr>
          <w:p w14:paraId="0B110483" w14:textId="77777777" w:rsidR="003858EE" w:rsidRPr="00830F4C" w:rsidRDefault="003858EE"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rPr>
            </w:pPr>
            <w:r w:rsidRPr="00830F4C">
              <w:rPr>
                <w:rFonts w:ascii="Garamond" w:hAnsi="Garamond"/>
                <w:sz w:val="16"/>
                <w:szCs w:val="16"/>
              </w:rPr>
              <w:t>4,039</w:t>
            </w:r>
          </w:p>
        </w:tc>
      </w:tr>
      <w:tr w:rsidR="003858EE" w:rsidRPr="00830F4C" w14:paraId="4B0CBECB" w14:textId="77777777" w:rsidTr="003858EE">
        <w:trPr>
          <w:trHeight w:val="206"/>
        </w:trPr>
        <w:tc>
          <w:tcPr>
            <w:cnfStyle w:val="001000000000" w:firstRow="0" w:lastRow="0" w:firstColumn="1" w:lastColumn="0" w:oddVBand="0" w:evenVBand="0" w:oddHBand="0" w:evenHBand="0" w:firstRowFirstColumn="0" w:firstRowLastColumn="0" w:lastRowFirstColumn="0" w:lastRowLastColumn="0"/>
            <w:tcW w:w="4326" w:type="dxa"/>
            <w:noWrap/>
            <w:hideMark/>
          </w:tcPr>
          <w:p w14:paraId="7F7FDA0D" w14:textId="28CC1E07" w:rsidR="003858EE" w:rsidRPr="00830F4C" w:rsidRDefault="003858EE" w:rsidP="003858EE">
            <w:pPr>
              <w:jc w:val="center"/>
              <w:rPr>
                <w:rFonts w:ascii="Garamond" w:hAnsi="Garamond"/>
                <w:b w:val="0"/>
                <w:sz w:val="16"/>
                <w:szCs w:val="16"/>
              </w:rPr>
            </w:pPr>
            <w:r w:rsidRPr="00830F4C">
              <w:rPr>
                <w:rFonts w:ascii="Garamond" w:hAnsi="Garamond"/>
                <w:b w:val="0"/>
                <w:sz w:val="16"/>
                <w:szCs w:val="16"/>
              </w:rPr>
              <w:t>5</w:t>
            </w:r>
            <w:r w:rsidR="00300110" w:rsidRPr="00830F4C">
              <w:rPr>
                <w:rFonts w:ascii="Garamond" w:hAnsi="Garamond"/>
                <w:b w:val="0"/>
                <w:sz w:val="16"/>
                <w:szCs w:val="16"/>
              </w:rPr>
              <w:t>–</w:t>
            </w:r>
            <w:r w:rsidRPr="00830F4C">
              <w:rPr>
                <w:rFonts w:ascii="Garamond" w:hAnsi="Garamond"/>
                <w:b w:val="0"/>
                <w:sz w:val="16"/>
                <w:szCs w:val="16"/>
              </w:rPr>
              <w:t>8 milionë</w:t>
            </w:r>
          </w:p>
        </w:tc>
        <w:tc>
          <w:tcPr>
            <w:tcW w:w="4817" w:type="dxa"/>
            <w:noWrap/>
            <w:hideMark/>
          </w:tcPr>
          <w:p w14:paraId="66DD18C9" w14:textId="77777777" w:rsidR="003858EE" w:rsidRPr="00830F4C" w:rsidRDefault="003858EE"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rPr>
            </w:pPr>
            <w:r w:rsidRPr="00830F4C">
              <w:rPr>
                <w:rFonts w:ascii="Garamond" w:hAnsi="Garamond"/>
                <w:sz w:val="16"/>
                <w:szCs w:val="16"/>
              </w:rPr>
              <w:t>3,439</w:t>
            </w:r>
          </w:p>
        </w:tc>
      </w:tr>
      <w:tr w:rsidR="003858EE" w:rsidRPr="00830F4C" w14:paraId="325ED59D" w14:textId="77777777" w:rsidTr="003858EE">
        <w:trPr>
          <w:trHeight w:val="206"/>
        </w:trPr>
        <w:tc>
          <w:tcPr>
            <w:cnfStyle w:val="001000000000" w:firstRow="0" w:lastRow="0" w:firstColumn="1" w:lastColumn="0" w:oddVBand="0" w:evenVBand="0" w:oddHBand="0" w:evenHBand="0" w:firstRowFirstColumn="0" w:firstRowLastColumn="0" w:lastRowFirstColumn="0" w:lastRowLastColumn="0"/>
            <w:tcW w:w="4326" w:type="dxa"/>
            <w:noWrap/>
            <w:hideMark/>
          </w:tcPr>
          <w:p w14:paraId="4300618A" w14:textId="1F65947B" w:rsidR="003858EE" w:rsidRPr="00830F4C" w:rsidRDefault="003858EE" w:rsidP="003858EE">
            <w:pPr>
              <w:jc w:val="center"/>
              <w:rPr>
                <w:rFonts w:ascii="Garamond" w:hAnsi="Garamond"/>
                <w:b w:val="0"/>
                <w:sz w:val="16"/>
                <w:szCs w:val="16"/>
              </w:rPr>
            </w:pPr>
            <w:r w:rsidRPr="00830F4C">
              <w:rPr>
                <w:rFonts w:ascii="Garamond" w:hAnsi="Garamond"/>
                <w:b w:val="0"/>
                <w:sz w:val="16"/>
                <w:szCs w:val="16"/>
              </w:rPr>
              <w:t>8</w:t>
            </w:r>
            <w:r w:rsidR="00300110" w:rsidRPr="00830F4C">
              <w:rPr>
                <w:rFonts w:ascii="Garamond" w:hAnsi="Garamond"/>
                <w:b w:val="0"/>
                <w:sz w:val="16"/>
                <w:szCs w:val="16"/>
              </w:rPr>
              <w:t>–</w:t>
            </w:r>
            <w:r w:rsidRPr="00830F4C">
              <w:rPr>
                <w:rFonts w:ascii="Garamond" w:hAnsi="Garamond"/>
                <w:b w:val="0"/>
                <w:sz w:val="16"/>
                <w:szCs w:val="16"/>
              </w:rPr>
              <w:t>9 milionë</w:t>
            </w:r>
          </w:p>
        </w:tc>
        <w:tc>
          <w:tcPr>
            <w:tcW w:w="4817" w:type="dxa"/>
            <w:noWrap/>
            <w:hideMark/>
          </w:tcPr>
          <w:p w14:paraId="00AAC547" w14:textId="77777777" w:rsidR="003858EE" w:rsidRPr="00830F4C" w:rsidRDefault="003858EE"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rPr>
            </w:pPr>
            <w:r w:rsidRPr="00830F4C">
              <w:rPr>
                <w:rFonts w:ascii="Garamond" w:hAnsi="Garamond"/>
                <w:sz w:val="16"/>
                <w:szCs w:val="16"/>
              </w:rPr>
              <w:t>800</w:t>
            </w:r>
          </w:p>
        </w:tc>
      </w:tr>
      <w:tr w:rsidR="003858EE" w:rsidRPr="00830F4C" w14:paraId="70DBE6A4" w14:textId="77777777" w:rsidTr="003858EE">
        <w:trPr>
          <w:trHeight w:val="206"/>
        </w:trPr>
        <w:tc>
          <w:tcPr>
            <w:cnfStyle w:val="001000000000" w:firstRow="0" w:lastRow="0" w:firstColumn="1" w:lastColumn="0" w:oddVBand="0" w:evenVBand="0" w:oddHBand="0" w:evenHBand="0" w:firstRowFirstColumn="0" w:firstRowLastColumn="0" w:lastRowFirstColumn="0" w:lastRowLastColumn="0"/>
            <w:tcW w:w="4326" w:type="dxa"/>
            <w:noWrap/>
            <w:hideMark/>
          </w:tcPr>
          <w:p w14:paraId="7B35B0F0" w14:textId="1C5BE203" w:rsidR="003858EE" w:rsidRPr="00830F4C" w:rsidRDefault="003858EE" w:rsidP="003858EE">
            <w:pPr>
              <w:jc w:val="center"/>
              <w:rPr>
                <w:rFonts w:ascii="Garamond" w:hAnsi="Garamond"/>
                <w:b w:val="0"/>
                <w:sz w:val="16"/>
                <w:szCs w:val="16"/>
              </w:rPr>
            </w:pPr>
            <w:r w:rsidRPr="00830F4C">
              <w:rPr>
                <w:rFonts w:ascii="Garamond" w:hAnsi="Garamond"/>
                <w:b w:val="0"/>
                <w:sz w:val="16"/>
                <w:szCs w:val="16"/>
              </w:rPr>
              <w:t>9</w:t>
            </w:r>
            <w:r w:rsidR="00300110" w:rsidRPr="00830F4C">
              <w:rPr>
                <w:rFonts w:ascii="Garamond" w:hAnsi="Garamond"/>
                <w:b w:val="0"/>
                <w:sz w:val="16"/>
                <w:szCs w:val="16"/>
              </w:rPr>
              <w:t>–</w:t>
            </w:r>
            <w:r w:rsidRPr="00830F4C">
              <w:rPr>
                <w:rFonts w:ascii="Garamond" w:hAnsi="Garamond"/>
                <w:b w:val="0"/>
                <w:sz w:val="16"/>
                <w:szCs w:val="16"/>
              </w:rPr>
              <w:t>10 milionë</w:t>
            </w:r>
          </w:p>
        </w:tc>
        <w:tc>
          <w:tcPr>
            <w:tcW w:w="4817" w:type="dxa"/>
            <w:noWrap/>
            <w:hideMark/>
          </w:tcPr>
          <w:p w14:paraId="55D1E8C6" w14:textId="77777777" w:rsidR="003858EE" w:rsidRPr="00830F4C" w:rsidRDefault="003858EE"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rPr>
            </w:pPr>
            <w:r w:rsidRPr="00830F4C">
              <w:rPr>
                <w:rFonts w:ascii="Garamond" w:hAnsi="Garamond"/>
                <w:sz w:val="16"/>
                <w:szCs w:val="16"/>
              </w:rPr>
              <w:t>841</w:t>
            </w:r>
          </w:p>
        </w:tc>
      </w:tr>
      <w:tr w:rsidR="003858EE" w:rsidRPr="00830F4C" w14:paraId="5F96EB82" w14:textId="77777777" w:rsidTr="003858EE">
        <w:trPr>
          <w:trHeight w:val="206"/>
        </w:trPr>
        <w:tc>
          <w:tcPr>
            <w:cnfStyle w:val="001000000000" w:firstRow="0" w:lastRow="0" w:firstColumn="1" w:lastColumn="0" w:oddVBand="0" w:evenVBand="0" w:oddHBand="0" w:evenHBand="0" w:firstRowFirstColumn="0" w:firstRowLastColumn="0" w:lastRowFirstColumn="0" w:lastRowLastColumn="0"/>
            <w:tcW w:w="4326" w:type="dxa"/>
            <w:noWrap/>
            <w:hideMark/>
          </w:tcPr>
          <w:p w14:paraId="3F2C254D" w14:textId="182BF32F" w:rsidR="003858EE" w:rsidRPr="00830F4C" w:rsidRDefault="003858EE" w:rsidP="003858EE">
            <w:pPr>
              <w:jc w:val="center"/>
              <w:rPr>
                <w:rFonts w:ascii="Garamond" w:hAnsi="Garamond"/>
                <w:b w:val="0"/>
                <w:sz w:val="16"/>
                <w:szCs w:val="16"/>
              </w:rPr>
            </w:pPr>
            <w:r w:rsidRPr="00830F4C">
              <w:rPr>
                <w:rFonts w:ascii="Garamond" w:hAnsi="Garamond"/>
                <w:b w:val="0"/>
                <w:sz w:val="16"/>
                <w:szCs w:val="16"/>
              </w:rPr>
              <w:t>10</w:t>
            </w:r>
            <w:r w:rsidR="00300110" w:rsidRPr="00830F4C">
              <w:rPr>
                <w:rFonts w:ascii="Garamond" w:hAnsi="Garamond"/>
                <w:b w:val="0"/>
                <w:sz w:val="16"/>
                <w:szCs w:val="16"/>
              </w:rPr>
              <w:t>–</w:t>
            </w:r>
            <w:r w:rsidRPr="00830F4C">
              <w:rPr>
                <w:rFonts w:ascii="Garamond" w:hAnsi="Garamond"/>
                <w:b w:val="0"/>
                <w:sz w:val="16"/>
                <w:szCs w:val="16"/>
              </w:rPr>
              <w:t>11 milionë</w:t>
            </w:r>
          </w:p>
        </w:tc>
        <w:tc>
          <w:tcPr>
            <w:tcW w:w="4817" w:type="dxa"/>
            <w:noWrap/>
            <w:hideMark/>
          </w:tcPr>
          <w:p w14:paraId="1B9FE167" w14:textId="77777777" w:rsidR="003858EE" w:rsidRPr="00830F4C" w:rsidRDefault="003858EE"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rPr>
            </w:pPr>
            <w:r w:rsidRPr="00830F4C">
              <w:rPr>
                <w:rFonts w:ascii="Garamond" w:hAnsi="Garamond"/>
                <w:sz w:val="16"/>
                <w:szCs w:val="16"/>
              </w:rPr>
              <w:t>821</w:t>
            </w:r>
          </w:p>
        </w:tc>
      </w:tr>
      <w:tr w:rsidR="003858EE" w:rsidRPr="00830F4C" w14:paraId="57FE1280" w14:textId="77777777" w:rsidTr="003858EE">
        <w:trPr>
          <w:trHeight w:val="206"/>
        </w:trPr>
        <w:tc>
          <w:tcPr>
            <w:cnfStyle w:val="001000000000" w:firstRow="0" w:lastRow="0" w:firstColumn="1" w:lastColumn="0" w:oddVBand="0" w:evenVBand="0" w:oddHBand="0" w:evenHBand="0" w:firstRowFirstColumn="0" w:firstRowLastColumn="0" w:lastRowFirstColumn="0" w:lastRowLastColumn="0"/>
            <w:tcW w:w="4326" w:type="dxa"/>
            <w:noWrap/>
            <w:hideMark/>
          </w:tcPr>
          <w:p w14:paraId="3BD5B1D1" w14:textId="2DB4B077" w:rsidR="003858EE" w:rsidRPr="00830F4C" w:rsidRDefault="003858EE" w:rsidP="003858EE">
            <w:pPr>
              <w:jc w:val="center"/>
              <w:rPr>
                <w:rFonts w:ascii="Garamond" w:hAnsi="Garamond"/>
                <w:b w:val="0"/>
                <w:sz w:val="16"/>
                <w:szCs w:val="16"/>
              </w:rPr>
            </w:pPr>
            <w:r w:rsidRPr="00830F4C">
              <w:rPr>
                <w:rFonts w:ascii="Garamond" w:hAnsi="Garamond"/>
                <w:b w:val="0"/>
                <w:sz w:val="16"/>
                <w:szCs w:val="16"/>
              </w:rPr>
              <w:t>11</w:t>
            </w:r>
            <w:r w:rsidR="00300110" w:rsidRPr="00830F4C">
              <w:rPr>
                <w:rFonts w:ascii="Garamond" w:hAnsi="Garamond"/>
                <w:b w:val="0"/>
                <w:sz w:val="16"/>
                <w:szCs w:val="16"/>
              </w:rPr>
              <w:t>–</w:t>
            </w:r>
            <w:r w:rsidRPr="00830F4C">
              <w:rPr>
                <w:rFonts w:ascii="Garamond" w:hAnsi="Garamond"/>
                <w:b w:val="0"/>
                <w:sz w:val="16"/>
                <w:szCs w:val="16"/>
              </w:rPr>
              <w:t>12 milionë</w:t>
            </w:r>
          </w:p>
        </w:tc>
        <w:tc>
          <w:tcPr>
            <w:tcW w:w="4817" w:type="dxa"/>
            <w:noWrap/>
            <w:hideMark/>
          </w:tcPr>
          <w:p w14:paraId="101385BB" w14:textId="77777777" w:rsidR="003858EE" w:rsidRPr="00830F4C" w:rsidRDefault="003858EE"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rPr>
            </w:pPr>
            <w:r w:rsidRPr="00830F4C">
              <w:rPr>
                <w:rFonts w:ascii="Garamond" w:hAnsi="Garamond"/>
                <w:sz w:val="16"/>
                <w:szCs w:val="16"/>
              </w:rPr>
              <w:t>873</w:t>
            </w:r>
          </w:p>
        </w:tc>
      </w:tr>
      <w:tr w:rsidR="003858EE" w:rsidRPr="00830F4C" w14:paraId="6B024D8C" w14:textId="77777777" w:rsidTr="003858EE">
        <w:trPr>
          <w:trHeight w:val="206"/>
        </w:trPr>
        <w:tc>
          <w:tcPr>
            <w:cnfStyle w:val="001000000000" w:firstRow="0" w:lastRow="0" w:firstColumn="1" w:lastColumn="0" w:oddVBand="0" w:evenVBand="0" w:oddHBand="0" w:evenHBand="0" w:firstRowFirstColumn="0" w:firstRowLastColumn="0" w:lastRowFirstColumn="0" w:lastRowLastColumn="0"/>
            <w:tcW w:w="4326" w:type="dxa"/>
            <w:noWrap/>
            <w:hideMark/>
          </w:tcPr>
          <w:p w14:paraId="4918A1D9" w14:textId="0824CBEE" w:rsidR="003858EE" w:rsidRPr="00830F4C" w:rsidRDefault="003858EE" w:rsidP="003858EE">
            <w:pPr>
              <w:jc w:val="center"/>
              <w:rPr>
                <w:rFonts w:ascii="Garamond" w:hAnsi="Garamond"/>
                <w:b w:val="0"/>
                <w:sz w:val="16"/>
                <w:szCs w:val="16"/>
              </w:rPr>
            </w:pPr>
            <w:r w:rsidRPr="00830F4C">
              <w:rPr>
                <w:rFonts w:ascii="Garamond" w:hAnsi="Garamond"/>
                <w:b w:val="0"/>
                <w:sz w:val="16"/>
                <w:szCs w:val="16"/>
              </w:rPr>
              <w:t>12</w:t>
            </w:r>
            <w:r w:rsidR="00300110" w:rsidRPr="00830F4C">
              <w:rPr>
                <w:rFonts w:ascii="Garamond" w:hAnsi="Garamond"/>
                <w:b w:val="0"/>
                <w:sz w:val="16"/>
                <w:szCs w:val="16"/>
              </w:rPr>
              <w:t>–</w:t>
            </w:r>
            <w:r w:rsidRPr="00830F4C">
              <w:rPr>
                <w:rFonts w:ascii="Garamond" w:hAnsi="Garamond"/>
                <w:b w:val="0"/>
                <w:sz w:val="16"/>
                <w:szCs w:val="16"/>
              </w:rPr>
              <w:t>15 milionë</w:t>
            </w:r>
          </w:p>
        </w:tc>
        <w:tc>
          <w:tcPr>
            <w:tcW w:w="4817" w:type="dxa"/>
            <w:noWrap/>
            <w:hideMark/>
          </w:tcPr>
          <w:p w14:paraId="5105EA82" w14:textId="77777777" w:rsidR="003858EE" w:rsidRPr="00830F4C" w:rsidRDefault="003858EE"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rPr>
            </w:pPr>
            <w:r w:rsidRPr="00830F4C">
              <w:rPr>
                <w:rFonts w:ascii="Garamond" w:hAnsi="Garamond"/>
                <w:sz w:val="16"/>
                <w:szCs w:val="16"/>
              </w:rPr>
              <w:t>2,370</w:t>
            </w:r>
          </w:p>
        </w:tc>
      </w:tr>
      <w:tr w:rsidR="003858EE" w:rsidRPr="00830F4C" w14:paraId="2D684D0E" w14:textId="77777777" w:rsidTr="003858EE">
        <w:trPr>
          <w:trHeight w:val="206"/>
        </w:trPr>
        <w:tc>
          <w:tcPr>
            <w:cnfStyle w:val="001000000000" w:firstRow="0" w:lastRow="0" w:firstColumn="1" w:lastColumn="0" w:oddVBand="0" w:evenVBand="0" w:oddHBand="0" w:evenHBand="0" w:firstRowFirstColumn="0" w:firstRowLastColumn="0" w:lastRowFirstColumn="0" w:lastRowLastColumn="0"/>
            <w:tcW w:w="4326" w:type="dxa"/>
            <w:noWrap/>
            <w:hideMark/>
          </w:tcPr>
          <w:p w14:paraId="5265E945" w14:textId="45DF396F" w:rsidR="003858EE" w:rsidRPr="00830F4C" w:rsidRDefault="003858EE" w:rsidP="003858EE">
            <w:pPr>
              <w:jc w:val="center"/>
              <w:rPr>
                <w:rFonts w:ascii="Garamond" w:hAnsi="Garamond"/>
                <w:b w:val="0"/>
                <w:sz w:val="16"/>
                <w:szCs w:val="16"/>
              </w:rPr>
            </w:pPr>
            <w:r w:rsidRPr="00830F4C">
              <w:rPr>
                <w:rFonts w:ascii="Garamond" w:hAnsi="Garamond"/>
                <w:b w:val="0"/>
                <w:sz w:val="16"/>
                <w:szCs w:val="16"/>
              </w:rPr>
              <w:t>15</w:t>
            </w:r>
            <w:r w:rsidR="00300110" w:rsidRPr="00830F4C">
              <w:rPr>
                <w:rFonts w:ascii="Garamond" w:hAnsi="Garamond"/>
                <w:b w:val="0"/>
                <w:sz w:val="16"/>
                <w:szCs w:val="16"/>
              </w:rPr>
              <w:t>–</w:t>
            </w:r>
            <w:r w:rsidRPr="00830F4C">
              <w:rPr>
                <w:rFonts w:ascii="Garamond" w:hAnsi="Garamond"/>
                <w:b w:val="0"/>
                <w:sz w:val="16"/>
                <w:szCs w:val="16"/>
              </w:rPr>
              <w:t>20 milionë</w:t>
            </w:r>
          </w:p>
        </w:tc>
        <w:tc>
          <w:tcPr>
            <w:tcW w:w="4817" w:type="dxa"/>
            <w:noWrap/>
            <w:hideMark/>
          </w:tcPr>
          <w:p w14:paraId="2AB2EE2F" w14:textId="77777777" w:rsidR="003858EE" w:rsidRPr="00830F4C" w:rsidRDefault="003858EE"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rPr>
            </w:pPr>
            <w:r w:rsidRPr="00830F4C">
              <w:rPr>
                <w:rFonts w:ascii="Garamond" w:hAnsi="Garamond"/>
                <w:sz w:val="16"/>
                <w:szCs w:val="16"/>
              </w:rPr>
              <w:t>1,700</w:t>
            </w:r>
          </w:p>
        </w:tc>
      </w:tr>
      <w:tr w:rsidR="003858EE" w:rsidRPr="00830F4C" w14:paraId="44F5DCA9" w14:textId="77777777" w:rsidTr="003858EE">
        <w:trPr>
          <w:trHeight w:val="206"/>
        </w:trPr>
        <w:tc>
          <w:tcPr>
            <w:cnfStyle w:val="001000000000" w:firstRow="0" w:lastRow="0" w:firstColumn="1" w:lastColumn="0" w:oddVBand="0" w:evenVBand="0" w:oddHBand="0" w:evenHBand="0" w:firstRowFirstColumn="0" w:firstRowLastColumn="0" w:lastRowFirstColumn="0" w:lastRowLastColumn="0"/>
            <w:tcW w:w="4326" w:type="dxa"/>
            <w:noWrap/>
            <w:hideMark/>
          </w:tcPr>
          <w:p w14:paraId="1560CC9C" w14:textId="5A243D54" w:rsidR="003858EE" w:rsidRPr="00830F4C" w:rsidRDefault="003858EE" w:rsidP="003858EE">
            <w:pPr>
              <w:jc w:val="center"/>
              <w:rPr>
                <w:rFonts w:ascii="Garamond" w:hAnsi="Garamond"/>
                <w:b w:val="0"/>
                <w:sz w:val="16"/>
                <w:szCs w:val="16"/>
              </w:rPr>
            </w:pPr>
            <w:r w:rsidRPr="00830F4C">
              <w:rPr>
                <w:rFonts w:ascii="Garamond" w:hAnsi="Garamond"/>
                <w:b w:val="0"/>
                <w:sz w:val="16"/>
                <w:szCs w:val="16"/>
              </w:rPr>
              <w:t>20</w:t>
            </w:r>
            <w:r w:rsidR="00300110" w:rsidRPr="00830F4C">
              <w:rPr>
                <w:rFonts w:ascii="Garamond" w:hAnsi="Garamond"/>
                <w:b w:val="0"/>
                <w:sz w:val="16"/>
                <w:szCs w:val="16"/>
              </w:rPr>
              <w:t>–</w:t>
            </w:r>
            <w:r w:rsidRPr="00830F4C">
              <w:rPr>
                <w:rFonts w:ascii="Garamond" w:hAnsi="Garamond"/>
                <w:b w:val="0"/>
                <w:sz w:val="16"/>
                <w:szCs w:val="16"/>
              </w:rPr>
              <w:t>30 milionë</w:t>
            </w:r>
          </w:p>
        </w:tc>
        <w:tc>
          <w:tcPr>
            <w:tcW w:w="4817" w:type="dxa"/>
            <w:noWrap/>
            <w:hideMark/>
          </w:tcPr>
          <w:p w14:paraId="3D962AD4" w14:textId="77777777" w:rsidR="003858EE" w:rsidRPr="00830F4C" w:rsidRDefault="003858EE"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rPr>
            </w:pPr>
            <w:r w:rsidRPr="00830F4C">
              <w:rPr>
                <w:rFonts w:ascii="Garamond" w:hAnsi="Garamond"/>
                <w:sz w:val="16"/>
                <w:szCs w:val="16"/>
              </w:rPr>
              <w:t>2,419</w:t>
            </w:r>
          </w:p>
        </w:tc>
      </w:tr>
      <w:tr w:rsidR="003858EE" w:rsidRPr="00830F4C" w14:paraId="26752C86" w14:textId="77777777" w:rsidTr="003858EE">
        <w:trPr>
          <w:trHeight w:val="206"/>
        </w:trPr>
        <w:tc>
          <w:tcPr>
            <w:cnfStyle w:val="001000000000" w:firstRow="0" w:lastRow="0" w:firstColumn="1" w:lastColumn="0" w:oddVBand="0" w:evenVBand="0" w:oddHBand="0" w:evenHBand="0" w:firstRowFirstColumn="0" w:firstRowLastColumn="0" w:lastRowFirstColumn="0" w:lastRowLastColumn="0"/>
            <w:tcW w:w="4326" w:type="dxa"/>
            <w:noWrap/>
            <w:hideMark/>
          </w:tcPr>
          <w:p w14:paraId="271F0A79" w14:textId="5D639D9C" w:rsidR="003858EE" w:rsidRPr="00830F4C" w:rsidRDefault="003858EE" w:rsidP="003858EE">
            <w:pPr>
              <w:jc w:val="center"/>
              <w:rPr>
                <w:rFonts w:ascii="Garamond" w:hAnsi="Garamond"/>
                <w:b w:val="0"/>
                <w:sz w:val="16"/>
                <w:szCs w:val="16"/>
              </w:rPr>
            </w:pPr>
            <w:r w:rsidRPr="00830F4C">
              <w:rPr>
                <w:rFonts w:ascii="Garamond" w:hAnsi="Garamond"/>
                <w:b w:val="0"/>
                <w:sz w:val="16"/>
                <w:szCs w:val="16"/>
              </w:rPr>
              <w:t>30</w:t>
            </w:r>
            <w:r w:rsidR="00300110" w:rsidRPr="00830F4C">
              <w:rPr>
                <w:rFonts w:ascii="Garamond" w:hAnsi="Garamond"/>
                <w:b w:val="0"/>
                <w:sz w:val="16"/>
                <w:szCs w:val="16"/>
              </w:rPr>
              <w:t>–</w:t>
            </w:r>
            <w:r w:rsidRPr="00830F4C">
              <w:rPr>
                <w:rFonts w:ascii="Garamond" w:hAnsi="Garamond"/>
                <w:b w:val="0"/>
                <w:sz w:val="16"/>
                <w:szCs w:val="16"/>
              </w:rPr>
              <w:t>50 milionë</w:t>
            </w:r>
          </w:p>
        </w:tc>
        <w:tc>
          <w:tcPr>
            <w:tcW w:w="4817" w:type="dxa"/>
            <w:noWrap/>
            <w:hideMark/>
          </w:tcPr>
          <w:p w14:paraId="6CE19DF2" w14:textId="77777777" w:rsidR="003858EE" w:rsidRPr="00830F4C" w:rsidRDefault="003858EE"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rPr>
            </w:pPr>
            <w:r w:rsidRPr="00830F4C">
              <w:rPr>
                <w:rFonts w:ascii="Garamond" w:hAnsi="Garamond"/>
                <w:sz w:val="16"/>
                <w:szCs w:val="16"/>
              </w:rPr>
              <w:t>2,777</w:t>
            </w:r>
          </w:p>
        </w:tc>
      </w:tr>
      <w:tr w:rsidR="003858EE" w:rsidRPr="00830F4C" w14:paraId="17C4E523" w14:textId="77777777" w:rsidTr="003858EE">
        <w:trPr>
          <w:trHeight w:val="206"/>
        </w:trPr>
        <w:tc>
          <w:tcPr>
            <w:cnfStyle w:val="001000000000" w:firstRow="0" w:lastRow="0" w:firstColumn="1" w:lastColumn="0" w:oddVBand="0" w:evenVBand="0" w:oddHBand="0" w:evenHBand="0" w:firstRowFirstColumn="0" w:firstRowLastColumn="0" w:lastRowFirstColumn="0" w:lastRowLastColumn="0"/>
            <w:tcW w:w="4326" w:type="dxa"/>
            <w:noWrap/>
            <w:hideMark/>
          </w:tcPr>
          <w:p w14:paraId="7839E1D3" w14:textId="77777777" w:rsidR="003858EE" w:rsidRPr="00830F4C" w:rsidRDefault="003858EE" w:rsidP="003858EE">
            <w:pPr>
              <w:jc w:val="center"/>
              <w:rPr>
                <w:rFonts w:ascii="Garamond" w:hAnsi="Garamond"/>
                <w:b w:val="0"/>
                <w:sz w:val="16"/>
                <w:szCs w:val="16"/>
              </w:rPr>
            </w:pPr>
            <w:r w:rsidRPr="00830F4C">
              <w:rPr>
                <w:rFonts w:ascii="Garamond" w:hAnsi="Garamond"/>
                <w:b w:val="0"/>
                <w:sz w:val="16"/>
                <w:szCs w:val="16"/>
              </w:rPr>
              <w:t>mbi 50 milionë</w:t>
            </w:r>
          </w:p>
        </w:tc>
        <w:tc>
          <w:tcPr>
            <w:tcW w:w="4817" w:type="dxa"/>
            <w:noWrap/>
            <w:hideMark/>
          </w:tcPr>
          <w:p w14:paraId="5F9950FD" w14:textId="77777777" w:rsidR="003858EE" w:rsidRPr="00830F4C" w:rsidRDefault="003858EE"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rPr>
            </w:pPr>
            <w:r w:rsidRPr="00830F4C">
              <w:rPr>
                <w:rFonts w:ascii="Garamond" w:hAnsi="Garamond"/>
                <w:sz w:val="16"/>
                <w:szCs w:val="16"/>
              </w:rPr>
              <w:t>7,284</w:t>
            </w:r>
          </w:p>
        </w:tc>
      </w:tr>
      <w:tr w:rsidR="003858EE" w:rsidRPr="00830F4C" w14:paraId="16DC0D78" w14:textId="77777777" w:rsidTr="003858EE">
        <w:trPr>
          <w:trHeight w:val="206"/>
        </w:trPr>
        <w:tc>
          <w:tcPr>
            <w:cnfStyle w:val="001000000000" w:firstRow="0" w:lastRow="0" w:firstColumn="1" w:lastColumn="0" w:oddVBand="0" w:evenVBand="0" w:oddHBand="0" w:evenHBand="0" w:firstRowFirstColumn="0" w:firstRowLastColumn="0" w:lastRowFirstColumn="0" w:lastRowLastColumn="0"/>
            <w:tcW w:w="4326" w:type="dxa"/>
            <w:noWrap/>
            <w:hideMark/>
          </w:tcPr>
          <w:p w14:paraId="7797206A" w14:textId="77777777" w:rsidR="003858EE" w:rsidRPr="00830F4C" w:rsidRDefault="003858EE" w:rsidP="003858EE">
            <w:pPr>
              <w:jc w:val="center"/>
              <w:rPr>
                <w:rFonts w:ascii="Garamond" w:hAnsi="Garamond"/>
                <w:sz w:val="16"/>
                <w:szCs w:val="16"/>
              </w:rPr>
            </w:pPr>
            <w:r w:rsidRPr="00830F4C">
              <w:rPr>
                <w:rFonts w:ascii="Garamond" w:hAnsi="Garamond"/>
                <w:sz w:val="16"/>
                <w:szCs w:val="16"/>
              </w:rPr>
              <w:t>Totali</w:t>
            </w:r>
          </w:p>
        </w:tc>
        <w:tc>
          <w:tcPr>
            <w:tcW w:w="4817" w:type="dxa"/>
            <w:noWrap/>
            <w:hideMark/>
          </w:tcPr>
          <w:p w14:paraId="7BC38541" w14:textId="77777777" w:rsidR="003858EE" w:rsidRPr="00830F4C" w:rsidRDefault="003858EE"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szCs w:val="16"/>
              </w:rPr>
            </w:pPr>
            <w:r w:rsidRPr="00830F4C">
              <w:rPr>
                <w:rFonts w:ascii="Garamond" w:hAnsi="Garamond"/>
                <w:b/>
                <w:sz w:val="16"/>
                <w:szCs w:val="16"/>
              </w:rPr>
              <w:t>33,283</w:t>
            </w:r>
          </w:p>
        </w:tc>
      </w:tr>
      <w:tr w:rsidR="003858EE" w:rsidRPr="00830F4C" w14:paraId="693893EC" w14:textId="77777777" w:rsidTr="003858EE">
        <w:trPr>
          <w:trHeight w:val="197"/>
        </w:trPr>
        <w:tc>
          <w:tcPr>
            <w:cnfStyle w:val="001000000000" w:firstRow="0" w:lastRow="0" w:firstColumn="1" w:lastColumn="0" w:oddVBand="0" w:evenVBand="0" w:oddHBand="0" w:evenHBand="0" w:firstRowFirstColumn="0" w:firstRowLastColumn="0" w:lastRowFirstColumn="0" w:lastRowLastColumn="0"/>
            <w:tcW w:w="4326" w:type="dxa"/>
            <w:hideMark/>
          </w:tcPr>
          <w:p w14:paraId="12FD7C01" w14:textId="12CFC892" w:rsidR="003858EE" w:rsidRPr="00830F4C" w:rsidRDefault="003858EE" w:rsidP="003858EE">
            <w:pPr>
              <w:jc w:val="center"/>
              <w:rPr>
                <w:rFonts w:ascii="Garamond" w:hAnsi="Garamond"/>
                <w:b w:val="0"/>
                <w:bCs w:val="0"/>
                <w:sz w:val="16"/>
                <w:szCs w:val="16"/>
              </w:rPr>
            </w:pPr>
            <w:r w:rsidRPr="00830F4C">
              <w:rPr>
                <w:rFonts w:ascii="Garamond" w:hAnsi="Garamond"/>
                <w:b w:val="0"/>
                <w:bCs w:val="0"/>
                <w:sz w:val="16"/>
                <w:szCs w:val="16"/>
              </w:rPr>
              <w:t>*Kanë deklaruar</w:t>
            </w:r>
            <w:r w:rsidR="00DE65FB">
              <w:rPr>
                <w:rFonts w:ascii="Garamond" w:hAnsi="Garamond"/>
                <w:b w:val="0"/>
                <w:bCs w:val="0"/>
                <w:sz w:val="16"/>
                <w:szCs w:val="16"/>
              </w:rPr>
              <w:t xml:space="preserve"> TVSh</w:t>
            </w:r>
            <w:r w:rsidRPr="00830F4C">
              <w:rPr>
                <w:rFonts w:ascii="Garamond" w:hAnsi="Garamond"/>
                <w:b w:val="0"/>
                <w:bCs w:val="0"/>
                <w:sz w:val="16"/>
                <w:szCs w:val="16"/>
              </w:rPr>
              <w:t xml:space="preserve"> por jo TF/TFTH</w:t>
            </w:r>
          </w:p>
        </w:tc>
        <w:tc>
          <w:tcPr>
            <w:tcW w:w="4817" w:type="dxa"/>
            <w:noWrap/>
            <w:hideMark/>
          </w:tcPr>
          <w:p w14:paraId="218AE9D0" w14:textId="77777777" w:rsidR="003858EE" w:rsidRPr="00830F4C" w:rsidRDefault="003858EE"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rPr>
            </w:pPr>
            <w:r w:rsidRPr="00830F4C">
              <w:rPr>
                <w:rFonts w:ascii="Garamond" w:hAnsi="Garamond"/>
                <w:sz w:val="16"/>
                <w:szCs w:val="16"/>
              </w:rPr>
              <w:t>219</w:t>
            </w:r>
          </w:p>
        </w:tc>
      </w:tr>
      <w:tr w:rsidR="003858EE" w:rsidRPr="00830F4C" w14:paraId="12E00AC9" w14:textId="77777777" w:rsidTr="003858EE">
        <w:trPr>
          <w:trHeight w:val="206"/>
        </w:trPr>
        <w:tc>
          <w:tcPr>
            <w:cnfStyle w:val="001000000000" w:firstRow="0" w:lastRow="0" w:firstColumn="1" w:lastColumn="0" w:oddVBand="0" w:evenVBand="0" w:oddHBand="0" w:evenHBand="0" w:firstRowFirstColumn="0" w:firstRowLastColumn="0" w:lastRowFirstColumn="0" w:lastRowLastColumn="0"/>
            <w:tcW w:w="4326" w:type="dxa"/>
            <w:noWrap/>
            <w:hideMark/>
          </w:tcPr>
          <w:p w14:paraId="3A8FA9E3" w14:textId="77777777" w:rsidR="003858EE" w:rsidRPr="00830F4C" w:rsidRDefault="003858EE" w:rsidP="003858EE">
            <w:pPr>
              <w:jc w:val="center"/>
              <w:rPr>
                <w:rFonts w:ascii="Garamond" w:hAnsi="Garamond"/>
                <w:sz w:val="16"/>
                <w:szCs w:val="16"/>
              </w:rPr>
            </w:pPr>
            <w:r w:rsidRPr="00830F4C">
              <w:rPr>
                <w:rFonts w:ascii="Garamond" w:hAnsi="Garamond"/>
                <w:sz w:val="16"/>
                <w:szCs w:val="16"/>
              </w:rPr>
              <w:t>Totali</w:t>
            </w:r>
          </w:p>
        </w:tc>
        <w:tc>
          <w:tcPr>
            <w:tcW w:w="4817" w:type="dxa"/>
            <w:noWrap/>
            <w:hideMark/>
          </w:tcPr>
          <w:p w14:paraId="34754B8C" w14:textId="77777777" w:rsidR="003858EE" w:rsidRPr="00830F4C" w:rsidRDefault="003858EE" w:rsidP="003858EE">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szCs w:val="16"/>
              </w:rPr>
            </w:pPr>
            <w:r w:rsidRPr="00830F4C">
              <w:rPr>
                <w:rFonts w:ascii="Garamond" w:hAnsi="Garamond"/>
                <w:b/>
                <w:sz w:val="16"/>
                <w:szCs w:val="16"/>
              </w:rPr>
              <w:t>33,502</w:t>
            </w:r>
          </w:p>
        </w:tc>
      </w:tr>
    </w:tbl>
    <w:p w14:paraId="380A7B17" w14:textId="77777777" w:rsidR="003858EE" w:rsidRPr="00830F4C" w:rsidRDefault="003858EE" w:rsidP="003858EE">
      <w:pPr>
        <w:jc w:val="both"/>
        <w:rPr>
          <w:rFonts w:ascii="Garamond" w:hAnsi="Garamond"/>
          <w:i/>
          <w:iCs/>
          <w:sz w:val="20"/>
          <w:szCs w:val="20"/>
        </w:rPr>
      </w:pPr>
      <w:r w:rsidRPr="00830F4C">
        <w:rPr>
          <w:rFonts w:ascii="Garamond" w:hAnsi="Garamond"/>
          <w:i/>
          <w:iCs/>
          <w:sz w:val="20"/>
          <w:szCs w:val="20"/>
        </w:rPr>
        <w:t>Burimi: Drejtoria e Përgjithshme e Tatimeve</w:t>
      </w:r>
    </w:p>
    <w:p w14:paraId="0520F26F" w14:textId="640CB02B" w:rsidR="003858EE" w:rsidRPr="00830F4C" w:rsidRDefault="003858EE" w:rsidP="003858EE">
      <w:pPr>
        <w:ind w:firstLine="284"/>
        <w:jc w:val="both"/>
        <w:rPr>
          <w:rFonts w:ascii="Garamond" w:hAnsi="Garamond"/>
        </w:rPr>
      </w:pPr>
      <w:r w:rsidRPr="00830F4C">
        <w:rPr>
          <w:rFonts w:ascii="Garamond" w:hAnsi="Garamond"/>
        </w:rPr>
        <w:t>Duhet pa</w:t>
      </w:r>
      <w:r w:rsidR="00300110" w:rsidRPr="00830F4C">
        <w:rPr>
          <w:rFonts w:ascii="Garamond" w:hAnsi="Garamond"/>
        </w:rPr>
        <w:t>s</w:t>
      </w:r>
      <w:r w:rsidRPr="00830F4C">
        <w:rPr>
          <w:rFonts w:ascii="Garamond" w:hAnsi="Garamond"/>
        </w:rPr>
        <w:t>ur parasysh që heqja nga skema e</w:t>
      </w:r>
      <w:r w:rsidR="00DE65FB">
        <w:rPr>
          <w:rFonts w:ascii="Garamond" w:hAnsi="Garamond"/>
        </w:rPr>
        <w:t xml:space="preserve"> TVSh</w:t>
      </w:r>
      <w:r w:rsidRPr="00830F4C">
        <w:rPr>
          <w:rFonts w:ascii="Garamond" w:hAnsi="Garamond"/>
        </w:rPr>
        <w:t>-së së këtij grupi tatimpaguesish reduktoi</w:t>
      </w:r>
      <w:r w:rsidR="00DE65FB">
        <w:rPr>
          <w:rFonts w:ascii="Garamond" w:hAnsi="Garamond"/>
        </w:rPr>
        <w:t xml:space="preserve"> TVSh</w:t>
      </w:r>
      <w:r w:rsidRPr="00830F4C">
        <w:rPr>
          <w:rFonts w:ascii="Garamond" w:hAnsi="Garamond"/>
        </w:rPr>
        <w:t>-në e llogaritur prej tyre,</w:t>
      </w:r>
      <w:r w:rsidR="00DE65FB">
        <w:rPr>
          <w:rFonts w:ascii="Garamond" w:hAnsi="Garamond"/>
        </w:rPr>
        <w:t xml:space="preserve"> TVSh</w:t>
      </w:r>
      <w:r w:rsidR="005C444C" w:rsidRPr="00830F4C">
        <w:rPr>
          <w:rFonts w:ascii="Garamond" w:hAnsi="Garamond"/>
        </w:rPr>
        <w:t>-ja</w:t>
      </w:r>
      <w:r w:rsidRPr="00830F4C">
        <w:rPr>
          <w:rFonts w:ascii="Garamond" w:hAnsi="Garamond"/>
        </w:rPr>
        <w:t xml:space="preserve"> e cila u faturohet tatimpaguesve të tjerë që janë në skemën e</w:t>
      </w:r>
      <w:r w:rsidR="00DE65FB">
        <w:rPr>
          <w:rFonts w:ascii="Garamond" w:hAnsi="Garamond"/>
        </w:rPr>
        <w:t xml:space="preserve"> TVSh</w:t>
      </w:r>
      <w:r w:rsidRPr="00830F4C">
        <w:rPr>
          <w:rFonts w:ascii="Garamond" w:hAnsi="Garamond"/>
        </w:rPr>
        <w:t>-së dhe për të cilët ajo është e zbritshme. Pra efekti në uljen e të ardhurave nga rritja e pragut të</w:t>
      </w:r>
      <w:r w:rsidR="00DE65FB">
        <w:rPr>
          <w:rFonts w:ascii="Garamond" w:hAnsi="Garamond"/>
        </w:rPr>
        <w:t xml:space="preserve"> TVSh</w:t>
      </w:r>
      <w:r w:rsidRPr="00830F4C">
        <w:rPr>
          <w:rFonts w:ascii="Garamond" w:hAnsi="Garamond"/>
        </w:rPr>
        <w:t>-së duhet të marrë në konsideratë vetëm furnizimet që tatimpaguesit me qarkullim 0</w:t>
      </w:r>
      <w:r w:rsidR="00D22EA5" w:rsidRPr="00830F4C">
        <w:rPr>
          <w:rFonts w:ascii="Garamond" w:hAnsi="Garamond"/>
        </w:rPr>
        <w:t>–</w:t>
      </w:r>
      <w:r w:rsidRPr="00830F4C">
        <w:rPr>
          <w:rFonts w:ascii="Garamond" w:hAnsi="Garamond"/>
        </w:rPr>
        <w:t xml:space="preserve">10 </w:t>
      </w:r>
      <w:r w:rsidR="00236281" w:rsidRPr="00830F4C">
        <w:rPr>
          <w:rFonts w:ascii="Garamond" w:hAnsi="Garamond"/>
        </w:rPr>
        <w:t>milionë</w:t>
      </w:r>
      <w:r w:rsidR="0052377F" w:rsidRPr="00830F4C">
        <w:rPr>
          <w:rFonts w:ascii="Garamond" w:hAnsi="Garamond"/>
        </w:rPr>
        <w:t xml:space="preserve"> </w:t>
      </w:r>
      <w:r w:rsidRPr="00830F4C">
        <w:rPr>
          <w:rFonts w:ascii="Garamond" w:hAnsi="Garamond"/>
        </w:rPr>
        <w:t>lekë bëjnë për konsumatorët finalë. Gjithashtu, duhet të merret në konsideratë edhe teprica kreditore e trashëguar nga tatimpaguesit e</w:t>
      </w:r>
      <w:r w:rsidR="00DE65FB">
        <w:rPr>
          <w:rFonts w:ascii="Garamond" w:hAnsi="Garamond"/>
        </w:rPr>
        <w:t xml:space="preserve"> TVSh</w:t>
      </w:r>
      <w:r w:rsidRPr="00830F4C">
        <w:rPr>
          <w:rFonts w:ascii="Garamond" w:hAnsi="Garamond"/>
        </w:rPr>
        <w:t>-së, e cila redukton</w:t>
      </w:r>
      <w:r w:rsidR="00DE65FB">
        <w:rPr>
          <w:rFonts w:ascii="Garamond" w:hAnsi="Garamond"/>
        </w:rPr>
        <w:t xml:space="preserve"> TVSh</w:t>
      </w:r>
      <w:r w:rsidRPr="00830F4C">
        <w:rPr>
          <w:rFonts w:ascii="Garamond" w:hAnsi="Garamond"/>
        </w:rPr>
        <w:t>-në e pagueshme çdo muaj.</w:t>
      </w:r>
    </w:p>
    <w:p w14:paraId="5C012DF7" w14:textId="0C4B16F8" w:rsidR="003858EE" w:rsidRPr="00830F4C" w:rsidRDefault="003858EE" w:rsidP="003858EE">
      <w:pPr>
        <w:ind w:firstLine="284"/>
        <w:jc w:val="both"/>
        <w:rPr>
          <w:rFonts w:ascii="Garamond" w:hAnsi="Garamond"/>
          <w:b/>
          <w:bCs/>
        </w:rPr>
      </w:pPr>
      <w:r w:rsidRPr="00830F4C">
        <w:rPr>
          <w:rFonts w:ascii="Garamond" w:hAnsi="Garamond"/>
          <w:b/>
          <w:bCs/>
        </w:rPr>
        <w:t>Aktiviteti 1.1.2.1</w:t>
      </w:r>
      <w:r w:rsidR="00EC31DB" w:rsidRPr="00830F4C">
        <w:rPr>
          <w:rFonts w:ascii="Garamond" w:hAnsi="Garamond"/>
          <w:b/>
          <w:bCs/>
        </w:rPr>
        <w:t>:</w:t>
      </w:r>
      <w:r w:rsidRPr="00830F4C">
        <w:rPr>
          <w:rFonts w:ascii="Garamond" w:hAnsi="Garamond"/>
          <w:b/>
          <w:bCs/>
        </w:rPr>
        <w:t xml:space="preserve"> Kryerja e një analize</w:t>
      </w:r>
      <w:r w:rsidR="00D43099" w:rsidRPr="00830F4C">
        <w:rPr>
          <w:rFonts w:ascii="Garamond" w:hAnsi="Garamond"/>
          <w:b/>
          <w:bCs/>
        </w:rPr>
        <w:t>,</w:t>
      </w:r>
      <w:r w:rsidRPr="00830F4C">
        <w:rPr>
          <w:rFonts w:ascii="Garamond" w:hAnsi="Garamond"/>
          <w:b/>
          <w:bCs/>
        </w:rPr>
        <w:t xml:space="preserve"> në lidhje me pragun e regjistrimit të</w:t>
      </w:r>
      <w:r w:rsidR="00DE65FB">
        <w:rPr>
          <w:rFonts w:ascii="Garamond" w:hAnsi="Garamond"/>
          <w:b/>
          <w:bCs/>
        </w:rPr>
        <w:t xml:space="preserve"> TVSh</w:t>
      </w:r>
      <w:r w:rsidRPr="00830F4C">
        <w:rPr>
          <w:rFonts w:ascii="Garamond" w:hAnsi="Garamond"/>
          <w:b/>
          <w:bCs/>
        </w:rPr>
        <w:t>-së</w:t>
      </w:r>
    </w:p>
    <w:p w14:paraId="344D4BED" w14:textId="19FA5179" w:rsidR="003858EE" w:rsidRPr="00830F4C" w:rsidRDefault="003858EE" w:rsidP="003858EE">
      <w:pPr>
        <w:ind w:firstLine="284"/>
        <w:jc w:val="both"/>
        <w:rPr>
          <w:rFonts w:ascii="Garamond" w:hAnsi="Garamond"/>
        </w:rPr>
      </w:pPr>
      <w:r w:rsidRPr="00830F4C">
        <w:rPr>
          <w:rFonts w:ascii="Garamond" w:hAnsi="Garamond"/>
        </w:rPr>
        <w:t>Në kuadrin e kësaj Strategjie dhe të ndryshimeve të ndodhura në strukturën e ekonomisë shqiptare pas ndryshimit të fundit të pragut të regjistrimit për</w:t>
      </w:r>
      <w:r w:rsidR="00DE65FB">
        <w:rPr>
          <w:rFonts w:ascii="Garamond" w:hAnsi="Garamond"/>
        </w:rPr>
        <w:t xml:space="preserve"> TVSh</w:t>
      </w:r>
      <w:r w:rsidR="00D43099" w:rsidRPr="00830F4C">
        <w:rPr>
          <w:rFonts w:ascii="Garamond" w:hAnsi="Garamond"/>
        </w:rPr>
        <w:t>-në</w:t>
      </w:r>
      <w:r w:rsidRPr="00830F4C">
        <w:rPr>
          <w:rFonts w:ascii="Garamond" w:hAnsi="Garamond"/>
        </w:rPr>
        <w:t>, është e nevojshme të kryhet analiza e mëtejshme e efekteve dhe nevojës/domosdoshmërisë për të ndryshuar/mosndryshuar pragun e regjistrimit, gjithmonë në funksion të miradministrimit të zinxhirit të</w:t>
      </w:r>
      <w:r w:rsidR="00DE65FB">
        <w:rPr>
          <w:rFonts w:ascii="Garamond" w:hAnsi="Garamond"/>
        </w:rPr>
        <w:t xml:space="preserve"> TVSh</w:t>
      </w:r>
      <w:r w:rsidRPr="00830F4C">
        <w:rPr>
          <w:rFonts w:ascii="Garamond" w:hAnsi="Garamond"/>
        </w:rPr>
        <w:t>-së, duke rritur bazën tatimore dhe duke ulur kostot e pajtueshmërisë dhe kostot e administrimit.</w:t>
      </w:r>
    </w:p>
    <w:p w14:paraId="14668BDB" w14:textId="77777777" w:rsidR="003858EE" w:rsidRPr="00830F4C" w:rsidRDefault="003858EE" w:rsidP="003858EE">
      <w:pPr>
        <w:ind w:firstLine="284"/>
        <w:jc w:val="both"/>
        <w:rPr>
          <w:rFonts w:ascii="Garamond" w:hAnsi="Garamond"/>
        </w:rPr>
      </w:pPr>
      <w:r w:rsidRPr="00830F4C">
        <w:rPr>
          <w:rFonts w:ascii="Garamond" w:hAnsi="Garamond"/>
        </w:rPr>
        <w:t>Si më sipër, FMN-ja do të ndihmojë MF-në për kryerjen e kësaj analize.</w:t>
      </w:r>
    </w:p>
    <w:p w14:paraId="3D101259" w14:textId="2DEBCF7A" w:rsidR="003858EE" w:rsidRPr="00830F4C" w:rsidRDefault="003858EE" w:rsidP="003858EE">
      <w:pPr>
        <w:ind w:firstLine="284"/>
        <w:jc w:val="both"/>
        <w:rPr>
          <w:rFonts w:ascii="Garamond" w:hAnsi="Garamond"/>
          <w:b/>
          <w:bCs/>
        </w:rPr>
      </w:pPr>
      <w:r w:rsidRPr="00830F4C">
        <w:rPr>
          <w:rFonts w:ascii="Garamond" w:hAnsi="Garamond"/>
          <w:b/>
          <w:bCs/>
        </w:rPr>
        <w:t>Masa 1.1.3 Hartimi i akteve konkrete ligjore për</w:t>
      </w:r>
      <w:r w:rsidR="00DE65FB">
        <w:rPr>
          <w:rFonts w:ascii="Garamond" w:hAnsi="Garamond"/>
          <w:b/>
          <w:bCs/>
        </w:rPr>
        <w:t xml:space="preserve"> TVSh</w:t>
      </w:r>
      <w:r w:rsidRPr="00830F4C">
        <w:rPr>
          <w:rFonts w:ascii="Garamond" w:hAnsi="Garamond"/>
          <w:b/>
          <w:bCs/>
        </w:rPr>
        <w:t>-në bazuar në rezultatet dhe vendimet e marra pas analizave</w:t>
      </w:r>
    </w:p>
    <w:p w14:paraId="2C9CA63E" w14:textId="1A1A2D26" w:rsidR="003858EE" w:rsidRPr="00830F4C" w:rsidRDefault="003858EE" w:rsidP="003858EE">
      <w:pPr>
        <w:ind w:firstLine="284"/>
        <w:jc w:val="both"/>
        <w:rPr>
          <w:rFonts w:ascii="Garamond" w:hAnsi="Garamond"/>
        </w:rPr>
      </w:pPr>
      <w:r w:rsidRPr="00830F4C">
        <w:rPr>
          <w:rFonts w:ascii="Garamond" w:hAnsi="Garamond"/>
        </w:rPr>
        <w:t xml:space="preserve">Bazuar në </w:t>
      </w:r>
      <w:r w:rsidR="00D43099" w:rsidRPr="00830F4C">
        <w:rPr>
          <w:rFonts w:ascii="Garamond" w:hAnsi="Garamond"/>
        </w:rPr>
        <w:t>r</w:t>
      </w:r>
      <w:r w:rsidRPr="00830F4C">
        <w:rPr>
          <w:rFonts w:ascii="Garamond" w:hAnsi="Garamond"/>
        </w:rPr>
        <w:t>aportin e analizës së përjashtimeve/normave të reduktuara të</w:t>
      </w:r>
      <w:r w:rsidR="00DE65FB">
        <w:rPr>
          <w:rFonts w:ascii="Garamond" w:hAnsi="Garamond"/>
        </w:rPr>
        <w:t xml:space="preserve"> TVSh</w:t>
      </w:r>
      <w:r w:rsidRPr="00830F4C">
        <w:rPr>
          <w:rFonts w:ascii="Garamond" w:hAnsi="Garamond"/>
        </w:rPr>
        <w:t>-së dhe pragut të</w:t>
      </w:r>
      <w:r w:rsidR="00DE65FB">
        <w:rPr>
          <w:rFonts w:ascii="Garamond" w:hAnsi="Garamond"/>
        </w:rPr>
        <w:t xml:space="preserve"> TVSh</w:t>
      </w:r>
      <w:r w:rsidRPr="00830F4C">
        <w:rPr>
          <w:rFonts w:ascii="Garamond" w:hAnsi="Garamond"/>
        </w:rPr>
        <w:t xml:space="preserve">-së, i cili do </w:t>
      </w:r>
      <w:r w:rsidR="00236281" w:rsidRPr="00830F4C">
        <w:rPr>
          <w:rFonts w:ascii="Garamond" w:hAnsi="Garamond"/>
        </w:rPr>
        <w:t>të</w:t>
      </w:r>
      <w:r w:rsidRPr="00830F4C">
        <w:rPr>
          <w:rFonts w:ascii="Garamond" w:hAnsi="Garamond"/>
        </w:rPr>
        <w:t xml:space="preserve"> analizoj furnizimet e mallrave/shërbimeve të parashikuara në ligjin nr. 92/2014</w:t>
      </w:r>
      <w:r w:rsidR="00D22EA5" w:rsidRPr="00830F4C">
        <w:rPr>
          <w:rFonts w:ascii="Garamond" w:hAnsi="Garamond"/>
        </w:rPr>
        <w:t>,</w:t>
      </w:r>
      <w:r w:rsidRPr="00830F4C">
        <w:rPr>
          <w:rFonts w:ascii="Garamond" w:hAnsi="Garamond"/>
        </w:rPr>
        <w:t xml:space="preserve"> </w:t>
      </w:r>
      <w:r w:rsidR="00D22EA5" w:rsidRPr="00830F4C">
        <w:rPr>
          <w:rFonts w:ascii="Garamond" w:hAnsi="Garamond"/>
        </w:rPr>
        <w:t>“</w:t>
      </w:r>
      <w:r w:rsidRPr="00830F4C">
        <w:rPr>
          <w:rFonts w:ascii="Garamond" w:hAnsi="Garamond"/>
        </w:rPr>
        <w:t xml:space="preserve">Për </w:t>
      </w:r>
      <w:r w:rsidR="00D43099" w:rsidRPr="00830F4C">
        <w:rPr>
          <w:rFonts w:ascii="Garamond" w:hAnsi="Garamond"/>
        </w:rPr>
        <w:t xml:space="preserve">tatimin mbi vlerën e shtuar </w:t>
      </w:r>
      <w:r w:rsidRPr="00830F4C">
        <w:rPr>
          <w:rFonts w:ascii="Garamond" w:hAnsi="Garamond"/>
        </w:rPr>
        <w:t>në Republikën e Shqipërisë</w:t>
      </w:r>
      <w:r w:rsidR="00D22EA5" w:rsidRPr="00830F4C">
        <w:rPr>
          <w:rFonts w:ascii="Garamond" w:hAnsi="Garamond"/>
        </w:rPr>
        <w:t>”</w:t>
      </w:r>
      <w:r w:rsidRPr="00830F4C">
        <w:rPr>
          <w:rFonts w:ascii="Garamond" w:hAnsi="Garamond"/>
        </w:rPr>
        <w:t>, i ndryshuar, për t’u trajtuar si të përjashtuar nga</w:t>
      </w:r>
      <w:r w:rsidR="00DE65FB">
        <w:rPr>
          <w:rFonts w:ascii="Garamond" w:hAnsi="Garamond"/>
        </w:rPr>
        <w:t xml:space="preserve"> TVSh</w:t>
      </w:r>
      <w:r w:rsidRPr="00830F4C">
        <w:rPr>
          <w:rFonts w:ascii="Garamond" w:hAnsi="Garamond"/>
        </w:rPr>
        <w:t>-ja ose me normë të reduktuar të</w:t>
      </w:r>
      <w:r w:rsidR="00DE65FB">
        <w:rPr>
          <w:rFonts w:ascii="Garamond" w:hAnsi="Garamond"/>
        </w:rPr>
        <w:t xml:space="preserve"> TVSh</w:t>
      </w:r>
      <w:r w:rsidRPr="00830F4C">
        <w:rPr>
          <w:rFonts w:ascii="Garamond" w:hAnsi="Garamond"/>
        </w:rPr>
        <w:t>-së, do të nisë procesi i përgatitjes së projektakteve ligjore/nënligjore. Ky draft do të pasqyrojë vendimin e marrë bazuar në rezultatet e këtyre analizave.</w:t>
      </w:r>
    </w:p>
    <w:p w14:paraId="10A25E0F" w14:textId="22C6A69A" w:rsidR="003858EE" w:rsidRPr="00830F4C" w:rsidRDefault="003858EE" w:rsidP="003858EE">
      <w:pPr>
        <w:ind w:firstLine="284"/>
        <w:jc w:val="both"/>
        <w:rPr>
          <w:rFonts w:ascii="Garamond" w:hAnsi="Garamond"/>
          <w:b/>
          <w:bCs/>
        </w:rPr>
      </w:pPr>
      <w:r w:rsidRPr="00830F4C">
        <w:rPr>
          <w:rFonts w:ascii="Garamond" w:hAnsi="Garamond"/>
          <w:b/>
          <w:bCs/>
        </w:rPr>
        <w:t>Masa 1.1.4 Analiza e niveleve të akcizës me synim harmonizimin me BE-në</w:t>
      </w:r>
    </w:p>
    <w:p w14:paraId="3FFF2E81" w14:textId="78710481" w:rsidR="003858EE" w:rsidRPr="00830F4C" w:rsidRDefault="003858EE" w:rsidP="003858EE">
      <w:pPr>
        <w:tabs>
          <w:tab w:val="left" w:pos="720"/>
        </w:tabs>
        <w:ind w:firstLine="284"/>
        <w:jc w:val="both"/>
        <w:rPr>
          <w:rFonts w:ascii="Garamond" w:hAnsi="Garamond"/>
        </w:rPr>
      </w:pPr>
      <w:r w:rsidRPr="00830F4C">
        <w:rPr>
          <w:rFonts w:ascii="Garamond" w:hAnsi="Garamond"/>
        </w:rPr>
        <w:t xml:space="preserve">Shqipëria aplikon një grup gjithëpërfshirës të akcizave, të cilat janë të harmonizuara pjesërisht me direktivën e BE-së. Ligji nr. 61, datë 24.5.2012, </w:t>
      </w:r>
      <w:r w:rsidR="00D22EA5" w:rsidRPr="00830F4C">
        <w:rPr>
          <w:rFonts w:ascii="Garamond" w:hAnsi="Garamond"/>
        </w:rPr>
        <w:t>“</w:t>
      </w:r>
      <w:r w:rsidRPr="00830F4C">
        <w:rPr>
          <w:rFonts w:ascii="Garamond" w:hAnsi="Garamond"/>
        </w:rPr>
        <w:t xml:space="preserve">Për </w:t>
      </w:r>
      <w:r w:rsidR="00D43099" w:rsidRPr="00830F4C">
        <w:rPr>
          <w:rFonts w:ascii="Garamond" w:hAnsi="Garamond"/>
        </w:rPr>
        <w:t>q</w:t>
      </w:r>
      <w:r w:rsidRPr="00830F4C">
        <w:rPr>
          <w:rFonts w:ascii="Garamond" w:hAnsi="Garamond"/>
        </w:rPr>
        <w:t>kcizat në Republikën e Shqipërisë</w:t>
      </w:r>
      <w:r w:rsidR="00D22EA5" w:rsidRPr="00830F4C">
        <w:rPr>
          <w:rFonts w:ascii="Garamond" w:hAnsi="Garamond"/>
        </w:rPr>
        <w:t>”</w:t>
      </w:r>
      <w:r w:rsidRPr="00830F4C">
        <w:rPr>
          <w:rFonts w:ascii="Garamond" w:hAnsi="Garamond"/>
        </w:rPr>
        <w:t xml:space="preserve">, </w:t>
      </w:r>
      <w:r w:rsidR="00D43099" w:rsidRPr="00830F4C">
        <w:rPr>
          <w:rFonts w:ascii="Garamond" w:hAnsi="Garamond"/>
        </w:rPr>
        <w:t>i</w:t>
      </w:r>
      <w:r w:rsidRPr="00830F4C">
        <w:rPr>
          <w:rFonts w:ascii="Garamond" w:hAnsi="Garamond"/>
        </w:rPr>
        <w:t xml:space="preserve"> ndryshuar</w:t>
      </w:r>
      <w:r w:rsidR="00D43099" w:rsidRPr="00830F4C">
        <w:rPr>
          <w:rFonts w:ascii="Garamond" w:hAnsi="Garamond"/>
        </w:rPr>
        <w:t>,</w:t>
      </w:r>
      <w:r w:rsidRPr="00830F4C">
        <w:rPr>
          <w:rFonts w:ascii="Garamond" w:hAnsi="Garamond"/>
        </w:rPr>
        <w:t xml:space="preserve"> është i përafruar pjesërisht me Direktivën e Këshillit 2008/118/KE, datë 16 dhjetor 2008</w:t>
      </w:r>
      <w:r w:rsidR="00D22EA5" w:rsidRPr="00830F4C">
        <w:rPr>
          <w:rFonts w:ascii="Garamond" w:hAnsi="Garamond"/>
        </w:rPr>
        <w:t>,</w:t>
      </w:r>
      <w:r w:rsidRPr="00830F4C">
        <w:rPr>
          <w:rFonts w:ascii="Garamond" w:hAnsi="Garamond"/>
        </w:rPr>
        <w:t xml:space="preserve"> </w:t>
      </w:r>
      <w:r w:rsidR="00D22EA5" w:rsidRPr="00830F4C">
        <w:rPr>
          <w:rFonts w:ascii="Garamond" w:hAnsi="Garamond"/>
        </w:rPr>
        <w:t>“</w:t>
      </w:r>
      <w:r w:rsidRPr="00830F4C">
        <w:rPr>
          <w:rFonts w:ascii="Garamond" w:hAnsi="Garamond"/>
        </w:rPr>
        <w:t>Lidhur me masat e përgjithshme mbi taksën e akcizës</w:t>
      </w:r>
      <w:r w:rsidR="00D22EA5" w:rsidRPr="00830F4C">
        <w:rPr>
          <w:rFonts w:ascii="Garamond" w:hAnsi="Garamond"/>
        </w:rPr>
        <w:t>”</w:t>
      </w:r>
      <w:r w:rsidRPr="00830F4C">
        <w:rPr>
          <w:rFonts w:ascii="Garamond" w:hAnsi="Garamond"/>
        </w:rPr>
        <w:t>, e cila është zëvendësuar nga Direktiva e Këshillit (BE) 2020/262</w:t>
      </w:r>
      <w:r w:rsidR="00D22EA5" w:rsidRPr="00830F4C">
        <w:rPr>
          <w:rFonts w:ascii="Garamond" w:hAnsi="Garamond"/>
        </w:rPr>
        <w:t>,</w:t>
      </w:r>
      <w:r w:rsidRPr="00830F4C">
        <w:rPr>
          <w:rFonts w:ascii="Garamond" w:hAnsi="Garamond"/>
        </w:rPr>
        <w:t xml:space="preserve"> e datës 19 dhjetor 2019</w:t>
      </w:r>
      <w:r w:rsidR="00D22EA5" w:rsidRPr="00830F4C">
        <w:rPr>
          <w:rFonts w:ascii="Garamond" w:hAnsi="Garamond"/>
        </w:rPr>
        <w:t>,</w:t>
      </w:r>
      <w:r w:rsidRPr="00830F4C">
        <w:rPr>
          <w:rFonts w:ascii="Garamond" w:hAnsi="Garamond"/>
        </w:rPr>
        <w:t xml:space="preserve"> </w:t>
      </w:r>
      <w:r w:rsidR="00D22EA5" w:rsidRPr="00830F4C">
        <w:rPr>
          <w:rFonts w:ascii="Garamond" w:hAnsi="Garamond"/>
        </w:rPr>
        <w:t>“</w:t>
      </w:r>
      <w:r w:rsidRPr="00830F4C">
        <w:rPr>
          <w:rFonts w:ascii="Garamond" w:hAnsi="Garamond"/>
          <w:i/>
          <w:iCs/>
        </w:rPr>
        <w:t>Mbi përcaktimin e masave të përgjithshme për akcizën</w:t>
      </w:r>
      <w:r w:rsidR="00D22EA5" w:rsidRPr="00830F4C">
        <w:rPr>
          <w:rFonts w:ascii="Garamond" w:hAnsi="Garamond"/>
        </w:rPr>
        <w:t>”</w:t>
      </w:r>
      <w:r w:rsidRPr="00830F4C">
        <w:rPr>
          <w:rFonts w:ascii="Garamond" w:hAnsi="Garamond"/>
        </w:rPr>
        <w:t xml:space="preserve">. Akciza është taksë specifike, e pagueshme për disa kategori mallrash që importohen apo prodhohen brenda vendit dhe përfshin alkoolin dhe pijet alkoolike, duhanin dhe nënproduktet e tij, produktet energjetike, kafenë, </w:t>
      </w:r>
      <w:r w:rsidR="00D43099" w:rsidRPr="00830F4C">
        <w:rPr>
          <w:rFonts w:ascii="Garamond" w:hAnsi="Garamond"/>
        </w:rPr>
        <w:t>fishekzjarrët</w:t>
      </w:r>
      <w:r w:rsidRPr="00830F4C">
        <w:rPr>
          <w:rFonts w:ascii="Garamond" w:hAnsi="Garamond"/>
        </w:rPr>
        <w:t>, gomat, etj. Akciza zë rreth 11% të të ardhurave tatimore. Rreth 55% e të ardhurave nga akciza vijnë nga nënproduktet e naftës, 35% nga nënproduktet e duhanit dhe pjesa e mbetur prej 10% nga kategoritë e tjera të mallrave të akcizës. Për vitin 2023, të ardhurat nga produktet alkoolike janë 6.8% e totalit të të ardhurave nga akciza. Akciza indeksohet çdo dy vjet me normën zyrtare të inflacionit të shpallur nga INSTAT</w:t>
      </w:r>
      <w:r w:rsidR="00D22EA5" w:rsidRPr="00830F4C">
        <w:rPr>
          <w:rFonts w:ascii="Garamond" w:hAnsi="Garamond"/>
        </w:rPr>
        <w:t>-i</w:t>
      </w:r>
      <w:r w:rsidRPr="00830F4C">
        <w:rPr>
          <w:rFonts w:ascii="Garamond" w:hAnsi="Garamond"/>
        </w:rPr>
        <w:t xml:space="preserve"> (jo më shumë se 1.5%), me përjashtim të duhanit dhe nënprodukteve për të cilat ka një kalendar rritje të paracaktuar deri në vitin 2026. </w:t>
      </w:r>
    </w:p>
    <w:p w14:paraId="3BA7E886" w14:textId="77777777" w:rsidR="003858EE" w:rsidRPr="00830F4C" w:rsidRDefault="003858EE" w:rsidP="003858EE">
      <w:pPr>
        <w:ind w:firstLine="284"/>
        <w:rPr>
          <w:rFonts w:ascii="Garamond" w:hAnsi="Garamond"/>
          <w:b/>
          <w:bCs/>
        </w:rPr>
      </w:pPr>
      <w:r w:rsidRPr="00830F4C">
        <w:rPr>
          <w:rFonts w:ascii="Garamond" w:hAnsi="Garamond"/>
          <w:b/>
          <w:bCs/>
        </w:rPr>
        <w:t>Problematika me akcizat</w:t>
      </w:r>
    </w:p>
    <w:p w14:paraId="33903878" w14:textId="14E73F66" w:rsidR="003858EE" w:rsidRPr="00830F4C" w:rsidRDefault="003858EE" w:rsidP="003858EE">
      <w:pPr>
        <w:ind w:firstLine="284"/>
        <w:jc w:val="both"/>
        <w:rPr>
          <w:rFonts w:ascii="Garamond" w:hAnsi="Garamond"/>
        </w:rPr>
      </w:pPr>
      <w:r w:rsidRPr="00830F4C">
        <w:rPr>
          <w:rFonts w:ascii="Garamond" w:hAnsi="Garamond"/>
        </w:rPr>
        <w:t>Shqipëria aplikon akcizat me tarifë specifike për njësi. Niveli i akcizave të mallrave kryesore që ngarkohen me akcizë si karburantet dhe duhanet, është përgjithësisht m</w:t>
      </w:r>
      <w:r w:rsidR="00EC31DB" w:rsidRPr="00830F4C">
        <w:rPr>
          <w:rFonts w:ascii="Garamond" w:hAnsi="Garamond"/>
        </w:rPr>
        <w:t>ë</w:t>
      </w:r>
      <w:r w:rsidRPr="00830F4C">
        <w:rPr>
          <w:rFonts w:ascii="Garamond" w:hAnsi="Garamond"/>
        </w:rPr>
        <w:t xml:space="preserve"> i ulët se nivelet e akcizave që zbatohen nga vendet e BE-së apo ato të parashikuara në Direktivën e Këshillit 2008/118/KE, datë 16 dhjetor 2008, shfuqizuar nga Direktiva e Këshillit (BE) 2020/262</w:t>
      </w:r>
      <w:r w:rsidR="00D22EA5" w:rsidRPr="00830F4C">
        <w:rPr>
          <w:rFonts w:ascii="Garamond" w:hAnsi="Garamond"/>
        </w:rPr>
        <w:t>,</w:t>
      </w:r>
      <w:r w:rsidRPr="00830F4C">
        <w:rPr>
          <w:rFonts w:ascii="Garamond" w:hAnsi="Garamond"/>
        </w:rPr>
        <w:t xml:space="preserve"> e datës 19 dhjetor 2019</w:t>
      </w:r>
      <w:r w:rsidR="00D22EA5" w:rsidRPr="00830F4C">
        <w:rPr>
          <w:rFonts w:ascii="Garamond" w:hAnsi="Garamond"/>
        </w:rPr>
        <w:t>,</w:t>
      </w:r>
      <w:r w:rsidRPr="00830F4C">
        <w:rPr>
          <w:rFonts w:ascii="Garamond" w:hAnsi="Garamond"/>
        </w:rPr>
        <w:t xml:space="preserve"> që përcakton rregullimet e përgjithshme për akcizën. Problematikat kryesore në lidhje me akcizat janë:</w:t>
      </w:r>
    </w:p>
    <w:p w14:paraId="3ED31AA0" w14:textId="0677EB39" w:rsidR="003858EE" w:rsidRPr="00830F4C" w:rsidRDefault="003858EE" w:rsidP="003858EE">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 xml:space="preserve">Në vendin tonë, për disa mallra të akcizueshme sikurse janë duhanet, nuk aplikohet skema e kombinuar e taksimit që përfshin edhe një tarifë specifike akcize për njësi produkti, por edhe një tarifë me përqindje akcize mbi çmimin e shitjes së produktit. Kjo skemë e kombinuar aplikohet në disa vende. Në vitet në vijim, pas përfundimit të kalendarit të rritjes së akcizës </w:t>
      </w:r>
      <w:r w:rsidR="00120EA0" w:rsidRPr="00830F4C">
        <w:rPr>
          <w:rFonts w:ascii="Garamond" w:hAnsi="Garamond"/>
          <w:sz w:val="24"/>
          <w:szCs w:val="24"/>
        </w:rPr>
        <w:t>2022–2026</w:t>
      </w:r>
      <w:r w:rsidRPr="00830F4C">
        <w:rPr>
          <w:rFonts w:ascii="Garamond" w:hAnsi="Garamond"/>
          <w:sz w:val="24"/>
          <w:szCs w:val="24"/>
        </w:rPr>
        <w:t xml:space="preserve">, do </w:t>
      </w:r>
      <w:r w:rsidR="00236281" w:rsidRPr="00830F4C">
        <w:rPr>
          <w:rFonts w:ascii="Garamond" w:hAnsi="Garamond"/>
          <w:sz w:val="24"/>
          <w:szCs w:val="24"/>
        </w:rPr>
        <w:t xml:space="preserve">të </w:t>
      </w:r>
      <w:r w:rsidRPr="00830F4C">
        <w:rPr>
          <w:rFonts w:ascii="Garamond" w:hAnsi="Garamond"/>
          <w:sz w:val="24"/>
          <w:szCs w:val="24"/>
        </w:rPr>
        <w:t>dizenjohet kalendari i ri</w:t>
      </w:r>
      <w:r w:rsidR="00EC31DB" w:rsidRPr="00830F4C">
        <w:rPr>
          <w:rFonts w:ascii="Garamond" w:hAnsi="Garamond"/>
          <w:sz w:val="24"/>
          <w:szCs w:val="24"/>
        </w:rPr>
        <w:t>,</w:t>
      </w:r>
      <w:r w:rsidRPr="00830F4C">
        <w:rPr>
          <w:rFonts w:ascii="Garamond" w:hAnsi="Garamond"/>
          <w:sz w:val="24"/>
          <w:szCs w:val="24"/>
        </w:rPr>
        <w:t xml:space="preserve"> i cili do marrë në konsideratë skemën e taksimit që kombinon sistemin me kuotë fikse me atë </w:t>
      </w:r>
      <w:r w:rsidRPr="00830F4C">
        <w:rPr>
          <w:rFonts w:ascii="Garamond" w:hAnsi="Garamond"/>
          <w:i/>
          <w:sz w:val="24"/>
          <w:szCs w:val="24"/>
        </w:rPr>
        <w:t>ad valorem</w:t>
      </w:r>
      <w:r w:rsidRPr="00830F4C">
        <w:rPr>
          <w:rFonts w:ascii="Garamond" w:hAnsi="Garamond"/>
          <w:sz w:val="24"/>
          <w:szCs w:val="24"/>
        </w:rPr>
        <w:t>.</w:t>
      </w:r>
    </w:p>
    <w:p w14:paraId="43B14D75" w14:textId="0B5AFD9A" w:rsidR="003858EE" w:rsidRPr="00830F4C" w:rsidRDefault="003858EE" w:rsidP="003858EE">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Niveli i parashikuar i akcizave në ligjin shqiptar është përgjithësisht më i ulët se niveli i akcizës që zbatohet nga vendet e BE-së, por edhe nga nivelet minimale të akcizës të përcaktuara në Direktivën e Këshillit 2008/118/KE, datë 16 dhjetor 2008, shfuqizuar nga Direktiva e Këshillit (BE) 2020/262</w:t>
      </w:r>
      <w:r w:rsidR="00EC31DB" w:rsidRPr="00830F4C">
        <w:rPr>
          <w:rFonts w:ascii="Garamond" w:hAnsi="Garamond"/>
          <w:sz w:val="24"/>
          <w:szCs w:val="24"/>
        </w:rPr>
        <w:t>,</w:t>
      </w:r>
      <w:r w:rsidRPr="00830F4C">
        <w:rPr>
          <w:rFonts w:ascii="Garamond" w:hAnsi="Garamond"/>
          <w:sz w:val="24"/>
          <w:szCs w:val="24"/>
        </w:rPr>
        <w:t xml:space="preserve"> e datës 19 dhjetor 2019</w:t>
      </w:r>
      <w:r w:rsidR="00EC31DB" w:rsidRPr="00830F4C">
        <w:rPr>
          <w:rFonts w:ascii="Garamond" w:hAnsi="Garamond"/>
          <w:sz w:val="24"/>
          <w:szCs w:val="24"/>
        </w:rPr>
        <w:t>,</w:t>
      </w:r>
      <w:r w:rsidRPr="00830F4C">
        <w:rPr>
          <w:rFonts w:ascii="Garamond" w:hAnsi="Garamond"/>
          <w:sz w:val="24"/>
          <w:szCs w:val="24"/>
        </w:rPr>
        <w:t xml:space="preserve"> që përcakton rregullimet e përgjithshme për akcizën. Ndryshimet e synuara për akcizat:</w:t>
      </w:r>
    </w:p>
    <w:p w14:paraId="03F55979" w14:textId="773E8B50" w:rsidR="003858EE" w:rsidRPr="00830F4C" w:rsidRDefault="003858EE" w:rsidP="003858EE">
      <w:pPr>
        <w:ind w:firstLine="284"/>
        <w:jc w:val="both"/>
        <w:rPr>
          <w:rFonts w:ascii="Garamond" w:hAnsi="Garamond"/>
          <w:b/>
          <w:bCs/>
        </w:rPr>
      </w:pPr>
      <w:r w:rsidRPr="00830F4C">
        <w:rPr>
          <w:rFonts w:ascii="Garamond" w:hAnsi="Garamond"/>
          <w:b/>
          <w:bCs/>
        </w:rPr>
        <w:t>Aktiviteti 1.1.4.1</w:t>
      </w:r>
      <w:r w:rsidR="00EC31DB" w:rsidRPr="00830F4C">
        <w:rPr>
          <w:rFonts w:ascii="Garamond" w:hAnsi="Garamond"/>
          <w:b/>
          <w:bCs/>
        </w:rPr>
        <w:t>:</w:t>
      </w:r>
      <w:r w:rsidRPr="00830F4C">
        <w:rPr>
          <w:rFonts w:ascii="Garamond" w:hAnsi="Garamond"/>
          <w:b/>
          <w:bCs/>
        </w:rPr>
        <w:t xml:space="preserve"> Kryerja e një analize</w:t>
      </w:r>
      <w:r w:rsidR="00EC31DB" w:rsidRPr="00830F4C">
        <w:rPr>
          <w:rFonts w:ascii="Garamond" w:hAnsi="Garamond"/>
          <w:b/>
          <w:bCs/>
        </w:rPr>
        <w:t>,</w:t>
      </w:r>
      <w:r w:rsidRPr="00830F4C">
        <w:rPr>
          <w:rFonts w:ascii="Garamond" w:hAnsi="Garamond"/>
          <w:b/>
          <w:bCs/>
        </w:rPr>
        <w:t xml:space="preserve"> në lidhje me nivelet e akcizës dhe nivelet minimale të BE-së</w:t>
      </w:r>
    </w:p>
    <w:p w14:paraId="767633DF" w14:textId="2AF0014A" w:rsidR="003858EE" w:rsidRPr="00830F4C" w:rsidRDefault="003858EE" w:rsidP="003858EE">
      <w:pPr>
        <w:ind w:firstLine="284"/>
        <w:jc w:val="both"/>
        <w:rPr>
          <w:rFonts w:ascii="Garamond" w:hAnsi="Garamond"/>
        </w:rPr>
      </w:pPr>
      <w:r w:rsidRPr="00830F4C">
        <w:rPr>
          <w:rFonts w:ascii="Garamond" w:hAnsi="Garamond"/>
        </w:rPr>
        <w:t>Do të bëhet një analizë</w:t>
      </w:r>
      <w:r w:rsidR="00EC31DB" w:rsidRPr="00830F4C">
        <w:rPr>
          <w:rFonts w:ascii="Garamond" w:hAnsi="Garamond"/>
        </w:rPr>
        <w:t>,</w:t>
      </w:r>
      <w:r w:rsidRPr="00830F4C">
        <w:rPr>
          <w:rFonts w:ascii="Garamond" w:hAnsi="Garamond"/>
        </w:rPr>
        <w:t xml:space="preserve"> në lidhje me nivelet minimale të akcizës për çdo kategori produkti, me synim përafrimin e mëtejshëm me nivelet minimale të parashikuara në Direktivat e Bashkimit Evropian. Përgjatë viteve, synimi ka qenë përafrimi gradualisht i nivelit të akcizës me minimumet e direktivave të BE-së. Analiza do të fokusohet në:</w:t>
      </w:r>
    </w:p>
    <w:p w14:paraId="2FB0E5B4" w14:textId="3170C1F7" w:rsidR="003858EE" w:rsidRPr="00830F4C" w:rsidRDefault="003858EE" w:rsidP="003858EE">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a)</w:t>
      </w:r>
      <w:r w:rsidR="00D22EA5" w:rsidRPr="00830F4C">
        <w:rPr>
          <w:rFonts w:ascii="Garamond" w:hAnsi="Garamond"/>
          <w:sz w:val="24"/>
          <w:szCs w:val="24"/>
        </w:rPr>
        <w:t xml:space="preserve"> </w:t>
      </w:r>
      <w:r w:rsidRPr="00830F4C">
        <w:rPr>
          <w:rFonts w:ascii="Garamond" w:hAnsi="Garamond"/>
          <w:sz w:val="24"/>
          <w:szCs w:val="24"/>
        </w:rPr>
        <w:t>Reduktimin e sasisë të patatueshme me akcizë të pijeve alkoolike të përdorura për konsum personal.</w:t>
      </w:r>
    </w:p>
    <w:p w14:paraId="3068EF40" w14:textId="24529EC8" w:rsidR="003858EE" w:rsidRPr="00830F4C" w:rsidRDefault="003858EE" w:rsidP="003858EE">
      <w:pPr>
        <w:ind w:firstLine="284"/>
        <w:jc w:val="both"/>
        <w:rPr>
          <w:rFonts w:ascii="Garamond" w:hAnsi="Garamond"/>
        </w:rPr>
      </w:pPr>
      <w:r w:rsidRPr="00830F4C">
        <w:rPr>
          <w:rFonts w:ascii="Garamond" w:hAnsi="Garamond"/>
        </w:rPr>
        <w:t xml:space="preserve">Do të rishikohet sasia e pijeve alkoolike që i nënshtrohen akcizës që trajtohen si vetëkonsumim nga prodhuesit dhe nuk ngarkohen me akcizë, kjo kryesisht për </w:t>
      </w:r>
      <w:r w:rsidR="00D22EA5" w:rsidRPr="00830F4C">
        <w:rPr>
          <w:rFonts w:ascii="Garamond" w:hAnsi="Garamond"/>
        </w:rPr>
        <w:t>“</w:t>
      </w:r>
      <w:r w:rsidRPr="00830F4C">
        <w:rPr>
          <w:rFonts w:ascii="Garamond" w:hAnsi="Garamond"/>
        </w:rPr>
        <w:t>rakinë</w:t>
      </w:r>
      <w:r w:rsidR="00D22EA5" w:rsidRPr="00830F4C">
        <w:rPr>
          <w:rFonts w:ascii="Garamond" w:hAnsi="Garamond"/>
        </w:rPr>
        <w:t>”</w:t>
      </w:r>
      <w:r w:rsidRPr="00830F4C">
        <w:rPr>
          <w:rFonts w:ascii="Garamond" w:hAnsi="Garamond"/>
        </w:rPr>
        <w:t xml:space="preserve"> dhe verën e prodhuar në vend</w:t>
      </w:r>
      <w:r w:rsidR="00EC31DB" w:rsidRPr="00830F4C">
        <w:rPr>
          <w:rFonts w:ascii="Garamond" w:hAnsi="Garamond"/>
        </w:rPr>
        <w:t>;</w:t>
      </w:r>
    </w:p>
    <w:p w14:paraId="44AF4151" w14:textId="09D377C1" w:rsidR="003858EE" w:rsidRPr="00830F4C" w:rsidRDefault="003858EE" w:rsidP="003858EE">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b)</w:t>
      </w:r>
      <w:r w:rsidR="00D22EA5" w:rsidRPr="00830F4C">
        <w:rPr>
          <w:rFonts w:ascii="Garamond" w:hAnsi="Garamond"/>
          <w:sz w:val="24"/>
          <w:szCs w:val="24"/>
        </w:rPr>
        <w:t xml:space="preserve"> </w:t>
      </w:r>
      <w:r w:rsidRPr="00830F4C">
        <w:rPr>
          <w:rFonts w:ascii="Garamond" w:hAnsi="Garamond"/>
          <w:sz w:val="24"/>
          <w:szCs w:val="24"/>
        </w:rPr>
        <w:t>Unifikimi i nivelit të akcizës për kategoritë e mallrave që ende kanë akciza të diferencuara.</w:t>
      </w:r>
    </w:p>
    <w:p w14:paraId="12699CD1" w14:textId="36871E0A" w:rsidR="003858EE" w:rsidRPr="00830F4C" w:rsidRDefault="003858EE" w:rsidP="003858EE">
      <w:pPr>
        <w:ind w:firstLine="284"/>
        <w:jc w:val="both"/>
        <w:rPr>
          <w:rFonts w:ascii="Garamond" w:hAnsi="Garamond"/>
        </w:rPr>
      </w:pPr>
      <w:r w:rsidRPr="00830F4C">
        <w:rPr>
          <w:rFonts w:ascii="Garamond" w:hAnsi="Garamond"/>
        </w:rPr>
        <w:t>Akciza e verës për prodhuesit e vegjël është rreth një e treta e normës së rregullt të akcizës që vlen për prodhuesit e mëdhenj. Niveli i akcizës për prodhuesit e mëdhenj nuk konsiderohet i lartë dhe nuk ka gjasa që unifikimi i akcizës në nivel të lartë të krijojë probleme te</w:t>
      </w:r>
      <w:r w:rsidR="008C0C0F" w:rsidRPr="00830F4C">
        <w:rPr>
          <w:rFonts w:ascii="Garamond" w:hAnsi="Garamond"/>
        </w:rPr>
        <w:t>k</w:t>
      </w:r>
      <w:r w:rsidRPr="00830F4C">
        <w:rPr>
          <w:rFonts w:ascii="Garamond" w:hAnsi="Garamond"/>
        </w:rPr>
        <w:t xml:space="preserve"> operatorët dhe çmimet e shitjes së produkteve</w:t>
      </w:r>
      <w:r w:rsidR="00EC31DB" w:rsidRPr="00830F4C">
        <w:rPr>
          <w:rFonts w:ascii="Garamond" w:hAnsi="Garamond"/>
        </w:rPr>
        <w:t>;</w:t>
      </w:r>
    </w:p>
    <w:p w14:paraId="78B1AFFA" w14:textId="4DCDE597" w:rsidR="003858EE" w:rsidRPr="00830F4C" w:rsidRDefault="003858EE" w:rsidP="003858EE">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c)</w:t>
      </w:r>
      <w:r w:rsidR="00D22EA5" w:rsidRPr="00830F4C">
        <w:rPr>
          <w:rFonts w:ascii="Garamond" w:hAnsi="Garamond"/>
          <w:sz w:val="24"/>
          <w:szCs w:val="24"/>
        </w:rPr>
        <w:t xml:space="preserve"> </w:t>
      </w:r>
      <w:r w:rsidRPr="00830F4C">
        <w:rPr>
          <w:rFonts w:ascii="Garamond" w:hAnsi="Garamond"/>
          <w:sz w:val="24"/>
          <w:szCs w:val="24"/>
        </w:rPr>
        <w:t>Eliminimi në disa industri të përjashtimeve dhe rimbursimeve nga akciza dhe zëvendësimi i tyre me subvencione direkte.</w:t>
      </w:r>
    </w:p>
    <w:p w14:paraId="53B8F08C" w14:textId="789834FB" w:rsidR="003858EE" w:rsidRPr="00830F4C" w:rsidRDefault="003858EE" w:rsidP="003858EE">
      <w:pPr>
        <w:ind w:firstLine="284"/>
        <w:jc w:val="both"/>
        <w:rPr>
          <w:rFonts w:ascii="Garamond" w:hAnsi="Garamond"/>
        </w:rPr>
      </w:pPr>
      <w:r w:rsidRPr="00830F4C">
        <w:rPr>
          <w:rFonts w:ascii="Garamond" w:hAnsi="Garamond"/>
        </w:rPr>
        <w:t>Që nga viti 2022, ka filluar zbatimi i rekomandimeve të asistencës së FMN-së</w:t>
      </w:r>
      <w:r w:rsidR="00EC31DB" w:rsidRPr="00830F4C">
        <w:rPr>
          <w:rFonts w:ascii="Garamond" w:hAnsi="Garamond"/>
        </w:rPr>
        <w:t>,</w:t>
      </w:r>
      <w:r w:rsidRPr="00830F4C">
        <w:rPr>
          <w:rFonts w:ascii="Garamond" w:hAnsi="Garamond"/>
        </w:rPr>
        <w:t xml:space="preserve"> në lidhje me masat në fushën e akcizës, duke eliminuar disa përjashtime/rimbursime për industri të caktuara. Megjithatë, është ende e nevojshme të analizohen përjashtimet dhe rimbursimet aktuale nga akciza.</w:t>
      </w:r>
    </w:p>
    <w:p w14:paraId="78F105E5" w14:textId="7DC86CB6" w:rsidR="003858EE" w:rsidRPr="00830F4C" w:rsidRDefault="003858EE" w:rsidP="003858EE">
      <w:pPr>
        <w:ind w:firstLine="284"/>
        <w:jc w:val="both"/>
        <w:rPr>
          <w:rFonts w:ascii="Garamond" w:hAnsi="Garamond"/>
        </w:rPr>
      </w:pPr>
      <w:r w:rsidRPr="00830F4C">
        <w:rPr>
          <w:rFonts w:ascii="Garamond" w:hAnsi="Garamond"/>
          <w:b/>
          <w:bCs/>
        </w:rPr>
        <w:t>Masa 1.1.5 Hartimi i akteve konkrete ligjore për akcizën, bazuar në rezultatet dhe vendimet e marra pas analizave</w:t>
      </w:r>
    </w:p>
    <w:p w14:paraId="517C16A1" w14:textId="0CFF75A9" w:rsidR="003858EE" w:rsidRPr="00830F4C" w:rsidRDefault="003858EE" w:rsidP="003858EE">
      <w:pPr>
        <w:ind w:firstLine="284"/>
        <w:jc w:val="both"/>
        <w:rPr>
          <w:rFonts w:ascii="Garamond" w:hAnsi="Garamond"/>
        </w:rPr>
      </w:pPr>
      <w:r w:rsidRPr="00830F4C">
        <w:rPr>
          <w:rFonts w:ascii="Garamond" w:hAnsi="Garamond"/>
        </w:rPr>
        <w:t>Bazuar në raportin pas analizimit të niveleve të akcizës që parashikohen në ligjin nr. 61/2012</w:t>
      </w:r>
      <w:r w:rsidR="00602047" w:rsidRPr="00830F4C">
        <w:rPr>
          <w:rFonts w:ascii="Garamond" w:hAnsi="Garamond"/>
        </w:rPr>
        <w:t>,</w:t>
      </w:r>
      <w:r w:rsidRPr="00830F4C">
        <w:rPr>
          <w:rFonts w:ascii="Garamond" w:hAnsi="Garamond"/>
        </w:rPr>
        <w:t xml:space="preserve"> </w:t>
      </w:r>
      <w:r w:rsidR="00D22EA5" w:rsidRPr="00830F4C">
        <w:rPr>
          <w:rFonts w:ascii="Garamond" w:hAnsi="Garamond"/>
        </w:rPr>
        <w:t>“</w:t>
      </w:r>
      <w:r w:rsidRPr="00830F4C">
        <w:rPr>
          <w:rFonts w:ascii="Garamond" w:hAnsi="Garamond"/>
        </w:rPr>
        <w:t>Për akcizën në Republikën e Shqipërisë</w:t>
      </w:r>
      <w:r w:rsidR="00D22EA5" w:rsidRPr="00830F4C">
        <w:rPr>
          <w:rFonts w:ascii="Garamond" w:hAnsi="Garamond"/>
        </w:rPr>
        <w:t>”</w:t>
      </w:r>
      <w:r w:rsidRPr="00830F4C">
        <w:rPr>
          <w:rFonts w:ascii="Garamond" w:hAnsi="Garamond"/>
        </w:rPr>
        <w:t>, i ndryshuar, në funksion të përafrimit me nivelet minimale të direktivave të BE-së, do të nisë procesi i përgatitjes së projektakteve ligjore/nënligjore. Ky draft do të pasqyrojë vendimin e marrë bazuar në rezultatet e këtyre analizave.</w:t>
      </w:r>
    </w:p>
    <w:p w14:paraId="207D02D2" w14:textId="3F518B78" w:rsidR="003858EE" w:rsidRPr="00830F4C" w:rsidRDefault="003858EE" w:rsidP="003858EE">
      <w:pPr>
        <w:ind w:firstLine="284"/>
        <w:jc w:val="both"/>
        <w:rPr>
          <w:rFonts w:ascii="Garamond" w:hAnsi="Garamond"/>
          <w:b/>
          <w:bCs/>
        </w:rPr>
      </w:pPr>
      <w:r w:rsidRPr="00830F4C">
        <w:rPr>
          <w:rFonts w:ascii="Garamond" w:hAnsi="Garamond"/>
          <w:b/>
          <w:bCs/>
        </w:rPr>
        <w:t>Masa 1.1.6 Hartimi i kalendarit të ri të nivelit të akcizës së duhanit</w:t>
      </w:r>
    </w:p>
    <w:p w14:paraId="76E1EE14" w14:textId="77777777" w:rsidR="003858EE" w:rsidRPr="00830F4C" w:rsidRDefault="003858EE" w:rsidP="003858EE">
      <w:pPr>
        <w:ind w:firstLine="284"/>
        <w:jc w:val="both"/>
        <w:rPr>
          <w:rFonts w:ascii="Garamond" w:hAnsi="Garamond"/>
        </w:rPr>
      </w:pPr>
      <w:r w:rsidRPr="00830F4C">
        <w:rPr>
          <w:rFonts w:ascii="Garamond" w:hAnsi="Garamond"/>
        </w:rPr>
        <w:t>Duke filluar nga viti 2022 deri në vitin 2026, ka një plan 5-vjeçar për rritjen e nivelit të akcizës për cigaret dhe duhanin. Me synim përafrimin e mëtejshëm me nivelin e akcizës që aplikohet në BE dhe unifikimin e nivelit të akcizës mes duhanit dhe nënprodukteve të tij, do të përgatitet një kalendar i ri për rritjen e nivelit të akcizës për këto produkte.</w:t>
      </w:r>
    </w:p>
    <w:p w14:paraId="54777385" w14:textId="25CBBAB2" w:rsidR="003858EE" w:rsidRPr="00830F4C" w:rsidRDefault="003858EE" w:rsidP="003858EE">
      <w:pPr>
        <w:ind w:firstLine="284"/>
        <w:jc w:val="both"/>
        <w:rPr>
          <w:rFonts w:ascii="Garamond" w:hAnsi="Garamond"/>
        </w:rPr>
      </w:pPr>
      <w:r w:rsidRPr="00830F4C">
        <w:rPr>
          <w:rFonts w:ascii="Garamond" w:hAnsi="Garamond"/>
        </w:rPr>
        <w:t>Administrata doganore ka punuar me ekspertë të FMN-së për përgatitjen e draftit të kalendarit të ri të rritjes së akcizës për duhanin, për periudhën 2027</w:t>
      </w:r>
      <w:r w:rsidR="00D22EA5" w:rsidRPr="00830F4C">
        <w:rPr>
          <w:rFonts w:ascii="Garamond" w:hAnsi="Garamond"/>
        </w:rPr>
        <w:t>–</w:t>
      </w:r>
      <w:r w:rsidRPr="00830F4C">
        <w:rPr>
          <w:rFonts w:ascii="Garamond" w:hAnsi="Garamond"/>
        </w:rPr>
        <w:t xml:space="preserve">2033. Kalendari i ri është në përputhje me Direktivën 2011/64 që kërkon që taksimi i cigareve të kombinojë një komponent specifik dhe </w:t>
      </w:r>
      <w:r w:rsidRPr="00830F4C">
        <w:rPr>
          <w:rFonts w:ascii="Garamond" w:hAnsi="Garamond"/>
          <w:i/>
        </w:rPr>
        <w:t>ad valorem</w:t>
      </w:r>
      <w:r w:rsidRPr="00830F4C">
        <w:rPr>
          <w:rFonts w:ascii="Garamond" w:hAnsi="Garamond"/>
        </w:rPr>
        <w:t>. Taksimi i ri do përmbajë kombinimin e të dy komponentëve specifike/</w:t>
      </w:r>
      <w:r w:rsidRPr="00830F4C">
        <w:rPr>
          <w:rFonts w:ascii="Garamond" w:hAnsi="Garamond"/>
          <w:i/>
        </w:rPr>
        <w:t>ad valore</w:t>
      </w:r>
      <w:r w:rsidRPr="00830F4C">
        <w:rPr>
          <w:rFonts w:ascii="Garamond" w:hAnsi="Garamond"/>
        </w:rPr>
        <w:t>. Kalendari i ri do fin</w:t>
      </w:r>
      <w:r w:rsidR="008C0C0F" w:rsidRPr="00830F4C">
        <w:rPr>
          <w:rFonts w:ascii="Garamond" w:hAnsi="Garamond"/>
        </w:rPr>
        <w:t>a</w:t>
      </w:r>
      <w:r w:rsidRPr="00830F4C">
        <w:rPr>
          <w:rFonts w:ascii="Garamond" w:hAnsi="Garamond"/>
        </w:rPr>
        <w:t>lizohet pas konsultimeve me Drejtorinë e Përgjithshme të Taksave dhe Doganave të KE-së, në mënyrë që të jetë në përputhje të plotë me Direktivën e BE-së.</w:t>
      </w:r>
    </w:p>
    <w:p w14:paraId="059791B5" w14:textId="22B8C78A" w:rsidR="003858EE" w:rsidRPr="00830F4C" w:rsidRDefault="003858EE" w:rsidP="003858EE">
      <w:pPr>
        <w:ind w:firstLine="284"/>
        <w:jc w:val="both"/>
        <w:rPr>
          <w:rFonts w:ascii="Garamond" w:hAnsi="Garamond"/>
          <w:b/>
          <w:bCs/>
        </w:rPr>
      </w:pPr>
      <w:r w:rsidRPr="00830F4C">
        <w:rPr>
          <w:rFonts w:ascii="Garamond" w:hAnsi="Garamond"/>
          <w:b/>
          <w:bCs/>
        </w:rPr>
        <w:t>Masa 1.1.7 Analiza e skemave fiskale incentivuese (direkte dhe indirekte) si pjesë e politikave për nxitjen e</w:t>
      </w:r>
      <w:r w:rsidRPr="00830F4C">
        <w:rPr>
          <w:rFonts w:ascii="Garamond" w:hAnsi="Garamond"/>
          <w:b/>
          <w:bCs/>
          <w:sz w:val="20"/>
          <w:szCs w:val="20"/>
        </w:rPr>
        <w:t xml:space="preserve"> </w:t>
      </w:r>
      <w:r w:rsidRPr="00830F4C">
        <w:rPr>
          <w:rFonts w:ascii="Garamond" w:hAnsi="Garamond"/>
          <w:b/>
          <w:bCs/>
        </w:rPr>
        <w:t>përdorimit të energjisë së rinovueshme, efi</w:t>
      </w:r>
      <w:r w:rsidR="008C0C0F" w:rsidRPr="00830F4C">
        <w:rPr>
          <w:rFonts w:ascii="Garamond" w:hAnsi="Garamond"/>
          <w:b/>
          <w:bCs/>
        </w:rPr>
        <w:t>ci</w:t>
      </w:r>
      <w:r w:rsidRPr="00830F4C">
        <w:rPr>
          <w:rFonts w:ascii="Garamond" w:hAnsi="Garamond"/>
          <w:b/>
          <w:bCs/>
        </w:rPr>
        <w:t xml:space="preserve">encës së energjisë dhe performancës </w:t>
      </w:r>
      <w:r w:rsidR="008C0C0F" w:rsidRPr="00830F4C">
        <w:rPr>
          <w:rFonts w:ascii="Garamond" w:hAnsi="Garamond"/>
          <w:b/>
          <w:bCs/>
        </w:rPr>
        <w:t>energjetike</w:t>
      </w:r>
      <w:r w:rsidRPr="00830F4C">
        <w:rPr>
          <w:rFonts w:ascii="Garamond" w:hAnsi="Garamond"/>
          <w:b/>
          <w:bCs/>
        </w:rPr>
        <w:t xml:space="preserve"> në ndërtesa</w:t>
      </w:r>
    </w:p>
    <w:p w14:paraId="22BD7ECF" w14:textId="045156EA" w:rsidR="003858EE" w:rsidRPr="00830F4C" w:rsidRDefault="003858EE" w:rsidP="003858EE">
      <w:pPr>
        <w:ind w:firstLine="284"/>
        <w:jc w:val="both"/>
        <w:rPr>
          <w:rFonts w:ascii="Garamond" w:hAnsi="Garamond"/>
        </w:rPr>
      </w:pPr>
      <w:r w:rsidRPr="00830F4C">
        <w:rPr>
          <w:rFonts w:ascii="Garamond" w:hAnsi="Garamond"/>
        </w:rPr>
        <w:t>Nën këtë masë</w:t>
      </w:r>
      <w:r w:rsidR="00D22EA5" w:rsidRPr="00830F4C">
        <w:rPr>
          <w:rFonts w:ascii="Garamond" w:hAnsi="Garamond"/>
        </w:rPr>
        <w:t xml:space="preserve"> </w:t>
      </w:r>
      <w:r w:rsidRPr="00830F4C">
        <w:rPr>
          <w:rFonts w:ascii="Garamond" w:hAnsi="Garamond"/>
        </w:rPr>
        <w:t>do të analizohen edhe skemat fiskale incentivuese (direkte dhe indirekte) si pjesë e politikave për nxitjen e përdorimit të energjisë së rinovueshme, efi</w:t>
      </w:r>
      <w:r w:rsidR="008C0C0F" w:rsidRPr="00830F4C">
        <w:rPr>
          <w:rFonts w:ascii="Garamond" w:hAnsi="Garamond"/>
        </w:rPr>
        <w:t>ci</w:t>
      </w:r>
      <w:r w:rsidRPr="00830F4C">
        <w:rPr>
          <w:rFonts w:ascii="Garamond" w:hAnsi="Garamond"/>
        </w:rPr>
        <w:t xml:space="preserve">encës së energjisë dhe performancës </w:t>
      </w:r>
      <w:r w:rsidR="008C0C0F" w:rsidRPr="00830F4C">
        <w:rPr>
          <w:rFonts w:ascii="Garamond" w:hAnsi="Garamond"/>
        </w:rPr>
        <w:t>energjetike</w:t>
      </w:r>
      <w:r w:rsidRPr="00830F4C">
        <w:rPr>
          <w:rFonts w:ascii="Garamond" w:hAnsi="Garamond"/>
        </w:rPr>
        <w:t xml:space="preserve"> në ndërtesa, në kushtet e përafrimit të legjislacionit kombëtar për këto fusha me atë të Bashkimit Evropian, në kuadër edhe të arritjes së targeteve për zhvillim të qëndrueshëm dhe ndryshimeve klimaterike.</w:t>
      </w:r>
    </w:p>
    <w:p w14:paraId="5AB68B90" w14:textId="77777777" w:rsidR="003858EE" w:rsidRPr="00830F4C" w:rsidRDefault="003858EE" w:rsidP="003858EE">
      <w:pPr>
        <w:ind w:firstLine="284"/>
        <w:jc w:val="both"/>
        <w:rPr>
          <w:rFonts w:ascii="Garamond" w:hAnsi="Garamond"/>
        </w:rPr>
      </w:pPr>
      <w:r w:rsidRPr="00830F4C">
        <w:rPr>
          <w:rFonts w:ascii="Garamond" w:hAnsi="Garamond"/>
        </w:rPr>
        <w:t>Për realizimin e kësaj mase do të ndërmerren dy aktivitete, si më poshtë:</w:t>
      </w:r>
    </w:p>
    <w:p w14:paraId="2814EE47" w14:textId="787192B5" w:rsidR="003858EE" w:rsidRPr="00830F4C" w:rsidRDefault="003858EE" w:rsidP="003858EE">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1.</w:t>
      </w:r>
      <w:r w:rsidR="008E5F84" w:rsidRPr="00830F4C">
        <w:rPr>
          <w:rFonts w:ascii="Garamond" w:hAnsi="Garamond"/>
          <w:sz w:val="24"/>
          <w:szCs w:val="24"/>
        </w:rPr>
        <w:t xml:space="preserve"> </w:t>
      </w:r>
      <w:r w:rsidRPr="00830F4C">
        <w:rPr>
          <w:rFonts w:ascii="Garamond" w:hAnsi="Garamond"/>
          <w:sz w:val="24"/>
          <w:szCs w:val="24"/>
        </w:rPr>
        <w:t>Aktiviteti 1.1.7.1</w:t>
      </w:r>
      <w:r w:rsidR="00A72159">
        <w:rPr>
          <w:rFonts w:ascii="Garamond" w:hAnsi="Garamond"/>
          <w:sz w:val="24"/>
          <w:szCs w:val="24"/>
        </w:rPr>
        <w:t>:</w:t>
      </w:r>
      <w:r w:rsidRPr="00830F4C">
        <w:rPr>
          <w:rFonts w:ascii="Garamond" w:hAnsi="Garamond"/>
          <w:sz w:val="24"/>
          <w:szCs w:val="24"/>
        </w:rPr>
        <w:t xml:space="preserve"> ku të përcaktohet kryerja e një analize për incentiva fiskale (direkte dhe indirekte) si pjesë e politikave për nxitjen e përdorimit të energjisë së rinovueshme, efi</w:t>
      </w:r>
      <w:r w:rsidR="00D22EA5" w:rsidRPr="00830F4C">
        <w:rPr>
          <w:rFonts w:ascii="Garamond" w:hAnsi="Garamond"/>
          <w:sz w:val="24"/>
          <w:szCs w:val="24"/>
        </w:rPr>
        <w:t>c</w:t>
      </w:r>
      <w:r w:rsidRPr="00830F4C">
        <w:rPr>
          <w:rFonts w:ascii="Garamond" w:hAnsi="Garamond"/>
          <w:sz w:val="24"/>
          <w:szCs w:val="24"/>
        </w:rPr>
        <w:t>iencës së energjisë dhe performa</w:t>
      </w:r>
      <w:r w:rsidR="008C0C0F" w:rsidRPr="00830F4C">
        <w:rPr>
          <w:rFonts w:ascii="Garamond" w:hAnsi="Garamond"/>
          <w:sz w:val="24"/>
          <w:szCs w:val="24"/>
        </w:rPr>
        <w:t>n</w:t>
      </w:r>
      <w:r w:rsidRPr="00830F4C">
        <w:rPr>
          <w:rFonts w:ascii="Garamond" w:hAnsi="Garamond"/>
          <w:sz w:val="24"/>
          <w:szCs w:val="24"/>
        </w:rPr>
        <w:t xml:space="preserve">cës </w:t>
      </w:r>
      <w:r w:rsidR="00D22EA5" w:rsidRPr="00830F4C">
        <w:rPr>
          <w:rFonts w:ascii="Garamond" w:hAnsi="Garamond"/>
          <w:sz w:val="24"/>
          <w:szCs w:val="24"/>
        </w:rPr>
        <w:t>energjetike</w:t>
      </w:r>
      <w:r w:rsidRPr="00830F4C">
        <w:rPr>
          <w:rFonts w:ascii="Garamond" w:hAnsi="Garamond"/>
          <w:sz w:val="24"/>
          <w:szCs w:val="24"/>
        </w:rPr>
        <w:t xml:space="preserve">. Këto </w:t>
      </w:r>
      <w:r w:rsidR="00D22EA5" w:rsidRPr="00830F4C">
        <w:rPr>
          <w:rFonts w:ascii="Garamond" w:hAnsi="Garamond"/>
          <w:sz w:val="24"/>
          <w:szCs w:val="24"/>
        </w:rPr>
        <w:t>analiza</w:t>
      </w:r>
      <w:r w:rsidRPr="00830F4C">
        <w:rPr>
          <w:rFonts w:ascii="Garamond" w:hAnsi="Garamond"/>
          <w:sz w:val="24"/>
          <w:szCs w:val="24"/>
        </w:rPr>
        <w:t xml:space="preserve"> do të kryhen nga Ministria e Financave dhe Ministrisë së Infrastrukturës dhe Energjisë, brenda vitit 2026.</w:t>
      </w:r>
    </w:p>
    <w:p w14:paraId="4605E0E6" w14:textId="414F5C0D" w:rsidR="003858EE" w:rsidRPr="00830F4C" w:rsidRDefault="003858EE" w:rsidP="003858EE">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2.</w:t>
      </w:r>
      <w:r w:rsidR="008E5F84" w:rsidRPr="00830F4C">
        <w:rPr>
          <w:rFonts w:ascii="Garamond" w:hAnsi="Garamond"/>
          <w:sz w:val="24"/>
          <w:szCs w:val="24"/>
        </w:rPr>
        <w:t xml:space="preserve"> </w:t>
      </w:r>
      <w:r w:rsidRPr="00830F4C">
        <w:rPr>
          <w:rFonts w:ascii="Garamond" w:hAnsi="Garamond"/>
          <w:sz w:val="24"/>
          <w:szCs w:val="24"/>
        </w:rPr>
        <w:t>Aktiviteti 1.1.7.2</w:t>
      </w:r>
      <w:r w:rsidR="00A72159">
        <w:rPr>
          <w:rFonts w:ascii="Garamond" w:hAnsi="Garamond"/>
          <w:sz w:val="24"/>
          <w:szCs w:val="24"/>
        </w:rPr>
        <w:t>:</w:t>
      </w:r>
      <w:r w:rsidRPr="00830F4C">
        <w:rPr>
          <w:rFonts w:ascii="Garamond" w:hAnsi="Garamond"/>
          <w:sz w:val="24"/>
          <w:szCs w:val="24"/>
        </w:rPr>
        <w:t xml:space="preserve"> ku të përcaktohet përgatitja e projekt ndryshimeve ligjore bazuar në vendimin e marrë pas analizës dhe në përputhje me </w:t>
      </w:r>
      <w:r w:rsidRPr="00830F4C">
        <w:rPr>
          <w:rFonts w:ascii="Garamond" w:hAnsi="Garamond"/>
          <w:i/>
          <w:sz w:val="24"/>
          <w:szCs w:val="24"/>
        </w:rPr>
        <w:t>acquis</w:t>
      </w:r>
      <w:r w:rsidRPr="00830F4C">
        <w:rPr>
          <w:rFonts w:ascii="Garamond" w:hAnsi="Garamond"/>
          <w:sz w:val="24"/>
          <w:szCs w:val="24"/>
        </w:rPr>
        <w:t xml:space="preserve"> të BE-së, në bashkëpunim të të dy</w:t>
      </w:r>
      <w:r w:rsidR="00D22EA5" w:rsidRPr="00830F4C">
        <w:rPr>
          <w:rFonts w:ascii="Garamond" w:hAnsi="Garamond"/>
          <w:sz w:val="24"/>
          <w:szCs w:val="24"/>
        </w:rPr>
        <w:t>ja</w:t>
      </w:r>
      <w:r w:rsidRPr="00830F4C">
        <w:rPr>
          <w:rFonts w:ascii="Garamond" w:hAnsi="Garamond"/>
          <w:sz w:val="24"/>
          <w:szCs w:val="24"/>
        </w:rPr>
        <w:t xml:space="preserve"> institucioneve, brenda vitit 2027.</w:t>
      </w:r>
    </w:p>
    <w:p w14:paraId="6A91BFDA" w14:textId="08F4AE12" w:rsidR="003858EE" w:rsidRPr="00830F4C" w:rsidRDefault="003858EE" w:rsidP="00D25709">
      <w:pPr>
        <w:pStyle w:val="Heading2"/>
        <w:spacing w:before="0"/>
        <w:ind w:firstLine="284"/>
        <w:jc w:val="both"/>
        <w:rPr>
          <w:rFonts w:ascii="Garamond" w:hAnsi="Garamond"/>
          <w:b/>
          <w:bCs/>
          <w:color w:val="auto"/>
          <w:sz w:val="24"/>
          <w:szCs w:val="24"/>
        </w:rPr>
      </w:pPr>
      <w:r w:rsidRPr="00830F4C">
        <w:rPr>
          <w:rFonts w:ascii="Garamond" w:hAnsi="Garamond"/>
          <w:b/>
          <w:bCs/>
          <w:color w:val="auto"/>
          <w:sz w:val="24"/>
          <w:szCs w:val="24"/>
        </w:rPr>
        <w:t xml:space="preserve">IV.3. Komponenti 1.2 Rishikimi i politikës tatimore lidhur me tatimet dhe taksat direkte </w:t>
      </w:r>
    </w:p>
    <w:p w14:paraId="747A0867" w14:textId="77777777" w:rsidR="003858EE" w:rsidRPr="00830F4C" w:rsidRDefault="003858EE" w:rsidP="00D25709">
      <w:pPr>
        <w:ind w:firstLine="284"/>
        <w:jc w:val="both"/>
        <w:rPr>
          <w:rFonts w:ascii="Garamond" w:hAnsi="Garamond"/>
          <w:b/>
          <w:bCs/>
        </w:rPr>
      </w:pPr>
      <w:r w:rsidRPr="00830F4C">
        <w:rPr>
          <w:rFonts w:ascii="Garamond" w:hAnsi="Garamond"/>
          <w:b/>
          <w:bCs/>
        </w:rPr>
        <w:t>Konteksti</w:t>
      </w:r>
    </w:p>
    <w:p w14:paraId="08A13B14" w14:textId="2DC6A070" w:rsidR="003858EE" w:rsidRPr="00830F4C" w:rsidRDefault="003858EE" w:rsidP="003858EE">
      <w:pPr>
        <w:ind w:firstLine="284"/>
        <w:jc w:val="both"/>
        <w:rPr>
          <w:rFonts w:ascii="Garamond" w:hAnsi="Garamond"/>
        </w:rPr>
      </w:pPr>
      <w:r w:rsidRPr="00830F4C">
        <w:rPr>
          <w:rFonts w:ascii="Garamond" w:hAnsi="Garamond"/>
        </w:rPr>
        <w:t xml:space="preserve">Tatimet mbi të ardhurat e entiteteve dhe personave fizikë (tatimi mbi fitimin korporativ dhe tatimi mbi të ardhurat personale) janë burim i rëndësishëm në të hyrat e buxhetit të shtetit. Në 3 vitet e fundit ato përbëjnë 4,5 % të PBB-së dhe kapin rreth 18% në strukturën e të ardhurave tatimore gjithsej. </w:t>
      </w:r>
    </w:p>
    <w:p w14:paraId="2C6411DC" w14:textId="32A060C5" w:rsidR="003858EE" w:rsidRPr="00830F4C" w:rsidRDefault="003858EE" w:rsidP="003858EE">
      <w:pPr>
        <w:ind w:firstLine="284"/>
        <w:jc w:val="both"/>
        <w:rPr>
          <w:rFonts w:ascii="Garamond" w:hAnsi="Garamond"/>
        </w:rPr>
      </w:pPr>
      <w:r w:rsidRPr="00830F4C">
        <w:rPr>
          <w:rFonts w:ascii="Garamond" w:hAnsi="Garamond"/>
        </w:rPr>
        <w:t>Politika tatimore në vitet e ardhshme do të synojë analizën e efektivitetit dhe pajtueshmërisë së qëllimeve për të cilat janë dizenjuar disa incentiva tatimore për tatimet mbi të ardhurat, duke rishikuar incentivat pa efekte substanciale në rritjen ekonomike të vendit, si dhe</w:t>
      </w:r>
      <w:r w:rsidR="00D22EA5" w:rsidRPr="00830F4C">
        <w:rPr>
          <w:rFonts w:ascii="Garamond" w:hAnsi="Garamond"/>
        </w:rPr>
        <w:t xml:space="preserve"> </w:t>
      </w:r>
      <w:r w:rsidRPr="00830F4C">
        <w:rPr>
          <w:rFonts w:ascii="Garamond" w:hAnsi="Garamond"/>
        </w:rPr>
        <w:t>mbajtjen në fokus të një sistemi</w:t>
      </w:r>
      <w:r w:rsidR="00D22EA5" w:rsidRPr="00830F4C">
        <w:rPr>
          <w:rFonts w:ascii="Garamond" w:hAnsi="Garamond"/>
        </w:rPr>
        <w:t xml:space="preserve"> </w:t>
      </w:r>
      <w:r w:rsidRPr="00830F4C">
        <w:rPr>
          <w:rFonts w:ascii="Garamond" w:hAnsi="Garamond"/>
        </w:rPr>
        <w:t xml:space="preserve">të thjeshtë, </w:t>
      </w:r>
      <w:r w:rsidR="008C0C0F" w:rsidRPr="00830F4C">
        <w:rPr>
          <w:rFonts w:ascii="Garamond" w:hAnsi="Garamond"/>
        </w:rPr>
        <w:t>gjithëpërfshirës</w:t>
      </w:r>
      <w:r w:rsidRPr="00830F4C">
        <w:rPr>
          <w:rFonts w:ascii="Garamond" w:hAnsi="Garamond"/>
        </w:rPr>
        <w:t xml:space="preserve"> dhe me synim zgjerimin e bazës së tatimit në lidhje me tatimin mbi të ardhurat personale. </w:t>
      </w:r>
    </w:p>
    <w:p w14:paraId="160DE31E" w14:textId="77777777" w:rsidR="003858EE" w:rsidRPr="00830F4C" w:rsidRDefault="003858EE" w:rsidP="003858EE">
      <w:pPr>
        <w:ind w:firstLine="284"/>
        <w:jc w:val="both"/>
        <w:rPr>
          <w:rFonts w:ascii="Garamond" w:hAnsi="Garamond"/>
          <w:b/>
          <w:bCs/>
        </w:rPr>
      </w:pPr>
      <w:r w:rsidRPr="00830F4C">
        <w:rPr>
          <w:rFonts w:ascii="Garamond" w:hAnsi="Garamond"/>
          <w:b/>
          <w:bCs/>
        </w:rPr>
        <w:t>Prioriteti:</w:t>
      </w:r>
    </w:p>
    <w:p w14:paraId="2DCEA03C" w14:textId="3E375890" w:rsidR="003858EE" w:rsidRPr="00830F4C" w:rsidRDefault="003858EE" w:rsidP="003858EE">
      <w:pPr>
        <w:ind w:firstLine="284"/>
        <w:jc w:val="both"/>
        <w:rPr>
          <w:rFonts w:ascii="Garamond" w:hAnsi="Garamond"/>
        </w:rPr>
      </w:pPr>
      <w:r w:rsidRPr="00830F4C">
        <w:rPr>
          <w:rFonts w:ascii="Garamond" w:hAnsi="Garamond"/>
        </w:rPr>
        <w:t>Prioriteti për periudhën 2024</w:t>
      </w:r>
      <w:r w:rsidR="00D22EA5" w:rsidRPr="00830F4C">
        <w:rPr>
          <w:rFonts w:ascii="Garamond" w:hAnsi="Garamond"/>
        </w:rPr>
        <w:t>–</w:t>
      </w:r>
      <w:r w:rsidRPr="00830F4C">
        <w:rPr>
          <w:rFonts w:ascii="Garamond" w:hAnsi="Garamond"/>
        </w:rPr>
        <w:t>2027 është:</w:t>
      </w:r>
    </w:p>
    <w:p w14:paraId="6AE5E953" w14:textId="234858E1" w:rsidR="003858EE" w:rsidRPr="00830F4C" w:rsidRDefault="003858EE" w:rsidP="003858EE">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Zbatimi i kushtit të vendosu</w:t>
      </w:r>
      <w:r w:rsidR="00D737A4" w:rsidRPr="00830F4C">
        <w:rPr>
          <w:rFonts w:ascii="Garamond" w:hAnsi="Garamond"/>
          <w:sz w:val="24"/>
          <w:szCs w:val="24"/>
        </w:rPr>
        <w:t>r</w:t>
      </w:r>
      <w:r w:rsidRPr="00830F4C">
        <w:rPr>
          <w:rFonts w:ascii="Garamond" w:hAnsi="Garamond"/>
          <w:sz w:val="24"/>
          <w:szCs w:val="24"/>
        </w:rPr>
        <w:t xml:space="preserve"> në Planin e Rritjes së A</w:t>
      </w:r>
      <w:r w:rsidR="00D22EA5" w:rsidRPr="00830F4C">
        <w:rPr>
          <w:rFonts w:ascii="Garamond" w:hAnsi="Garamond"/>
          <w:sz w:val="24"/>
          <w:szCs w:val="24"/>
        </w:rPr>
        <w:t>gj</w:t>
      </w:r>
      <w:r w:rsidRPr="00830F4C">
        <w:rPr>
          <w:rFonts w:ascii="Garamond" w:hAnsi="Garamond"/>
          <w:sz w:val="24"/>
          <w:szCs w:val="24"/>
        </w:rPr>
        <w:t>endës së Reformës së KE-së për kryerjen e një vlerësimi të të gjitha përjashtimeve dhe normave të reduktuara</w:t>
      </w:r>
      <w:r w:rsidR="00D737A4" w:rsidRPr="00830F4C">
        <w:rPr>
          <w:rFonts w:ascii="Garamond" w:hAnsi="Garamond"/>
          <w:sz w:val="24"/>
          <w:szCs w:val="24"/>
        </w:rPr>
        <w:t>,</w:t>
      </w:r>
      <w:r w:rsidRPr="00830F4C">
        <w:rPr>
          <w:rFonts w:ascii="Garamond" w:hAnsi="Garamond"/>
          <w:sz w:val="24"/>
          <w:szCs w:val="24"/>
        </w:rPr>
        <w:t xml:space="preserve"> në lidhje me tatimet direkte, brenda qershorit 2025.</w:t>
      </w:r>
    </w:p>
    <w:p w14:paraId="1134F297" w14:textId="77777777" w:rsidR="003858EE" w:rsidRPr="00830F4C" w:rsidRDefault="003858EE" w:rsidP="003858EE">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Analiza e efektivitetit dhe pajtueshmërisë së qëllimeve për të cilat janë dizenjuar incentivat tatimore për tatimet mbi të ardhurat.</w:t>
      </w:r>
    </w:p>
    <w:p w14:paraId="374B51D0" w14:textId="77777777" w:rsidR="003858EE" w:rsidRPr="00830F4C" w:rsidRDefault="003858EE" w:rsidP="003858EE">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 xml:space="preserve">Harmonizimi i plotë i legjislacionit vendas me </w:t>
      </w:r>
      <w:r w:rsidRPr="00830F4C">
        <w:rPr>
          <w:rFonts w:ascii="Garamond" w:hAnsi="Garamond"/>
          <w:i/>
          <w:sz w:val="24"/>
          <w:szCs w:val="24"/>
        </w:rPr>
        <w:t>acquis</w:t>
      </w:r>
      <w:r w:rsidRPr="00830F4C">
        <w:rPr>
          <w:rFonts w:ascii="Garamond" w:hAnsi="Garamond"/>
          <w:sz w:val="24"/>
          <w:szCs w:val="24"/>
        </w:rPr>
        <w:t xml:space="preserve"> të BE-së në fushën e tatimeve direkte.</w:t>
      </w:r>
    </w:p>
    <w:p w14:paraId="5F8E72ED" w14:textId="77777777" w:rsidR="003858EE" w:rsidRPr="00830F4C" w:rsidRDefault="003858EE" w:rsidP="003858EE">
      <w:pPr>
        <w:jc w:val="both"/>
        <w:rPr>
          <w:b/>
        </w:rPr>
      </w:pPr>
      <w:r w:rsidRPr="00830F4C">
        <w:rPr>
          <w:b/>
        </w:rPr>
        <w:t>Masat dhe aktivitetet</w:t>
      </w:r>
    </w:p>
    <w:tbl>
      <w:tblPr>
        <w:tblStyle w:val="GridTable1Light"/>
        <w:tblW w:w="0" w:type="auto"/>
        <w:tblLook w:val="04A0" w:firstRow="1" w:lastRow="0" w:firstColumn="1" w:lastColumn="0" w:noHBand="0" w:noVBand="1"/>
      </w:tblPr>
      <w:tblGrid>
        <w:gridCol w:w="2015"/>
        <w:gridCol w:w="2246"/>
        <w:gridCol w:w="1376"/>
        <w:gridCol w:w="1781"/>
        <w:gridCol w:w="1598"/>
      </w:tblGrid>
      <w:tr w:rsidR="00723888" w:rsidRPr="00CC11D5" w14:paraId="1EC42563" w14:textId="77777777" w:rsidTr="0072388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5" w:type="dxa"/>
            <w:vAlign w:val="center"/>
          </w:tcPr>
          <w:p w14:paraId="76DBCA2E" w14:textId="77777777" w:rsidR="003858EE" w:rsidRPr="00CC11D5" w:rsidRDefault="003858EE" w:rsidP="00723888">
            <w:pPr>
              <w:jc w:val="center"/>
              <w:rPr>
                <w:rFonts w:ascii="Garamond" w:hAnsi="Garamond"/>
                <w:b w:val="0"/>
                <w:sz w:val="12"/>
                <w:szCs w:val="12"/>
              </w:rPr>
            </w:pPr>
            <w:r w:rsidRPr="00CC11D5">
              <w:rPr>
                <w:rFonts w:ascii="Garamond" w:hAnsi="Garamond"/>
                <w:sz w:val="12"/>
                <w:szCs w:val="12"/>
              </w:rPr>
              <w:t>Masa</w:t>
            </w:r>
          </w:p>
        </w:tc>
        <w:tc>
          <w:tcPr>
            <w:tcW w:w="2246" w:type="dxa"/>
            <w:vAlign w:val="center"/>
          </w:tcPr>
          <w:p w14:paraId="68E84FFA" w14:textId="77777777" w:rsidR="003858EE" w:rsidRPr="00CC11D5" w:rsidRDefault="003858EE" w:rsidP="00723888">
            <w:pPr>
              <w:jc w:val="center"/>
              <w:cnfStyle w:val="100000000000" w:firstRow="1"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Aktivitetet</w:t>
            </w:r>
          </w:p>
        </w:tc>
        <w:tc>
          <w:tcPr>
            <w:tcW w:w="1376" w:type="dxa"/>
            <w:vAlign w:val="center"/>
          </w:tcPr>
          <w:p w14:paraId="33512108" w14:textId="77777777" w:rsidR="003858EE" w:rsidRPr="00CC11D5" w:rsidRDefault="003858EE" w:rsidP="00723888">
            <w:pPr>
              <w:jc w:val="center"/>
              <w:cnfStyle w:val="100000000000" w:firstRow="1"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Fillimi</w:t>
            </w:r>
          </w:p>
        </w:tc>
        <w:tc>
          <w:tcPr>
            <w:tcW w:w="1781" w:type="dxa"/>
            <w:vAlign w:val="center"/>
          </w:tcPr>
          <w:p w14:paraId="4A6D095F" w14:textId="77777777" w:rsidR="003858EE" w:rsidRPr="00CC11D5" w:rsidRDefault="003858EE" w:rsidP="00723888">
            <w:pPr>
              <w:jc w:val="center"/>
              <w:cnfStyle w:val="100000000000" w:firstRow="1" w:lastRow="0" w:firstColumn="0" w:lastColumn="0" w:oddVBand="0" w:evenVBand="0" w:oddHBand="0" w:evenHBand="0" w:firstRowFirstColumn="0" w:firstRowLastColumn="0" w:lastRowFirstColumn="0" w:lastRowLastColumn="0"/>
              <w:rPr>
                <w:rFonts w:ascii="Garamond" w:hAnsi="Garamond"/>
                <w:b w:val="0"/>
                <w:sz w:val="12"/>
                <w:szCs w:val="12"/>
              </w:rPr>
            </w:pPr>
            <w:r w:rsidRPr="00CC11D5">
              <w:rPr>
                <w:rFonts w:ascii="Garamond" w:hAnsi="Garamond"/>
                <w:sz w:val="12"/>
                <w:szCs w:val="12"/>
              </w:rPr>
              <w:t>Mbarimi</w:t>
            </w:r>
          </w:p>
        </w:tc>
        <w:tc>
          <w:tcPr>
            <w:tcW w:w="1598" w:type="dxa"/>
            <w:vAlign w:val="center"/>
          </w:tcPr>
          <w:p w14:paraId="540D56B4" w14:textId="77777777" w:rsidR="003858EE" w:rsidRPr="00CC11D5" w:rsidRDefault="003858EE" w:rsidP="00723888">
            <w:pPr>
              <w:jc w:val="center"/>
              <w:cnfStyle w:val="100000000000" w:firstRow="1" w:lastRow="0" w:firstColumn="0" w:lastColumn="0" w:oddVBand="0" w:evenVBand="0" w:oddHBand="0" w:evenHBand="0" w:firstRowFirstColumn="0" w:firstRowLastColumn="0" w:lastRowFirstColumn="0" w:lastRowLastColumn="0"/>
              <w:rPr>
                <w:rFonts w:ascii="Garamond" w:hAnsi="Garamond"/>
                <w:b w:val="0"/>
                <w:sz w:val="12"/>
                <w:szCs w:val="12"/>
              </w:rPr>
            </w:pPr>
            <w:r w:rsidRPr="00CC11D5">
              <w:rPr>
                <w:rFonts w:ascii="Garamond" w:hAnsi="Garamond"/>
                <w:sz w:val="12"/>
                <w:szCs w:val="12"/>
              </w:rPr>
              <w:t>Institucioni përgjegjës</w:t>
            </w:r>
          </w:p>
        </w:tc>
      </w:tr>
      <w:tr w:rsidR="00723888" w:rsidRPr="00CC11D5" w14:paraId="476D908E" w14:textId="77777777" w:rsidTr="00723888">
        <w:trPr>
          <w:trHeight w:val="20"/>
        </w:trPr>
        <w:tc>
          <w:tcPr>
            <w:cnfStyle w:val="001000000000" w:firstRow="0" w:lastRow="0" w:firstColumn="1" w:lastColumn="0" w:oddVBand="0" w:evenVBand="0" w:oddHBand="0" w:evenHBand="0" w:firstRowFirstColumn="0" w:firstRowLastColumn="0" w:lastRowFirstColumn="0" w:lastRowLastColumn="0"/>
            <w:tcW w:w="2015" w:type="dxa"/>
            <w:vAlign w:val="center"/>
          </w:tcPr>
          <w:p w14:paraId="65DB1351" w14:textId="2E0DAC34" w:rsidR="003858EE" w:rsidRPr="00CC11D5" w:rsidRDefault="003858EE" w:rsidP="00723888">
            <w:pPr>
              <w:jc w:val="center"/>
              <w:rPr>
                <w:rFonts w:ascii="Garamond" w:hAnsi="Garamond"/>
                <w:b w:val="0"/>
                <w:bCs w:val="0"/>
                <w:sz w:val="12"/>
                <w:szCs w:val="12"/>
              </w:rPr>
            </w:pPr>
            <w:r w:rsidRPr="00CC11D5">
              <w:rPr>
                <w:rFonts w:ascii="Garamond" w:hAnsi="Garamond"/>
                <w:b w:val="0"/>
                <w:bCs w:val="0"/>
                <w:sz w:val="12"/>
                <w:szCs w:val="12"/>
              </w:rPr>
              <w:t>Masa 1.2.1</w:t>
            </w:r>
            <w:r w:rsidR="00D737A4" w:rsidRPr="00CC11D5">
              <w:rPr>
                <w:rFonts w:ascii="Garamond" w:hAnsi="Garamond"/>
                <w:b w:val="0"/>
                <w:bCs w:val="0"/>
                <w:sz w:val="12"/>
                <w:szCs w:val="12"/>
              </w:rPr>
              <w:t xml:space="preserve"> </w:t>
            </w:r>
            <w:r w:rsidRPr="00CC11D5">
              <w:rPr>
                <w:rFonts w:ascii="Garamond" w:hAnsi="Garamond"/>
                <w:b w:val="0"/>
                <w:bCs w:val="0"/>
                <w:sz w:val="12"/>
                <w:szCs w:val="12"/>
              </w:rPr>
              <w:t>Analizimi i skemës së tatimi të personave fizikë</w:t>
            </w:r>
          </w:p>
        </w:tc>
        <w:tc>
          <w:tcPr>
            <w:tcW w:w="2246" w:type="dxa"/>
            <w:vAlign w:val="center"/>
          </w:tcPr>
          <w:p w14:paraId="2080E7CA" w14:textId="2BFA0840"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Aktiviteti 1.2.1</w:t>
            </w:r>
            <w:r w:rsidR="00A72159" w:rsidRPr="00CC11D5">
              <w:rPr>
                <w:rFonts w:ascii="Garamond" w:hAnsi="Garamond"/>
                <w:sz w:val="12"/>
                <w:szCs w:val="12"/>
              </w:rPr>
              <w:t>:</w:t>
            </w:r>
            <w:r w:rsidRPr="00CC11D5">
              <w:rPr>
                <w:rFonts w:ascii="Garamond" w:hAnsi="Garamond"/>
                <w:sz w:val="12"/>
                <w:szCs w:val="12"/>
              </w:rPr>
              <w:t xml:space="preserve"> Kryerja e një analize lidhur me skemë</w:t>
            </w:r>
            <w:r w:rsidR="00D737A4" w:rsidRPr="00CC11D5">
              <w:rPr>
                <w:rFonts w:ascii="Garamond" w:hAnsi="Garamond"/>
                <w:sz w:val="12"/>
                <w:szCs w:val="12"/>
              </w:rPr>
              <w:t>n</w:t>
            </w:r>
            <w:r w:rsidRPr="00CC11D5">
              <w:rPr>
                <w:rFonts w:ascii="Garamond" w:hAnsi="Garamond"/>
                <w:sz w:val="12"/>
                <w:szCs w:val="12"/>
              </w:rPr>
              <w:t xml:space="preserve"> </w:t>
            </w:r>
            <w:r w:rsidR="00D737A4" w:rsidRPr="00CC11D5">
              <w:rPr>
                <w:rFonts w:ascii="Garamond" w:hAnsi="Garamond"/>
                <w:sz w:val="12"/>
                <w:szCs w:val="12"/>
              </w:rPr>
              <w:t>e</w:t>
            </w:r>
            <w:r w:rsidRPr="00CC11D5">
              <w:rPr>
                <w:rFonts w:ascii="Garamond" w:hAnsi="Garamond"/>
                <w:sz w:val="12"/>
                <w:szCs w:val="12"/>
              </w:rPr>
              <w:t xml:space="preserve"> taksimit të personave fizikë</w:t>
            </w:r>
          </w:p>
        </w:tc>
        <w:tc>
          <w:tcPr>
            <w:tcW w:w="1376" w:type="dxa"/>
            <w:vAlign w:val="center"/>
          </w:tcPr>
          <w:p w14:paraId="0C48F04D"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2024</w:t>
            </w:r>
          </w:p>
        </w:tc>
        <w:tc>
          <w:tcPr>
            <w:tcW w:w="1781" w:type="dxa"/>
            <w:vAlign w:val="center"/>
          </w:tcPr>
          <w:p w14:paraId="65376B20"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Dhjetor 2025</w:t>
            </w:r>
          </w:p>
        </w:tc>
        <w:tc>
          <w:tcPr>
            <w:tcW w:w="1598" w:type="dxa"/>
            <w:vAlign w:val="center"/>
          </w:tcPr>
          <w:p w14:paraId="1A158A76"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CC11D5">
              <w:rPr>
                <w:rFonts w:ascii="Garamond" w:hAnsi="Garamond"/>
                <w:bCs/>
                <w:sz w:val="12"/>
                <w:szCs w:val="12"/>
              </w:rPr>
              <w:t>MF</w:t>
            </w:r>
          </w:p>
        </w:tc>
      </w:tr>
      <w:tr w:rsidR="00723888" w:rsidRPr="00CC11D5" w14:paraId="4F4137E8" w14:textId="77777777" w:rsidTr="00723888">
        <w:trPr>
          <w:trHeight w:val="20"/>
        </w:trPr>
        <w:tc>
          <w:tcPr>
            <w:cnfStyle w:val="001000000000" w:firstRow="0" w:lastRow="0" w:firstColumn="1" w:lastColumn="0" w:oddVBand="0" w:evenVBand="0" w:oddHBand="0" w:evenHBand="0" w:firstRowFirstColumn="0" w:firstRowLastColumn="0" w:lastRowFirstColumn="0" w:lastRowLastColumn="0"/>
            <w:tcW w:w="2015" w:type="dxa"/>
            <w:vAlign w:val="center"/>
          </w:tcPr>
          <w:p w14:paraId="514F808F" w14:textId="0AC6A752" w:rsidR="003858EE" w:rsidRPr="00CC11D5" w:rsidRDefault="003858EE" w:rsidP="00723888">
            <w:pPr>
              <w:jc w:val="center"/>
              <w:rPr>
                <w:rFonts w:ascii="Garamond" w:hAnsi="Garamond"/>
                <w:b w:val="0"/>
                <w:bCs w:val="0"/>
                <w:sz w:val="12"/>
                <w:szCs w:val="12"/>
              </w:rPr>
            </w:pPr>
            <w:r w:rsidRPr="00CC11D5">
              <w:rPr>
                <w:rFonts w:ascii="Garamond" w:hAnsi="Garamond"/>
                <w:b w:val="0"/>
                <w:bCs w:val="0"/>
                <w:sz w:val="12"/>
                <w:szCs w:val="12"/>
              </w:rPr>
              <w:t>Masa 1.2.2 Vlerësimi i të gjitha përjashtimeve/normave tatimore të reduktuara në ligjin për të ardhurat</w:t>
            </w:r>
          </w:p>
        </w:tc>
        <w:tc>
          <w:tcPr>
            <w:tcW w:w="2246" w:type="dxa"/>
            <w:vAlign w:val="center"/>
          </w:tcPr>
          <w:p w14:paraId="7203DA25" w14:textId="42901172"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Aktiviteti 1.2.2</w:t>
            </w:r>
            <w:r w:rsidR="00A72159" w:rsidRPr="00CC11D5">
              <w:rPr>
                <w:rFonts w:ascii="Garamond" w:hAnsi="Garamond"/>
                <w:sz w:val="12"/>
                <w:szCs w:val="12"/>
              </w:rPr>
              <w:t>:</w:t>
            </w:r>
            <w:r w:rsidRPr="00CC11D5">
              <w:rPr>
                <w:rFonts w:ascii="Garamond" w:hAnsi="Garamond"/>
                <w:sz w:val="12"/>
                <w:szCs w:val="12"/>
              </w:rPr>
              <w:t xml:space="preserve"> Kryerja e një vlerësimi në lidhje me përjashtimet, normat e reduktuara në ligjin për tatimin</w:t>
            </w:r>
            <w:r w:rsidR="00D22EA5" w:rsidRPr="00CC11D5">
              <w:rPr>
                <w:rFonts w:ascii="Garamond" w:hAnsi="Garamond"/>
                <w:sz w:val="12"/>
                <w:szCs w:val="12"/>
              </w:rPr>
              <w:t xml:space="preserve"> </w:t>
            </w:r>
            <w:r w:rsidRPr="00CC11D5">
              <w:rPr>
                <w:rFonts w:ascii="Garamond" w:hAnsi="Garamond"/>
                <w:sz w:val="12"/>
                <w:szCs w:val="12"/>
              </w:rPr>
              <w:t>mbi të ardhurat</w:t>
            </w:r>
          </w:p>
        </w:tc>
        <w:tc>
          <w:tcPr>
            <w:tcW w:w="1376" w:type="dxa"/>
            <w:vAlign w:val="center"/>
          </w:tcPr>
          <w:p w14:paraId="18D4A25F"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2024</w:t>
            </w:r>
          </w:p>
        </w:tc>
        <w:tc>
          <w:tcPr>
            <w:tcW w:w="1781" w:type="dxa"/>
            <w:vAlign w:val="center"/>
          </w:tcPr>
          <w:p w14:paraId="3065E3C4"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Qershor 2025</w:t>
            </w:r>
          </w:p>
        </w:tc>
        <w:tc>
          <w:tcPr>
            <w:tcW w:w="1598" w:type="dxa"/>
            <w:vAlign w:val="center"/>
          </w:tcPr>
          <w:p w14:paraId="4FDF9418"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CC11D5">
              <w:rPr>
                <w:rFonts w:ascii="Garamond" w:hAnsi="Garamond"/>
                <w:bCs/>
                <w:sz w:val="12"/>
                <w:szCs w:val="12"/>
              </w:rPr>
              <w:t>MF me asistencën e FMN</w:t>
            </w:r>
          </w:p>
        </w:tc>
      </w:tr>
      <w:tr w:rsidR="00723888" w:rsidRPr="00CC11D5" w14:paraId="35D2E2C6" w14:textId="77777777" w:rsidTr="00723888">
        <w:trPr>
          <w:trHeight w:val="20"/>
        </w:trPr>
        <w:tc>
          <w:tcPr>
            <w:cnfStyle w:val="001000000000" w:firstRow="0" w:lastRow="0" w:firstColumn="1" w:lastColumn="0" w:oddVBand="0" w:evenVBand="0" w:oddHBand="0" w:evenHBand="0" w:firstRowFirstColumn="0" w:firstRowLastColumn="0" w:lastRowFirstColumn="0" w:lastRowLastColumn="0"/>
            <w:tcW w:w="2015" w:type="dxa"/>
            <w:vAlign w:val="center"/>
          </w:tcPr>
          <w:p w14:paraId="140A9B4C" w14:textId="020DBC5A" w:rsidR="003858EE" w:rsidRPr="00CC11D5" w:rsidRDefault="003858EE" w:rsidP="00723888">
            <w:pPr>
              <w:jc w:val="center"/>
              <w:rPr>
                <w:rFonts w:ascii="Garamond" w:hAnsi="Garamond"/>
                <w:b w:val="0"/>
                <w:sz w:val="12"/>
                <w:szCs w:val="12"/>
              </w:rPr>
            </w:pPr>
            <w:r w:rsidRPr="00CC11D5">
              <w:rPr>
                <w:rFonts w:ascii="Garamond" w:hAnsi="Garamond"/>
                <w:b w:val="0"/>
                <w:sz w:val="12"/>
                <w:szCs w:val="12"/>
              </w:rPr>
              <w:t>Masa 1.2.3 Hartimi i aktit ligjor bazuar në analizën e përjashtimeve dhe normave të reduktuara dhe skemës tatimore të personave fizikë</w:t>
            </w:r>
          </w:p>
        </w:tc>
        <w:tc>
          <w:tcPr>
            <w:tcW w:w="2246" w:type="dxa"/>
            <w:vAlign w:val="center"/>
          </w:tcPr>
          <w:p w14:paraId="75F4682E" w14:textId="03ED52D9"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Aktiviteti 1.2.3.1</w:t>
            </w:r>
            <w:r w:rsidR="00A72159" w:rsidRPr="00CC11D5">
              <w:rPr>
                <w:rFonts w:ascii="Garamond" w:hAnsi="Garamond"/>
                <w:sz w:val="12"/>
                <w:szCs w:val="12"/>
              </w:rPr>
              <w:t>:</w:t>
            </w:r>
            <w:r w:rsidRPr="00CC11D5">
              <w:rPr>
                <w:rFonts w:ascii="Garamond" w:hAnsi="Garamond"/>
                <w:sz w:val="12"/>
                <w:szCs w:val="12"/>
              </w:rPr>
              <w:t xml:space="preserve"> Përgatitja e ndryshimeve, nëse e nevojshme, të ligjit për tatimin mbi të ardhurat bazuar në raportin e vlerësimit</w:t>
            </w:r>
          </w:p>
        </w:tc>
        <w:tc>
          <w:tcPr>
            <w:tcW w:w="1376" w:type="dxa"/>
            <w:vAlign w:val="center"/>
          </w:tcPr>
          <w:p w14:paraId="3C4DA80B"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Korrik 2025</w:t>
            </w:r>
          </w:p>
        </w:tc>
        <w:tc>
          <w:tcPr>
            <w:tcW w:w="1781" w:type="dxa"/>
            <w:vAlign w:val="center"/>
          </w:tcPr>
          <w:p w14:paraId="0A34873D"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2027</w:t>
            </w:r>
          </w:p>
        </w:tc>
        <w:tc>
          <w:tcPr>
            <w:tcW w:w="1598" w:type="dxa"/>
            <w:vAlign w:val="center"/>
          </w:tcPr>
          <w:p w14:paraId="1C34EF73"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CC11D5">
              <w:rPr>
                <w:rFonts w:ascii="Garamond" w:hAnsi="Garamond"/>
                <w:bCs/>
                <w:sz w:val="12"/>
                <w:szCs w:val="12"/>
              </w:rPr>
              <w:t>MF</w:t>
            </w:r>
          </w:p>
        </w:tc>
      </w:tr>
      <w:tr w:rsidR="00723888" w:rsidRPr="00CC11D5" w14:paraId="1EE02BBC" w14:textId="77777777" w:rsidTr="00723888">
        <w:trPr>
          <w:trHeight w:val="20"/>
        </w:trPr>
        <w:tc>
          <w:tcPr>
            <w:cnfStyle w:val="001000000000" w:firstRow="0" w:lastRow="0" w:firstColumn="1" w:lastColumn="0" w:oddVBand="0" w:evenVBand="0" w:oddHBand="0" w:evenHBand="0" w:firstRowFirstColumn="0" w:firstRowLastColumn="0" w:lastRowFirstColumn="0" w:lastRowLastColumn="0"/>
            <w:tcW w:w="2015" w:type="dxa"/>
            <w:vAlign w:val="center"/>
          </w:tcPr>
          <w:p w14:paraId="76529128" w14:textId="5FD6B245" w:rsidR="003858EE" w:rsidRPr="00CC11D5" w:rsidRDefault="003858EE" w:rsidP="00723888">
            <w:pPr>
              <w:jc w:val="center"/>
              <w:rPr>
                <w:rFonts w:ascii="Garamond" w:hAnsi="Garamond"/>
                <w:b w:val="0"/>
                <w:sz w:val="12"/>
                <w:szCs w:val="12"/>
              </w:rPr>
            </w:pPr>
            <w:r w:rsidRPr="00CC11D5">
              <w:rPr>
                <w:rFonts w:ascii="Garamond" w:hAnsi="Garamond"/>
                <w:b w:val="0"/>
                <w:sz w:val="12"/>
                <w:szCs w:val="12"/>
              </w:rPr>
              <w:t>Masa 1.2.4 Marrëveshje për shmangien e taksimit të dyfishtë</w:t>
            </w:r>
          </w:p>
        </w:tc>
        <w:tc>
          <w:tcPr>
            <w:tcW w:w="2246" w:type="dxa"/>
            <w:vAlign w:val="center"/>
          </w:tcPr>
          <w:p w14:paraId="17C4B46E" w14:textId="0C1E5D48" w:rsidR="00D22EA5"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Aktiviteti 1.2.4.1</w:t>
            </w:r>
            <w:r w:rsidR="00A72159" w:rsidRPr="00CC11D5">
              <w:rPr>
                <w:rFonts w:ascii="Garamond" w:hAnsi="Garamond"/>
                <w:sz w:val="12"/>
                <w:szCs w:val="12"/>
              </w:rPr>
              <w:t>:</w:t>
            </w:r>
          </w:p>
          <w:p w14:paraId="58979375" w14:textId="698B1580"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Negociatat me Lituaninë, Danimarkën, Portugalinë dhe Qipron</w:t>
            </w:r>
          </w:p>
          <w:p w14:paraId="4A00C6F2" w14:textId="063A781B"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Aktiviteti 1.2.4.2</w:t>
            </w:r>
            <w:r w:rsidR="00A72159" w:rsidRPr="00CC11D5">
              <w:rPr>
                <w:rFonts w:ascii="Garamond" w:hAnsi="Garamond"/>
                <w:sz w:val="12"/>
                <w:szCs w:val="12"/>
              </w:rPr>
              <w:t>:</w:t>
            </w:r>
            <w:r w:rsidRPr="00CC11D5">
              <w:rPr>
                <w:rFonts w:ascii="Garamond" w:hAnsi="Garamond"/>
                <w:sz w:val="12"/>
                <w:szCs w:val="12"/>
              </w:rPr>
              <w:t xml:space="preserve"> Finalizimi i procedurave ligjore të brendshme për miratimin nga parlamenti të marrëveshjeve të nënshkruara për shmangien e taksimit të dyfishtë</w:t>
            </w:r>
          </w:p>
        </w:tc>
        <w:tc>
          <w:tcPr>
            <w:tcW w:w="1376" w:type="dxa"/>
            <w:vAlign w:val="center"/>
          </w:tcPr>
          <w:p w14:paraId="1ADD0AC8"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2024</w:t>
            </w:r>
          </w:p>
        </w:tc>
        <w:tc>
          <w:tcPr>
            <w:tcW w:w="1781" w:type="dxa"/>
            <w:vAlign w:val="center"/>
          </w:tcPr>
          <w:p w14:paraId="2CF35E78"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2027</w:t>
            </w:r>
          </w:p>
        </w:tc>
        <w:tc>
          <w:tcPr>
            <w:tcW w:w="1598" w:type="dxa"/>
            <w:vAlign w:val="center"/>
          </w:tcPr>
          <w:p w14:paraId="0F7BE3D5"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CC11D5">
              <w:rPr>
                <w:rFonts w:ascii="Garamond" w:hAnsi="Garamond"/>
                <w:bCs/>
                <w:sz w:val="12"/>
                <w:szCs w:val="12"/>
              </w:rPr>
              <w:t>MF</w:t>
            </w:r>
          </w:p>
        </w:tc>
      </w:tr>
      <w:tr w:rsidR="00723888" w:rsidRPr="00CC11D5" w14:paraId="2771CAEB" w14:textId="77777777" w:rsidTr="00723888">
        <w:trPr>
          <w:trHeight w:val="20"/>
        </w:trPr>
        <w:tc>
          <w:tcPr>
            <w:cnfStyle w:val="001000000000" w:firstRow="0" w:lastRow="0" w:firstColumn="1" w:lastColumn="0" w:oddVBand="0" w:evenVBand="0" w:oddHBand="0" w:evenHBand="0" w:firstRowFirstColumn="0" w:firstRowLastColumn="0" w:lastRowFirstColumn="0" w:lastRowLastColumn="0"/>
            <w:tcW w:w="2015" w:type="dxa"/>
            <w:vAlign w:val="center"/>
          </w:tcPr>
          <w:p w14:paraId="18FA9E78" w14:textId="4E21C549" w:rsidR="003858EE" w:rsidRPr="00CC11D5" w:rsidRDefault="003858EE" w:rsidP="00723888">
            <w:pPr>
              <w:jc w:val="center"/>
              <w:rPr>
                <w:rFonts w:ascii="Garamond" w:hAnsi="Garamond"/>
                <w:b w:val="0"/>
                <w:sz w:val="12"/>
                <w:szCs w:val="12"/>
              </w:rPr>
            </w:pPr>
            <w:r w:rsidRPr="00CC11D5">
              <w:rPr>
                <w:rFonts w:ascii="Garamond" w:hAnsi="Garamond"/>
                <w:b w:val="0"/>
                <w:sz w:val="12"/>
                <w:szCs w:val="12"/>
              </w:rPr>
              <w:t>Masa 1.2.5 Përmbushja e angazhimeve për tatimet ndërkombëtare, kryesisht ato në kuadër të projektit ndërkombëtar BEPS</w:t>
            </w:r>
          </w:p>
        </w:tc>
        <w:tc>
          <w:tcPr>
            <w:tcW w:w="2246" w:type="dxa"/>
            <w:vAlign w:val="center"/>
          </w:tcPr>
          <w:p w14:paraId="619E2CE5" w14:textId="3C222D8E"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Aktiviteti 1.2.5.1</w:t>
            </w:r>
            <w:r w:rsidR="00A72159" w:rsidRPr="00CC11D5">
              <w:rPr>
                <w:rFonts w:ascii="Garamond" w:hAnsi="Garamond"/>
                <w:sz w:val="12"/>
                <w:szCs w:val="12"/>
              </w:rPr>
              <w:t>:</w:t>
            </w:r>
            <w:r w:rsidRPr="00CC11D5">
              <w:rPr>
                <w:rFonts w:ascii="Garamond" w:hAnsi="Garamond"/>
                <w:sz w:val="12"/>
                <w:szCs w:val="12"/>
              </w:rPr>
              <w:t xml:space="preserve"> Vazhdimi i zbatimeve bazuar në raportet e rishikuara për BEPS</w:t>
            </w:r>
            <w:r w:rsidR="00D737A4" w:rsidRPr="00CC11D5">
              <w:rPr>
                <w:rFonts w:ascii="Garamond" w:hAnsi="Garamond"/>
                <w:sz w:val="12"/>
                <w:szCs w:val="12"/>
              </w:rPr>
              <w:t xml:space="preserve"> </w:t>
            </w:r>
            <w:r w:rsidRPr="00CC11D5">
              <w:rPr>
                <w:rFonts w:ascii="Garamond" w:hAnsi="Garamond"/>
                <w:sz w:val="12"/>
                <w:szCs w:val="12"/>
              </w:rPr>
              <w:t>dhe standardet minimale</w:t>
            </w:r>
          </w:p>
          <w:p w14:paraId="0C2D3C17" w14:textId="324C81F4"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Aktiviteti 1.2.5.2</w:t>
            </w:r>
            <w:r w:rsidR="00A72159" w:rsidRPr="00CC11D5">
              <w:rPr>
                <w:rFonts w:ascii="Garamond" w:hAnsi="Garamond"/>
                <w:sz w:val="12"/>
                <w:szCs w:val="12"/>
              </w:rPr>
              <w:t>:</w:t>
            </w:r>
            <w:r w:rsidRPr="00CC11D5">
              <w:rPr>
                <w:rFonts w:ascii="Garamond" w:hAnsi="Garamond"/>
                <w:sz w:val="12"/>
                <w:szCs w:val="12"/>
              </w:rPr>
              <w:t xml:space="preserve"> Analizimi i efektit të zbatimit të Rregullës Globale, shtylla 2 e BEPS</w:t>
            </w:r>
          </w:p>
        </w:tc>
        <w:tc>
          <w:tcPr>
            <w:tcW w:w="1376" w:type="dxa"/>
            <w:vAlign w:val="center"/>
          </w:tcPr>
          <w:p w14:paraId="3E66EB3D"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2024-</w:t>
            </w:r>
          </w:p>
        </w:tc>
        <w:tc>
          <w:tcPr>
            <w:tcW w:w="1781" w:type="dxa"/>
            <w:vAlign w:val="center"/>
          </w:tcPr>
          <w:p w14:paraId="0D5B556F"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2025</w:t>
            </w:r>
          </w:p>
        </w:tc>
        <w:tc>
          <w:tcPr>
            <w:tcW w:w="1598" w:type="dxa"/>
            <w:vAlign w:val="center"/>
          </w:tcPr>
          <w:p w14:paraId="03E947BD"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CC11D5">
              <w:rPr>
                <w:rFonts w:ascii="Garamond" w:hAnsi="Garamond"/>
                <w:bCs/>
                <w:sz w:val="12"/>
                <w:szCs w:val="12"/>
              </w:rPr>
              <w:t>MF, DPT</w:t>
            </w:r>
          </w:p>
        </w:tc>
      </w:tr>
      <w:tr w:rsidR="00723888" w:rsidRPr="00CC11D5" w14:paraId="20FF1ADB" w14:textId="77777777" w:rsidTr="00723888">
        <w:trPr>
          <w:trHeight w:val="20"/>
        </w:trPr>
        <w:tc>
          <w:tcPr>
            <w:cnfStyle w:val="001000000000" w:firstRow="0" w:lastRow="0" w:firstColumn="1" w:lastColumn="0" w:oddVBand="0" w:evenVBand="0" w:oddHBand="0" w:evenHBand="0" w:firstRowFirstColumn="0" w:firstRowLastColumn="0" w:lastRowFirstColumn="0" w:lastRowLastColumn="0"/>
            <w:tcW w:w="2015" w:type="dxa"/>
            <w:vAlign w:val="center"/>
          </w:tcPr>
          <w:p w14:paraId="5382681F" w14:textId="009A5CB6" w:rsidR="003858EE" w:rsidRPr="00CC11D5" w:rsidRDefault="003858EE" w:rsidP="00723888">
            <w:pPr>
              <w:jc w:val="center"/>
              <w:rPr>
                <w:rFonts w:ascii="Garamond" w:hAnsi="Garamond"/>
                <w:b w:val="0"/>
                <w:sz w:val="12"/>
                <w:szCs w:val="12"/>
              </w:rPr>
            </w:pPr>
            <w:r w:rsidRPr="00CC11D5">
              <w:rPr>
                <w:rFonts w:ascii="Garamond" w:hAnsi="Garamond"/>
                <w:b w:val="0"/>
                <w:sz w:val="12"/>
                <w:szCs w:val="12"/>
              </w:rPr>
              <w:t xml:space="preserve">Masa 1.2.6 Harmonizim i plotë i legjislacionit vendas me </w:t>
            </w:r>
            <w:r w:rsidRPr="00CC11D5">
              <w:rPr>
                <w:rFonts w:ascii="Garamond" w:hAnsi="Garamond"/>
                <w:b w:val="0"/>
                <w:i/>
                <w:sz w:val="12"/>
                <w:szCs w:val="12"/>
              </w:rPr>
              <w:t>acquis</w:t>
            </w:r>
            <w:r w:rsidRPr="00CC11D5">
              <w:rPr>
                <w:rFonts w:ascii="Garamond" w:hAnsi="Garamond"/>
                <w:b w:val="0"/>
                <w:sz w:val="12"/>
                <w:szCs w:val="12"/>
              </w:rPr>
              <w:t xml:space="preserve"> të BE-së në fushën e tatimeve direkte</w:t>
            </w:r>
          </w:p>
        </w:tc>
        <w:tc>
          <w:tcPr>
            <w:tcW w:w="2246" w:type="dxa"/>
            <w:vAlign w:val="center"/>
          </w:tcPr>
          <w:p w14:paraId="4CE1436E" w14:textId="0862BB3E"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Aktiviteti 1.2.6.1</w:t>
            </w:r>
            <w:r w:rsidR="00A72159" w:rsidRPr="00CC11D5">
              <w:rPr>
                <w:rFonts w:ascii="Garamond" w:hAnsi="Garamond"/>
                <w:sz w:val="12"/>
                <w:szCs w:val="12"/>
              </w:rPr>
              <w:t>:</w:t>
            </w:r>
            <w:r w:rsidRPr="00CC11D5">
              <w:rPr>
                <w:rFonts w:ascii="Garamond" w:hAnsi="Garamond"/>
                <w:sz w:val="12"/>
                <w:szCs w:val="12"/>
              </w:rPr>
              <w:t xml:space="preserve"> Puna përgatitore për transpozim të plotë me </w:t>
            </w:r>
            <w:r w:rsidRPr="00CC11D5">
              <w:rPr>
                <w:rFonts w:ascii="Garamond" w:hAnsi="Garamond"/>
                <w:i/>
                <w:sz w:val="12"/>
                <w:szCs w:val="12"/>
              </w:rPr>
              <w:t>acquis</w:t>
            </w:r>
            <w:r w:rsidRPr="00CC11D5">
              <w:rPr>
                <w:rFonts w:ascii="Garamond" w:hAnsi="Garamond"/>
                <w:sz w:val="12"/>
                <w:szCs w:val="12"/>
              </w:rPr>
              <w:t xml:space="preserve"> të BE-së në tatimet direkte</w:t>
            </w:r>
          </w:p>
          <w:p w14:paraId="78E4A873" w14:textId="4EB5DF83"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Aktiviteti</w:t>
            </w:r>
            <w:r w:rsidR="00D737A4" w:rsidRPr="00CC11D5">
              <w:rPr>
                <w:rFonts w:ascii="Garamond" w:hAnsi="Garamond"/>
                <w:sz w:val="12"/>
                <w:szCs w:val="12"/>
              </w:rPr>
              <w:t xml:space="preserve"> </w:t>
            </w:r>
            <w:r w:rsidRPr="00CC11D5">
              <w:rPr>
                <w:rFonts w:ascii="Garamond" w:hAnsi="Garamond"/>
                <w:sz w:val="12"/>
                <w:szCs w:val="12"/>
              </w:rPr>
              <w:t>1.2.6.2</w:t>
            </w:r>
            <w:r w:rsidR="00A72159" w:rsidRPr="00CC11D5">
              <w:rPr>
                <w:rFonts w:ascii="Garamond" w:hAnsi="Garamond"/>
                <w:sz w:val="12"/>
                <w:szCs w:val="12"/>
              </w:rPr>
              <w:t>:</w:t>
            </w:r>
            <w:r w:rsidRPr="00CC11D5">
              <w:rPr>
                <w:rFonts w:ascii="Garamond" w:hAnsi="Garamond"/>
                <w:sz w:val="12"/>
                <w:szCs w:val="12"/>
              </w:rPr>
              <w:t xml:space="preserve"> Hartimi dhe miratimi i aktit ligjor për transpozimin e plotë të legjislacionit të brendshëm me </w:t>
            </w:r>
            <w:r w:rsidRPr="00CC11D5">
              <w:rPr>
                <w:rFonts w:ascii="Garamond" w:hAnsi="Garamond"/>
                <w:i/>
                <w:sz w:val="12"/>
                <w:szCs w:val="12"/>
              </w:rPr>
              <w:t>acquis</w:t>
            </w:r>
            <w:r w:rsidRPr="00CC11D5">
              <w:rPr>
                <w:rFonts w:ascii="Garamond" w:hAnsi="Garamond"/>
                <w:sz w:val="12"/>
                <w:szCs w:val="12"/>
              </w:rPr>
              <w:t xml:space="preserve"> të BE-së sipas </w:t>
            </w:r>
            <w:r w:rsidR="00D737A4" w:rsidRPr="00CC11D5">
              <w:rPr>
                <w:rFonts w:ascii="Garamond" w:hAnsi="Garamond"/>
                <w:sz w:val="12"/>
                <w:szCs w:val="12"/>
              </w:rPr>
              <w:t>k</w:t>
            </w:r>
            <w:r w:rsidRPr="00CC11D5">
              <w:rPr>
                <w:rFonts w:ascii="Garamond" w:hAnsi="Garamond"/>
                <w:sz w:val="12"/>
                <w:szCs w:val="12"/>
              </w:rPr>
              <w:t>apitullit 16</w:t>
            </w:r>
          </w:p>
        </w:tc>
        <w:tc>
          <w:tcPr>
            <w:tcW w:w="1376" w:type="dxa"/>
            <w:vAlign w:val="center"/>
          </w:tcPr>
          <w:p w14:paraId="771F4DA4"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2024</w:t>
            </w:r>
          </w:p>
          <w:p w14:paraId="06F2952D"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235197EC"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0C3DF189"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3F67BC1B"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09A83F83" w14:textId="704AAD22"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Korrik</w:t>
            </w:r>
            <w:r w:rsidR="00D22EA5" w:rsidRPr="00CC11D5">
              <w:rPr>
                <w:rFonts w:ascii="Garamond" w:hAnsi="Garamond"/>
                <w:sz w:val="12"/>
                <w:szCs w:val="12"/>
              </w:rPr>
              <w:t>,</w:t>
            </w:r>
            <w:r w:rsidRPr="00CC11D5">
              <w:rPr>
                <w:rFonts w:ascii="Garamond" w:hAnsi="Garamond"/>
                <w:sz w:val="12"/>
                <w:szCs w:val="12"/>
              </w:rPr>
              <w:t xml:space="preserve"> 2025</w:t>
            </w:r>
          </w:p>
        </w:tc>
        <w:tc>
          <w:tcPr>
            <w:tcW w:w="1781" w:type="dxa"/>
            <w:vAlign w:val="center"/>
          </w:tcPr>
          <w:p w14:paraId="1699470E"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Qershor 2025</w:t>
            </w:r>
          </w:p>
          <w:p w14:paraId="11479BFC"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0337D95C"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109A447D"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09422D62"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4AD3B509"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Dhjetor 2026</w:t>
            </w:r>
          </w:p>
        </w:tc>
        <w:tc>
          <w:tcPr>
            <w:tcW w:w="1598" w:type="dxa"/>
            <w:vAlign w:val="center"/>
          </w:tcPr>
          <w:p w14:paraId="36D4E918"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CC11D5">
              <w:rPr>
                <w:rFonts w:ascii="Garamond" w:hAnsi="Garamond"/>
                <w:bCs/>
                <w:sz w:val="12"/>
                <w:szCs w:val="12"/>
              </w:rPr>
              <w:t>MF me asistencën e TAIEX</w:t>
            </w:r>
          </w:p>
        </w:tc>
      </w:tr>
      <w:tr w:rsidR="00723888" w:rsidRPr="00CC11D5" w14:paraId="52B74921" w14:textId="77777777" w:rsidTr="00723888">
        <w:trPr>
          <w:trHeight w:val="20"/>
        </w:trPr>
        <w:tc>
          <w:tcPr>
            <w:cnfStyle w:val="001000000000" w:firstRow="0" w:lastRow="0" w:firstColumn="1" w:lastColumn="0" w:oddVBand="0" w:evenVBand="0" w:oddHBand="0" w:evenHBand="0" w:firstRowFirstColumn="0" w:firstRowLastColumn="0" w:lastRowFirstColumn="0" w:lastRowLastColumn="0"/>
            <w:tcW w:w="2015" w:type="dxa"/>
            <w:vAlign w:val="center"/>
          </w:tcPr>
          <w:p w14:paraId="75B614EE" w14:textId="3357FFF8" w:rsidR="003858EE" w:rsidRPr="00CC11D5" w:rsidRDefault="003858EE" w:rsidP="00723888">
            <w:pPr>
              <w:jc w:val="center"/>
              <w:rPr>
                <w:rFonts w:ascii="Garamond" w:hAnsi="Garamond"/>
                <w:b w:val="0"/>
                <w:sz w:val="12"/>
                <w:szCs w:val="12"/>
              </w:rPr>
            </w:pPr>
            <w:r w:rsidRPr="00CC11D5">
              <w:rPr>
                <w:rFonts w:ascii="Garamond" w:hAnsi="Garamond"/>
                <w:b w:val="0"/>
                <w:sz w:val="12"/>
                <w:szCs w:val="12"/>
              </w:rPr>
              <w:t>Masa 1.2.7 Rishikimi i përjashtimeve nga taksat dhe tarifat kombëtare, duke përfshirë taksat mjedisore</w:t>
            </w:r>
          </w:p>
        </w:tc>
        <w:tc>
          <w:tcPr>
            <w:tcW w:w="2246" w:type="dxa"/>
            <w:vAlign w:val="center"/>
          </w:tcPr>
          <w:p w14:paraId="0C627DA5" w14:textId="0F4B65AA" w:rsidR="00D737A4"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Aktiviteti 1.2.7.1</w:t>
            </w:r>
            <w:r w:rsidR="00A72159" w:rsidRPr="00CC11D5">
              <w:rPr>
                <w:rFonts w:ascii="Garamond" w:hAnsi="Garamond"/>
                <w:sz w:val="12"/>
                <w:szCs w:val="12"/>
              </w:rPr>
              <w:t>:</w:t>
            </w:r>
            <w:r w:rsidRPr="00CC11D5">
              <w:rPr>
                <w:rFonts w:ascii="Garamond" w:hAnsi="Garamond"/>
                <w:sz w:val="12"/>
                <w:szCs w:val="12"/>
              </w:rPr>
              <w:t xml:space="preserve"> Rishikimi i përjashtimeve nga taksat dhe tarifat kombëtare</w:t>
            </w:r>
          </w:p>
          <w:p w14:paraId="654DD257" w14:textId="5A87EABF"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Aktiviteti 1.2.7.2</w:t>
            </w:r>
            <w:r w:rsidR="00A72159" w:rsidRPr="00CC11D5">
              <w:rPr>
                <w:rFonts w:ascii="Garamond" w:hAnsi="Garamond"/>
                <w:sz w:val="12"/>
                <w:szCs w:val="12"/>
              </w:rPr>
              <w:t>:</w:t>
            </w:r>
            <w:r w:rsidRPr="00CC11D5">
              <w:rPr>
                <w:rFonts w:ascii="Garamond" w:hAnsi="Garamond"/>
                <w:sz w:val="12"/>
                <w:szCs w:val="12"/>
              </w:rPr>
              <w:t xml:space="preserve"> Analiza e taksave mjedisore</w:t>
            </w:r>
          </w:p>
        </w:tc>
        <w:tc>
          <w:tcPr>
            <w:tcW w:w="1376" w:type="dxa"/>
            <w:vAlign w:val="center"/>
          </w:tcPr>
          <w:p w14:paraId="758B3263"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7818F78C"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70DDB22A"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2024</w:t>
            </w:r>
          </w:p>
        </w:tc>
        <w:tc>
          <w:tcPr>
            <w:tcW w:w="1781" w:type="dxa"/>
            <w:vAlign w:val="center"/>
          </w:tcPr>
          <w:p w14:paraId="0408DC4A"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Qershor 2025</w:t>
            </w:r>
          </w:p>
        </w:tc>
        <w:tc>
          <w:tcPr>
            <w:tcW w:w="1598" w:type="dxa"/>
            <w:vAlign w:val="center"/>
          </w:tcPr>
          <w:p w14:paraId="62F7AD11"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CC11D5">
              <w:rPr>
                <w:rFonts w:ascii="Garamond" w:hAnsi="Garamond"/>
                <w:bCs/>
                <w:sz w:val="12"/>
                <w:szCs w:val="12"/>
              </w:rPr>
              <w:t>MF, DPT dhe DPD</w:t>
            </w:r>
          </w:p>
        </w:tc>
      </w:tr>
      <w:tr w:rsidR="00723888" w:rsidRPr="00CC11D5" w14:paraId="77F6843A" w14:textId="77777777" w:rsidTr="00723888">
        <w:trPr>
          <w:trHeight w:val="20"/>
        </w:trPr>
        <w:tc>
          <w:tcPr>
            <w:cnfStyle w:val="001000000000" w:firstRow="0" w:lastRow="0" w:firstColumn="1" w:lastColumn="0" w:oddVBand="0" w:evenVBand="0" w:oddHBand="0" w:evenHBand="0" w:firstRowFirstColumn="0" w:firstRowLastColumn="0" w:lastRowFirstColumn="0" w:lastRowLastColumn="0"/>
            <w:tcW w:w="2015" w:type="dxa"/>
            <w:vAlign w:val="center"/>
          </w:tcPr>
          <w:p w14:paraId="5C7D5CAA" w14:textId="2632DB5A" w:rsidR="003858EE" w:rsidRPr="00CC11D5" w:rsidRDefault="003858EE" w:rsidP="00723888">
            <w:pPr>
              <w:jc w:val="center"/>
              <w:rPr>
                <w:rFonts w:ascii="Garamond" w:hAnsi="Garamond"/>
                <w:b w:val="0"/>
                <w:bCs w:val="0"/>
                <w:sz w:val="12"/>
                <w:szCs w:val="12"/>
              </w:rPr>
            </w:pPr>
            <w:r w:rsidRPr="00CC11D5">
              <w:rPr>
                <w:rFonts w:ascii="Garamond" w:hAnsi="Garamond"/>
                <w:b w:val="0"/>
                <w:bCs w:val="0"/>
                <w:sz w:val="12"/>
                <w:szCs w:val="12"/>
              </w:rPr>
              <w:t>Masa 1.2.8 Hartimi i aktit ligjor bazuar në analizën e taksave kombëtare, duke përfshirë taksat mjedisore</w:t>
            </w:r>
          </w:p>
        </w:tc>
        <w:tc>
          <w:tcPr>
            <w:tcW w:w="2246" w:type="dxa"/>
            <w:vAlign w:val="center"/>
          </w:tcPr>
          <w:p w14:paraId="5058D241" w14:textId="2B457FDF"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Aktiviteti 1.2.8.1</w:t>
            </w:r>
            <w:r w:rsidR="00A72159" w:rsidRPr="00CC11D5">
              <w:rPr>
                <w:rFonts w:ascii="Garamond" w:hAnsi="Garamond"/>
                <w:sz w:val="12"/>
                <w:szCs w:val="12"/>
              </w:rPr>
              <w:t>:</w:t>
            </w:r>
            <w:r w:rsidRPr="00CC11D5">
              <w:rPr>
                <w:rFonts w:ascii="Garamond" w:hAnsi="Garamond"/>
                <w:sz w:val="12"/>
                <w:szCs w:val="12"/>
              </w:rPr>
              <w:t xml:space="preserve"> Përgatitja e ndryshimeve në ligjin për taksat kombëtare bazuar në raportin e vlerësimit</w:t>
            </w:r>
          </w:p>
        </w:tc>
        <w:tc>
          <w:tcPr>
            <w:tcW w:w="1376" w:type="dxa"/>
            <w:vAlign w:val="center"/>
          </w:tcPr>
          <w:p w14:paraId="7A86E20C" w14:textId="7BE0F4FF"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Qershor</w:t>
            </w:r>
            <w:r w:rsidR="00D22EA5" w:rsidRPr="00CC11D5">
              <w:rPr>
                <w:rFonts w:ascii="Garamond" w:hAnsi="Garamond"/>
                <w:sz w:val="12"/>
                <w:szCs w:val="12"/>
              </w:rPr>
              <w:t>,</w:t>
            </w:r>
            <w:r w:rsidRPr="00CC11D5">
              <w:rPr>
                <w:rFonts w:ascii="Garamond" w:hAnsi="Garamond"/>
                <w:sz w:val="12"/>
                <w:szCs w:val="12"/>
              </w:rPr>
              <w:t xml:space="preserve"> 2025</w:t>
            </w:r>
          </w:p>
        </w:tc>
        <w:tc>
          <w:tcPr>
            <w:tcW w:w="1781" w:type="dxa"/>
            <w:vAlign w:val="center"/>
          </w:tcPr>
          <w:p w14:paraId="239AEFC8"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Dhjetor 2025</w:t>
            </w:r>
          </w:p>
        </w:tc>
        <w:tc>
          <w:tcPr>
            <w:tcW w:w="1598" w:type="dxa"/>
            <w:vAlign w:val="center"/>
          </w:tcPr>
          <w:p w14:paraId="09ED843B" w14:textId="77777777" w:rsidR="003858EE" w:rsidRPr="00CC11D5" w:rsidRDefault="003858EE" w:rsidP="00723888">
            <w:pPr>
              <w:jc w:val="cente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CC11D5">
              <w:rPr>
                <w:rFonts w:ascii="Garamond" w:hAnsi="Garamond"/>
                <w:bCs/>
                <w:sz w:val="12"/>
                <w:szCs w:val="12"/>
              </w:rPr>
              <w:t>MF</w:t>
            </w:r>
          </w:p>
        </w:tc>
      </w:tr>
    </w:tbl>
    <w:p w14:paraId="473B9922" w14:textId="77777777" w:rsidR="00723888" w:rsidRPr="00830F4C" w:rsidRDefault="00723888" w:rsidP="00723888">
      <w:pPr>
        <w:jc w:val="both"/>
        <w:rPr>
          <w:rFonts w:ascii="Garamond" w:hAnsi="Garamond"/>
          <w:b/>
        </w:rPr>
      </w:pPr>
    </w:p>
    <w:p w14:paraId="546E9520" w14:textId="77777777" w:rsidR="003858EE" w:rsidRPr="00830F4C" w:rsidRDefault="003858EE" w:rsidP="00723888">
      <w:pPr>
        <w:jc w:val="both"/>
        <w:rPr>
          <w:rFonts w:ascii="Garamond" w:hAnsi="Garamond"/>
          <w:b/>
        </w:rPr>
      </w:pPr>
      <w:r w:rsidRPr="00830F4C">
        <w:rPr>
          <w:rFonts w:ascii="Garamond" w:hAnsi="Garamond"/>
          <w:b/>
        </w:rPr>
        <w:t>Treguesit e performancës dhe vlerat e synuara</w:t>
      </w:r>
    </w:p>
    <w:tbl>
      <w:tblPr>
        <w:tblStyle w:val="TableGrid"/>
        <w:tblW w:w="8905" w:type="dxa"/>
        <w:tblLook w:val="04A0" w:firstRow="1" w:lastRow="0" w:firstColumn="1" w:lastColumn="0" w:noHBand="0" w:noVBand="1"/>
      </w:tblPr>
      <w:tblGrid>
        <w:gridCol w:w="1783"/>
        <w:gridCol w:w="1745"/>
        <w:gridCol w:w="1547"/>
        <w:gridCol w:w="1211"/>
        <w:gridCol w:w="1177"/>
        <w:gridCol w:w="1442"/>
      </w:tblGrid>
      <w:tr w:rsidR="00723888" w:rsidRPr="00CC11D5" w14:paraId="6E71DF55" w14:textId="77777777" w:rsidTr="00723888">
        <w:trPr>
          <w:trHeight w:val="20"/>
        </w:trPr>
        <w:tc>
          <w:tcPr>
            <w:tcW w:w="1783" w:type="dxa"/>
            <w:vMerge w:val="restart"/>
            <w:vAlign w:val="center"/>
          </w:tcPr>
          <w:p w14:paraId="315BDC6B" w14:textId="77777777" w:rsidR="003858EE" w:rsidRPr="00CC11D5" w:rsidRDefault="003858EE" w:rsidP="00723888">
            <w:pPr>
              <w:jc w:val="center"/>
              <w:rPr>
                <w:rFonts w:ascii="Garamond" w:hAnsi="Garamond"/>
                <w:b/>
                <w:sz w:val="12"/>
                <w:szCs w:val="12"/>
              </w:rPr>
            </w:pPr>
            <w:r w:rsidRPr="00CC11D5">
              <w:rPr>
                <w:rFonts w:ascii="Garamond" w:hAnsi="Garamond"/>
                <w:b/>
                <w:sz w:val="12"/>
                <w:szCs w:val="12"/>
              </w:rPr>
              <w:t>Treguesi</w:t>
            </w:r>
          </w:p>
        </w:tc>
        <w:tc>
          <w:tcPr>
            <w:tcW w:w="1745" w:type="dxa"/>
            <w:vMerge w:val="restart"/>
            <w:vAlign w:val="center"/>
          </w:tcPr>
          <w:p w14:paraId="2C23CF03" w14:textId="46BDFC5C" w:rsidR="003858EE" w:rsidRPr="00CC11D5" w:rsidRDefault="003858EE" w:rsidP="00723888">
            <w:pPr>
              <w:jc w:val="center"/>
              <w:rPr>
                <w:rFonts w:ascii="Garamond" w:hAnsi="Garamond"/>
                <w:b/>
                <w:sz w:val="12"/>
                <w:szCs w:val="12"/>
              </w:rPr>
            </w:pPr>
            <w:r w:rsidRPr="00CC11D5">
              <w:rPr>
                <w:rFonts w:ascii="Garamond" w:hAnsi="Garamond"/>
                <w:b/>
                <w:sz w:val="12"/>
                <w:szCs w:val="12"/>
              </w:rPr>
              <w:t xml:space="preserve">Vlera </w:t>
            </w:r>
            <w:r w:rsidR="00D737A4" w:rsidRPr="00CC11D5">
              <w:rPr>
                <w:rFonts w:ascii="Garamond" w:hAnsi="Garamond"/>
                <w:b/>
                <w:sz w:val="12"/>
                <w:szCs w:val="12"/>
              </w:rPr>
              <w:t>b</w:t>
            </w:r>
            <w:r w:rsidRPr="00CC11D5">
              <w:rPr>
                <w:rFonts w:ascii="Garamond" w:hAnsi="Garamond"/>
                <w:b/>
                <w:sz w:val="12"/>
                <w:szCs w:val="12"/>
              </w:rPr>
              <w:t>azë (viti)</w:t>
            </w:r>
          </w:p>
        </w:tc>
        <w:tc>
          <w:tcPr>
            <w:tcW w:w="5377" w:type="dxa"/>
            <w:gridSpan w:val="4"/>
            <w:vAlign w:val="center"/>
          </w:tcPr>
          <w:p w14:paraId="74C96D45" w14:textId="77777777" w:rsidR="003858EE" w:rsidRPr="00CC11D5" w:rsidRDefault="003858EE" w:rsidP="00723888">
            <w:pPr>
              <w:jc w:val="center"/>
              <w:rPr>
                <w:rFonts w:ascii="Garamond" w:hAnsi="Garamond"/>
                <w:b/>
                <w:sz w:val="12"/>
                <w:szCs w:val="12"/>
              </w:rPr>
            </w:pPr>
            <w:r w:rsidRPr="00CC11D5">
              <w:rPr>
                <w:rFonts w:ascii="Garamond" w:hAnsi="Garamond"/>
                <w:b/>
                <w:sz w:val="12"/>
                <w:szCs w:val="12"/>
              </w:rPr>
              <w:t>Vlera e synuar</w:t>
            </w:r>
          </w:p>
        </w:tc>
      </w:tr>
      <w:tr w:rsidR="00723888" w:rsidRPr="00CC11D5" w14:paraId="41928881" w14:textId="77777777" w:rsidTr="00723888">
        <w:trPr>
          <w:trHeight w:val="20"/>
        </w:trPr>
        <w:tc>
          <w:tcPr>
            <w:tcW w:w="1783" w:type="dxa"/>
            <w:vMerge/>
            <w:vAlign w:val="center"/>
          </w:tcPr>
          <w:p w14:paraId="2191B60B" w14:textId="77777777" w:rsidR="003858EE" w:rsidRPr="00CC11D5" w:rsidRDefault="003858EE" w:rsidP="00723888">
            <w:pPr>
              <w:jc w:val="center"/>
              <w:rPr>
                <w:rFonts w:ascii="Garamond" w:hAnsi="Garamond"/>
                <w:b/>
                <w:sz w:val="12"/>
                <w:szCs w:val="12"/>
              </w:rPr>
            </w:pPr>
          </w:p>
        </w:tc>
        <w:tc>
          <w:tcPr>
            <w:tcW w:w="1745" w:type="dxa"/>
            <w:vMerge/>
            <w:vAlign w:val="center"/>
          </w:tcPr>
          <w:p w14:paraId="6E0188B4" w14:textId="77777777" w:rsidR="003858EE" w:rsidRPr="00CC11D5" w:rsidRDefault="003858EE" w:rsidP="00723888">
            <w:pPr>
              <w:jc w:val="center"/>
              <w:rPr>
                <w:rFonts w:ascii="Garamond" w:hAnsi="Garamond"/>
                <w:b/>
                <w:sz w:val="12"/>
                <w:szCs w:val="12"/>
              </w:rPr>
            </w:pPr>
          </w:p>
        </w:tc>
        <w:tc>
          <w:tcPr>
            <w:tcW w:w="1547" w:type="dxa"/>
            <w:vAlign w:val="center"/>
          </w:tcPr>
          <w:p w14:paraId="4BE650E2" w14:textId="77777777" w:rsidR="003858EE" w:rsidRPr="00CC11D5" w:rsidRDefault="003858EE" w:rsidP="00723888">
            <w:pPr>
              <w:jc w:val="center"/>
              <w:rPr>
                <w:rFonts w:ascii="Garamond" w:hAnsi="Garamond"/>
                <w:b/>
                <w:sz w:val="12"/>
                <w:szCs w:val="12"/>
              </w:rPr>
            </w:pPr>
            <w:r w:rsidRPr="00CC11D5">
              <w:rPr>
                <w:rFonts w:ascii="Garamond" w:hAnsi="Garamond"/>
                <w:b/>
                <w:sz w:val="12"/>
                <w:szCs w:val="12"/>
              </w:rPr>
              <w:t>2024</w:t>
            </w:r>
          </w:p>
        </w:tc>
        <w:tc>
          <w:tcPr>
            <w:tcW w:w="1211" w:type="dxa"/>
            <w:vAlign w:val="center"/>
          </w:tcPr>
          <w:p w14:paraId="5DB9D2BB" w14:textId="77777777" w:rsidR="003858EE" w:rsidRPr="00CC11D5" w:rsidRDefault="003858EE" w:rsidP="00723888">
            <w:pPr>
              <w:jc w:val="center"/>
              <w:rPr>
                <w:rFonts w:ascii="Garamond" w:hAnsi="Garamond"/>
                <w:b/>
                <w:sz w:val="12"/>
                <w:szCs w:val="12"/>
              </w:rPr>
            </w:pPr>
            <w:r w:rsidRPr="00CC11D5">
              <w:rPr>
                <w:rFonts w:ascii="Garamond" w:hAnsi="Garamond"/>
                <w:b/>
                <w:sz w:val="12"/>
                <w:szCs w:val="12"/>
              </w:rPr>
              <w:t>2025</w:t>
            </w:r>
          </w:p>
        </w:tc>
        <w:tc>
          <w:tcPr>
            <w:tcW w:w="1177" w:type="dxa"/>
            <w:vAlign w:val="center"/>
          </w:tcPr>
          <w:p w14:paraId="3CD6279A" w14:textId="77777777" w:rsidR="003858EE" w:rsidRPr="00CC11D5" w:rsidRDefault="003858EE" w:rsidP="00723888">
            <w:pPr>
              <w:jc w:val="center"/>
              <w:rPr>
                <w:rFonts w:ascii="Garamond" w:hAnsi="Garamond"/>
                <w:b/>
                <w:sz w:val="12"/>
                <w:szCs w:val="12"/>
              </w:rPr>
            </w:pPr>
            <w:r w:rsidRPr="00CC11D5">
              <w:rPr>
                <w:rFonts w:ascii="Garamond" w:hAnsi="Garamond"/>
                <w:b/>
                <w:sz w:val="12"/>
                <w:szCs w:val="12"/>
              </w:rPr>
              <w:t>2026</w:t>
            </w:r>
          </w:p>
        </w:tc>
        <w:tc>
          <w:tcPr>
            <w:tcW w:w="1442" w:type="dxa"/>
            <w:vAlign w:val="center"/>
          </w:tcPr>
          <w:p w14:paraId="7EBA0659" w14:textId="77777777" w:rsidR="003858EE" w:rsidRPr="00CC11D5" w:rsidRDefault="003858EE" w:rsidP="00723888">
            <w:pPr>
              <w:jc w:val="center"/>
              <w:rPr>
                <w:rFonts w:ascii="Garamond" w:hAnsi="Garamond"/>
                <w:b/>
                <w:sz w:val="12"/>
                <w:szCs w:val="12"/>
              </w:rPr>
            </w:pPr>
            <w:r w:rsidRPr="00CC11D5">
              <w:rPr>
                <w:rFonts w:ascii="Garamond" w:hAnsi="Garamond"/>
                <w:b/>
                <w:sz w:val="12"/>
                <w:szCs w:val="12"/>
              </w:rPr>
              <w:t>2027</w:t>
            </w:r>
          </w:p>
        </w:tc>
      </w:tr>
      <w:tr w:rsidR="00723888" w:rsidRPr="00CC11D5" w14:paraId="319A2092" w14:textId="77777777" w:rsidTr="00723888">
        <w:trPr>
          <w:trHeight w:val="20"/>
        </w:trPr>
        <w:tc>
          <w:tcPr>
            <w:tcW w:w="1783" w:type="dxa"/>
            <w:vAlign w:val="center"/>
          </w:tcPr>
          <w:p w14:paraId="2D8BA697" w14:textId="24E95652" w:rsidR="003858EE" w:rsidRPr="00CC11D5" w:rsidRDefault="003858EE" w:rsidP="00723888">
            <w:pPr>
              <w:jc w:val="center"/>
              <w:rPr>
                <w:rFonts w:ascii="Garamond" w:hAnsi="Garamond"/>
                <w:sz w:val="12"/>
                <w:szCs w:val="12"/>
              </w:rPr>
            </w:pPr>
            <w:r w:rsidRPr="00CC11D5">
              <w:rPr>
                <w:rFonts w:ascii="Garamond" w:hAnsi="Garamond"/>
                <w:sz w:val="12"/>
                <w:szCs w:val="12"/>
              </w:rPr>
              <w:t>Raport mbi analizimin e skemës së tatimit të personave fizikë</w:t>
            </w:r>
          </w:p>
        </w:tc>
        <w:tc>
          <w:tcPr>
            <w:tcW w:w="1745" w:type="dxa"/>
            <w:vAlign w:val="center"/>
          </w:tcPr>
          <w:p w14:paraId="6182ADA5" w14:textId="77777777" w:rsidR="003858EE" w:rsidRPr="00CC11D5" w:rsidRDefault="003858EE" w:rsidP="00723888">
            <w:pPr>
              <w:jc w:val="center"/>
              <w:rPr>
                <w:rFonts w:ascii="Garamond" w:hAnsi="Garamond"/>
                <w:b/>
                <w:sz w:val="12"/>
                <w:szCs w:val="12"/>
              </w:rPr>
            </w:pPr>
          </w:p>
        </w:tc>
        <w:tc>
          <w:tcPr>
            <w:tcW w:w="1547" w:type="dxa"/>
            <w:vAlign w:val="center"/>
          </w:tcPr>
          <w:p w14:paraId="6D4C7505" w14:textId="77777777" w:rsidR="003858EE" w:rsidRPr="00CC11D5" w:rsidRDefault="003858EE" w:rsidP="00723888">
            <w:pPr>
              <w:jc w:val="center"/>
              <w:rPr>
                <w:rFonts w:ascii="Garamond" w:hAnsi="Garamond"/>
                <w:sz w:val="12"/>
                <w:szCs w:val="12"/>
              </w:rPr>
            </w:pPr>
          </w:p>
        </w:tc>
        <w:tc>
          <w:tcPr>
            <w:tcW w:w="1211" w:type="dxa"/>
            <w:vAlign w:val="center"/>
          </w:tcPr>
          <w:p w14:paraId="2932381B" w14:textId="147979B6" w:rsidR="003858EE" w:rsidRPr="00CC11D5" w:rsidRDefault="003858EE" w:rsidP="00723888">
            <w:pPr>
              <w:jc w:val="center"/>
              <w:rPr>
                <w:rFonts w:ascii="Garamond" w:hAnsi="Garamond"/>
                <w:bCs/>
                <w:sz w:val="12"/>
                <w:szCs w:val="12"/>
              </w:rPr>
            </w:pPr>
            <w:r w:rsidRPr="00CC11D5">
              <w:rPr>
                <w:rFonts w:ascii="Garamond" w:hAnsi="Garamond"/>
                <w:bCs/>
                <w:sz w:val="12"/>
                <w:szCs w:val="12"/>
              </w:rPr>
              <w:t xml:space="preserve">Hartimi i </w:t>
            </w:r>
            <w:r w:rsidR="00D737A4" w:rsidRPr="00CC11D5">
              <w:rPr>
                <w:rFonts w:ascii="Garamond" w:hAnsi="Garamond"/>
                <w:bCs/>
                <w:sz w:val="12"/>
                <w:szCs w:val="12"/>
              </w:rPr>
              <w:t>r</w:t>
            </w:r>
            <w:r w:rsidRPr="00CC11D5">
              <w:rPr>
                <w:rFonts w:ascii="Garamond" w:hAnsi="Garamond"/>
                <w:bCs/>
                <w:sz w:val="12"/>
                <w:szCs w:val="12"/>
              </w:rPr>
              <w:t>aportit</w:t>
            </w:r>
          </w:p>
        </w:tc>
        <w:tc>
          <w:tcPr>
            <w:tcW w:w="1177" w:type="dxa"/>
            <w:vAlign w:val="center"/>
          </w:tcPr>
          <w:p w14:paraId="069F1DE2" w14:textId="77777777" w:rsidR="003858EE" w:rsidRPr="00CC11D5" w:rsidRDefault="003858EE" w:rsidP="00723888">
            <w:pPr>
              <w:jc w:val="center"/>
              <w:rPr>
                <w:rFonts w:ascii="Garamond" w:hAnsi="Garamond"/>
                <w:bCs/>
                <w:sz w:val="12"/>
                <w:szCs w:val="12"/>
              </w:rPr>
            </w:pPr>
          </w:p>
        </w:tc>
        <w:tc>
          <w:tcPr>
            <w:tcW w:w="1442" w:type="dxa"/>
            <w:vAlign w:val="center"/>
          </w:tcPr>
          <w:p w14:paraId="214A11D0" w14:textId="77777777" w:rsidR="003858EE" w:rsidRPr="00CC11D5" w:rsidRDefault="003858EE" w:rsidP="00723888">
            <w:pPr>
              <w:jc w:val="center"/>
              <w:rPr>
                <w:rFonts w:ascii="Garamond" w:hAnsi="Garamond"/>
                <w:bCs/>
                <w:sz w:val="12"/>
                <w:szCs w:val="12"/>
              </w:rPr>
            </w:pPr>
          </w:p>
        </w:tc>
      </w:tr>
      <w:tr w:rsidR="00723888" w:rsidRPr="00CC11D5" w14:paraId="63AD442E" w14:textId="77777777" w:rsidTr="00723888">
        <w:trPr>
          <w:trHeight w:val="20"/>
        </w:trPr>
        <w:tc>
          <w:tcPr>
            <w:tcW w:w="1783" w:type="dxa"/>
            <w:vAlign w:val="center"/>
          </w:tcPr>
          <w:p w14:paraId="00E049E0" w14:textId="58894357" w:rsidR="003858EE" w:rsidRPr="00CC11D5" w:rsidRDefault="003858EE" w:rsidP="00723888">
            <w:pPr>
              <w:jc w:val="center"/>
              <w:rPr>
                <w:rFonts w:ascii="Garamond" w:hAnsi="Garamond"/>
                <w:sz w:val="12"/>
                <w:szCs w:val="12"/>
              </w:rPr>
            </w:pPr>
            <w:r w:rsidRPr="00CC11D5">
              <w:rPr>
                <w:rFonts w:ascii="Garamond" w:hAnsi="Garamond"/>
                <w:sz w:val="12"/>
                <w:szCs w:val="12"/>
              </w:rPr>
              <w:t>Raport mbi analizën dhe rishikimin e tarifave të reduktuara dhe përjashtimeve</w:t>
            </w:r>
          </w:p>
        </w:tc>
        <w:tc>
          <w:tcPr>
            <w:tcW w:w="1745" w:type="dxa"/>
            <w:vAlign w:val="center"/>
          </w:tcPr>
          <w:p w14:paraId="377EB8C5" w14:textId="77777777" w:rsidR="003858EE" w:rsidRPr="00CC11D5" w:rsidRDefault="003858EE" w:rsidP="00723888">
            <w:pPr>
              <w:jc w:val="center"/>
              <w:rPr>
                <w:rFonts w:ascii="Garamond" w:hAnsi="Garamond"/>
                <w:b/>
                <w:sz w:val="12"/>
                <w:szCs w:val="12"/>
              </w:rPr>
            </w:pPr>
          </w:p>
        </w:tc>
        <w:tc>
          <w:tcPr>
            <w:tcW w:w="1547" w:type="dxa"/>
            <w:vAlign w:val="center"/>
          </w:tcPr>
          <w:p w14:paraId="13831F5C" w14:textId="77777777" w:rsidR="003858EE" w:rsidRPr="00CC11D5" w:rsidRDefault="003858EE" w:rsidP="00723888">
            <w:pPr>
              <w:jc w:val="center"/>
              <w:rPr>
                <w:rFonts w:ascii="Garamond" w:hAnsi="Garamond"/>
                <w:bCs/>
                <w:sz w:val="12"/>
                <w:szCs w:val="12"/>
              </w:rPr>
            </w:pPr>
          </w:p>
        </w:tc>
        <w:tc>
          <w:tcPr>
            <w:tcW w:w="1211" w:type="dxa"/>
            <w:vAlign w:val="center"/>
          </w:tcPr>
          <w:p w14:paraId="2856B76F" w14:textId="7239D908" w:rsidR="003858EE" w:rsidRPr="00CC11D5" w:rsidRDefault="003858EE" w:rsidP="00723888">
            <w:pPr>
              <w:jc w:val="center"/>
              <w:rPr>
                <w:rFonts w:ascii="Garamond" w:hAnsi="Garamond"/>
                <w:bCs/>
                <w:sz w:val="12"/>
                <w:szCs w:val="12"/>
              </w:rPr>
            </w:pPr>
            <w:r w:rsidRPr="00CC11D5">
              <w:rPr>
                <w:rFonts w:ascii="Garamond" w:hAnsi="Garamond"/>
                <w:bCs/>
                <w:sz w:val="12"/>
                <w:szCs w:val="12"/>
              </w:rPr>
              <w:t xml:space="preserve">Hartimi i </w:t>
            </w:r>
            <w:r w:rsidR="00D737A4" w:rsidRPr="00CC11D5">
              <w:rPr>
                <w:rFonts w:ascii="Garamond" w:hAnsi="Garamond"/>
                <w:bCs/>
                <w:sz w:val="12"/>
                <w:szCs w:val="12"/>
              </w:rPr>
              <w:t>r</w:t>
            </w:r>
            <w:r w:rsidRPr="00CC11D5">
              <w:rPr>
                <w:rFonts w:ascii="Garamond" w:hAnsi="Garamond"/>
                <w:bCs/>
                <w:sz w:val="12"/>
                <w:szCs w:val="12"/>
              </w:rPr>
              <w:t>aportit</w:t>
            </w:r>
          </w:p>
        </w:tc>
        <w:tc>
          <w:tcPr>
            <w:tcW w:w="1177" w:type="dxa"/>
            <w:vAlign w:val="center"/>
          </w:tcPr>
          <w:p w14:paraId="21C7DAD8" w14:textId="77777777" w:rsidR="003858EE" w:rsidRPr="00CC11D5" w:rsidRDefault="003858EE" w:rsidP="00723888">
            <w:pPr>
              <w:jc w:val="center"/>
              <w:rPr>
                <w:rFonts w:ascii="Garamond" w:hAnsi="Garamond"/>
                <w:bCs/>
                <w:sz w:val="12"/>
                <w:szCs w:val="12"/>
              </w:rPr>
            </w:pPr>
          </w:p>
        </w:tc>
        <w:tc>
          <w:tcPr>
            <w:tcW w:w="1442" w:type="dxa"/>
            <w:vAlign w:val="center"/>
          </w:tcPr>
          <w:p w14:paraId="0B2348D2" w14:textId="44529677" w:rsidR="003858EE" w:rsidRPr="00CC11D5" w:rsidRDefault="003858EE" w:rsidP="00723888">
            <w:pPr>
              <w:jc w:val="center"/>
              <w:rPr>
                <w:rFonts w:ascii="Garamond" w:hAnsi="Garamond"/>
                <w:bCs/>
                <w:sz w:val="12"/>
                <w:szCs w:val="12"/>
              </w:rPr>
            </w:pPr>
            <w:r w:rsidRPr="00CC11D5">
              <w:rPr>
                <w:rFonts w:ascii="Garamond" w:hAnsi="Garamond"/>
                <w:bCs/>
                <w:sz w:val="12"/>
                <w:szCs w:val="12"/>
              </w:rPr>
              <w:t>0.036% e PBB</w:t>
            </w:r>
            <w:r w:rsidR="00D22EA5" w:rsidRPr="00CC11D5">
              <w:rPr>
                <w:rFonts w:ascii="Garamond" w:hAnsi="Garamond"/>
                <w:bCs/>
                <w:sz w:val="12"/>
                <w:szCs w:val="12"/>
              </w:rPr>
              <w:t>-së</w:t>
            </w:r>
          </w:p>
        </w:tc>
      </w:tr>
      <w:tr w:rsidR="00723888" w:rsidRPr="00CC11D5" w14:paraId="4D45087A" w14:textId="77777777" w:rsidTr="00723888">
        <w:trPr>
          <w:trHeight w:val="20"/>
        </w:trPr>
        <w:tc>
          <w:tcPr>
            <w:tcW w:w="1783" w:type="dxa"/>
            <w:vAlign w:val="center"/>
          </w:tcPr>
          <w:p w14:paraId="091D72C7" w14:textId="77777777" w:rsidR="003858EE" w:rsidRPr="00CC11D5" w:rsidRDefault="003858EE" w:rsidP="00723888">
            <w:pPr>
              <w:jc w:val="center"/>
              <w:rPr>
                <w:rFonts w:ascii="Garamond" w:hAnsi="Garamond"/>
                <w:sz w:val="12"/>
                <w:szCs w:val="12"/>
              </w:rPr>
            </w:pPr>
            <w:r w:rsidRPr="00CC11D5">
              <w:rPr>
                <w:rFonts w:ascii="Garamond" w:hAnsi="Garamond"/>
                <w:sz w:val="12"/>
                <w:szCs w:val="12"/>
              </w:rPr>
              <w:t>Raporti lidhur me taksat ambientale</w:t>
            </w:r>
          </w:p>
        </w:tc>
        <w:tc>
          <w:tcPr>
            <w:tcW w:w="1745" w:type="dxa"/>
            <w:vAlign w:val="center"/>
          </w:tcPr>
          <w:p w14:paraId="49C8FC82" w14:textId="77777777" w:rsidR="003858EE" w:rsidRPr="00CC11D5" w:rsidRDefault="003858EE" w:rsidP="00723888">
            <w:pPr>
              <w:jc w:val="center"/>
              <w:rPr>
                <w:rFonts w:ascii="Garamond" w:hAnsi="Garamond"/>
                <w:b/>
                <w:sz w:val="12"/>
                <w:szCs w:val="12"/>
              </w:rPr>
            </w:pPr>
          </w:p>
        </w:tc>
        <w:tc>
          <w:tcPr>
            <w:tcW w:w="1547" w:type="dxa"/>
            <w:vAlign w:val="center"/>
          </w:tcPr>
          <w:p w14:paraId="3E8BD441" w14:textId="77777777" w:rsidR="003858EE" w:rsidRPr="00CC11D5" w:rsidRDefault="003858EE" w:rsidP="00723888">
            <w:pPr>
              <w:jc w:val="center"/>
              <w:rPr>
                <w:rFonts w:ascii="Garamond" w:hAnsi="Garamond"/>
                <w:sz w:val="12"/>
                <w:szCs w:val="12"/>
              </w:rPr>
            </w:pPr>
          </w:p>
        </w:tc>
        <w:tc>
          <w:tcPr>
            <w:tcW w:w="1211" w:type="dxa"/>
            <w:vAlign w:val="center"/>
          </w:tcPr>
          <w:p w14:paraId="155A90F7" w14:textId="557796FC" w:rsidR="003858EE" w:rsidRPr="00CC11D5" w:rsidRDefault="003858EE" w:rsidP="00723888">
            <w:pPr>
              <w:jc w:val="center"/>
              <w:rPr>
                <w:rFonts w:ascii="Garamond" w:hAnsi="Garamond"/>
                <w:bCs/>
                <w:sz w:val="12"/>
                <w:szCs w:val="12"/>
              </w:rPr>
            </w:pPr>
            <w:r w:rsidRPr="00CC11D5">
              <w:rPr>
                <w:rFonts w:ascii="Garamond" w:hAnsi="Garamond"/>
                <w:sz w:val="12"/>
                <w:szCs w:val="12"/>
              </w:rPr>
              <w:t xml:space="preserve">Hartim i </w:t>
            </w:r>
            <w:r w:rsidR="00D737A4" w:rsidRPr="00CC11D5">
              <w:rPr>
                <w:rFonts w:ascii="Garamond" w:hAnsi="Garamond"/>
                <w:sz w:val="12"/>
                <w:szCs w:val="12"/>
              </w:rPr>
              <w:t>r</w:t>
            </w:r>
            <w:r w:rsidRPr="00CC11D5">
              <w:rPr>
                <w:rFonts w:ascii="Garamond" w:hAnsi="Garamond"/>
                <w:sz w:val="12"/>
                <w:szCs w:val="12"/>
              </w:rPr>
              <w:t>aportit</w:t>
            </w:r>
          </w:p>
        </w:tc>
        <w:tc>
          <w:tcPr>
            <w:tcW w:w="1177" w:type="dxa"/>
            <w:vAlign w:val="center"/>
          </w:tcPr>
          <w:p w14:paraId="4E7814EB" w14:textId="77777777" w:rsidR="003858EE" w:rsidRPr="00CC11D5" w:rsidRDefault="003858EE" w:rsidP="00723888">
            <w:pPr>
              <w:jc w:val="center"/>
              <w:rPr>
                <w:rFonts w:ascii="Garamond" w:hAnsi="Garamond"/>
                <w:bCs/>
                <w:sz w:val="12"/>
                <w:szCs w:val="12"/>
              </w:rPr>
            </w:pPr>
          </w:p>
        </w:tc>
        <w:tc>
          <w:tcPr>
            <w:tcW w:w="1442" w:type="dxa"/>
            <w:vAlign w:val="center"/>
          </w:tcPr>
          <w:p w14:paraId="6FC75642" w14:textId="77777777" w:rsidR="003858EE" w:rsidRPr="00CC11D5" w:rsidRDefault="003858EE" w:rsidP="00723888">
            <w:pPr>
              <w:jc w:val="center"/>
              <w:rPr>
                <w:rFonts w:ascii="Garamond" w:hAnsi="Garamond"/>
                <w:bCs/>
                <w:sz w:val="12"/>
                <w:szCs w:val="12"/>
              </w:rPr>
            </w:pPr>
          </w:p>
        </w:tc>
      </w:tr>
      <w:tr w:rsidR="00723888" w:rsidRPr="00CC11D5" w14:paraId="76692B4A" w14:textId="77777777" w:rsidTr="00723888">
        <w:trPr>
          <w:trHeight w:val="20"/>
        </w:trPr>
        <w:tc>
          <w:tcPr>
            <w:tcW w:w="1783" w:type="dxa"/>
            <w:vAlign w:val="center"/>
          </w:tcPr>
          <w:p w14:paraId="6C631CBD" w14:textId="77777777" w:rsidR="003858EE" w:rsidRPr="00CC11D5" w:rsidRDefault="003858EE" w:rsidP="00723888">
            <w:pPr>
              <w:jc w:val="center"/>
              <w:rPr>
                <w:rFonts w:ascii="Garamond" w:hAnsi="Garamond"/>
                <w:sz w:val="12"/>
                <w:szCs w:val="12"/>
              </w:rPr>
            </w:pPr>
            <w:r w:rsidRPr="00CC11D5">
              <w:rPr>
                <w:rFonts w:ascii="Garamond" w:hAnsi="Garamond"/>
                <w:sz w:val="12"/>
                <w:szCs w:val="12"/>
              </w:rPr>
              <w:t>Ndryshimet në ligjin për tatimin mbi të ardhurat nëse është e nevojshme, për heqjen dorë nga përjashtimet dhe stimujt tatimorë</w:t>
            </w:r>
          </w:p>
        </w:tc>
        <w:tc>
          <w:tcPr>
            <w:tcW w:w="1745" w:type="dxa"/>
            <w:vAlign w:val="center"/>
          </w:tcPr>
          <w:p w14:paraId="3152787F" w14:textId="77777777" w:rsidR="003858EE" w:rsidRPr="00CC11D5" w:rsidRDefault="003858EE" w:rsidP="00723888">
            <w:pPr>
              <w:jc w:val="center"/>
              <w:rPr>
                <w:rFonts w:ascii="Garamond" w:hAnsi="Garamond"/>
                <w:b/>
                <w:sz w:val="12"/>
                <w:szCs w:val="12"/>
              </w:rPr>
            </w:pPr>
          </w:p>
        </w:tc>
        <w:tc>
          <w:tcPr>
            <w:tcW w:w="1547" w:type="dxa"/>
            <w:vAlign w:val="center"/>
          </w:tcPr>
          <w:p w14:paraId="43E5611A" w14:textId="77777777" w:rsidR="003858EE" w:rsidRPr="00CC11D5" w:rsidRDefault="003858EE" w:rsidP="00723888">
            <w:pPr>
              <w:jc w:val="center"/>
              <w:rPr>
                <w:rFonts w:ascii="Garamond" w:hAnsi="Garamond"/>
                <w:bCs/>
                <w:sz w:val="12"/>
                <w:szCs w:val="12"/>
              </w:rPr>
            </w:pPr>
          </w:p>
        </w:tc>
        <w:tc>
          <w:tcPr>
            <w:tcW w:w="1211" w:type="dxa"/>
            <w:vAlign w:val="center"/>
          </w:tcPr>
          <w:p w14:paraId="51CAE86D" w14:textId="513576B1" w:rsidR="003858EE" w:rsidRPr="00CC11D5" w:rsidRDefault="003858EE" w:rsidP="00723888">
            <w:pPr>
              <w:jc w:val="center"/>
              <w:rPr>
                <w:rFonts w:ascii="Garamond" w:hAnsi="Garamond"/>
                <w:sz w:val="12"/>
                <w:szCs w:val="12"/>
              </w:rPr>
            </w:pPr>
            <w:r w:rsidRPr="00CC11D5">
              <w:rPr>
                <w:rFonts w:ascii="Garamond" w:hAnsi="Garamond"/>
                <w:sz w:val="12"/>
                <w:szCs w:val="12"/>
              </w:rPr>
              <w:t xml:space="preserve">Në varësi të </w:t>
            </w:r>
            <w:r w:rsidR="00D737A4" w:rsidRPr="00CC11D5">
              <w:rPr>
                <w:rFonts w:ascii="Garamond" w:hAnsi="Garamond"/>
                <w:sz w:val="12"/>
                <w:szCs w:val="12"/>
              </w:rPr>
              <w:t>r</w:t>
            </w:r>
            <w:r w:rsidRPr="00CC11D5">
              <w:rPr>
                <w:rFonts w:ascii="Garamond" w:hAnsi="Garamond"/>
                <w:sz w:val="12"/>
                <w:szCs w:val="12"/>
              </w:rPr>
              <w:t>aportit</w:t>
            </w:r>
          </w:p>
        </w:tc>
        <w:tc>
          <w:tcPr>
            <w:tcW w:w="1177" w:type="dxa"/>
            <w:vAlign w:val="center"/>
          </w:tcPr>
          <w:p w14:paraId="70439076" w14:textId="18557E9F" w:rsidR="003858EE" w:rsidRPr="00CC11D5" w:rsidRDefault="003858EE" w:rsidP="00723888">
            <w:pPr>
              <w:jc w:val="center"/>
              <w:rPr>
                <w:rFonts w:ascii="Garamond" w:hAnsi="Garamond"/>
                <w:bCs/>
                <w:sz w:val="12"/>
                <w:szCs w:val="12"/>
              </w:rPr>
            </w:pPr>
            <w:r w:rsidRPr="00CC11D5">
              <w:rPr>
                <w:rFonts w:ascii="Garamond" w:hAnsi="Garamond"/>
                <w:sz w:val="12"/>
                <w:szCs w:val="12"/>
              </w:rPr>
              <w:t xml:space="preserve">Në varësi të </w:t>
            </w:r>
            <w:r w:rsidR="00D737A4" w:rsidRPr="00CC11D5">
              <w:rPr>
                <w:rFonts w:ascii="Garamond" w:hAnsi="Garamond"/>
                <w:sz w:val="12"/>
                <w:szCs w:val="12"/>
              </w:rPr>
              <w:t>r</w:t>
            </w:r>
            <w:r w:rsidRPr="00CC11D5">
              <w:rPr>
                <w:rFonts w:ascii="Garamond" w:hAnsi="Garamond"/>
                <w:sz w:val="12"/>
                <w:szCs w:val="12"/>
              </w:rPr>
              <w:t>aportit</w:t>
            </w:r>
          </w:p>
        </w:tc>
        <w:tc>
          <w:tcPr>
            <w:tcW w:w="1442" w:type="dxa"/>
            <w:vAlign w:val="center"/>
          </w:tcPr>
          <w:p w14:paraId="6B09EA2A" w14:textId="1E4E918D" w:rsidR="003858EE" w:rsidRPr="00CC11D5" w:rsidRDefault="003858EE" w:rsidP="00723888">
            <w:pPr>
              <w:jc w:val="center"/>
              <w:rPr>
                <w:rFonts w:ascii="Garamond" w:hAnsi="Garamond"/>
                <w:bCs/>
                <w:sz w:val="12"/>
                <w:szCs w:val="12"/>
              </w:rPr>
            </w:pPr>
            <w:r w:rsidRPr="00CC11D5">
              <w:rPr>
                <w:rFonts w:ascii="Garamond" w:hAnsi="Garamond"/>
                <w:sz w:val="12"/>
                <w:szCs w:val="12"/>
              </w:rPr>
              <w:t xml:space="preserve">Në varësi të </w:t>
            </w:r>
            <w:r w:rsidR="00D737A4" w:rsidRPr="00CC11D5">
              <w:rPr>
                <w:rFonts w:ascii="Garamond" w:hAnsi="Garamond"/>
                <w:sz w:val="12"/>
                <w:szCs w:val="12"/>
              </w:rPr>
              <w:t>r</w:t>
            </w:r>
            <w:r w:rsidRPr="00CC11D5">
              <w:rPr>
                <w:rFonts w:ascii="Garamond" w:hAnsi="Garamond"/>
                <w:sz w:val="12"/>
                <w:szCs w:val="12"/>
              </w:rPr>
              <w:t>aportit</w:t>
            </w:r>
          </w:p>
        </w:tc>
      </w:tr>
      <w:tr w:rsidR="00723888" w:rsidRPr="00CC11D5" w14:paraId="4009F037" w14:textId="77777777" w:rsidTr="00723888">
        <w:trPr>
          <w:trHeight w:val="20"/>
        </w:trPr>
        <w:tc>
          <w:tcPr>
            <w:tcW w:w="1783" w:type="dxa"/>
            <w:vAlign w:val="center"/>
          </w:tcPr>
          <w:p w14:paraId="3BAEB496" w14:textId="77777777" w:rsidR="003858EE" w:rsidRPr="00CC11D5" w:rsidRDefault="003858EE" w:rsidP="00723888">
            <w:pPr>
              <w:jc w:val="center"/>
              <w:rPr>
                <w:rFonts w:ascii="Garamond" w:hAnsi="Garamond"/>
                <w:sz w:val="12"/>
                <w:szCs w:val="12"/>
              </w:rPr>
            </w:pPr>
            <w:r w:rsidRPr="00CC11D5">
              <w:rPr>
                <w:rFonts w:ascii="Garamond" w:hAnsi="Garamond"/>
                <w:sz w:val="12"/>
                <w:szCs w:val="12"/>
              </w:rPr>
              <w:t>Ndryshimet në ligjin për taksat kombëtare për taksat mjedisore</w:t>
            </w:r>
          </w:p>
        </w:tc>
        <w:tc>
          <w:tcPr>
            <w:tcW w:w="1745" w:type="dxa"/>
            <w:vAlign w:val="center"/>
          </w:tcPr>
          <w:p w14:paraId="3852BE54" w14:textId="77777777" w:rsidR="003858EE" w:rsidRPr="00CC11D5" w:rsidRDefault="003858EE" w:rsidP="00723888">
            <w:pPr>
              <w:jc w:val="center"/>
              <w:rPr>
                <w:rFonts w:ascii="Garamond" w:hAnsi="Garamond"/>
                <w:b/>
                <w:sz w:val="12"/>
                <w:szCs w:val="12"/>
              </w:rPr>
            </w:pPr>
          </w:p>
        </w:tc>
        <w:tc>
          <w:tcPr>
            <w:tcW w:w="1547" w:type="dxa"/>
            <w:vAlign w:val="center"/>
          </w:tcPr>
          <w:p w14:paraId="595C5C34" w14:textId="77777777" w:rsidR="003858EE" w:rsidRPr="00CC11D5" w:rsidRDefault="003858EE" w:rsidP="00723888">
            <w:pPr>
              <w:jc w:val="center"/>
              <w:rPr>
                <w:rFonts w:ascii="Garamond" w:hAnsi="Garamond"/>
                <w:bCs/>
                <w:sz w:val="12"/>
                <w:szCs w:val="12"/>
              </w:rPr>
            </w:pPr>
          </w:p>
        </w:tc>
        <w:tc>
          <w:tcPr>
            <w:tcW w:w="1211" w:type="dxa"/>
            <w:vAlign w:val="center"/>
          </w:tcPr>
          <w:p w14:paraId="474A1FDD" w14:textId="77777777" w:rsidR="003858EE" w:rsidRPr="00CC11D5" w:rsidRDefault="003858EE" w:rsidP="00723888">
            <w:pPr>
              <w:jc w:val="center"/>
              <w:rPr>
                <w:rFonts w:ascii="Garamond" w:hAnsi="Garamond"/>
                <w:sz w:val="12"/>
                <w:szCs w:val="12"/>
              </w:rPr>
            </w:pPr>
            <w:r w:rsidRPr="00CC11D5">
              <w:rPr>
                <w:rFonts w:ascii="Garamond" w:hAnsi="Garamond"/>
                <w:sz w:val="12"/>
                <w:szCs w:val="12"/>
              </w:rPr>
              <w:t>Ligji i miratuar brenda dhjetorit 2025</w:t>
            </w:r>
          </w:p>
        </w:tc>
        <w:tc>
          <w:tcPr>
            <w:tcW w:w="1177" w:type="dxa"/>
            <w:vAlign w:val="center"/>
          </w:tcPr>
          <w:p w14:paraId="01B54D7C" w14:textId="77777777" w:rsidR="003858EE" w:rsidRPr="00CC11D5" w:rsidRDefault="003858EE" w:rsidP="00723888">
            <w:pPr>
              <w:jc w:val="center"/>
              <w:rPr>
                <w:rFonts w:ascii="Garamond" w:hAnsi="Garamond"/>
                <w:sz w:val="12"/>
                <w:szCs w:val="12"/>
              </w:rPr>
            </w:pPr>
          </w:p>
        </w:tc>
        <w:tc>
          <w:tcPr>
            <w:tcW w:w="1442" w:type="dxa"/>
            <w:vAlign w:val="center"/>
          </w:tcPr>
          <w:p w14:paraId="236A4C9D" w14:textId="77777777" w:rsidR="003858EE" w:rsidRPr="00CC11D5" w:rsidRDefault="003858EE" w:rsidP="00723888">
            <w:pPr>
              <w:jc w:val="center"/>
              <w:rPr>
                <w:rFonts w:ascii="Garamond" w:hAnsi="Garamond"/>
                <w:sz w:val="12"/>
                <w:szCs w:val="12"/>
              </w:rPr>
            </w:pPr>
          </w:p>
        </w:tc>
      </w:tr>
      <w:tr w:rsidR="00723888" w:rsidRPr="00CC11D5" w14:paraId="52172561" w14:textId="77777777" w:rsidTr="00723888">
        <w:trPr>
          <w:trHeight w:val="20"/>
        </w:trPr>
        <w:tc>
          <w:tcPr>
            <w:tcW w:w="1783" w:type="dxa"/>
            <w:vAlign w:val="center"/>
          </w:tcPr>
          <w:p w14:paraId="58513BE8" w14:textId="77777777" w:rsidR="003858EE" w:rsidRPr="00CC11D5" w:rsidRDefault="003858EE" w:rsidP="00723888">
            <w:pPr>
              <w:jc w:val="center"/>
              <w:rPr>
                <w:rFonts w:ascii="Garamond" w:hAnsi="Garamond"/>
                <w:sz w:val="12"/>
                <w:szCs w:val="12"/>
              </w:rPr>
            </w:pPr>
            <w:r w:rsidRPr="00CC11D5">
              <w:rPr>
                <w:rFonts w:ascii="Garamond" w:hAnsi="Garamond"/>
                <w:sz w:val="12"/>
                <w:szCs w:val="12"/>
              </w:rPr>
              <w:t>Të ardhura shtesë nga rishikimi në rritje i taksave ambientale</w:t>
            </w:r>
          </w:p>
        </w:tc>
        <w:tc>
          <w:tcPr>
            <w:tcW w:w="1745" w:type="dxa"/>
            <w:vAlign w:val="center"/>
          </w:tcPr>
          <w:p w14:paraId="3F740986" w14:textId="77777777" w:rsidR="003858EE" w:rsidRPr="00CC11D5" w:rsidRDefault="003858EE" w:rsidP="00723888">
            <w:pPr>
              <w:jc w:val="center"/>
              <w:rPr>
                <w:rFonts w:ascii="Garamond" w:hAnsi="Garamond"/>
                <w:b/>
                <w:sz w:val="12"/>
                <w:szCs w:val="12"/>
              </w:rPr>
            </w:pPr>
          </w:p>
        </w:tc>
        <w:tc>
          <w:tcPr>
            <w:tcW w:w="1547" w:type="dxa"/>
            <w:vAlign w:val="center"/>
          </w:tcPr>
          <w:p w14:paraId="619E3624" w14:textId="77777777" w:rsidR="003858EE" w:rsidRPr="00CC11D5" w:rsidRDefault="003858EE" w:rsidP="00723888">
            <w:pPr>
              <w:jc w:val="center"/>
              <w:rPr>
                <w:rFonts w:ascii="Garamond" w:hAnsi="Garamond"/>
                <w:sz w:val="12"/>
                <w:szCs w:val="12"/>
              </w:rPr>
            </w:pPr>
          </w:p>
        </w:tc>
        <w:tc>
          <w:tcPr>
            <w:tcW w:w="1211" w:type="dxa"/>
            <w:vAlign w:val="center"/>
          </w:tcPr>
          <w:p w14:paraId="0D8FE277" w14:textId="77777777" w:rsidR="003858EE" w:rsidRPr="00CC11D5" w:rsidRDefault="003858EE" w:rsidP="00723888">
            <w:pPr>
              <w:jc w:val="center"/>
              <w:rPr>
                <w:rFonts w:ascii="Garamond" w:hAnsi="Garamond"/>
                <w:sz w:val="12"/>
                <w:szCs w:val="12"/>
              </w:rPr>
            </w:pPr>
          </w:p>
        </w:tc>
        <w:tc>
          <w:tcPr>
            <w:tcW w:w="1177" w:type="dxa"/>
            <w:vAlign w:val="center"/>
          </w:tcPr>
          <w:p w14:paraId="63EFAB79" w14:textId="48999525" w:rsidR="003858EE" w:rsidRPr="00CC11D5" w:rsidRDefault="003858EE" w:rsidP="00723888">
            <w:pPr>
              <w:jc w:val="center"/>
              <w:rPr>
                <w:rFonts w:ascii="Garamond" w:hAnsi="Garamond"/>
                <w:bCs/>
                <w:sz w:val="12"/>
                <w:szCs w:val="12"/>
              </w:rPr>
            </w:pPr>
            <w:r w:rsidRPr="00CC11D5">
              <w:rPr>
                <w:rFonts w:ascii="Garamond" w:hAnsi="Garamond"/>
                <w:bCs/>
                <w:sz w:val="12"/>
                <w:szCs w:val="12"/>
              </w:rPr>
              <w:t>0.008% e PBB</w:t>
            </w:r>
            <w:r w:rsidR="00236281" w:rsidRPr="00CC11D5">
              <w:rPr>
                <w:rFonts w:ascii="Garamond" w:hAnsi="Garamond"/>
                <w:sz w:val="12"/>
                <w:szCs w:val="12"/>
              </w:rPr>
              <w:t>-së</w:t>
            </w:r>
          </w:p>
          <w:p w14:paraId="7C921C4B" w14:textId="77777777" w:rsidR="003858EE" w:rsidRPr="00CC11D5" w:rsidRDefault="003858EE" w:rsidP="00723888">
            <w:pPr>
              <w:jc w:val="center"/>
              <w:rPr>
                <w:rFonts w:ascii="Garamond" w:hAnsi="Garamond"/>
                <w:bCs/>
                <w:sz w:val="12"/>
                <w:szCs w:val="12"/>
              </w:rPr>
            </w:pPr>
          </w:p>
        </w:tc>
        <w:tc>
          <w:tcPr>
            <w:tcW w:w="1442" w:type="dxa"/>
            <w:vAlign w:val="center"/>
          </w:tcPr>
          <w:p w14:paraId="0C545333" w14:textId="6E27BD5A" w:rsidR="003858EE" w:rsidRPr="00CC11D5" w:rsidRDefault="003858EE" w:rsidP="00723888">
            <w:pPr>
              <w:jc w:val="center"/>
              <w:rPr>
                <w:rFonts w:ascii="Garamond" w:hAnsi="Garamond"/>
                <w:bCs/>
                <w:sz w:val="12"/>
                <w:szCs w:val="12"/>
              </w:rPr>
            </w:pPr>
            <w:r w:rsidRPr="00CC11D5">
              <w:rPr>
                <w:rFonts w:ascii="Garamond" w:hAnsi="Garamond"/>
                <w:bCs/>
                <w:sz w:val="12"/>
                <w:szCs w:val="12"/>
              </w:rPr>
              <w:t>0.008% e PBB</w:t>
            </w:r>
            <w:r w:rsidR="00D22EA5" w:rsidRPr="00CC11D5">
              <w:rPr>
                <w:rFonts w:ascii="Garamond" w:hAnsi="Garamond"/>
                <w:bCs/>
                <w:sz w:val="12"/>
                <w:szCs w:val="12"/>
              </w:rPr>
              <w:t>-së</w:t>
            </w:r>
          </w:p>
          <w:p w14:paraId="1A087903" w14:textId="77777777" w:rsidR="003858EE" w:rsidRPr="00CC11D5" w:rsidRDefault="003858EE" w:rsidP="00723888">
            <w:pPr>
              <w:jc w:val="center"/>
              <w:rPr>
                <w:rFonts w:ascii="Garamond" w:hAnsi="Garamond"/>
                <w:bCs/>
                <w:sz w:val="12"/>
                <w:szCs w:val="12"/>
              </w:rPr>
            </w:pPr>
          </w:p>
        </w:tc>
      </w:tr>
    </w:tbl>
    <w:p w14:paraId="5D01EA68" w14:textId="77777777" w:rsidR="003858EE" w:rsidRPr="00830F4C" w:rsidRDefault="003858EE" w:rsidP="003858EE">
      <w:pPr>
        <w:pStyle w:val="ListParagraph"/>
        <w:spacing w:after="0" w:line="240" w:lineRule="auto"/>
        <w:ind w:left="0" w:firstLine="284"/>
        <w:jc w:val="both"/>
        <w:rPr>
          <w:rFonts w:ascii="Garamond" w:hAnsi="Garamond"/>
          <w:sz w:val="24"/>
          <w:szCs w:val="24"/>
        </w:rPr>
      </w:pPr>
    </w:p>
    <w:p w14:paraId="2D8A6E66" w14:textId="47328B10" w:rsidR="003858EE" w:rsidRPr="00830F4C" w:rsidRDefault="003858EE" w:rsidP="003858EE">
      <w:pPr>
        <w:autoSpaceDE w:val="0"/>
        <w:autoSpaceDN w:val="0"/>
        <w:adjustRightInd w:val="0"/>
        <w:ind w:firstLine="284"/>
        <w:jc w:val="both"/>
        <w:rPr>
          <w:rFonts w:ascii="Garamond" w:eastAsiaTheme="minorHAnsi" w:hAnsi="Garamond"/>
          <w:b/>
        </w:rPr>
      </w:pPr>
      <w:r w:rsidRPr="00830F4C">
        <w:rPr>
          <w:rFonts w:ascii="Garamond" w:eastAsiaTheme="minorHAnsi" w:hAnsi="Garamond"/>
          <w:b/>
        </w:rPr>
        <w:t>Masa 1.2.1 Analiza e skemës tatimore të personave fizikë</w:t>
      </w:r>
    </w:p>
    <w:p w14:paraId="32BA17FF" w14:textId="7019A61A" w:rsidR="003858EE" w:rsidRPr="00830F4C" w:rsidRDefault="003858EE" w:rsidP="003858EE">
      <w:pPr>
        <w:autoSpaceDE w:val="0"/>
        <w:autoSpaceDN w:val="0"/>
        <w:adjustRightInd w:val="0"/>
        <w:ind w:firstLine="284"/>
        <w:jc w:val="both"/>
        <w:rPr>
          <w:rFonts w:ascii="Garamond" w:eastAsiaTheme="minorHAnsi" w:hAnsi="Garamond"/>
        </w:rPr>
      </w:pPr>
      <w:r w:rsidRPr="00830F4C">
        <w:rPr>
          <w:rFonts w:ascii="Garamond" w:eastAsiaTheme="minorHAnsi" w:hAnsi="Garamond"/>
        </w:rPr>
        <w:t xml:space="preserve">Me </w:t>
      </w:r>
      <w:r w:rsidR="00D22EA5" w:rsidRPr="00830F4C">
        <w:rPr>
          <w:rFonts w:ascii="Garamond" w:eastAsiaTheme="minorHAnsi" w:hAnsi="Garamond"/>
        </w:rPr>
        <w:t>v</w:t>
      </w:r>
      <w:r w:rsidRPr="00830F4C">
        <w:rPr>
          <w:rFonts w:ascii="Garamond" w:eastAsiaTheme="minorHAnsi" w:hAnsi="Garamond"/>
        </w:rPr>
        <w:t>endimin nr.</w:t>
      </w:r>
      <w:r w:rsidR="00D22EA5" w:rsidRPr="00830F4C">
        <w:rPr>
          <w:rFonts w:ascii="Garamond" w:eastAsiaTheme="minorHAnsi" w:hAnsi="Garamond"/>
        </w:rPr>
        <w:t xml:space="preserve"> </w:t>
      </w:r>
      <w:r w:rsidRPr="00830F4C">
        <w:rPr>
          <w:rFonts w:ascii="Garamond" w:eastAsiaTheme="minorHAnsi" w:hAnsi="Garamond"/>
        </w:rPr>
        <w:t xml:space="preserve">52, datë 27.6.2024, Gjykata Kushtetuese ka shfuqizuar skemën tatimore, sipas së cilës të vetëpunësuarit dhe subjektet që ofrojnë shërbime profesionale me xhiro deri në 14 </w:t>
      </w:r>
      <w:r w:rsidR="00236281" w:rsidRPr="00830F4C">
        <w:rPr>
          <w:rFonts w:ascii="Garamond" w:eastAsiaTheme="minorHAnsi" w:hAnsi="Garamond"/>
        </w:rPr>
        <w:t>milionë</w:t>
      </w:r>
      <w:r w:rsidR="0052377F" w:rsidRPr="00830F4C">
        <w:rPr>
          <w:rFonts w:ascii="Garamond" w:eastAsiaTheme="minorHAnsi" w:hAnsi="Garamond"/>
        </w:rPr>
        <w:t xml:space="preserve"> </w:t>
      </w:r>
      <w:r w:rsidRPr="00830F4C">
        <w:rPr>
          <w:rFonts w:ascii="Garamond" w:eastAsiaTheme="minorHAnsi" w:hAnsi="Garamond"/>
        </w:rPr>
        <w:t xml:space="preserve">lekë, i nënshtroheshin tatimit me norma tatimore progresive 15% dhe 23%. Në bazë të këtij vendimi, kjo kategori tatimpaguesish tashmë ka një normë tatimore 0% mbi fitimin. </w:t>
      </w:r>
    </w:p>
    <w:p w14:paraId="28375C6B" w14:textId="7EB588D7" w:rsidR="003858EE" w:rsidRPr="00830F4C" w:rsidRDefault="003858EE" w:rsidP="003858EE">
      <w:pPr>
        <w:autoSpaceDE w:val="0"/>
        <w:autoSpaceDN w:val="0"/>
        <w:adjustRightInd w:val="0"/>
        <w:ind w:firstLine="284"/>
        <w:jc w:val="both"/>
        <w:rPr>
          <w:rFonts w:ascii="Garamond" w:eastAsiaTheme="minorHAnsi" w:hAnsi="Garamond"/>
        </w:rPr>
      </w:pPr>
      <w:r w:rsidRPr="00830F4C">
        <w:rPr>
          <w:rFonts w:ascii="Garamond" w:eastAsiaTheme="minorHAnsi" w:hAnsi="Garamond"/>
        </w:rPr>
        <w:t>Ndërkohë, është në fuqi neni 12 i ligjit për tatimin mbi të ardhurat, ku renditen kategoritë e të ardhurave nga punësimi. Paragrafi 1</w:t>
      </w:r>
      <w:r w:rsidR="00D22EA5" w:rsidRPr="00830F4C">
        <w:rPr>
          <w:rFonts w:ascii="Garamond" w:eastAsiaTheme="minorHAnsi" w:hAnsi="Garamond"/>
        </w:rPr>
        <w:t>,</w:t>
      </w:r>
      <w:r w:rsidRPr="00830F4C">
        <w:rPr>
          <w:rFonts w:ascii="Garamond" w:eastAsiaTheme="minorHAnsi" w:hAnsi="Garamond"/>
        </w:rPr>
        <w:t xml:space="preserve"> i shkronjës </w:t>
      </w:r>
      <w:r w:rsidR="00D22EA5" w:rsidRPr="00830F4C">
        <w:rPr>
          <w:rFonts w:ascii="Garamond" w:eastAsiaTheme="minorHAnsi" w:hAnsi="Garamond"/>
        </w:rPr>
        <w:t>“</w:t>
      </w:r>
      <w:r w:rsidRPr="00830F4C">
        <w:rPr>
          <w:rFonts w:ascii="Garamond" w:eastAsiaTheme="minorHAnsi" w:hAnsi="Garamond"/>
        </w:rPr>
        <w:t>ç</w:t>
      </w:r>
      <w:r w:rsidR="00D22EA5" w:rsidRPr="00830F4C">
        <w:rPr>
          <w:rFonts w:ascii="Garamond" w:eastAsiaTheme="minorHAnsi" w:hAnsi="Garamond"/>
        </w:rPr>
        <w:t>”,</w:t>
      </w:r>
      <w:r w:rsidRPr="00830F4C">
        <w:rPr>
          <w:rFonts w:ascii="Garamond" w:eastAsiaTheme="minorHAnsi" w:hAnsi="Garamond"/>
        </w:rPr>
        <w:t xml:space="preserve"> ka parashikuar që trajtohen si të ardhura nga punësimi:</w:t>
      </w:r>
    </w:p>
    <w:p w14:paraId="6EE132FC" w14:textId="10CCDACF" w:rsidR="003858EE" w:rsidRPr="00830F4C" w:rsidRDefault="003858EE" w:rsidP="003858EE">
      <w:pPr>
        <w:autoSpaceDE w:val="0"/>
        <w:autoSpaceDN w:val="0"/>
        <w:adjustRightInd w:val="0"/>
        <w:ind w:firstLine="284"/>
        <w:jc w:val="both"/>
        <w:rPr>
          <w:rFonts w:ascii="Garamond" w:eastAsiaTheme="minorHAnsi" w:hAnsi="Garamond"/>
        </w:rPr>
      </w:pPr>
      <w:r w:rsidRPr="00830F4C">
        <w:rPr>
          <w:rFonts w:ascii="Garamond" w:eastAsiaTheme="minorHAnsi" w:hAnsi="Garamond"/>
        </w:rPr>
        <w:t>c) të ardhurat e fituara nga një individ i vetëpunësuar nëse:</w:t>
      </w:r>
    </w:p>
    <w:p w14:paraId="506DDDA4" w14:textId="4EB4DE69" w:rsidR="003858EE" w:rsidRPr="00830F4C" w:rsidRDefault="003858EE" w:rsidP="003858EE">
      <w:pPr>
        <w:autoSpaceDE w:val="0"/>
        <w:autoSpaceDN w:val="0"/>
        <w:adjustRightInd w:val="0"/>
        <w:ind w:firstLine="284"/>
        <w:jc w:val="both"/>
        <w:rPr>
          <w:rFonts w:ascii="Garamond" w:eastAsiaTheme="minorHAnsi" w:hAnsi="Garamond"/>
        </w:rPr>
      </w:pPr>
      <w:r w:rsidRPr="00830F4C">
        <w:rPr>
          <w:rFonts w:ascii="Garamond" w:eastAsiaTheme="minorHAnsi" w:hAnsi="Garamond"/>
        </w:rPr>
        <w:t>i</w:t>
      </w:r>
      <w:r w:rsidR="00D22EA5" w:rsidRPr="00830F4C">
        <w:rPr>
          <w:rFonts w:ascii="Garamond" w:eastAsiaTheme="minorHAnsi" w:hAnsi="Garamond"/>
        </w:rPr>
        <w:t>.</w:t>
      </w:r>
      <w:r w:rsidRPr="00830F4C">
        <w:rPr>
          <w:rFonts w:ascii="Garamond" w:eastAsiaTheme="minorHAnsi" w:hAnsi="Garamond"/>
        </w:rPr>
        <w:t xml:space="preserve"> 80% ose më shumë e të ardhurave të fituara merren drejtpërdrejt ose tërthorazi nga një klient i vetëm; ose</w:t>
      </w:r>
    </w:p>
    <w:p w14:paraId="21DCAC3B" w14:textId="1649C598" w:rsidR="003858EE" w:rsidRPr="00830F4C" w:rsidRDefault="003858EE" w:rsidP="003858EE">
      <w:pPr>
        <w:autoSpaceDE w:val="0"/>
        <w:autoSpaceDN w:val="0"/>
        <w:adjustRightInd w:val="0"/>
        <w:ind w:firstLine="284"/>
        <w:jc w:val="both"/>
        <w:rPr>
          <w:rFonts w:ascii="Garamond" w:eastAsiaTheme="minorHAnsi" w:hAnsi="Garamond"/>
        </w:rPr>
      </w:pPr>
      <w:r w:rsidRPr="00830F4C">
        <w:rPr>
          <w:rFonts w:ascii="Garamond" w:eastAsiaTheme="minorHAnsi" w:hAnsi="Garamond"/>
        </w:rPr>
        <w:t>ii. 90 për qind ose më shumë e të ardhurave totale të fituara merret nga më pak se 3 klientë...</w:t>
      </w:r>
    </w:p>
    <w:p w14:paraId="29C80A22" w14:textId="3C6BE1EB" w:rsidR="003858EE" w:rsidRPr="00830F4C" w:rsidRDefault="003858EE" w:rsidP="003858EE">
      <w:pPr>
        <w:autoSpaceDE w:val="0"/>
        <w:autoSpaceDN w:val="0"/>
        <w:adjustRightInd w:val="0"/>
        <w:ind w:firstLine="284"/>
        <w:jc w:val="both"/>
        <w:rPr>
          <w:rFonts w:ascii="Garamond" w:eastAsiaTheme="minorHAnsi" w:hAnsi="Garamond"/>
        </w:rPr>
      </w:pPr>
      <w:r w:rsidRPr="00830F4C">
        <w:rPr>
          <w:rFonts w:ascii="Garamond" w:eastAsiaTheme="minorHAnsi" w:hAnsi="Garamond"/>
        </w:rPr>
        <w:t>Kjo dispozitë ligjore është një rregull kundër shmangies (</w:t>
      </w:r>
      <w:r w:rsidRPr="00830F4C">
        <w:rPr>
          <w:rFonts w:ascii="Garamond" w:eastAsiaTheme="minorHAnsi" w:hAnsi="Garamond"/>
          <w:i/>
        </w:rPr>
        <w:t>anti avoidance</w:t>
      </w:r>
      <w:r w:rsidRPr="00830F4C">
        <w:rPr>
          <w:rFonts w:ascii="Garamond" w:eastAsiaTheme="minorHAnsi" w:hAnsi="Garamond"/>
        </w:rPr>
        <w:t xml:space="preserve">) dhe do të zbusë efektin e normës zero për pragun nën 14 </w:t>
      </w:r>
      <w:r w:rsidR="00236281" w:rsidRPr="00830F4C">
        <w:rPr>
          <w:rFonts w:ascii="Garamond" w:eastAsiaTheme="minorHAnsi" w:hAnsi="Garamond"/>
        </w:rPr>
        <w:t>milionë</w:t>
      </w:r>
      <w:r w:rsidR="0052377F" w:rsidRPr="00830F4C">
        <w:rPr>
          <w:rFonts w:ascii="Garamond" w:eastAsiaTheme="minorHAnsi" w:hAnsi="Garamond"/>
        </w:rPr>
        <w:t xml:space="preserve"> </w:t>
      </w:r>
      <w:r w:rsidRPr="00830F4C">
        <w:rPr>
          <w:rFonts w:ascii="Garamond" w:eastAsiaTheme="minorHAnsi" w:hAnsi="Garamond"/>
        </w:rPr>
        <w:t>lekë për personat fizikë. Kjo lidhet edhe me tatimet mbi të ardhurat që parashikojnë masa kundër shmangies (</w:t>
      </w:r>
      <w:r w:rsidRPr="00830F4C">
        <w:rPr>
          <w:rFonts w:ascii="Garamond" w:eastAsiaTheme="minorHAnsi" w:hAnsi="Garamond"/>
          <w:i/>
        </w:rPr>
        <w:t>anti avoidance</w:t>
      </w:r>
      <w:r w:rsidRPr="00830F4C">
        <w:rPr>
          <w:rFonts w:ascii="Garamond" w:eastAsiaTheme="minorHAnsi" w:hAnsi="Garamond"/>
        </w:rPr>
        <w:t>) për të penguar bizneset që të hartojnë skema tatimore për përdorimin e padrejtë të normës zero tatimore</w:t>
      </w:r>
      <w:r w:rsidR="00D737A4" w:rsidRPr="00830F4C">
        <w:rPr>
          <w:rFonts w:ascii="Garamond" w:eastAsiaTheme="minorHAnsi" w:hAnsi="Garamond"/>
        </w:rPr>
        <w:t xml:space="preserve"> </w:t>
      </w:r>
      <w:r w:rsidRPr="00830F4C">
        <w:rPr>
          <w:rFonts w:ascii="Garamond" w:eastAsiaTheme="minorHAnsi" w:hAnsi="Garamond"/>
        </w:rPr>
        <w:t>apo normave të reduktuara të saj.</w:t>
      </w:r>
    </w:p>
    <w:p w14:paraId="7A3984C1" w14:textId="4EDC9670" w:rsidR="003858EE" w:rsidRPr="00830F4C" w:rsidRDefault="003858EE" w:rsidP="003858EE">
      <w:pPr>
        <w:autoSpaceDE w:val="0"/>
        <w:autoSpaceDN w:val="0"/>
        <w:adjustRightInd w:val="0"/>
        <w:ind w:firstLine="284"/>
        <w:jc w:val="both"/>
        <w:rPr>
          <w:rFonts w:ascii="Garamond" w:eastAsiaTheme="minorHAnsi" w:hAnsi="Garamond"/>
        </w:rPr>
      </w:pPr>
      <w:r w:rsidRPr="00830F4C">
        <w:rPr>
          <w:rFonts w:ascii="Garamond" w:eastAsiaTheme="minorHAnsi" w:hAnsi="Garamond"/>
        </w:rPr>
        <w:t>Pas analizimit të efektit të zbatimit, do të bëhet hartimi, nëse është e nevojshme, i ndryshimeve ligjore për parandalimin e krijimit të hapësirave për abuzime me deklaratën</w:t>
      </w:r>
      <w:r w:rsidR="00D737A4" w:rsidRPr="00830F4C">
        <w:rPr>
          <w:rFonts w:ascii="Garamond" w:eastAsiaTheme="minorHAnsi" w:hAnsi="Garamond"/>
        </w:rPr>
        <w:t>:</w:t>
      </w:r>
    </w:p>
    <w:p w14:paraId="0BA6C81E" w14:textId="5A1F481A" w:rsidR="003858EE" w:rsidRPr="00830F4C" w:rsidRDefault="00B160C4" w:rsidP="003858EE">
      <w:pPr>
        <w:autoSpaceDE w:val="0"/>
        <w:autoSpaceDN w:val="0"/>
        <w:adjustRightInd w:val="0"/>
        <w:ind w:firstLine="284"/>
        <w:jc w:val="both"/>
        <w:rPr>
          <w:rFonts w:ascii="Garamond" w:eastAsiaTheme="minorHAnsi" w:hAnsi="Garamond"/>
        </w:rPr>
      </w:pPr>
      <w:r w:rsidRPr="00830F4C">
        <w:rPr>
          <w:rFonts w:ascii="Garamond" w:eastAsiaTheme="minorHAnsi" w:hAnsi="Garamond"/>
        </w:rPr>
        <w:t xml:space="preserve">- </w:t>
      </w:r>
      <w:r w:rsidR="003858EE" w:rsidRPr="00830F4C">
        <w:rPr>
          <w:rFonts w:ascii="Garamond" w:eastAsiaTheme="minorHAnsi" w:hAnsi="Garamond"/>
        </w:rPr>
        <w:t>Aktiviteti 1.2.1.1</w:t>
      </w:r>
      <w:r w:rsidR="00A72159">
        <w:rPr>
          <w:rFonts w:ascii="Garamond" w:eastAsiaTheme="minorHAnsi" w:hAnsi="Garamond"/>
        </w:rPr>
        <w:t>:</w:t>
      </w:r>
      <w:r w:rsidR="003858EE" w:rsidRPr="00830F4C">
        <w:rPr>
          <w:rFonts w:ascii="Garamond" w:eastAsiaTheme="minorHAnsi" w:hAnsi="Garamond"/>
        </w:rPr>
        <w:t xml:space="preserve"> Analizimi i efektit e zbatimit të rregullave kundër shmangies për personat fizikë</w:t>
      </w:r>
      <w:r w:rsidR="00D737A4" w:rsidRPr="00830F4C">
        <w:rPr>
          <w:rFonts w:ascii="Garamond" w:eastAsiaTheme="minorHAnsi" w:hAnsi="Garamond"/>
        </w:rPr>
        <w:t>;</w:t>
      </w:r>
    </w:p>
    <w:p w14:paraId="1857DEDF" w14:textId="7D1DEABA" w:rsidR="003858EE" w:rsidRPr="00830F4C" w:rsidRDefault="00B160C4" w:rsidP="003858EE">
      <w:pPr>
        <w:autoSpaceDE w:val="0"/>
        <w:autoSpaceDN w:val="0"/>
        <w:adjustRightInd w:val="0"/>
        <w:ind w:firstLine="284"/>
        <w:jc w:val="both"/>
        <w:rPr>
          <w:rFonts w:ascii="Garamond" w:eastAsiaTheme="minorHAnsi" w:hAnsi="Garamond"/>
        </w:rPr>
      </w:pPr>
      <w:r w:rsidRPr="00830F4C">
        <w:rPr>
          <w:rFonts w:ascii="Garamond" w:eastAsiaTheme="minorHAnsi" w:hAnsi="Garamond"/>
        </w:rPr>
        <w:t xml:space="preserve">- </w:t>
      </w:r>
      <w:r w:rsidR="003858EE" w:rsidRPr="00830F4C">
        <w:rPr>
          <w:rFonts w:ascii="Garamond" w:eastAsiaTheme="minorHAnsi" w:hAnsi="Garamond"/>
        </w:rPr>
        <w:t>Aktiviteti 1.2.2.2</w:t>
      </w:r>
      <w:r w:rsidR="00A72159">
        <w:rPr>
          <w:rFonts w:ascii="Garamond" w:eastAsiaTheme="minorHAnsi" w:hAnsi="Garamond"/>
        </w:rPr>
        <w:t>:</w:t>
      </w:r>
      <w:r w:rsidR="003858EE" w:rsidRPr="00830F4C">
        <w:rPr>
          <w:rFonts w:ascii="Garamond" w:eastAsiaTheme="minorHAnsi" w:hAnsi="Garamond"/>
        </w:rPr>
        <w:t xml:space="preserve"> Hartimi i akteve ligjore për zbatimin e rregullit antishmangie, në bazë të analizës.</w:t>
      </w:r>
    </w:p>
    <w:p w14:paraId="7E0DDEC9" w14:textId="77777777" w:rsidR="003858EE" w:rsidRPr="00830F4C" w:rsidRDefault="003858EE" w:rsidP="003858EE">
      <w:pPr>
        <w:autoSpaceDE w:val="0"/>
        <w:autoSpaceDN w:val="0"/>
        <w:adjustRightInd w:val="0"/>
        <w:ind w:firstLine="284"/>
        <w:rPr>
          <w:rFonts w:ascii="Garamond" w:eastAsiaTheme="minorHAnsi" w:hAnsi="Garamond"/>
        </w:rPr>
      </w:pPr>
      <w:r w:rsidRPr="00830F4C">
        <w:rPr>
          <w:rFonts w:ascii="Garamond" w:eastAsiaTheme="minorHAnsi" w:hAnsi="Garamond"/>
          <w:b/>
        </w:rPr>
        <w:t>Masa 1.2.2. Analiza e përjashtimeve dhe normave të reduktuara në ligjin për tatimin mbi të ardhurat</w:t>
      </w:r>
    </w:p>
    <w:p w14:paraId="7528B3B0" w14:textId="0231AC44" w:rsidR="003858EE" w:rsidRPr="00830F4C" w:rsidRDefault="003858EE" w:rsidP="003858EE">
      <w:pPr>
        <w:tabs>
          <w:tab w:val="left" w:pos="720"/>
        </w:tabs>
        <w:autoSpaceDE w:val="0"/>
        <w:autoSpaceDN w:val="0"/>
        <w:adjustRightInd w:val="0"/>
        <w:ind w:firstLine="284"/>
        <w:jc w:val="both"/>
        <w:rPr>
          <w:rFonts w:ascii="Garamond" w:eastAsiaTheme="minorHAnsi" w:hAnsi="Garamond"/>
        </w:rPr>
      </w:pPr>
      <w:r w:rsidRPr="00830F4C">
        <w:rPr>
          <w:rFonts w:ascii="Garamond" w:eastAsiaTheme="minorHAnsi" w:hAnsi="Garamond"/>
        </w:rPr>
        <w:t>Në përputhje me Planin e Rritjes të A</w:t>
      </w:r>
      <w:r w:rsidR="00D737A4" w:rsidRPr="00830F4C">
        <w:rPr>
          <w:rFonts w:ascii="Garamond" w:eastAsiaTheme="minorHAnsi" w:hAnsi="Garamond"/>
        </w:rPr>
        <w:t>gj</w:t>
      </w:r>
      <w:r w:rsidRPr="00830F4C">
        <w:rPr>
          <w:rFonts w:ascii="Garamond" w:eastAsiaTheme="minorHAnsi" w:hAnsi="Garamond"/>
        </w:rPr>
        <w:t>endës së Reformës, nën kë</w:t>
      </w:r>
      <w:r w:rsidR="00D737A4" w:rsidRPr="00830F4C">
        <w:rPr>
          <w:rFonts w:ascii="Garamond" w:eastAsiaTheme="minorHAnsi" w:hAnsi="Garamond"/>
        </w:rPr>
        <w:t>t</w:t>
      </w:r>
      <w:r w:rsidRPr="00830F4C">
        <w:rPr>
          <w:rFonts w:ascii="Garamond" w:eastAsiaTheme="minorHAnsi" w:hAnsi="Garamond"/>
        </w:rPr>
        <w:t>ë mase, do</w:t>
      </w:r>
      <w:r w:rsidR="00D22EA5" w:rsidRPr="00830F4C">
        <w:rPr>
          <w:rFonts w:ascii="Garamond" w:eastAsiaTheme="minorHAnsi" w:hAnsi="Garamond"/>
        </w:rPr>
        <w:t xml:space="preserve"> </w:t>
      </w:r>
      <w:r w:rsidRPr="00830F4C">
        <w:rPr>
          <w:rFonts w:ascii="Garamond" w:eastAsiaTheme="minorHAnsi" w:hAnsi="Garamond"/>
        </w:rPr>
        <w:t xml:space="preserve">të analizohen efektet e përjashtimeve dhe normave të reduktuara tatimore lidhur me tatimet direkte. Bazuar në ligjin e ri për tatimin mbi të ardhurat, tabela e mëposhtme përmbledh përjashtimet ekzistuese tatimore dhe normat e reduktuara tatimore. </w:t>
      </w:r>
    </w:p>
    <w:p w14:paraId="35824BB8" w14:textId="46AA675F" w:rsidR="00B160C4" w:rsidRPr="00830F4C" w:rsidRDefault="00B160C4" w:rsidP="00B160C4">
      <w:pPr>
        <w:pStyle w:val="Caption"/>
        <w:spacing w:after="0"/>
        <w:ind w:firstLine="284"/>
        <w:rPr>
          <w:rFonts w:ascii="Garamond" w:hAnsi="Garamond" w:cs="Times New Roman"/>
          <w:iCs w:val="0"/>
          <w:color w:val="auto"/>
          <w:sz w:val="20"/>
          <w:szCs w:val="20"/>
        </w:rPr>
      </w:pPr>
      <w:bookmarkStart w:id="26" w:name="_Toc185235134"/>
      <w:r w:rsidRPr="00830F4C">
        <w:rPr>
          <w:rFonts w:ascii="Garamond" w:hAnsi="Garamond" w:cs="Times New Roman"/>
          <w:iCs w:val="0"/>
          <w:color w:val="auto"/>
          <w:sz w:val="20"/>
          <w:szCs w:val="20"/>
        </w:rPr>
        <w:t xml:space="preserve">Tabela </w:t>
      </w:r>
      <w:r w:rsidRPr="00830F4C">
        <w:rPr>
          <w:rFonts w:ascii="Garamond" w:hAnsi="Garamond" w:cs="Times New Roman"/>
          <w:iCs w:val="0"/>
          <w:color w:val="auto"/>
          <w:sz w:val="20"/>
          <w:szCs w:val="20"/>
        </w:rPr>
        <w:fldChar w:fldCharType="begin"/>
      </w:r>
      <w:r w:rsidRPr="00830F4C">
        <w:rPr>
          <w:rFonts w:ascii="Garamond" w:hAnsi="Garamond" w:cs="Times New Roman"/>
          <w:iCs w:val="0"/>
          <w:color w:val="auto"/>
          <w:sz w:val="20"/>
          <w:szCs w:val="20"/>
        </w:rPr>
        <w:instrText xml:space="preserve"> SEQ Tabela \* ARABIC </w:instrText>
      </w:r>
      <w:r w:rsidRPr="00830F4C">
        <w:rPr>
          <w:rFonts w:ascii="Garamond" w:hAnsi="Garamond" w:cs="Times New Roman"/>
          <w:iCs w:val="0"/>
          <w:color w:val="auto"/>
          <w:sz w:val="20"/>
          <w:szCs w:val="20"/>
        </w:rPr>
        <w:fldChar w:fldCharType="separate"/>
      </w:r>
      <w:r w:rsidRPr="00830F4C">
        <w:rPr>
          <w:rFonts w:ascii="Garamond" w:hAnsi="Garamond" w:cs="Times New Roman"/>
          <w:iCs w:val="0"/>
          <w:color w:val="auto"/>
          <w:sz w:val="20"/>
          <w:szCs w:val="20"/>
        </w:rPr>
        <w:t>9</w:t>
      </w:r>
      <w:r w:rsidRPr="00830F4C">
        <w:rPr>
          <w:rFonts w:ascii="Garamond" w:hAnsi="Garamond" w:cs="Times New Roman"/>
          <w:iCs w:val="0"/>
          <w:color w:val="auto"/>
          <w:sz w:val="20"/>
          <w:szCs w:val="20"/>
        </w:rPr>
        <w:fldChar w:fldCharType="end"/>
      </w:r>
      <w:r w:rsidRPr="00830F4C">
        <w:rPr>
          <w:rFonts w:ascii="Garamond" w:hAnsi="Garamond" w:cs="Times New Roman"/>
          <w:iCs w:val="0"/>
          <w:color w:val="auto"/>
          <w:sz w:val="20"/>
          <w:szCs w:val="20"/>
        </w:rPr>
        <w:t>:</w:t>
      </w:r>
      <w:r w:rsidR="00D737A4" w:rsidRPr="00830F4C">
        <w:rPr>
          <w:rFonts w:ascii="Garamond" w:hAnsi="Garamond" w:cs="Times New Roman"/>
          <w:iCs w:val="0"/>
          <w:color w:val="auto"/>
          <w:sz w:val="20"/>
          <w:szCs w:val="20"/>
        </w:rPr>
        <w:t xml:space="preserve"> </w:t>
      </w:r>
      <w:r w:rsidRPr="00830F4C">
        <w:rPr>
          <w:rFonts w:ascii="Garamond" w:hAnsi="Garamond" w:cs="Times New Roman"/>
          <w:iCs w:val="0"/>
          <w:color w:val="auto"/>
          <w:sz w:val="20"/>
          <w:szCs w:val="20"/>
        </w:rPr>
        <w:t>Përjashtimet tatimore dhe normat e reduktuara në ligjin për tatimin mbi të ardhurat</w:t>
      </w:r>
      <w:bookmarkEnd w:id="2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14"/>
        <w:gridCol w:w="1141"/>
        <w:gridCol w:w="1795"/>
      </w:tblGrid>
      <w:tr w:rsidR="00B160C4" w:rsidRPr="00CC11D5" w14:paraId="2722663E" w14:textId="77777777" w:rsidTr="00D22EA5">
        <w:trPr>
          <w:trHeight w:val="20"/>
        </w:trPr>
        <w:tc>
          <w:tcPr>
            <w:tcW w:w="3430" w:type="pct"/>
            <w:shd w:val="clear" w:color="auto" w:fill="AFDCF7"/>
            <w:vAlign w:val="center"/>
          </w:tcPr>
          <w:p w14:paraId="629F9128" w14:textId="77777777" w:rsidR="00B160C4" w:rsidRPr="00CC11D5" w:rsidRDefault="00B160C4" w:rsidP="00D22EA5">
            <w:pPr>
              <w:pStyle w:val="TableParagraph"/>
              <w:spacing w:after="0" w:line="240" w:lineRule="auto"/>
              <w:jc w:val="center"/>
              <w:rPr>
                <w:rFonts w:ascii="Garamond" w:hAnsi="Garamond"/>
                <w:b/>
                <w:sz w:val="12"/>
                <w:szCs w:val="12"/>
                <w:lang w:val="sq-AL"/>
              </w:rPr>
            </w:pPr>
            <w:r w:rsidRPr="00CC11D5">
              <w:rPr>
                <w:rFonts w:ascii="Garamond" w:hAnsi="Garamond"/>
                <w:b/>
                <w:sz w:val="12"/>
                <w:szCs w:val="12"/>
                <w:lang w:val="sq-AL"/>
              </w:rPr>
              <w:t>Parashikimet</w:t>
            </w:r>
            <w:r w:rsidRPr="00CC11D5">
              <w:rPr>
                <w:rFonts w:ascii="Garamond" w:hAnsi="Garamond"/>
                <w:b/>
                <w:spacing w:val="-7"/>
                <w:sz w:val="12"/>
                <w:szCs w:val="12"/>
                <w:lang w:val="sq-AL"/>
              </w:rPr>
              <w:t xml:space="preserve"> </w:t>
            </w:r>
            <w:r w:rsidRPr="00CC11D5">
              <w:rPr>
                <w:rFonts w:ascii="Garamond" w:hAnsi="Garamond"/>
                <w:b/>
                <w:sz w:val="12"/>
                <w:szCs w:val="12"/>
                <w:lang w:val="sq-AL"/>
              </w:rPr>
              <w:t>ligjore</w:t>
            </w:r>
            <w:r w:rsidRPr="00CC11D5">
              <w:rPr>
                <w:rFonts w:ascii="Garamond" w:hAnsi="Garamond"/>
                <w:b/>
                <w:spacing w:val="-4"/>
                <w:sz w:val="12"/>
                <w:szCs w:val="12"/>
                <w:lang w:val="sq-AL"/>
              </w:rPr>
              <w:t xml:space="preserve"> </w:t>
            </w:r>
            <w:r w:rsidRPr="00CC11D5">
              <w:rPr>
                <w:rFonts w:ascii="Garamond" w:hAnsi="Garamond"/>
                <w:b/>
                <w:sz w:val="12"/>
                <w:szCs w:val="12"/>
                <w:lang w:val="sq-AL"/>
              </w:rPr>
              <w:t>kryesore</w:t>
            </w:r>
            <w:r w:rsidRPr="00CC11D5">
              <w:rPr>
                <w:rFonts w:ascii="Garamond" w:hAnsi="Garamond"/>
                <w:b/>
                <w:spacing w:val="1"/>
                <w:sz w:val="12"/>
                <w:szCs w:val="12"/>
                <w:lang w:val="sq-AL"/>
              </w:rPr>
              <w:t xml:space="preserve"> </w:t>
            </w:r>
            <w:r w:rsidRPr="00CC11D5">
              <w:rPr>
                <w:rFonts w:ascii="Garamond" w:hAnsi="Garamond"/>
                <w:b/>
                <w:sz w:val="12"/>
                <w:szCs w:val="12"/>
                <w:lang w:val="sq-AL"/>
              </w:rPr>
              <w:t>(të</w:t>
            </w:r>
            <w:r w:rsidRPr="00CC11D5">
              <w:rPr>
                <w:rFonts w:ascii="Garamond" w:hAnsi="Garamond"/>
                <w:b/>
                <w:spacing w:val="-4"/>
                <w:sz w:val="12"/>
                <w:szCs w:val="12"/>
                <w:lang w:val="sq-AL"/>
              </w:rPr>
              <w:t xml:space="preserve"> </w:t>
            </w:r>
            <w:r w:rsidRPr="00CC11D5">
              <w:rPr>
                <w:rFonts w:ascii="Garamond" w:hAnsi="Garamond"/>
                <w:b/>
                <w:sz w:val="12"/>
                <w:szCs w:val="12"/>
                <w:lang w:val="sq-AL"/>
              </w:rPr>
              <w:t>përmbledhura)</w:t>
            </w:r>
          </w:p>
        </w:tc>
        <w:tc>
          <w:tcPr>
            <w:tcW w:w="610" w:type="pct"/>
            <w:shd w:val="clear" w:color="auto" w:fill="AFDCF7"/>
            <w:vAlign w:val="center"/>
          </w:tcPr>
          <w:p w14:paraId="1E909808" w14:textId="77777777" w:rsidR="00B160C4" w:rsidRPr="00CC11D5" w:rsidRDefault="00B160C4" w:rsidP="00D22EA5">
            <w:pPr>
              <w:pStyle w:val="TableParagraph"/>
              <w:spacing w:after="0" w:line="240" w:lineRule="auto"/>
              <w:jc w:val="center"/>
              <w:rPr>
                <w:rFonts w:ascii="Garamond" w:hAnsi="Garamond"/>
                <w:b/>
                <w:sz w:val="12"/>
                <w:szCs w:val="12"/>
                <w:lang w:val="sq-AL"/>
              </w:rPr>
            </w:pPr>
            <w:r w:rsidRPr="00CC11D5">
              <w:rPr>
                <w:rFonts w:ascii="Garamond" w:hAnsi="Garamond"/>
                <w:b/>
                <w:sz w:val="12"/>
                <w:szCs w:val="12"/>
                <w:lang w:val="sq-AL"/>
              </w:rPr>
              <w:t>Trajtimi</w:t>
            </w:r>
            <w:r w:rsidRPr="00CC11D5">
              <w:rPr>
                <w:rFonts w:ascii="Garamond" w:hAnsi="Garamond"/>
                <w:b/>
                <w:spacing w:val="-42"/>
                <w:sz w:val="12"/>
                <w:szCs w:val="12"/>
                <w:lang w:val="sq-AL"/>
              </w:rPr>
              <w:t xml:space="preserve"> </w:t>
            </w:r>
            <w:r w:rsidRPr="00CC11D5">
              <w:rPr>
                <w:rFonts w:ascii="Garamond" w:hAnsi="Garamond"/>
                <w:b/>
                <w:sz w:val="12"/>
                <w:szCs w:val="12"/>
                <w:lang w:val="sq-AL"/>
              </w:rPr>
              <w:t>tatimor</w:t>
            </w:r>
          </w:p>
        </w:tc>
        <w:tc>
          <w:tcPr>
            <w:tcW w:w="960" w:type="pct"/>
            <w:shd w:val="clear" w:color="auto" w:fill="AFDCF7"/>
            <w:vAlign w:val="center"/>
          </w:tcPr>
          <w:p w14:paraId="2C251EFC" w14:textId="77777777" w:rsidR="00B160C4" w:rsidRPr="00CC11D5" w:rsidRDefault="00B160C4" w:rsidP="00D22EA5">
            <w:pPr>
              <w:pStyle w:val="TableParagraph"/>
              <w:spacing w:after="0" w:line="240" w:lineRule="auto"/>
              <w:jc w:val="center"/>
              <w:rPr>
                <w:rFonts w:ascii="Garamond" w:hAnsi="Garamond"/>
                <w:b/>
                <w:sz w:val="12"/>
                <w:szCs w:val="12"/>
                <w:lang w:val="sq-AL"/>
              </w:rPr>
            </w:pPr>
            <w:r w:rsidRPr="00CC11D5">
              <w:rPr>
                <w:rFonts w:ascii="Garamond" w:hAnsi="Garamond"/>
                <w:b/>
                <w:sz w:val="12"/>
                <w:szCs w:val="12"/>
                <w:lang w:val="sq-AL"/>
              </w:rPr>
              <w:t>Fusha e</w:t>
            </w:r>
            <w:r w:rsidRPr="00CC11D5">
              <w:rPr>
                <w:rFonts w:ascii="Garamond" w:hAnsi="Garamond"/>
                <w:b/>
                <w:spacing w:val="-42"/>
                <w:sz w:val="12"/>
                <w:szCs w:val="12"/>
                <w:lang w:val="sq-AL"/>
              </w:rPr>
              <w:t xml:space="preserve"> </w:t>
            </w:r>
            <w:r w:rsidRPr="00CC11D5">
              <w:rPr>
                <w:rFonts w:ascii="Garamond" w:hAnsi="Garamond"/>
                <w:b/>
                <w:sz w:val="12"/>
                <w:szCs w:val="12"/>
                <w:lang w:val="sq-AL"/>
              </w:rPr>
              <w:t>ndikimit</w:t>
            </w:r>
          </w:p>
        </w:tc>
      </w:tr>
      <w:tr w:rsidR="00B160C4" w:rsidRPr="00CC11D5" w14:paraId="6FCBE522" w14:textId="77777777" w:rsidTr="00B160C4">
        <w:trPr>
          <w:trHeight w:val="20"/>
        </w:trPr>
        <w:tc>
          <w:tcPr>
            <w:tcW w:w="5000" w:type="pct"/>
            <w:gridSpan w:val="3"/>
            <w:shd w:val="clear" w:color="auto" w:fill="F9EDC2"/>
          </w:tcPr>
          <w:p w14:paraId="6DB910F1" w14:textId="77777777" w:rsidR="00B160C4" w:rsidRPr="00CC11D5" w:rsidRDefault="00B160C4" w:rsidP="00B160C4">
            <w:pPr>
              <w:pStyle w:val="TableParagraph"/>
              <w:spacing w:after="0" w:line="240" w:lineRule="auto"/>
              <w:rPr>
                <w:rFonts w:ascii="Garamond" w:hAnsi="Garamond"/>
                <w:b/>
                <w:sz w:val="12"/>
                <w:szCs w:val="12"/>
                <w:lang w:val="sq-AL"/>
              </w:rPr>
            </w:pPr>
            <w:r w:rsidRPr="00CC11D5">
              <w:rPr>
                <w:rFonts w:ascii="Garamond" w:hAnsi="Garamond"/>
                <w:b/>
                <w:sz w:val="12"/>
                <w:szCs w:val="12"/>
                <w:lang w:val="sq-AL"/>
              </w:rPr>
              <w:t>Tatimi mbi</w:t>
            </w:r>
            <w:r w:rsidRPr="00CC11D5">
              <w:rPr>
                <w:rFonts w:ascii="Garamond" w:hAnsi="Garamond"/>
                <w:b/>
                <w:spacing w:val="-4"/>
                <w:sz w:val="12"/>
                <w:szCs w:val="12"/>
                <w:lang w:val="sq-AL"/>
              </w:rPr>
              <w:t xml:space="preserve"> Ardhurat</w:t>
            </w:r>
          </w:p>
        </w:tc>
      </w:tr>
      <w:tr w:rsidR="00B160C4" w:rsidRPr="00CC11D5" w14:paraId="25917889" w14:textId="77777777" w:rsidTr="009622EB">
        <w:trPr>
          <w:trHeight w:val="20"/>
        </w:trPr>
        <w:tc>
          <w:tcPr>
            <w:tcW w:w="3430" w:type="pct"/>
          </w:tcPr>
          <w:p w14:paraId="7C2245A7" w14:textId="34AFD520" w:rsidR="00B160C4" w:rsidRPr="00CC11D5" w:rsidRDefault="00B160C4" w:rsidP="00B160C4">
            <w:pPr>
              <w:pStyle w:val="TableParagraph"/>
              <w:spacing w:after="0" w:line="240" w:lineRule="auto"/>
              <w:rPr>
                <w:rFonts w:ascii="Garamond" w:hAnsi="Garamond" w:cs="Times New Roman"/>
                <w:sz w:val="12"/>
                <w:szCs w:val="12"/>
                <w:lang w:val="sq-AL"/>
              </w:rPr>
            </w:pPr>
            <w:r w:rsidRPr="00CC11D5">
              <w:rPr>
                <w:rFonts w:ascii="Garamond" w:hAnsi="Garamond" w:cs="Times New Roman"/>
                <w:sz w:val="12"/>
                <w:szCs w:val="12"/>
                <w:lang w:val="sq-AL"/>
              </w:rPr>
              <w:t xml:space="preserve">Për personat juridikë, të regjistruar përpara 17 </w:t>
            </w:r>
            <w:r w:rsidR="00D22EA5" w:rsidRPr="00CC11D5">
              <w:rPr>
                <w:rFonts w:ascii="Garamond" w:hAnsi="Garamond" w:cs="Times New Roman"/>
                <w:sz w:val="12"/>
                <w:szCs w:val="12"/>
                <w:lang w:val="sq-AL"/>
              </w:rPr>
              <w:t>m</w:t>
            </w:r>
            <w:r w:rsidRPr="00CC11D5">
              <w:rPr>
                <w:rFonts w:ascii="Garamond" w:hAnsi="Garamond" w:cs="Times New Roman"/>
                <w:sz w:val="12"/>
                <w:szCs w:val="12"/>
                <w:lang w:val="sq-AL"/>
              </w:rPr>
              <w:t xml:space="preserve">aj 2023 (para hyrjes në fuqi të ligjit 29/2023), të cilët ushtrojnë veprimtari ekonomike për prodhimin apo zhvillimin e </w:t>
            </w:r>
            <w:r w:rsidRPr="00CC11D5">
              <w:rPr>
                <w:rFonts w:ascii="Garamond" w:hAnsi="Garamond" w:cs="Times New Roman"/>
                <w:i/>
                <w:sz w:val="12"/>
                <w:szCs w:val="12"/>
                <w:lang w:val="sq-AL"/>
              </w:rPr>
              <w:t>software</w:t>
            </w:r>
            <w:r w:rsidRPr="00CC11D5">
              <w:rPr>
                <w:rFonts w:ascii="Garamond" w:hAnsi="Garamond" w:cs="Times New Roman"/>
                <w:sz w:val="12"/>
                <w:szCs w:val="12"/>
                <w:lang w:val="sq-AL"/>
              </w:rPr>
              <w:t>-ve, tatimi mbi fitimin me normën 5% do të zbatohet deri më 31 dhjetor 2025.</w:t>
            </w:r>
          </w:p>
        </w:tc>
        <w:tc>
          <w:tcPr>
            <w:tcW w:w="610" w:type="pct"/>
            <w:vAlign w:val="center"/>
          </w:tcPr>
          <w:p w14:paraId="49D7250F" w14:textId="77777777" w:rsidR="00B160C4" w:rsidRPr="00CC11D5" w:rsidRDefault="00B160C4" w:rsidP="009622EB">
            <w:pPr>
              <w:pStyle w:val="TableParagraph"/>
              <w:spacing w:after="0" w:line="240" w:lineRule="auto"/>
              <w:jc w:val="center"/>
              <w:rPr>
                <w:rFonts w:ascii="Garamond" w:hAnsi="Garamond" w:cs="Times New Roman"/>
                <w:sz w:val="12"/>
                <w:szCs w:val="12"/>
                <w:lang w:val="sq-AL"/>
              </w:rPr>
            </w:pPr>
          </w:p>
          <w:p w14:paraId="5DB580FF" w14:textId="5372C641" w:rsidR="00B160C4" w:rsidRPr="00CC11D5" w:rsidRDefault="00B160C4" w:rsidP="009622EB">
            <w:pPr>
              <w:pStyle w:val="TableParagraph"/>
              <w:spacing w:after="0" w:line="240" w:lineRule="auto"/>
              <w:jc w:val="center"/>
              <w:rPr>
                <w:rFonts w:ascii="Garamond" w:hAnsi="Garamond"/>
                <w:sz w:val="12"/>
                <w:szCs w:val="12"/>
                <w:lang w:val="sq-AL"/>
              </w:rPr>
            </w:pPr>
            <w:r w:rsidRPr="00CC11D5">
              <w:rPr>
                <w:rFonts w:ascii="Garamond" w:hAnsi="Garamond"/>
                <w:sz w:val="12"/>
                <w:szCs w:val="12"/>
                <w:lang w:val="sq-AL"/>
              </w:rPr>
              <w:t>5%</w:t>
            </w:r>
          </w:p>
        </w:tc>
        <w:tc>
          <w:tcPr>
            <w:tcW w:w="960" w:type="pct"/>
            <w:vAlign w:val="center"/>
          </w:tcPr>
          <w:p w14:paraId="17229A98" w14:textId="2B6C83C2" w:rsidR="00B160C4" w:rsidRPr="00CC11D5" w:rsidRDefault="00B160C4" w:rsidP="009622EB">
            <w:pPr>
              <w:pStyle w:val="TableParagraph"/>
              <w:spacing w:after="0" w:line="240" w:lineRule="auto"/>
              <w:jc w:val="center"/>
              <w:rPr>
                <w:rFonts w:ascii="Garamond" w:hAnsi="Garamond"/>
                <w:sz w:val="12"/>
                <w:szCs w:val="12"/>
                <w:lang w:val="sq-AL"/>
              </w:rPr>
            </w:pPr>
            <w:r w:rsidRPr="00CC11D5">
              <w:rPr>
                <w:rFonts w:ascii="Garamond" w:hAnsi="Garamond"/>
                <w:sz w:val="12"/>
                <w:szCs w:val="12"/>
                <w:lang w:val="sq-AL"/>
              </w:rPr>
              <w:t>Prodhimi i</w:t>
            </w:r>
            <w:r w:rsidRPr="00CC11D5">
              <w:rPr>
                <w:rFonts w:ascii="Garamond" w:hAnsi="Garamond"/>
                <w:spacing w:val="1"/>
                <w:sz w:val="12"/>
                <w:szCs w:val="12"/>
                <w:lang w:val="sq-AL"/>
              </w:rPr>
              <w:t xml:space="preserve"> </w:t>
            </w:r>
            <w:r w:rsidR="00D22EA5" w:rsidRPr="00CC11D5">
              <w:rPr>
                <w:rFonts w:ascii="Garamond" w:hAnsi="Garamond"/>
                <w:i/>
                <w:spacing w:val="-1"/>
                <w:sz w:val="12"/>
                <w:szCs w:val="12"/>
                <w:lang w:val="sq-AL"/>
              </w:rPr>
              <w:t>software</w:t>
            </w:r>
            <w:r w:rsidRPr="00CC11D5">
              <w:rPr>
                <w:rFonts w:ascii="Garamond" w:hAnsi="Garamond"/>
                <w:spacing w:val="-1"/>
                <w:sz w:val="12"/>
                <w:szCs w:val="12"/>
                <w:lang w:val="sq-AL"/>
              </w:rPr>
              <w:t>-ve</w:t>
            </w:r>
          </w:p>
        </w:tc>
      </w:tr>
      <w:tr w:rsidR="00B160C4" w:rsidRPr="00CC11D5" w14:paraId="32E99903" w14:textId="77777777" w:rsidTr="009622EB">
        <w:trPr>
          <w:trHeight w:val="20"/>
        </w:trPr>
        <w:tc>
          <w:tcPr>
            <w:tcW w:w="3430" w:type="pct"/>
          </w:tcPr>
          <w:p w14:paraId="58C9E5E7" w14:textId="124C89F9" w:rsidR="00B160C4" w:rsidRPr="00CC11D5" w:rsidRDefault="00B160C4" w:rsidP="00B160C4">
            <w:pPr>
              <w:pStyle w:val="TableParagraph"/>
              <w:spacing w:after="0" w:line="240" w:lineRule="auto"/>
              <w:rPr>
                <w:rFonts w:ascii="Garamond" w:hAnsi="Garamond" w:cs="Times New Roman"/>
                <w:sz w:val="12"/>
                <w:szCs w:val="12"/>
                <w:lang w:val="sq-AL"/>
              </w:rPr>
            </w:pPr>
            <w:r w:rsidRPr="00CC11D5">
              <w:rPr>
                <w:rFonts w:ascii="Garamond" w:hAnsi="Garamond" w:cs="Times New Roman"/>
                <w:sz w:val="12"/>
                <w:szCs w:val="12"/>
                <w:lang w:val="sq-AL"/>
              </w:rPr>
              <w:t>Për entitetet të cilat zhvillojnë veprimtari ekonomike sipas ligjit nr. 38/2012</w:t>
            </w:r>
            <w:r w:rsidR="00D22EA5" w:rsidRPr="00CC11D5">
              <w:rPr>
                <w:rFonts w:ascii="Garamond" w:hAnsi="Garamond" w:cs="Times New Roman"/>
                <w:sz w:val="12"/>
                <w:szCs w:val="12"/>
                <w:lang w:val="sq-AL"/>
              </w:rPr>
              <w:t>,</w:t>
            </w:r>
            <w:r w:rsidRPr="00CC11D5">
              <w:rPr>
                <w:rFonts w:ascii="Garamond" w:hAnsi="Garamond" w:cs="Times New Roman"/>
                <w:sz w:val="12"/>
                <w:szCs w:val="12"/>
                <w:lang w:val="sq-AL"/>
              </w:rPr>
              <w:t xml:space="preserve"> </w:t>
            </w:r>
            <w:r w:rsidR="00D22EA5" w:rsidRPr="00CC11D5">
              <w:rPr>
                <w:rFonts w:ascii="Garamond" w:hAnsi="Garamond" w:cs="Times New Roman"/>
                <w:sz w:val="12"/>
                <w:szCs w:val="12"/>
                <w:lang w:val="sq-AL"/>
              </w:rPr>
              <w:t>“</w:t>
            </w:r>
            <w:r w:rsidRPr="00CC11D5">
              <w:rPr>
                <w:rFonts w:ascii="Garamond" w:hAnsi="Garamond" w:cs="Times New Roman"/>
                <w:sz w:val="12"/>
                <w:szCs w:val="12"/>
                <w:lang w:val="sq-AL"/>
              </w:rPr>
              <w:t>Për shoqëritë e bashkëpunimit bujqësor</w:t>
            </w:r>
            <w:r w:rsidR="00D22EA5" w:rsidRPr="00CC11D5">
              <w:rPr>
                <w:rFonts w:ascii="Garamond" w:hAnsi="Garamond" w:cs="Times New Roman"/>
                <w:sz w:val="12"/>
                <w:szCs w:val="12"/>
                <w:lang w:val="sq-AL"/>
              </w:rPr>
              <w:t>”</w:t>
            </w:r>
            <w:r w:rsidRPr="00CC11D5">
              <w:rPr>
                <w:rFonts w:ascii="Garamond" w:hAnsi="Garamond" w:cs="Times New Roman"/>
                <w:sz w:val="12"/>
                <w:szCs w:val="12"/>
                <w:lang w:val="sq-AL"/>
              </w:rPr>
              <w:t>, shkalla e tatimit mbi të ardhurat në normën 5% do të zbatohet deri më 31 dhjetor 2029.</w:t>
            </w:r>
          </w:p>
        </w:tc>
        <w:tc>
          <w:tcPr>
            <w:tcW w:w="610" w:type="pct"/>
            <w:vAlign w:val="center"/>
          </w:tcPr>
          <w:p w14:paraId="5485A95B" w14:textId="77777777" w:rsidR="00B160C4" w:rsidRPr="00CC11D5" w:rsidRDefault="00B160C4" w:rsidP="009622EB">
            <w:pPr>
              <w:pStyle w:val="TableParagraph"/>
              <w:spacing w:after="0" w:line="240" w:lineRule="auto"/>
              <w:jc w:val="center"/>
              <w:rPr>
                <w:rFonts w:ascii="Garamond" w:hAnsi="Garamond" w:cs="Times New Roman"/>
                <w:sz w:val="12"/>
                <w:szCs w:val="12"/>
                <w:lang w:val="sq-AL"/>
              </w:rPr>
            </w:pPr>
          </w:p>
          <w:p w14:paraId="26BEEB1E" w14:textId="752C80A7" w:rsidR="00B160C4" w:rsidRPr="00CC11D5" w:rsidRDefault="00B160C4" w:rsidP="009622EB">
            <w:pPr>
              <w:pStyle w:val="TableParagraph"/>
              <w:spacing w:after="0" w:line="240" w:lineRule="auto"/>
              <w:jc w:val="center"/>
              <w:rPr>
                <w:rFonts w:ascii="Garamond" w:hAnsi="Garamond"/>
                <w:sz w:val="12"/>
                <w:szCs w:val="12"/>
                <w:lang w:val="sq-AL"/>
              </w:rPr>
            </w:pPr>
            <w:r w:rsidRPr="00CC11D5">
              <w:rPr>
                <w:rFonts w:ascii="Garamond" w:hAnsi="Garamond"/>
                <w:sz w:val="12"/>
                <w:szCs w:val="12"/>
                <w:lang w:val="sq-AL"/>
              </w:rPr>
              <w:t>5%</w:t>
            </w:r>
          </w:p>
        </w:tc>
        <w:tc>
          <w:tcPr>
            <w:tcW w:w="960" w:type="pct"/>
            <w:vAlign w:val="center"/>
          </w:tcPr>
          <w:p w14:paraId="054E9653" w14:textId="77777777" w:rsidR="00B160C4" w:rsidRPr="00CC11D5" w:rsidRDefault="00B160C4" w:rsidP="009622EB">
            <w:pPr>
              <w:pStyle w:val="TableParagraph"/>
              <w:spacing w:after="0" w:line="240" w:lineRule="auto"/>
              <w:jc w:val="center"/>
              <w:rPr>
                <w:rFonts w:ascii="Garamond" w:hAnsi="Garamond"/>
                <w:sz w:val="12"/>
                <w:szCs w:val="12"/>
                <w:lang w:val="sq-AL"/>
              </w:rPr>
            </w:pPr>
            <w:r w:rsidRPr="00CC11D5">
              <w:rPr>
                <w:rFonts w:ascii="Garamond" w:hAnsi="Garamond"/>
                <w:sz w:val="12"/>
                <w:szCs w:val="12"/>
                <w:lang w:val="sq-AL"/>
              </w:rPr>
              <w:t>Sektori</w:t>
            </w:r>
            <w:r w:rsidRPr="00CC11D5">
              <w:rPr>
                <w:rFonts w:ascii="Garamond" w:hAnsi="Garamond"/>
                <w:spacing w:val="1"/>
                <w:sz w:val="12"/>
                <w:szCs w:val="12"/>
                <w:lang w:val="sq-AL"/>
              </w:rPr>
              <w:t xml:space="preserve"> </w:t>
            </w:r>
            <w:r w:rsidRPr="00CC11D5">
              <w:rPr>
                <w:rFonts w:ascii="Garamond" w:hAnsi="Garamond"/>
                <w:sz w:val="12"/>
                <w:szCs w:val="12"/>
                <w:lang w:val="sq-AL"/>
              </w:rPr>
              <w:t>Bujqësor</w:t>
            </w:r>
          </w:p>
        </w:tc>
      </w:tr>
      <w:tr w:rsidR="00B160C4" w:rsidRPr="00CC11D5" w14:paraId="48D9A4AF" w14:textId="77777777" w:rsidTr="009622EB">
        <w:trPr>
          <w:trHeight w:val="20"/>
        </w:trPr>
        <w:tc>
          <w:tcPr>
            <w:tcW w:w="3430" w:type="pct"/>
          </w:tcPr>
          <w:p w14:paraId="469FDE08" w14:textId="009F9844" w:rsidR="00B160C4" w:rsidRPr="00CC11D5" w:rsidRDefault="00B160C4" w:rsidP="00B160C4">
            <w:pPr>
              <w:pStyle w:val="TableParagraph"/>
              <w:spacing w:after="0" w:line="240" w:lineRule="auto"/>
              <w:rPr>
                <w:rFonts w:ascii="Garamond" w:hAnsi="Garamond" w:cs="Times New Roman"/>
                <w:sz w:val="12"/>
                <w:szCs w:val="12"/>
                <w:lang w:val="sq-AL"/>
              </w:rPr>
            </w:pPr>
            <w:r w:rsidRPr="00CC11D5">
              <w:rPr>
                <w:rFonts w:ascii="Garamond" w:hAnsi="Garamond" w:cs="Times New Roman"/>
                <w:sz w:val="12"/>
                <w:szCs w:val="12"/>
                <w:lang w:val="sq-AL"/>
              </w:rPr>
              <w:t xml:space="preserve">Për personat të cilët zhvillojnë veprimtari pritëse të certifikuar si </w:t>
            </w:r>
            <w:r w:rsidR="00D22EA5" w:rsidRPr="00CC11D5">
              <w:rPr>
                <w:rFonts w:ascii="Garamond" w:hAnsi="Garamond" w:cs="Times New Roman"/>
                <w:sz w:val="12"/>
                <w:szCs w:val="12"/>
                <w:lang w:val="sq-AL"/>
              </w:rPr>
              <w:t>“</w:t>
            </w:r>
            <w:r w:rsidRPr="00CC11D5">
              <w:rPr>
                <w:rFonts w:ascii="Garamond" w:hAnsi="Garamond" w:cs="Times New Roman"/>
                <w:sz w:val="12"/>
                <w:szCs w:val="12"/>
                <w:lang w:val="sq-AL"/>
              </w:rPr>
              <w:t>agroturizëm</w:t>
            </w:r>
            <w:r w:rsidR="00D22EA5" w:rsidRPr="00CC11D5">
              <w:rPr>
                <w:rFonts w:ascii="Garamond" w:hAnsi="Garamond" w:cs="Times New Roman"/>
                <w:sz w:val="12"/>
                <w:szCs w:val="12"/>
                <w:lang w:val="sq-AL"/>
              </w:rPr>
              <w:t>”</w:t>
            </w:r>
            <w:r w:rsidR="00D737A4" w:rsidRPr="00CC11D5">
              <w:rPr>
                <w:rFonts w:ascii="Garamond" w:hAnsi="Garamond" w:cs="Times New Roman"/>
                <w:sz w:val="12"/>
                <w:szCs w:val="12"/>
                <w:lang w:val="sq-AL"/>
              </w:rPr>
              <w:t>,</w:t>
            </w:r>
            <w:r w:rsidRPr="00CC11D5">
              <w:rPr>
                <w:rFonts w:ascii="Garamond" w:hAnsi="Garamond" w:cs="Times New Roman"/>
                <w:sz w:val="12"/>
                <w:szCs w:val="12"/>
                <w:lang w:val="sq-AL"/>
              </w:rPr>
              <w:t xml:space="preserve"> sipas legjislacionit në fuqi në fushën e turizmit, shkalla e tatimit mbi të ardhurat 5% do të zbatohet deri më 31 dhjetor 2029.</w:t>
            </w:r>
          </w:p>
        </w:tc>
        <w:tc>
          <w:tcPr>
            <w:tcW w:w="610" w:type="pct"/>
            <w:vAlign w:val="center"/>
          </w:tcPr>
          <w:p w14:paraId="7E15BFDB" w14:textId="77777777" w:rsidR="00B160C4" w:rsidRPr="00CC11D5" w:rsidRDefault="00B160C4" w:rsidP="009622EB">
            <w:pPr>
              <w:pStyle w:val="TableParagraph"/>
              <w:spacing w:after="0" w:line="240" w:lineRule="auto"/>
              <w:jc w:val="center"/>
              <w:rPr>
                <w:rFonts w:ascii="Garamond" w:hAnsi="Garamond" w:cs="Times New Roman"/>
                <w:sz w:val="12"/>
                <w:szCs w:val="12"/>
                <w:lang w:val="sq-AL"/>
              </w:rPr>
            </w:pPr>
          </w:p>
          <w:p w14:paraId="236E246E" w14:textId="47508D17" w:rsidR="00B160C4" w:rsidRPr="00CC11D5" w:rsidRDefault="00B160C4" w:rsidP="009622EB">
            <w:pPr>
              <w:pStyle w:val="TableParagraph"/>
              <w:spacing w:after="0" w:line="240" w:lineRule="auto"/>
              <w:jc w:val="center"/>
              <w:rPr>
                <w:rFonts w:ascii="Garamond" w:hAnsi="Garamond"/>
                <w:sz w:val="12"/>
                <w:szCs w:val="12"/>
                <w:lang w:val="sq-AL"/>
              </w:rPr>
            </w:pPr>
            <w:r w:rsidRPr="00CC11D5">
              <w:rPr>
                <w:rFonts w:ascii="Garamond" w:hAnsi="Garamond"/>
                <w:sz w:val="12"/>
                <w:szCs w:val="12"/>
                <w:lang w:val="sq-AL"/>
              </w:rPr>
              <w:t>5%</w:t>
            </w:r>
          </w:p>
        </w:tc>
        <w:tc>
          <w:tcPr>
            <w:tcW w:w="960" w:type="pct"/>
            <w:vAlign w:val="center"/>
          </w:tcPr>
          <w:p w14:paraId="53784AC7" w14:textId="77777777" w:rsidR="00B160C4" w:rsidRPr="00CC11D5" w:rsidRDefault="00B160C4" w:rsidP="009622EB">
            <w:pPr>
              <w:pStyle w:val="TableParagraph"/>
              <w:spacing w:after="0" w:line="240" w:lineRule="auto"/>
              <w:jc w:val="center"/>
              <w:rPr>
                <w:rFonts w:ascii="Garamond" w:hAnsi="Garamond"/>
                <w:sz w:val="12"/>
                <w:szCs w:val="12"/>
                <w:lang w:val="sq-AL"/>
              </w:rPr>
            </w:pPr>
            <w:r w:rsidRPr="00CC11D5">
              <w:rPr>
                <w:rFonts w:ascii="Garamond" w:hAnsi="Garamond"/>
                <w:sz w:val="12"/>
                <w:szCs w:val="12"/>
                <w:lang w:val="sq-AL"/>
              </w:rPr>
              <w:t>Sektori i</w:t>
            </w:r>
            <w:r w:rsidRPr="00CC11D5">
              <w:rPr>
                <w:rFonts w:ascii="Garamond" w:hAnsi="Garamond"/>
                <w:spacing w:val="-42"/>
                <w:sz w:val="12"/>
                <w:szCs w:val="12"/>
                <w:lang w:val="sq-AL"/>
              </w:rPr>
              <w:t xml:space="preserve"> t</w:t>
            </w:r>
            <w:r w:rsidRPr="00CC11D5">
              <w:rPr>
                <w:rFonts w:ascii="Garamond" w:hAnsi="Garamond"/>
                <w:sz w:val="12"/>
                <w:szCs w:val="12"/>
                <w:lang w:val="sq-AL"/>
              </w:rPr>
              <w:t>urizmit</w:t>
            </w:r>
          </w:p>
        </w:tc>
      </w:tr>
      <w:tr w:rsidR="00B160C4" w:rsidRPr="00CC11D5" w14:paraId="707E2D51" w14:textId="77777777" w:rsidTr="009622EB">
        <w:trPr>
          <w:trHeight w:val="20"/>
        </w:trPr>
        <w:tc>
          <w:tcPr>
            <w:tcW w:w="3430" w:type="pct"/>
          </w:tcPr>
          <w:p w14:paraId="608FB918" w14:textId="05A1161D" w:rsidR="00B160C4" w:rsidRPr="00CC11D5" w:rsidRDefault="00B160C4" w:rsidP="00B160C4">
            <w:pPr>
              <w:pStyle w:val="TableParagraph"/>
              <w:spacing w:after="0" w:line="240" w:lineRule="auto"/>
              <w:rPr>
                <w:rFonts w:ascii="Garamond" w:hAnsi="Garamond" w:cs="Times New Roman"/>
                <w:sz w:val="12"/>
                <w:szCs w:val="12"/>
                <w:lang w:val="sq-AL"/>
              </w:rPr>
            </w:pPr>
            <w:r w:rsidRPr="00CC11D5">
              <w:rPr>
                <w:rFonts w:ascii="Garamond" w:hAnsi="Garamond" w:cs="Times New Roman"/>
                <w:sz w:val="12"/>
                <w:szCs w:val="12"/>
                <w:lang w:val="sq-AL"/>
              </w:rPr>
              <w:t>Për entitetet të cilat ushtrojnë veprimtari ekonomike në industrinë automotive, shkalla e tatimit mbi të ardhurat 5% do të zbatohet deri më 31 dhjetor 2029.</w:t>
            </w:r>
          </w:p>
        </w:tc>
        <w:tc>
          <w:tcPr>
            <w:tcW w:w="610" w:type="pct"/>
            <w:vAlign w:val="center"/>
          </w:tcPr>
          <w:p w14:paraId="04BCC0AA" w14:textId="77777777" w:rsidR="00B160C4" w:rsidRPr="00CC11D5" w:rsidRDefault="00B160C4" w:rsidP="009622EB">
            <w:pPr>
              <w:pStyle w:val="TableParagraph"/>
              <w:spacing w:after="0" w:line="240" w:lineRule="auto"/>
              <w:jc w:val="center"/>
              <w:rPr>
                <w:rFonts w:ascii="Garamond" w:hAnsi="Garamond" w:cs="Times New Roman"/>
                <w:sz w:val="12"/>
                <w:szCs w:val="12"/>
                <w:lang w:val="sq-AL"/>
              </w:rPr>
            </w:pPr>
          </w:p>
          <w:p w14:paraId="5837DF4C" w14:textId="78418019" w:rsidR="00B160C4" w:rsidRPr="00CC11D5" w:rsidRDefault="00B160C4" w:rsidP="009622EB">
            <w:pPr>
              <w:pStyle w:val="TableParagraph"/>
              <w:spacing w:after="0" w:line="240" w:lineRule="auto"/>
              <w:jc w:val="center"/>
              <w:rPr>
                <w:rFonts w:ascii="Garamond" w:hAnsi="Garamond"/>
                <w:sz w:val="12"/>
                <w:szCs w:val="12"/>
                <w:lang w:val="sq-AL"/>
              </w:rPr>
            </w:pPr>
            <w:r w:rsidRPr="00CC11D5">
              <w:rPr>
                <w:rFonts w:ascii="Garamond" w:hAnsi="Garamond"/>
                <w:sz w:val="12"/>
                <w:szCs w:val="12"/>
                <w:lang w:val="sq-AL"/>
              </w:rPr>
              <w:t>5%</w:t>
            </w:r>
          </w:p>
        </w:tc>
        <w:tc>
          <w:tcPr>
            <w:tcW w:w="960" w:type="pct"/>
            <w:vAlign w:val="center"/>
          </w:tcPr>
          <w:p w14:paraId="727E4085" w14:textId="77777777" w:rsidR="00B160C4" w:rsidRPr="00CC11D5" w:rsidRDefault="00B160C4" w:rsidP="009622EB">
            <w:pPr>
              <w:pStyle w:val="TableParagraph"/>
              <w:spacing w:after="0" w:line="240" w:lineRule="auto"/>
              <w:jc w:val="center"/>
              <w:rPr>
                <w:rFonts w:ascii="Garamond" w:hAnsi="Garamond"/>
                <w:sz w:val="12"/>
                <w:szCs w:val="12"/>
                <w:lang w:val="sq-AL"/>
              </w:rPr>
            </w:pPr>
            <w:r w:rsidRPr="00CC11D5">
              <w:rPr>
                <w:rFonts w:ascii="Garamond" w:hAnsi="Garamond"/>
                <w:sz w:val="12"/>
                <w:szCs w:val="12"/>
                <w:lang w:val="sq-AL"/>
              </w:rPr>
              <w:t>Industria</w:t>
            </w:r>
            <w:r w:rsidRPr="00CC11D5">
              <w:rPr>
                <w:rFonts w:ascii="Garamond" w:hAnsi="Garamond"/>
                <w:spacing w:val="1"/>
                <w:sz w:val="12"/>
                <w:szCs w:val="12"/>
                <w:lang w:val="sq-AL"/>
              </w:rPr>
              <w:t xml:space="preserve"> </w:t>
            </w:r>
            <w:r w:rsidRPr="00CC11D5">
              <w:rPr>
                <w:rFonts w:ascii="Garamond" w:hAnsi="Garamond"/>
                <w:spacing w:val="-1"/>
                <w:sz w:val="12"/>
                <w:szCs w:val="12"/>
                <w:lang w:val="sq-AL"/>
              </w:rPr>
              <w:t>Automative</w:t>
            </w:r>
          </w:p>
        </w:tc>
      </w:tr>
      <w:tr w:rsidR="00B160C4" w:rsidRPr="00CC11D5" w14:paraId="1345AB35" w14:textId="77777777" w:rsidTr="009622EB">
        <w:trPr>
          <w:trHeight w:val="20"/>
        </w:trPr>
        <w:tc>
          <w:tcPr>
            <w:tcW w:w="3430" w:type="pct"/>
          </w:tcPr>
          <w:p w14:paraId="339D7822" w14:textId="06F7B164" w:rsidR="00B160C4" w:rsidRPr="00CC11D5" w:rsidRDefault="00B160C4" w:rsidP="00B160C4">
            <w:pPr>
              <w:pStyle w:val="TableParagraph"/>
              <w:spacing w:after="0" w:line="240" w:lineRule="auto"/>
              <w:rPr>
                <w:rFonts w:ascii="Garamond" w:hAnsi="Garamond" w:cs="Times New Roman"/>
                <w:sz w:val="12"/>
                <w:szCs w:val="12"/>
                <w:lang w:val="sq-AL"/>
              </w:rPr>
            </w:pPr>
            <w:r w:rsidRPr="00CC11D5">
              <w:rPr>
                <w:rFonts w:ascii="Garamond" w:hAnsi="Garamond" w:cs="Times New Roman"/>
                <w:sz w:val="12"/>
                <w:szCs w:val="12"/>
                <w:lang w:val="sq-AL"/>
              </w:rPr>
              <w:t>Personat</w:t>
            </w:r>
            <w:r w:rsidRPr="00CC11D5">
              <w:rPr>
                <w:rFonts w:ascii="Garamond" w:hAnsi="Garamond" w:cs="Times New Roman"/>
                <w:spacing w:val="-2"/>
                <w:sz w:val="12"/>
                <w:szCs w:val="12"/>
                <w:lang w:val="sq-AL"/>
              </w:rPr>
              <w:t xml:space="preserve"> </w:t>
            </w:r>
            <w:r w:rsidRPr="00CC11D5">
              <w:rPr>
                <w:rFonts w:ascii="Garamond" w:hAnsi="Garamond" w:cs="Times New Roman"/>
                <w:sz w:val="12"/>
                <w:szCs w:val="12"/>
                <w:lang w:val="sq-AL"/>
              </w:rPr>
              <w:t>juridikë</w:t>
            </w:r>
            <w:r w:rsidRPr="00CC11D5">
              <w:rPr>
                <w:rFonts w:ascii="Garamond" w:hAnsi="Garamond" w:cs="Times New Roman"/>
                <w:spacing w:val="-4"/>
                <w:sz w:val="12"/>
                <w:szCs w:val="12"/>
                <w:lang w:val="sq-AL"/>
              </w:rPr>
              <w:t xml:space="preserve"> </w:t>
            </w:r>
            <w:r w:rsidRPr="00CC11D5">
              <w:rPr>
                <w:rFonts w:ascii="Garamond" w:hAnsi="Garamond" w:cs="Times New Roman"/>
                <w:sz w:val="12"/>
                <w:szCs w:val="12"/>
                <w:lang w:val="sq-AL"/>
              </w:rPr>
              <w:t>që</w:t>
            </w:r>
            <w:r w:rsidRPr="00CC11D5">
              <w:rPr>
                <w:rFonts w:ascii="Garamond" w:hAnsi="Garamond" w:cs="Times New Roman"/>
                <w:spacing w:val="-5"/>
                <w:sz w:val="12"/>
                <w:szCs w:val="12"/>
                <w:lang w:val="sq-AL"/>
              </w:rPr>
              <w:t xml:space="preserve"> </w:t>
            </w:r>
            <w:r w:rsidRPr="00CC11D5">
              <w:rPr>
                <w:rFonts w:ascii="Garamond" w:hAnsi="Garamond" w:cs="Times New Roman"/>
                <w:sz w:val="12"/>
                <w:szCs w:val="12"/>
                <w:lang w:val="sq-AL"/>
              </w:rPr>
              <w:t>ushtrojnë</w:t>
            </w:r>
            <w:r w:rsidRPr="00CC11D5">
              <w:rPr>
                <w:rFonts w:ascii="Garamond" w:hAnsi="Garamond" w:cs="Times New Roman"/>
                <w:spacing w:val="-4"/>
                <w:sz w:val="12"/>
                <w:szCs w:val="12"/>
                <w:lang w:val="sq-AL"/>
              </w:rPr>
              <w:t xml:space="preserve"> </w:t>
            </w:r>
            <w:r w:rsidRPr="00CC11D5">
              <w:rPr>
                <w:rFonts w:ascii="Garamond" w:hAnsi="Garamond" w:cs="Times New Roman"/>
                <w:sz w:val="12"/>
                <w:szCs w:val="12"/>
                <w:lang w:val="sq-AL"/>
              </w:rPr>
              <w:t>vetëm</w:t>
            </w:r>
            <w:r w:rsidRPr="00CC11D5">
              <w:rPr>
                <w:rFonts w:ascii="Garamond" w:hAnsi="Garamond" w:cs="Times New Roman"/>
                <w:spacing w:val="-7"/>
                <w:sz w:val="12"/>
                <w:szCs w:val="12"/>
                <w:lang w:val="sq-AL"/>
              </w:rPr>
              <w:t xml:space="preserve"> </w:t>
            </w:r>
            <w:r w:rsidRPr="00CC11D5">
              <w:rPr>
                <w:rFonts w:ascii="Garamond" w:hAnsi="Garamond" w:cs="Times New Roman"/>
                <w:sz w:val="12"/>
                <w:szCs w:val="12"/>
                <w:lang w:val="sq-AL"/>
              </w:rPr>
              <w:t>veprimtari</w:t>
            </w:r>
            <w:r w:rsidRPr="00CC11D5">
              <w:rPr>
                <w:rFonts w:ascii="Garamond" w:hAnsi="Garamond" w:cs="Times New Roman"/>
                <w:spacing w:val="-2"/>
                <w:sz w:val="12"/>
                <w:szCs w:val="12"/>
                <w:lang w:val="sq-AL"/>
              </w:rPr>
              <w:t xml:space="preserve"> </w:t>
            </w:r>
            <w:r w:rsidRPr="00CC11D5">
              <w:rPr>
                <w:rFonts w:ascii="Garamond" w:hAnsi="Garamond" w:cs="Times New Roman"/>
                <w:sz w:val="12"/>
                <w:szCs w:val="12"/>
                <w:lang w:val="sq-AL"/>
              </w:rPr>
              <w:t>të</w:t>
            </w:r>
            <w:r w:rsidRPr="00CC11D5">
              <w:rPr>
                <w:rFonts w:ascii="Garamond" w:hAnsi="Garamond" w:cs="Times New Roman"/>
                <w:spacing w:val="-4"/>
                <w:sz w:val="12"/>
                <w:szCs w:val="12"/>
                <w:lang w:val="sq-AL"/>
              </w:rPr>
              <w:t xml:space="preserve"> </w:t>
            </w:r>
            <w:r w:rsidRPr="00CC11D5">
              <w:rPr>
                <w:rFonts w:ascii="Garamond" w:hAnsi="Garamond" w:cs="Times New Roman"/>
                <w:sz w:val="12"/>
                <w:szCs w:val="12"/>
                <w:lang w:val="sq-AL"/>
              </w:rPr>
              <w:t>karakterit</w:t>
            </w:r>
            <w:r w:rsidRPr="00CC11D5">
              <w:rPr>
                <w:rFonts w:ascii="Garamond" w:hAnsi="Garamond" w:cs="Times New Roman"/>
                <w:spacing w:val="-2"/>
                <w:sz w:val="12"/>
                <w:szCs w:val="12"/>
                <w:lang w:val="sq-AL"/>
              </w:rPr>
              <w:t xml:space="preserve"> </w:t>
            </w:r>
            <w:r w:rsidRPr="00CC11D5">
              <w:rPr>
                <w:rFonts w:ascii="Garamond" w:hAnsi="Garamond" w:cs="Times New Roman"/>
                <w:sz w:val="12"/>
                <w:szCs w:val="12"/>
                <w:lang w:val="sq-AL"/>
              </w:rPr>
              <w:t>fetar,</w:t>
            </w:r>
            <w:r w:rsidRPr="00CC11D5">
              <w:rPr>
                <w:rFonts w:ascii="Garamond" w:hAnsi="Garamond" w:cs="Times New Roman"/>
                <w:spacing w:val="-2"/>
                <w:sz w:val="12"/>
                <w:szCs w:val="12"/>
                <w:lang w:val="sq-AL"/>
              </w:rPr>
              <w:t xml:space="preserve"> </w:t>
            </w:r>
            <w:r w:rsidRPr="00CC11D5">
              <w:rPr>
                <w:rFonts w:ascii="Garamond" w:hAnsi="Garamond" w:cs="Times New Roman"/>
                <w:sz w:val="12"/>
                <w:szCs w:val="12"/>
                <w:lang w:val="sq-AL"/>
              </w:rPr>
              <w:t>humanitar,</w:t>
            </w:r>
            <w:r w:rsidRPr="00CC11D5">
              <w:rPr>
                <w:rFonts w:ascii="Garamond" w:hAnsi="Garamond" w:cs="Times New Roman"/>
                <w:spacing w:val="-2"/>
                <w:sz w:val="12"/>
                <w:szCs w:val="12"/>
                <w:lang w:val="sq-AL"/>
              </w:rPr>
              <w:t xml:space="preserve"> </w:t>
            </w:r>
            <w:r w:rsidRPr="00CC11D5">
              <w:rPr>
                <w:rFonts w:ascii="Garamond" w:hAnsi="Garamond" w:cs="Times New Roman"/>
                <w:sz w:val="12"/>
                <w:szCs w:val="12"/>
                <w:lang w:val="sq-AL"/>
              </w:rPr>
              <w:t>bamirës,</w:t>
            </w:r>
            <w:r w:rsidRPr="00CC11D5">
              <w:rPr>
                <w:rFonts w:ascii="Garamond" w:hAnsi="Garamond" w:cs="Times New Roman"/>
                <w:spacing w:val="-2"/>
                <w:sz w:val="12"/>
                <w:szCs w:val="12"/>
                <w:lang w:val="sq-AL"/>
              </w:rPr>
              <w:t xml:space="preserve"> </w:t>
            </w:r>
            <w:r w:rsidRPr="00CC11D5">
              <w:rPr>
                <w:rFonts w:ascii="Garamond" w:hAnsi="Garamond" w:cs="Times New Roman"/>
                <w:sz w:val="12"/>
                <w:szCs w:val="12"/>
                <w:lang w:val="sq-AL"/>
              </w:rPr>
              <w:t>shkencor</w:t>
            </w:r>
            <w:r w:rsidR="00D22EA5" w:rsidRPr="00CC11D5">
              <w:rPr>
                <w:rFonts w:ascii="Garamond" w:hAnsi="Garamond" w:cs="Times New Roman"/>
                <w:sz w:val="12"/>
                <w:szCs w:val="12"/>
                <w:lang w:val="sq-AL"/>
              </w:rPr>
              <w:t xml:space="preserve"> </w:t>
            </w:r>
            <w:r w:rsidRPr="00CC11D5">
              <w:rPr>
                <w:rFonts w:ascii="Garamond" w:hAnsi="Garamond" w:cs="Times New Roman"/>
                <w:sz w:val="12"/>
                <w:szCs w:val="12"/>
                <w:lang w:val="sq-AL"/>
              </w:rPr>
              <w:t>apo</w:t>
            </w:r>
            <w:r w:rsidRPr="00CC11D5">
              <w:rPr>
                <w:rFonts w:ascii="Garamond" w:hAnsi="Garamond" w:cs="Times New Roman"/>
                <w:spacing w:val="-3"/>
                <w:sz w:val="12"/>
                <w:szCs w:val="12"/>
                <w:lang w:val="sq-AL"/>
              </w:rPr>
              <w:t xml:space="preserve"> </w:t>
            </w:r>
            <w:r w:rsidRPr="00CC11D5">
              <w:rPr>
                <w:rFonts w:ascii="Garamond" w:hAnsi="Garamond" w:cs="Times New Roman"/>
                <w:sz w:val="12"/>
                <w:szCs w:val="12"/>
                <w:lang w:val="sq-AL"/>
              </w:rPr>
              <w:t>edukativ, pasuria</w:t>
            </w:r>
            <w:r w:rsidRPr="00CC11D5">
              <w:rPr>
                <w:rFonts w:ascii="Garamond" w:hAnsi="Garamond" w:cs="Times New Roman"/>
                <w:spacing w:val="-1"/>
                <w:sz w:val="12"/>
                <w:szCs w:val="12"/>
                <w:lang w:val="sq-AL"/>
              </w:rPr>
              <w:t xml:space="preserve"> </w:t>
            </w:r>
            <w:r w:rsidRPr="00CC11D5">
              <w:rPr>
                <w:rFonts w:ascii="Garamond" w:hAnsi="Garamond" w:cs="Times New Roman"/>
                <w:sz w:val="12"/>
                <w:szCs w:val="12"/>
                <w:lang w:val="sq-AL"/>
              </w:rPr>
              <w:t>apo</w:t>
            </w:r>
            <w:r w:rsidRPr="00CC11D5">
              <w:rPr>
                <w:rFonts w:ascii="Garamond" w:hAnsi="Garamond" w:cs="Times New Roman"/>
                <w:spacing w:val="-3"/>
                <w:sz w:val="12"/>
                <w:szCs w:val="12"/>
                <w:lang w:val="sq-AL"/>
              </w:rPr>
              <w:t xml:space="preserve"> </w:t>
            </w:r>
            <w:r w:rsidRPr="00CC11D5">
              <w:rPr>
                <w:rFonts w:ascii="Garamond" w:hAnsi="Garamond" w:cs="Times New Roman"/>
                <w:sz w:val="12"/>
                <w:szCs w:val="12"/>
                <w:lang w:val="sq-AL"/>
              </w:rPr>
              <w:t>fitimi</w:t>
            </w:r>
            <w:r w:rsidRPr="00CC11D5">
              <w:rPr>
                <w:rFonts w:ascii="Garamond" w:hAnsi="Garamond" w:cs="Times New Roman"/>
                <w:spacing w:val="-1"/>
                <w:sz w:val="12"/>
                <w:szCs w:val="12"/>
                <w:lang w:val="sq-AL"/>
              </w:rPr>
              <w:t xml:space="preserve"> </w:t>
            </w:r>
            <w:r w:rsidRPr="00CC11D5">
              <w:rPr>
                <w:rFonts w:ascii="Garamond" w:hAnsi="Garamond" w:cs="Times New Roman"/>
                <w:sz w:val="12"/>
                <w:szCs w:val="12"/>
                <w:lang w:val="sq-AL"/>
              </w:rPr>
              <w:t>i</w:t>
            </w:r>
            <w:r w:rsidRPr="00CC11D5">
              <w:rPr>
                <w:rFonts w:ascii="Garamond" w:hAnsi="Garamond" w:cs="Times New Roman"/>
                <w:spacing w:val="-5"/>
                <w:sz w:val="12"/>
                <w:szCs w:val="12"/>
                <w:lang w:val="sq-AL"/>
              </w:rPr>
              <w:t xml:space="preserve"> </w:t>
            </w:r>
            <w:r w:rsidRPr="00CC11D5">
              <w:rPr>
                <w:rFonts w:ascii="Garamond" w:hAnsi="Garamond" w:cs="Times New Roman"/>
                <w:sz w:val="12"/>
                <w:szCs w:val="12"/>
                <w:lang w:val="sq-AL"/>
              </w:rPr>
              <w:t>të</w:t>
            </w:r>
            <w:r w:rsidRPr="00CC11D5">
              <w:rPr>
                <w:rFonts w:ascii="Garamond" w:hAnsi="Garamond" w:cs="Times New Roman"/>
                <w:spacing w:val="-3"/>
                <w:sz w:val="12"/>
                <w:szCs w:val="12"/>
                <w:lang w:val="sq-AL"/>
              </w:rPr>
              <w:t xml:space="preserve"> </w:t>
            </w:r>
            <w:r w:rsidRPr="00CC11D5">
              <w:rPr>
                <w:rFonts w:ascii="Garamond" w:hAnsi="Garamond" w:cs="Times New Roman"/>
                <w:sz w:val="12"/>
                <w:szCs w:val="12"/>
                <w:lang w:val="sq-AL"/>
              </w:rPr>
              <w:t>cilëve</w:t>
            </w:r>
            <w:r w:rsidRPr="00CC11D5">
              <w:rPr>
                <w:rFonts w:ascii="Garamond" w:hAnsi="Garamond" w:cs="Times New Roman"/>
                <w:spacing w:val="-1"/>
                <w:sz w:val="12"/>
                <w:szCs w:val="12"/>
                <w:lang w:val="sq-AL"/>
              </w:rPr>
              <w:t xml:space="preserve"> </w:t>
            </w:r>
            <w:r w:rsidRPr="00CC11D5">
              <w:rPr>
                <w:rFonts w:ascii="Garamond" w:hAnsi="Garamond" w:cs="Times New Roman"/>
                <w:sz w:val="12"/>
                <w:szCs w:val="12"/>
                <w:lang w:val="sq-AL"/>
              </w:rPr>
              <w:t>nuk</w:t>
            </w:r>
            <w:r w:rsidRPr="00CC11D5">
              <w:rPr>
                <w:rFonts w:ascii="Garamond" w:hAnsi="Garamond" w:cs="Times New Roman"/>
                <w:spacing w:val="-2"/>
                <w:sz w:val="12"/>
                <w:szCs w:val="12"/>
                <w:lang w:val="sq-AL"/>
              </w:rPr>
              <w:t xml:space="preserve"> </w:t>
            </w:r>
            <w:r w:rsidRPr="00CC11D5">
              <w:rPr>
                <w:rFonts w:ascii="Garamond" w:hAnsi="Garamond" w:cs="Times New Roman"/>
                <w:sz w:val="12"/>
                <w:szCs w:val="12"/>
                <w:lang w:val="sq-AL"/>
              </w:rPr>
              <w:t>përdoret për</w:t>
            </w:r>
            <w:r w:rsidRPr="00CC11D5">
              <w:rPr>
                <w:rFonts w:ascii="Garamond" w:hAnsi="Garamond" w:cs="Times New Roman"/>
                <w:spacing w:val="-2"/>
                <w:sz w:val="12"/>
                <w:szCs w:val="12"/>
                <w:lang w:val="sq-AL"/>
              </w:rPr>
              <w:t xml:space="preserve"> </w:t>
            </w:r>
            <w:r w:rsidRPr="00CC11D5">
              <w:rPr>
                <w:rFonts w:ascii="Garamond" w:hAnsi="Garamond" w:cs="Times New Roman"/>
                <w:sz w:val="12"/>
                <w:szCs w:val="12"/>
                <w:lang w:val="sq-AL"/>
              </w:rPr>
              <w:t>përfitimin</w:t>
            </w:r>
            <w:r w:rsidRPr="00CC11D5">
              <w:rPr>
                <w:rFonts w:ascii="Garamond" w:hAnsi="Garamond" w:cs="Times New Roman"/>
                <w:spacing w:val="-1"/>
                <w:sz w:val="12"/>
                <w:szCs w:val="12"/>
                <w:lang w:val="sq-AL"/>
              </w:rPr>
              <w:t xml:space="preserve"> </w:t>
            </w:r>
            <w:r w:rsidRPr="00CC11D5">
              <w:rPr>
                <w:rFonts w:ascii="Garamond" w:hAnsi="Garamond" w:cs="Times New Roman"/>
                <w:sz w:val="12"/>
                <w:szCs w:val="12"/>
                <w:lang w:val="sq-AL"/>
              </w:rPr>
              <w:t>e</w:t>
            </w:r>
            <w:r w:rsidRPr="00CC11D5">
              <w:rPr>
                <w:rFonts w:ascii="Garamond" w:hAnsi="Garamond" w:cs="Times New Roman"/>
                <w:spacing w:val="2"/>
                <w:sz w:val="12"/>
                <w:szCs w:val="12"/>
                <w:lang w:val="sq-AL"/>
              </w:rPr>
              <w:t xml:space="preserve"> </w:t>
            </w:r>
            <w:r w:rsidRPr="00CC11D5">
              <w:rPr>
                <w:rFonts w:ascii="Garamond" w:hAnsi="Garamond" w:cs="Times New Roman"/>
                <w:sz w:val="12"/>
                <w:szCs w:val="12"/>
                <w:lang w:val="sq-AL"/>
              </w:rPr>
              <w:t>organizuesve.</w:t>
            </w:r>
          </w:p>
        </w:tc>
        <w:tc>
          <w:tcPr>
            <w:tcW w:w="610" w:type="pct"/>
            <w:vAlign w:val="center"/>
          </w:tcPr>
          <w:p w14:paraId="3B1685FF" w14:textId="77777777" w:rsidR="00B160C4" w:rsidRPr="00CC11D5" w:rsidRDefault="00B160C4" w:rsidP="009622EB">
            <w:pPr>
              <w:pStyle w:val="TableParagraph"/>
              <w:spacing w:after="0" w:line="240" w:lineRule="auto"/>
              <w:jc w:val="center"/>
              <w:rPr>
                <w:rFonts w:ascii="Garamond" w:hAnsi="Garamond" w:cs="Times New Roman"/>
                <w:sz w:val="12"/>
                <w:szCs w:val="12"/>
                <w:lang w:val="sq-AL"/>
              </w:rPr>
            </w:pPr>
          </w:p>
          <w:p w14:paraId="6A1F52B6" w14:textId="77777777" w:rsidR="00B160C4" w:rsidRPr="00CC11D5" w:rsidRDefault="00B160C4" w:rsidP="009622EB">
            <w:pPr>
              <w:pStyle w:val="TableParagraph"/>
              <w:spacing w:after="0" w:line="240" w:lineRule="auto"/>
              <w:jc w:val="center"/>
              <w:rPr>
                <w:rFonts w:ascii="Garamond" w:hAnsi="Garamond"/>
                <w:sz w:val="12"/>
                <w:szCs w:val="12"/>
                <w:lang w:val="sq-AL"/>
              </w:rPr>
            </w:pPr>
            <w:r w:rsidRPr="00CC11D5">
              <w:rPr>
                <w:rFonts w:ascii="Garamond" w:hAnsi="Garamond"/>
                <w:sz w:val="12"/>
                <w:szCs w:val="12"/>
                <w:lang w:val="sq-AL"/>
              </w:rPr>
              <w:t>Përjashtohen</w:t>
            </w:r>
          </w:p>
        </w:tc>
        <w:tc>
          <w:tcPr>
            <w:tcW w:w="960" w:type="pct"/>
            <w:vAlign w:val="center"/>
          </w:tcPr>
          <w:p w14:paraId="4EB51078" w14:textId="77777777" w:rsidR="00B160C4" w:rsidRPr="00CC11D5" w:rsidRDefault="00B160C4" w:rsidP="009622EB">
            <w:pPr>
              <w:pStyle w:val="TableParagraph"/>
              <w:spacing w:after="0" w:line="240" w:lineRule="auto"/>
              <w:jc w:val="center"/>
              <w:rPr>
                <w:rFonts w:ascii="Garamond" w:hAnsi="Garamond"/>
                <w:sz w:val="12"/>
                <w:szCs w:val="12"/>
                <w:lang w:val="sq-AL"/>
              </w:rPr>
            </w:pPr>
            <w:r w:rsidRPr="00CC11D5">
              <w:rPr>
                <w:rFonts w:ascii="Garamond" w:hAnsi="Garamond"/>
                <w:sz w:val="12"/>
                <w:szCs w:val="12"/>
                <w:lang w:val="sq-AL"/>
              </w:rPr>
              <w:t>Organizatat</w:t>
            </w:r>
            <w:r w:rsidRPr="00CC11D5">
              <w:rPr>
                <w:rFonts w:ascii="Garamond" w:hAnsi="Garamond"/>
                <w:spacing w:val="1"/>
                <w:sz w:val="12"/>
                <w:szCs w:val="12"/>
                <w:lang w:val="sq-AL"/>
              </w:rPr>
              <w:t xml:space="preserve"> </w:t>
            </w:r>
            <w:r w:rsidRPr="00CC11D5">
              <w:rPr>
                <w:rFonts w:ascii="Garamond" w:hAnsi="Garamond"/>
                <w:sz w:val="12"/>
                <w:szCs w:val="12"/>
                <w:lang w:val="sq-AL"/>
              </w:rPr>
              <w:t>Jofitimprurëse</w:t>
            </w:r>
          </w:p>
        </w:tc>
      </w:tr>
      <w:tr w:rsidR="00B160C4" w:rsidRPr="00CC11D5" w14:paraId="2D868E79" w14:textId="77777777" w:rsidTr="009622EB">
        <w:trPr>
          <w:trHeight w:val="20"/>
        </w:trPr>
        <w:tc>
          <w:tcPr>
            <w:tcW w:w="3430" w:type="pct"/>
          </w:tcPr>
          <w:p w14:paraId="72C5BB09" w14:textId="08044489" w:rsidR="00B160C4" w:rsidRPr="00CC11D5" w:rsidRDefault="00B160C4" w:rsidP="00B160C4">
            <w:pPr>
              <w:pStyle w:val="TableParagraph"/>
              <w:spacing w:after="0" w:line="240" w:lineRule="auto"/>
              <w:rPr>
                <w:rFonts w:ascii="Garamond" w:hAnsi="Garamond" w:cs="Times New Roman"/>
                <w:sz w:val="12"/>
                <w:szCs w:val="12"/>
                <w:lang w:val="sq-AL"/>
              </w:rPr>
            </w:pPr>
            <w:r w:rsidRPr="00CC11D5">
              <w:rPr>
                <w:rFonts w:ascii="Garamond" w:hAnsi="Garamond" w:cs="Times New Roman"/>
                <w:sz w:val="12"/>
                <w:szCs w:val="12"/>
                <w:lang w:val="sq-AL"/>
              </w:rPr>
              <w:t>Shtëpitë</w:t>
            </w:r>
            <w:r w:rsidRPr="00CC11D5">
              <w:rPr>
                <w:rFonts w:ascii="Garamond" w:hAnsi="Garamond" w:cs="Times New Roman"/>
                <w:spacing w:val="-4"/>
                <w:sz w:val="12"/>
                <w:szCs w:val="12"/>
                <w:lang w:val="sq-AL"/>
              </w:rPr>
              <w:t xml:space="preserve"> </w:t>
            </w:r>
            <w:r w:rsidRPr="00CC11D5">
              <w:rPr>
                <w:rFonts w:ascii="Garamond" w:hAnsi="Garamond" w:cs="Times New Roman"/>
                <w:sz w:val="12"/>
                <w:szCs w:val="12"/>
                <w:lang w:val="sq-AL"/>
              </w:rPr>
              <w:t>filmike</w:t>
            </w:r>
            <w:r w:rsidRPr="00CC11D5">
              <w:rPr>
                <w:rFonts w:ascii="Garamond" w:hAnsi="Garamond" w:cs="Times New Roman"/>
                <w:spacing w:val="-7"/>
                <w:sz w:val="12"/>
                <w:szCs w:val="12"/>
                <w:lang w:val="sq-AL"/>
              </w:rPr>
              <w:t xml:space="preserve"> </w:t>
            </w:r>
            <w:r w:rsidRPr="00CC11D5">
              <w:rPr>
                <w:rFonts w:ascii="Garamond" w:hAnsi="Garamond" w:cs="Times New Roman"/>
                <w:sz w:val="12"/>
                <w:szCs w:val="12"/>
                <w:lang w:val="sq-AL"/>
              </w:rPr>
              <w:t>të</w:t>
            </w:r>
            <w:r w:rsidRPr="00CC11D5">
              <w:rPr>
                <w:rFonts w:ascii="Garamond" w:hAnsi="Garamond" w:cs="Times New Roman"/>
                <w:spacing w:val="-4"/>
                <w:sz w:val="12"/>
                <w:szCs w:val="12"/>
                <w:lang w:val="sq-AL"/>
              </w:rPr>
              <w:t xml:space="preserve"> </w:t>
            </w:r>
            <w:r w:rsidRPr="00CC11D5">
              <w:rPr>
                <w:rFonts w:ascii="Garamond" w:hAnsi="Garamond" w:cs="Times New Roman"/>
                <w:sz w:val="12"/>
                <w:szCs w:val="12"/>
                <w:lang w:val="sq-AL"/>
              </w:rPr>
              <w:t>prodhimit</w:t>
            </w:r>
            <w:r w:rsidRPr="00CC11D5">
              <w:rPr>
                <w:rFonts w:ascii="Garamond" w:hAnsi="Garamond" w:cs="Times New Roman"/>
                <w:spacing w:val="-1"/>
                <w:sz w:val="12"/>
                <w:szCs w:val="12"/>
                <w:lang w:val="sq-AL"/>
              </w:rPr>
              <w:t xml:space="preserve"> </w:t>
            </w:r>
            <w:r w:rsidRPr="00CC11D5">
              <w:rPr>
                <w:rFonts w:ascii="Garamond" w:hAnsi="Garamond" w:cs="Times New Roman"/>
                <w:sz w:val="12"/>
                <w:szCs w:val="12"/>
                <w:lang w:val="sq-AL"/>
              </w:rPr>
              <w:t>kinematografik,</w:t>
            </w:r>
            <w:r w:rsidRPr="00CC11D5">
              <w:rPr>
                <w:rFonts w:ascii="Garamond" w:hAnsi="Garamond" w:cs="Times New Roman"/>
                <w:spacing w:val="-2"/>
                <w:sz w:val="12"/>
                <w:szCs w:val="12"/>
                <w:lang w:val="sq-AL"/>
              </w:rPr>
              <w:t xml:space="preserve"> </w:t>
            </w:r>
            <w:r w:rsidRPr="00CC11D5">
              <w:rPr>
                <w:rFonts w:ascii="Garamond" w:hAnsi="Garamond" w:cs="Times New Roman"/>
                <w:sz w:val="12"/>
                <w:szCs w:val="12"/>
                <w:lang w:val="sq-AL"/>
              </w:rPr>
              <w:t>të</w:t>
            </w:r>
            <w:r w:rsidRPr="00CC11D5">
              <w:rPr>
                <w:rFonts w:ascii="Garamond" w:hAnsi="Garamond" w:cs="Times New Roman"/>
                <w:spacing w:val="-3"/>
                <w:sz w:val="12"/>
                <w:szCs w:val="12"/>
                <w:lang w:val="sq-AL"/>
              </w:rPr>
              <w:t xml:space="preserve"> </w:t>
            </w:r>
            <w:r w:rsidRPr="00CC11D5">
              <w:rPr>
                <w:rFonts w:ascii="Garamond" w:hAnsi="Garamond" w:cs="Times New Roman"/>
                <w:sz w:val="12"/>
                <w:szCs w:val="12"/>
                <w:lang w:val="sq-AL"/>
              </w:rPr>
              <w:t>li</w:t>
            </w:r>
            <w:r w:rsidR="00D22EA5" w:rsidRPr="00CC11D5">
              <w:rPr>
                <w:rFonts w:ascii="Garamond" w:hAnsi="Garamond" w:cs="Times New Roman"/>
                <w:sz w:val="12"/>
                <w:szCs w:val="12"/>
                <w:lang w:val="sq-AL"/>
              </w:rPr>
              <w:t>c</w:t>
            </w:r>
            <w:r w:rsidRPr="00CC11D5">
              <w:rPr>
                <w:rFonts w:ascii="Garamond" w:hAnsi="Garamond" w:cs="Times New Roman"/>
                <w:sz w:val="12"/>
                <w:szCs w:val="12"/>
                <w:lang w:val="sq-AL"/>
              </w:rPr>
              <w:t>en</w:t>
            </w:r>
            <w:r w:rsidR="00D22EA5" w:rsidRPr="00CC11D5">
              <w:rPr>
                <w:rFonts w:ascii="Garamond" w:hAnsi="Garamond" w:cs="Times New Roman"/>
                <w:sz w:val="12"/>
                <w:szCs w:val="12"/>
                <w:lang w:val="sq-AL"/>
              </w:rPr>
              <w:t>c</w:t>
            </w:r>
            <w:r w:rsidRPr="00CC11D5">
              <w:rPr>
                <w:rFonts w:ascii="Garamond" w:hAnsi="Garamond" w:cs="Times New Roman"/>
                <w:sz w:val="12"/>
                <w:szCs w:val="12"/>
                <w:lang w:val="sq-AL"/>
              </w:rPr>
              <w:t>uara</w:t>
            </w:r>
            <w:r w:rsidRPr="00CC11D5">
              <w:rPr>
                <w:rFonts w:ascii="Garamond" w:hAnsi="Garamond" w:cs="Times New Roman"/>
                <w:spacing w:val="-3"/>
                <w:sz w:val="12"/>
                <w:szCs w:val="12"/>
                <w:lang w:val="sq-AL"/>
              </w:rPr>
              <w:t xml:space="preserve"> </w:t>
            </w:r>
            <w:r w:rsidRPr="00CC11D5">
              <w:rPr>
                <w:rFonts w:ascii="Garamond" w:hAnsi="Garamond" w:cs="Times New Roman"/>
                <w:sz w:val="12"/>
                <w:szCs w:val="12"/>
                <w:lang w:val="sq-AL"/>
              </w:rPr>
              <w:t>dhe</w:t>
            </w:r>
            <w:r w:rsidRPr="00CC11D5">
              <w:rPr>
                <w:rFonts w:ascii="Garamond" w:hAnsi="Garamond" w:cs="Times New Roman"/>
                <w:spacing w:val="-3"/>
                <w:sz w:val="12"/>
                <w:szCs w:val="12"/>
                <w:lang w:val="sq-AL"/>
              </w:rPr>
              <w:t xml:space="preserve"> </w:t>
            </w:r>
            <w:r w:rsidRPr="00CC11D5">
              <w:rPr>
                <w:rFonts w:ascii="Garamond" w:hAnsi="Garamond" w:cs="Times New Roman"/>
                <w:sz w:val="12"/>
                <w:szCs w:val="12"/>
                <w:lang w:val="sq-AL"/>
              </w:rPr>
              <w:t>të</w:t>
            </w:r>
            <w:r w:rsidRPr="00CC11D5">
              <w:rPr>
                <w:rFonts w:ascii="Garamond" w:hAnsi="Garamond" w:cs="Times New Roman"/>
                <w:spacing w:val="-4"/>
                <w:sz w:val="12"/>
                <w:szCs w:val="12"/>
                <w:lang w:val="sq-AL"/>
              </w:rPr>
              <w:t xml:space="preserve"> </w:t>
            </w:r>
            <w:r w:rsidRPr="00CC11D5">
              <w:rPr>
                <w:rFonts w:ascii="Garamond" w:hAnsi="Garamond" w:cs="Times New Roman"/>
                <w:sz w:val="12"/>
                <w:szCs w:val="12"/>
                <w:lang w:val="sq-AL"/>
              </w:rPr>
              <w:t>subvencionuara.</w:t>
            </w:r>
          </w:p>
        </w:tc>
        <w:tc>
          <w:tcPr>
            <w:tcW w:w="610" w:type="pct"/>
            <w:vAlign w:val="center"/>
          </w:tcPr>
          <w:p w14:paraId="26A53D9C" w14:textId="77777777" w:rsidR="00B160C4" w:rsidRPr="00CC11D5" w:rsidRDefault="00B160C4" w:rsidP="009622EB">
            <w:pPr>
              <w:pStyle w:val="TableParagraph"/>
              <w:spacing w:after="0" w:line="240" w:lineRule="auto"/>
              <w:jc w:val="center"/>
              <w:rPr>
                <w:rFonts w:ascii="Garamond" w:hAnsi="Garamond"/>
                <w:sz w:val="12"/>
                <w:szCs w:val="12"/>
                <w:lang w:val="sq-AL"/>
              </w:rPr>
            </w:pPr>
            <w:r w:rsidRPr="00CC11D5">
              <w:rPr>
                <w:rFonts w:ascii="Garamond" w:hAnsi="Garamond"/>
                <w:sz w:val="12"/>
                <w:szCs w:val="12"/>
                <w:lang w:val="sq-AL"/>
              </w:rPr>
              <w:t>Përjashtohen</w:t>
            </w:r>
          </w:p>
        </w:tc>
        <w:tc>
          <w:tcPr>
            <w:tcW w:w="960" w:type="pct"/>
            <w:vAlign w:val="center"/>
          </w:tcPr>
          <w:p w14:paraId="2C394E88" w14:textId="77777777" w:rsidR="00B160C4" w:rsidRPr="00CC11D5" w:rsidRDefault="00B160C4" w:rsidP="009622EB">
            <w:pPr>
              <w:pStyle w:val="TableParagraph"/>
              <w:spacing w:after="0" w:line="240" w:lineRule="auto"/>
              <w:jc w:val="center"/>
              <w:rPr>
                <w:rFonts w:ascii="Garamond" w:hAnsi="Garamond"/>
                <w:sz w:val="12"/>
                <w:szCs w:val="12"/>
                <w:lang w:val="sq-AL"/>
              </w:rPr>
            </w:pPr>
            <w:r w:rsidRPr="00CC11D5">
              <w:rPr>
                <w:rFonts w:ascii="Garamond" w:hAnsi="Garamond"/>
                <w:sz w:val="12"/>
                <w:szCs w:val="12"/>
                <w:lang w:val="sq-AL"/>
              </w:rPr>
              <w:t>Kinematografi</w:t>
            </w:r>
          </w:p>
        </w:tc>
      </w:tr>
      <w:tr w:rsidR="00B160C4" w:rsidRPr="00CC11D5" w14:paraId="16A504CB" w14:textId="77777777" w:rsidTr="009622EB">
        <w:trPr>
          <w:trHeight w:val="20"/>
        </w:trPr>
        <w:tc>
          <w:tcPr>
            <w:tcW w:w="3430" w:type="pct"/>
          </w:tcPr>
          <w:p w14:paraId="1E149459" w14:textId="77777777" w:rsidR="00B160C4" w:rsidRPr="00CC11D5" w:rsidRDefault="00B160C4" w:rsidP="00B160C4">
            <w:pPr>
              <w:pStyle w:val="TableParagraph"/>
              <w:spacing w:after="0" w:line="240" w:lineRule="auto"/>
              <w:rPr>
                <w:rFonts w:ascii="Garamond" w:hAnsi="Garamond"/>
                <w:sz w:val="12"/>
                <w:szCs w:val="12"/>
                <w:lang w:val="sq-AL"/>
              </w:rPr>
            </w:pPr>
            <w:r w:rsidRPr="00CC11D5">
              <w:rPr>
                <w:rFonts w:ascii="Garamond" w:hAnsi="Garamond"/>
                <w:sz w:val="12"/>
                <w:szCs w:val="12"/>
                <w:lang w:val="sq-AL"/>
              </w:rPr>
              <w:t>Kontributi i bërë nga çdo anëtar i një fondi pensioni privat zbritet nga të ardhurat personale të tij për efekt tatimi (deri në nivelin e pagës minimale). Kthimi i investimit, përfshirë fitimet nga kapitali prej investimeve të kryera me aktivet e fondit të pensionit nuk i nënshtrohen tatimit gjatë administrimit nga shoqëria administruese.</w:t>
            </w:r>
          </w:p>
        </w:tc>
        <w:tc>
          <w:tcPr>
            <w:tcW w:w="610" w:type="pct"/>
            <w:vAlign w:val="center"/>
          </w:tcPr>
          <w:p w14:paraId="168BCC63" w14:textId="77777777" w:rsidR="00B160C4" w:rsidRPr="00CC11D5" w:rsidRDefault="00B160C4" w:rsidP="009622EB">
            <w:pPr>
              <w:pStyle w:val="TableParagraph"/>
              <w:spacing w:after="0" w:line="240" w:lineRule="auto"/>
              <w:jc w:val="center"/>
              <w:rPr>
                <w:rFonts w:ascii="Garamond" w:hAnsi="Garamond"/>
                <w:sz w:val="12"/>
                <w:szCs w:val="12"/>
                <w:lang w:val="sq-AL"/>
              </w:rPr>
            </w:pPr>
          </w:p>
          <w:p w14:paraId="0C2CB255" w14:textId="77777777" w:rsidR="00B160C4" w:rsidRPr="00CC11D5" w:rsidRDefault="00B160C4" w:rsidP="009622EB">
            <w:pPr>
              <w:pStyle w:val="TableParagraph"/>
              <w:spacing w:after="0" w:line="240" w:lineRule="auto"/>
              <w:jc w:val="center"/>
              <w:rPr>
                <w:rFonts w:ascii="Garamond" w:hAnsi="Garamond"/>
                <w:sz w:val="12"/>
                <w:szCs w:val="12"/>
                <w:lang w:val="sq-AL"/>
              </w:rPr>
            </w:pPr>
            <w:r w:rsidRPr="00CC11D5">
              <w:rPr>
                <w:rFonts w:ascii="Garamond" w:hAnsi="Garamond"/>
                <w:sz w:val="12"/>
                <w:szCs w:val="12"/>
                <w:lang w:val="sq-AL"/>
              </w:rPr>
              <w:t>Përjashtohen</w:t>
            </w:r>
          </w:p>
        </w:tc>
        <w:tc>
          <w:tcPr>
            <w:tcW w:w="960" w:type="pct"/>
            <w:vAlign w:val="center"/>
          </w:tcPr>
          <w:p w14:paraId="29C21B7B" w14:textId="77777777" w:rsidR="00B160C4" w:rsidRPr="00CC11D5" w:rsidRDefault="00B160C4" w:rsidP="009622EB">
            <w:pPr>
              <w:pStyle w:val="TableParagraph"/>
              <w:spacing w:after="0" w:line="240" w:lineRule="auto"/>
              <w:jc w:val="center"/>
              <w:rPr>
                <w:rFonts w:ascii="Garamond" w:hAnsi="Garamond"/>
                <w:sz w:val="12"/>
                <w:szCs w:val="12"/>
                <w:lang w:val="sq-AL"/>
              </w:rPr>
            </w:pPr>
            <w:r w:rsidRPr="00CC11D5">
              <w:rPr>
                <w:rFonts w:ascii="Garamond" w:hAnsi="Garamond"/>
                <w:sz w:val="12"/>
                <w:szCs w:val="12"/>
                <w:lang w:val="sq-AL"/>
              </w:rPr>
              <w:t>Fondet e</w:t>
            </w:r>
            <w:r w:rsidRPr="00CC11D5">
              <w:rPr>
                <w:rFonts w:ascii="Garamond" w:hAnsi="Garamond"/>
                <w:spacing w:val="-42"/>
                <w:sz w:val="12"/>
                <w:szCs w:val="12"/>
                <w:lang w:val="sq-AL"/>
              </w:rPr>
              <w:t xml:space="preserve"> </w:t>
            </w:r>
            <w:r w:rsidRPr="00CC11D5">
              <w:rPr>
                <w:rFonts w:ascii="Garamond" w:hAnsi="Garamond"/>
                <w:sz w:val="12"/>
                <w:szCs w:val="12"/>
                <w:lang w:val="sq-AL"/>
              </w:rPr>
              <w:t>pensionit</w:t>
            </w:r>
          </w:p>
        </w:tc>
      </w:tr>
      <w:tr w:rsidR="00B160C4" w:rsidRPr="00CC11D5" w14:paraId="60B58D30" w14:textId="77777777" w:rsidTr="009622EB">
        <w:trPr>
          <w:trHeight w:val="20"/>
        </w:trPr>
        <w:tc>
          <w:tcPr>
            <w:tcW w:w="3430" w:type="pct"/>
          </w:tcPr>
          <w:p w14:paraId="53B5A1AF" w14:textId="138B57A9" w:rsidR="00B160C4" w:rsidRPr="00CC11D5" w:rsidRDefault="00B160C4" w:rsidP="00B160C4">
            <w:pPr>
              <w:pStyle w:val="TableParagraph"/>
              <w:spacing w:after="0" w:line="240" w:lineRule="auto"/>
              <w:rPr>
                <w:rFonts w:ascii="Garamond" w:hAnsi="Garamond" w:cs="Times New Roman"/>
                <w:sz w:val="12"/>
                <w:szCs w:val="12"/>
                <w:lang w:val="sq-AL"/>
              </w:rPr>
            </w:pPr>
            <w:r w:rsidRPr="00CC11D5">
              <w:rPr>
                <w:rFonts w:ascii="Garamond" w:hAnsi="Garamond" w:cs="Times New Roman"/>
                <w:sz w:val="12"/>
                <w:szCs w:val="12"/>
                <w:lang w:val="sq-AL"/>
              </w:rPr>
              <w:t xml:space="preserve">Strukturat akomoduese </w:t>
            </w:r>
            <w:r w:rsidR="00D22EA5" w:rsidRPr="00CC11D5">
              <w:rPr>
                <w:rFonts w:ascii="Garamond" w:hAnsi="Garamond" w:cs="Times New Roman"/>
                <w:sz w:val="12"/>
                <w:szCs w:val="12"/>
                <w:lang w:val="sq-AL"/>
              </w:rPr>
              <w:t>“</w:t>
            </w:r>
            <w:r w:rsidRPr="00CC11D5">
              <w:rPr>
                <w:rFonts w:ascii="Garamond" w:hAnsi="Garamond" w:cs="Times New Roman"/>
                <w:sz w:val="12"/>
                <w:szCs w:val="12"/>
                <w:lang w:val="sq-AL"/>
              </w:rPr>
              <w:t>Hotel/</w:t>
            </w:r>
            <w:r w:rsidR="00D737A4" w:rsidRPr="00CC11D5">
              <w:rPr>
                <w:rFonts w:ascii="Garamond" w:hAnsi="Garamond" w:cs="Times New Roman"/>
                <w:sz w:val="12"/>
                <w:szCs w:val="12"/>
                <w:lang w:val="sq-AL"/>
              </w:rPr>
              <w:t>r</w:t>
            </w:r>
            <w:r w:rsidRPr="00CC11D5">
              <w:rPr>
                <w:rFonts w:ascii="Garamond" w:hAnsi="Garamond" w:cs="Times New Roman"/>
                <w:sz w:val="12"/>
                <w:szCs w:val="12"/>
                <w:lang w:val="sq-AL"/>
              </w:rPr>
              <w:t>esort me katër dhe pesë yje, status special</w:t>
            </w:r>
            <w:r w:rsidR="00D22EA5" w:rsidRPr="00CC11D5">
              <w:rPr>
                <w:rFonts w:ascii="Garamond" w:hAnsi="Garamond" w:cs="Times New Roman"/>
                <w:sz w:val="12"/>
                <w:szCs w:val="12"/>
                <w:lang w:val="sq-AL"/>
              </w:rPr>
              <w:t>”</w:t>
            </w:r>
            <w:r w:rsidRPr="00CC11D5">
              <w:rPr>
                <w:rFonts w:ascii="Garamond" w:hAnsi="Garamond" w:cs="Times New Roman"/>
                <w:sz w:val="12"/>
                <w:szCs w:val="12"/>
                <w:lang w:val="sq-AL"/>
              </w:rPr>
              <w:t>,</w:t>
            </w:r>
            <w:r w:rsidRPr="00CC11D5">
              <w:rPr>
                <w:rFonts w:ascii="Garamond" w:hAnsi="Garamond" w:cs="Times New Roman"/>
                <w:spacing w:val="1"/>
                <w:sz w:val="12"/>
                <w:szCs w:val="12"/>
                <w:lang w:val="sq-AL"/>
              </w:rPr>
              <w:t xml:space="preserve"> </w:t>
            </w:r>
            <w:r w:rsidRPr="00CC11D5">
              <w:rPr>
                <w:rFonts w:ascii="Garamond" w:hAnsi="Garamond" w:cs="Times New Roman"/>
                <w:sz w:val="12"/>
                <w:szCs w:val="12"/>
                <w:lang w:val="sq-AL"/>
              </w:rPr>
              <w:t>dhe që janë</w:t>
            </w:r>
            <w:r w:rsidR="0052377F" w:rsidRPr="00CC11D5">
              <w:rPr>
                <w:rFonts w:ascii="Garamond" w:hAnsi="Garamond" w:cs="Times New Roman"/>
                <w:sz w:val="12"/>
                <w:szCs w:val="12"/>
                <w:lang w:val="sq-AL"/>
              </w:rPr>
              <w:t xml:space="preserve"> </w:t>
            </w:r>
            <w:r w:rsidRPr="00CC11D5">
              <w:rPr>
                <w:rFonts w:ascii="Garamond" w:hAnsi="Garamond" w:cs="Times New Roman"/>
                <w:sz w:val="12"/>
                <w:szCs w:val="12"/>
                <w:lang w:val="sq-AL"/>
              </w:rPr>
              <w:t>mbajtës</w:t>
            </w:r>
            <w:r w:rsidRPr="00CC11D5">
              <w:rPr>
                <w:rFonts w:ascii="Garamond" w:hAnsi="Garamond" w:cs="Times New Roman"/>
                <w:spacing w:val="-7"/>
                <w:sz w:val="12"/>
                <w:szCs w:val="12"/>
                <w:lang w:val="sq-AL"/>
              </w:rPr>
              <w:t xml:space="preserve"> </w:t>
            </w:r>
            <w:r w:rsidRPr="00CC11D5">
              <w:rPr>
                <w:rFonts w:ascii="Garamond" w:hAnsi="Garamond" w:cs="Times New Roman"/>
                <w:sz w:val="12"/>
                <w:szCs w:val="12"/>
                <w:lang w:val="sq-AL"/>
              </w:rPr>
              <w:t>të</w:t>
            </w:r>
            <w:r w:rsidRPr="00CC11D5">
              <w:rPr>
                <w:rFonts w:ascii="Garamond" w:hAnsi="Garamond" w:cs="Times New Roman"/>
                <w:spacing w:val="-3"/>
                <w:sz w:val="12"/>
                <w:szCs w:val="12"/>
                <w:lang w:val="sq-AL"/>
              </w:rPr>
              <w:t xml:space="preserve"> </w:t>
            </w:r>
            <w:r w:rsidRPr="00CC11D5">
              <w:rPr>
                <w:rFonts w:ascii="Garamond" w:hAnsi="Garamond" w:cs="Times New Roman"/>
                <w:sz w:val="12"/>
                <w:szCs w:val="12"/>
                <w:lang w:val="sq-AL"/>
              </w:rPr>
              <w:t>një</w:t>
            </w:r>
            <w:r w:rsidRPr="00CC11D5">
              <w:rPr>
                <w:rFonts w:ascii="Garamond" w:hAnsi="Garamond" w:cs="Times New Roman"/>
                <w:spacing w:val="2"/>
                <w:sz w:val="12"/>
                <w:szCs w:val="12"/>
                <w:lang w:val="sq-AL"/>
              </w:rPr>
              <w:t xml:space="preserve"> </w:t>
            </w:r>
            <w:r w:rsidRPr="00CC11D5">
              <w:rPr>
                <w:rFonts w:ascii="Garamond" w:hAnsi="Garamond" w:cs="Times New Roman"/>
                <w:sz w:val="12"/>
                <w:szCs w:val="12"/>
                <w:lang w:val="sq-AL"/>
              </w:rPr>
              <w:t>marke</w:t>
            </w:r>
            <w:r w:rsidRPr="00CC11D5">
              <w:rPr>
                <w:rFonts w:ascii="Garamond" w:hAnsi="Garamond" w:cs="Times New Roman"/>
                <w:spacing w:val="-3"/>
                <w:sz w:val="12"/>
                <w:szCs w:val="12"/>
                <w:lang w:val="sq-AL"/>
              </w:rPr>
              <w:t xml:space="preserve"> </w:t>
            </w:r>
            <w:r w:rsidRPr="00CC11D5">
              <w:rPr>
                <w:rFonts w:ascii="Garamond" w:hAnsi="Garamond" w:cs="Times New Roman"/>
                <w:sz w:val="12"/>
                <w:szCs w:val="12"/>
                <w:lang w:val="sq-AL"/>
              </w:rPr>
              <w:t>tregtare</w:t>
            </w:r>
            <w:r w:rsidRPr="00CC11D5">
              <w:rPr>
                <w:rFonts w:ascii="Garamond" w:hAnsi="Garamond" w:cs="Times New Roman"/>
                <w:spacing w:val="-3"/>
                <w:sz w:val="12"/>
                <w:szCs w:val="12"/>
                <w:lang w:val="sq-AL"/>
              </w:rPr>
              <w:t xml:space="preserve"> </w:t>
            </w:r>
            <w:r w:rsidRPr="00CC11D5">
              <w:rPr>
                <w:rFonts w:ascii="Garamond" w:hAnsi="Garamond" w:cs="Times New Roman"/>
                <w:sz w:val="12"/>
                <w:szCs w:val="12"/>
                <w:lang w:val="sq-AL"/>
              </w:rPr>
              <w:t>të</w:t>
            </w:r>
            <w:r w:rsidRPr="00CC11D5">
              <w:rPr>
                <w:rFonts w:ascii="Garamond" w:hAnsi="Garamond" w:cs="Times New Roman"/>
                <w:spacing w:val="-7"/>
                <w:sz w:val="12"/>
                <w:szCs w:val="12"/>
                <w:lang w:val="sq-AL"/>
              </w:rPr>
              <w:t xml:space="preserve"> </w:t>
            </w:r>
            <w:r w:rsidRPr="00CC11D5">
              <w:rPr>
                <w:rFonts w:ascii="Garamond" w:hAnsi="Garamond" w:cs="Times New Roman"/>
                <w:sz w:val="12"/>
                <w:szCs w:val="12"/>
                <w:lang w:val="sq-AL"/>
              </w:rPr>
              <w:t>regjistruar</w:t>
            </w:r>
            <w:r w:rsidRPr="00CC11D5">
              <w:rPr>
                <w:rFonts w:ascii="Garamond" w:hAnsi="Garamond" w:cs="Times New Roman"/>
                <w:spacing w:val="-2"/>
                <w:sz w:val="12"/>
                <w:szCs w:val="12"/>
                <w:lang w:val="sq-AL"/>
              </w:rPr>
              <w:t xml:space="preserve"> </w:t>
            </w:r>
            <w:r w:rsidRPr="00CC11D5">
              <w:rPr>
                <w:rFonts w:ascii="Garamond" w:hAnsi="Garamond" w:cs="Times New Roman"/>
                <w:sz w:val="12"/>
                <w:szCs w:val="12"/>
                <w:lang w:val="sq-AL"/>
              </w:rPr>
              <w:t>dhe</w:t>
            </w:r>
            <w:r w:rsidRPr="00CC11D5">
              <w:rPr>
                <w:rFonts w:ascii="Garamond" w:hAnsi="Garamond" w:cs="Times New Roman"/>
                <w:spacing w:val="-3"/>
                <w:sz w:val="12"/>
                <w:szCs w:val="12"/>
                <w:lang w:val="sq-AL"/>
              </w:rPr>
              <w:t xml:space="preserve"> </w:t>
            </w:r>
            <w:r w:rsidRPr="00CC11D5">
              <w:rPr>
                <w:rFonts w:ascii="Garamond" w:hAnsi="Garamond" w:cs="Times New Roman"/>
                <w:sz w:val="12"/>
                <w:szCs w:val="12"/>
                <w:lang w:val="sq-AL"/>
              </w:rPr>
              <w:t>njohur</w:t>
            </w:r>
            <w:r w:rsidRPr="00CC11D5">
              <w:rPr>
                <w:rFonts w:ascii="Garamond" w:hAnsi="Garamond" w:cs="Times New Roman"/>
                <w:spacing w:val="-2"/>
                <w:sz w:val="12"/>
                <w:szCs w:val="12"/>
                <w:lang w:val="sq-AL"/>
              </w:rPr>
              <w:t xml:space="preserve"> </w:t>
            </w:r>
            <w:r w:rsidRPr="00CC11D5">
              <w:rPr>
                <w:rFonts w:ascii="Garamond" w:hAnsi="Garamond" w:cs="Times New Roman"/>
                <w:sz w:val="12"/>
                <w:szCs w:val="12"/>
                <w:lang w:val="sq-AL"/>
              </w:rPr>
              <w:t xml:space="preserve">ndërkombëtarisht </w:t>
            </w:r>
            <w:r w:rsidR="00D22EA5" w:rsidRPr="00CC11D5">
              <w:rPr>
                <w:rFonts w:ascii="Garamond" w:hAnsi="Garamond" w:cs="Times New Roman"/>
                <w:sz w:val="12"/>
                <w:szCs w:val="12"/>
                <w:lang w:val="sq-AL"/>
              </w:rPr>
              <w:t>“</w:t>
            </w:r>
            <w:r w:rsidRPr="00CC11D5">
              <w:rPr>
                <w:rFonts w:ascii="Garamond" w:hAnsi="Garamond" w:cs="Times New Roman"/>
                <w:i/>
                <w:sz w:val="12"/>
                <w:szCs w:val="12"/>
                <w:lang w:val="sq-AL"/>
              </w:rPr>
              <w:t>brand</w:t>
            </w:r>
            <w:r w:rsidRPr="00CC11D5">
              <w:rPr>
                <w:rFonts w:ascii="Garamond" w:hAnsi="Garamond" w:cs="Times New Roman"/>
                <w:i/>
                <w:spacing w:val="-3"/>
                <w:sz w:val="12"/>
                <w:szCs w:val="12"/>
                <w:lang w:val="sq-AL"/>
              </w:rPr>
              <w:t xml:space="preserve"> </w:t>
            </w:r>
            <w:r w:rsidRPr="00CC11D5">
              <w:rPr>
                <w:rFonts w:ascii="Garamond" w:hAnsi="Garamond" w:cs="Times New Roman"/>
                <w:i/>
                <w:sz w:val="12"/>
                <w:szCs w:val="12"/>
                <w:lang w:val="sq-AL"/>
              </w:rPr>
              <w:t>name</w:t>
            </w:r>
            <w:r w:rsidR="00D22EA5" w:rsidRPr="00CC11D5">
              <w:rPr>
                <w:rFonts w:ascii="Garamond" w:hAnsi="Garamond" w:cs="Times New Roman"/>
                <w:sz w:val="12"/>
                <w:szCs w:val="12"/>
                <w:lang w:val="sq-AL"/>
              </w:rPr>
              <w:t>”</w:t>
            </w:r>
            <w:r w:rsidRPr="00CC11D5">
              <w:rPr>
                <w:rFonts w:ascii="Garamond" w:hAnsi="Garamond" w:cs="Times New Roman"/>
                <w:sz w:val="12"/>
                <w:szCs w:val="12"/>
                <w:lang w:val="sq-AL"/>
              </w:rPr>
              <w:t xml:space="preserve"> (kufizohen sipas ligjit deri në 10 vite vetëm për strukturat të cilat kanë fituar statusin special deri në dhjetor 2024).</w:t>
            </w:r>
          </w:p>
        </w:tc>
        <w:tc>
          <w:tcPr>
            <w:tcW w:w="610" w:type="pct"/>
            <w:vAlign w:val="center"/>
          </w:tcPr>
          <w:p w14:paraId="7A088A6A" w14:textId="77777777" w:rsidR="00B160C4" w:rsidRPr="00CC11D5" w:rsidRDefault="00B160C4" w:rsidP="009622EB">
            <w:pPr>
              <w:pStyle w:val="TableParagraph"/>
              <w:spacing w:after="0" w:line="240" w:lineRule="auto"/>
              <w:jc w:val="center"/>
              <w:rPr>
                <w:rFonts w:ascii="Garamond" w:hAnsi="Garamond" w:cs="Times New Roman"/>
                <w:sz w:val="12"/>
                <w:szCs w:val="12"/>
                <w:lang w:val="sq-AL"/>
              </w:rPr>
            </w:pPr>
          </w:p>
          <w:p w14:paraId="34B30E87" w14:textId="03DC29A2" w:rsidR="00B160C4" w:rsidRPr="00CC11D5" w:rsidRDefault="00B160C4" w:rsidP="009622EB">
            <w:pPr>
              <w:pStyle w:val="TableParagraph"/>
              <w:spacing w:after="0" w:line="240" w:lineRule="auto"/>
              <w:jc w:val="center"/>
              <w:rPr>
                <w:rFonts w:ascii="Garamond" w:hAnsi="Garamond"/>
                <w:sz w:val="12"/>
                <w:szCs w:val="12"/>
                <w:lang w:val="sq-AL"/>
              </w:rPr>
            </w:pPr>
            <w:r w:rsidRPr="00CC11D5">
              <w:rPr>
                <w:rFonts w:ascii="Garamond" w:hAnsi="Garamond"/>
                <w:sz w:val="12"/>
                <w:szCs w:val="12"/>
                <w:lang w:val="sq-AL"/>
              </w:rPr>
              <w:t>Përjashtohen</w:t>
            </w:r>
          </w:p>
        </w:tc>
        <w:tc>
          <w:tcPr>
            <w:tcW w:w="960" w:type="pct"/>
            <w:vAlign w:val="center"/>
          </w:tcPr>
          <w:p w14:paraId="54411AFF" w14:textId="4141EE9E" w:rsidR="00B160C4" w:rsidRPr="00CC11D5" w:rsidRDefault="00B160C4" w:rsidP="009622EB">
            <w:pPr>
              <w:pStyle w:val="TableParagraph"/>
              <w:spacing w:after="0" w:line="240" w:lineRule="auto"/>
              <w:jc w:val="center"/>
              <w:rPr>
                <w:rFonts w:ascii="Garamond" w:hAnsi="Garamond"/>
                <w:sz w:val="12"/>
                <w:szCs w:val="12"/>
                <w:lang w:val="sq-AL"/>
              </w:rPr>
            </w:pPr>
            <w:r w:rsidRPr="00CC11D5">
              <w:rPr>
                <w:rFonts w:ascii="Garamond" w:hAnsi="Garamond"/>
                <w:sz w:val="12"/>
                <w:szCs w:val="12"/>
                <w:lang w:val="sq-AL"/>
              </w:rPr>
              <w:t>Sektori i</w:t>
            </w:r>
            <w:r w:rsidR="0052377F" w:rsidRPr="00CC11D5">
              <w:rPr>
                <w:rFonts w:ascii="Garamond" w:hAnsi="Garamond"/>
                <w:spacing w:val="-42"/>
                <w:sz w:val="12"/>
                <w:szCs w:val="12"/>
                <w:lang w:val="sq-AL"/>
              </w:rPr>
              <w:t xml:space="preserve"> </w:t>
            </w:r>
            <w:r w:rsidR="009622EB" w:rsidRPr="00CC11D5">
              <w:rPr>
                <w:rFonts w:ascii="Garamond" w:hAnsi="Garamond"/>
                <w:sz w:val="12"/>
                <w:szCs w:val="12"/>
                <w:lang w:val="sq-AL"/>
              </w:rPr>
              <w:t>t</w:t>
            </w:r>
            <w:r w:rsidRPr="00CC11D5">
              <w:rPr>
                <w:rFonts w:ascii="Garamond" w:hAnsi="Garamond"/>
                <w:sz w:val="12"/>
                <w:szCs w:val="12"/>
                <w:lang w:val="sq-AL"/>
              </w:rPr>
              <w:t>urizmit</w:t>
            </w:r>
          </w:p>
        </w:tc>
      </w:tr>
      <w:tr w:rsidR="00B160C4" w:rsidRPr="00CC11D5" w14:paraId="4B42B792" w14:textId="77777777" w:rsidTr="009622EB">
        <w:trPr>
          <w:trHeight w:val="20"/>
        </w:trPr>
        <w:tc>
          <w:tcPr>
            <w:tcW w:w="3430" w:type="pct"/>
          </w:tcPr>
          <w:p w14:paraId="2FF66180" w14:textId="26C5FCF6" w:rsidR="00B160C4" w:rsidRPr="00CC11D5" w:rsidRDefault="00B160C4" w:rsidP="00B160C4">
            <w:pPr>
              <w:pStyle w:val="TableParagraph"/>
              <w:spacing w:after="0" w:line="240" w:lineRule="auto"/>
              <w:rPr>
                <w:rFonts w:ascii="Garamond" w:hAnsi="Garamond" w:cs="Times New Roman"/>
                <w:sz w:val="12"/>
                <w:szCs w:val="12"/>
                <w:lang w:val="sq-AL"/>
              </w:rPr>
            </w:pPr>
            <w:r w:rsidRPr="00CC11D5">
              <w:rPr>
                <w:rFonts w:ascii="Garamond" w:hAnsi="Garamond" w:cs="Times New Roman"/>
                <w:sz w:val="12"/>
                <w:szCs w:val="12"/>
                <w:lang w:val="sq-AL"/>
              </w:rPr>
              <w:t>Për individët e vetëpunësuar, individët tregtar dhe entitetet me qarkullim deri në 14 milionë lekë, norma e tatimit mbi të ardhurat është 0% dhe do të aplikohet deri më 31 dhjetor 2029.</w:t>
            </w:r>
          </w:p>
        </w:tc>
        <w:tc>
          <w:tcPr>
            <w:tcW w:w="610" w:type="pct"/>
            <w:vAlign w:val="center"/>
          </w:tcPr>
          <w:p w14:paraId="1A073708" w14:textId="77777777" w:rsidR="00B160C4" w:rsidRPr="00CC11D5" w:rsidRDefault="00B160C4" w:rsidP="009622EB">
            <w:pPr>
              <w:pStyle w:val="TableParagraph"/>
              <w:spacing w:after="0" w:line="240" w:lineRule="auto"/>
              <w:jc w:val="center"/>
              <w:rPr>
                <w:rFonts w:ascii="Garamond" w:hAnsi="Garamond" w:cs="Times New Roman"/>
                <w:sz w:val="12"/>
                <w:szCs w:val="12"/>
                <w:lang w:val="sq-AL"/>
              </w:rPr>
            </w:pPr>
          </w:p>
          <w:p w14:paraId="21D6E4FB" w14:textId="3035EAB8" w:rsidR="00B160C4" w:rsidRPr="00CC11D5" w:rsidRDefault="00B160C4" w:rsidP="009622EB">
            <w:pPr>
              <w:pStyle w:val="TableParagraph"/>
              <w:spacing w:after="0" w:line="240" w:lineRule="auto"/>
              <w:jc w:val="center"/>
              <w:rPr>
                <w:rFonts w:ascii="Garamond" w:hAnsi="Garamond"/>
                <w:sz w:val="12"/>
                <w:szCs w:val="12"/>
                <w:lang w:val="sq-AL"/>
              </w:rPr>
            </w:pPr>
            <w:r w:rsidRPr="00CC11D5">
              <w:rPr>
                <w:rFonts w:ascii="Garamond" w:hAnsi="Garamond"/>
                <w:sz w:val="12"/>
                <w:szCs w:val="12"/>
                <w:lang w:val="sq-AL"/>
              </w:rPr>
              <w:t>0%</w:t>
            </w:r>
          </w:p>
        </w:tc>
        <w:tc>
          <w:tcPr>
            <w:tcW w:w="960" w:type="pct"/>
            <w:vAlign w:val="center"/>
          </w:tcPr>
          <w:p w14:paraId="4C1B3811" w14:textId="6BBB6169" w:rsidR="00B160C4" w:rsidRPr="00CC11D5" w:rsidRDefault="00B160C4" w:rsidP="009622EB">
            <w:pPr>
              <w:pStyle w:val="TableParagraph"/>
              <w:spacing w:after="0" w:line="240" w:lineRule="auto"/>
              <w:jc w:val="center"/>
              <w:rPr>
                <w:rFonts w:ascii="Garamond" w:hAnsi="Garamond"/>
                <w:sz w:val="12"/>
                <w:szCs w:val="12"/>
                <w:lang w:val="sq-AL"/>
              </w:rPr>
            </w:pPr>
            <w:r w:rsidRPr="00CC11D5">
              <w:rPr>
                <w:rFonts w:ascii="Garamond" w:hAnsi="Garamond"/>
                <w:sz w:val="12"/>
                <w:szCs w:val="12"/>
                <w:lang w:val="sq-AL"/>
              </w:rPr>
              <w:t>Subjektet e</w:t>
            </w:r>
            <w:r w:rsidR="00D22EA5" w:rsidRPr="00CC11D5">
              <w:rPr>
                <w:rFonts w:ascii="Garamond" w:hAnsi="Garamond"/>
                <w:spacing w:val="-42"/>
                <w:sz w:val="12"/>
                <w:szCs w:val="12"/>
                <w:lang w:val="sq-AL"/>
              </w:rPr>
              <w:t xml:space="preserve"> </w:t>
            </w:r>
            <w:r w:rsidRPr="00CC11D5">
              <w:rPr>
                <w:rFonts w:ascii="Garamond" w:hAnsi="Garamond"/>
                <w:sz w:val="12"/>
                <w:szCs w:val="12"/>
                <w:lang w:val="sq-AL"/>
              </w:rPr>
              <w:t>vogla</w:t>
            </w:r>
          </w:p>
        </w:tc>
      </w:tr>
    </w:tbl>
    <w:p w14:paraId="59893C3F" w14:textId="77777777" w:rsidR="003858EE" w:rsidRPr="00830F4C" w:rsidRDefault="003858EE" w:rsidP="003858EE">
      <w:pPr>
        <w:pStyle w:val="ListParagraph"/>
        <w:spacing w:after="0" w:line="240" w:lineRule="auto"/>
        <w:ind w:left="0" w:firstLine="284"/>
        <w:jc w:val="both"/>
        <w:rPr>
          <w:rFonts w:ascii="Garamond" w:hAnsi="Garamond"/>
          <w:sz w:val="20"/>
          <w:szCs w:val="20"/>
        </w:rPr>
      </w:pPr>
    </w:p>
    <w:p w14:paraId="00D91F6C" w14:textId="732E1128" w:rsidR="00B160C4" w:rsidRPr="00830F4C" w:rsidRDefault="00B160C4" w:rsidP="00B160C4">
      <w:pPr>
        <w:tabs>
          <w:tab w:val="left" w:pos="720"/>
        </w:tabs>
        <w:ind w:firstLine="284"/>
        <w:jc w:val="both"/>
        <w:rPr>
          <w:rFonts w:ascii="Garamond" w:hAnsi="Garamond"/>
          <w:b/>
          <w:bCs/>
        </w:rPr>
      </w:pPr>
      <w:r w:rsidRPr="00830F4C">
        <w:rPr>
          <w:rFonts w:ascii="Garamond" w:hAnsi="Garamond"/>
          <w:b/>
          <w:bCs/>
        </w:rPr>
        <w:t>Aktiviteti 1.2.2</w:t>
      </w:r>
      <w:r w:rsidR="00A72159">
        <w:rPr>
          <w:rFonts w:ascii="Garamond" w:hAnsi="Garamond"/>
          <w:b/>
          <w:bCs/>
        </w:rPr>
        <w:t>:</w:t>
      </w:r>
      <w:r w:rsidRPr="00830F4C">
        <w:rPr>
          <w:rFonts w:ascii="Garamond" w:hAnsi="Garamond"/>
          <w:b/>
          <w:bCs/>
        </w:rPr>
        <w:t xml:space="preserve"> Kryerja e një vlerësimi</w:t>
      </w:r>
      <w:r w:rsidR="009622EB" w:rsidRPr="00830F4C">
        <w:rPr>
          <w:rFonts w:ascii="Garamond" w:hAnsi="Garamond"/>
          <w:b/>
          <w:bCs/>
        </w:rPr>
        <w:t>,</w:t>
      </w:r>
      <w:r w:rsidRPr="00830F4C">
        <w:rPr>
          <w:rFonts w:ascii="Garamond" w:hAnsi="Garamond"/>
          <w:b/>
          <w:bCs/>
        </w:rPr>
        <w:t xml:space="preserve"> në lidhje me normat e reduktuara dhe përjashtimet në ligjin e tatimit mbi të ardhurat</w:t>
      </w:r>
    </w:p>
    <w:p w14:paraId="2497203E" w14:textId="77777777" w:rsidR="00B160C4" w:rsidRPr="00830F4C" w:rsidRDefault="00B160C4" w:rsidP="00B160C4">
      <w:pPr>
        <w:ind w:firstLine="284"/>
        <w:jc w:val="both"/>
        <w:rPr>
          <w:rFonts w:ascii="Garamond" w:hAnsi="Garamond"/>
        </w:rPr>
      </w:pPr>
      <w:r w:rsidRPr="00830F4C">
        <w:rPr>
          <w:rFonts w:ascii="Garamond" w:hAnsi="Garamond"/>
        </w:rPr>
        <w:t>Analiza do të bëhet për çdo përjashtim tatimor dhe normë të reduktuar, si në tabelën e mësipërme, dhe do të marrë parasysh:</w:t>
      </w:r>
    </w:p>
    <w:p w14:paraId="54BCB23B" w14:textId="77777777" w:rsidR="00B160C4" w:rsidRPr="00830F4C" w:rsidRDefault="00B160C4" w:rsidP="00B160C4">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kufizimin i trajtimit të diferencuar brenda regjimit të përgjithshëm të taksave direkte;</w:t>
      </w:r>
    </w:p>
    <w:p w14:paraId="660E6041" w14:textId="77777777" w:rsidR="00B160C4" w:rsidRPr="00830F4C" w:rsidRDefault="00B160C4" w:rsidP="00B160C4">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sigurimi i neutralitetit nga pikëpamja e barrës tatimore për të gjitha format e biznesit;</w:t>
      </w:r>
    </w:p>
    <w:p w14:paraId="508F8577" w14:textId="77777777" w:rsidR="00B160C4" w:rsidRPr="00830F4C" w:rsidRDefault="00B160C4" w:rsidP="00B160C4">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synimi drejt stimulimit të sektorëve prioritarë bazuar në kosto dhe jo në taksa të reduktuara;</w:t>
      </w:r>
    </w:p>
    <w:p w14:paraId="2CFFF6A1" w14:textId="1D95179C" w:rsidR="00B160C4" w:rsidRPr="00830F4C" w:rsidRDefault="00B160C4" w:rsidP="00B160C4">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respektimi i Kodit të Sjelljes së BE-së dhe çdo kërkesë tjetër sipas legjislacionit të BE-së</w:t>
      </w:r>
      <w:r w:rsidR="009622EB" w:rsidRPr="00830F4C">
        <w:rPr>
          <w:rFonts w:ascii="Garamond" w:hAnsi="Garamond"/>
          <w:sz w:val="24"/>
          <w:szCs w:val="24"/>
        </w:rPr>
        <w:t>.</w:t>
      </w:r>
    </w:p>
    <w:p w14:paraId="72A55481" w14:textId="4B23A8F4" w:rsidR="00B160C4" w:rsidRPr="00830F4C" w:rsidRDefault="00B160C4" w:rsidP="00B160C4">
      <w:pPr>
        <w:ind w:firstLine="284"/>
        <w:jc w:val="both"/>
        <w:rPr>
          <w:rFonts w:ascii="Garamond" w:hAnsi="Garamond"/>
        </w:rPr>
      </w:pPr>
      <w:r w:rsidRPr="00830F4C">
        <w:rPr>
          <w:rFonts w:ascii="Garamond" w:hAnsi="Garamond"/>
        </w:rPr>
        <w:t>Bazuar në analizën e mësipërme, do të synohet të kalohet nga stimujt e bazuar në norma të reduktuara tatimore në stimuj të bazuar në shpenzime, siç mund të konsiderohen stimujt tatimorë në fushën e kërkimit dhe zhvillimit (R&amp;D), nëpërmjet njohjes së tyre të shumëfishtë si biznes shpenzimesh</w:t>
      </w:r>
      <w:r w:rsidR="009622EB" w:rsidRPr="00830F4C">
        <w:rPr>
          <w:rFonts w:ascii="Garamond" w:hAnsi="Garamond"/>
        </w:rPr>
        <w:t>,</w:t>
      </w:r>
      <w:r w:rsidRPr="00830F4C">
        <w:rPr>
          <w:rFonts w:ascii="Garamond" w:hAnsi="Garamond"/>
        </w:rPr>
        <w:t xml:space="preserve"> si një formë stimulimi për kompanitë, me synimin e përfitimeve që i vijnë shoqërisë nga inovacioni.</w:t>
      </w:r>
    </w:p>
    <w:p w14:paraId="4BA7C6C8" w14:textId="60D662BB" w:rsidR="00B160C4" w:rsidRPr="00830F4C" w:rsidRDefault="00B160C4" w:rsidP="00B160C4">
      <w:pPr>
        <w:ind w:firstLine="284"/>
        <w:jc w:val="both"/>
        <w:rPr>
          <w:rFonts w:ascii="Garamond" w:hAnsi="Garamond"/>
        </w:rPr>
      </w:pPr>
      <w:r w:rsidRPr="00830F4C">
        <w:rPr>
          <w:rFonts w:ascii="Garamond" w:hAnsi="Garamond"/>
        </w:rPr>
        <w:t>Ndërkohë që stimujt tatimorë të Kërkim</w:t>
      </w:r>
      <w:r w:rsidR="009622EB" w:rsidRPr="00830F4C">
        <w:rPr>
          <w:rFonts w:ascii="Garamond" w:hAnsi="Garamond"/>
        </w:rPr>
        <w:t xml:space="preserve"> </w:t>
      </w:r>
      <w:r w:rsidRPr="00830F4C">
        <w:rPr>
          <w:rFonts w:ascii="Garamond" w:hAnsi="Garamond"/>
        </w:rPr>
        <w:t>&amp;</w:t>
      </w:r>
      <w:r w:rsidR="009622EB" w:rsidRPr="00830F4C">
        <w:rPr>
          <w:rFonts w:ascii="Garamond" w:hAnsi="Garamond"/>
        </w:rPr>
        <w:t xml:space="preserve"> </w:t>
      </w:r>
      <w:r w:rsidRPr="00830F4C">
        <w:rPr>
          <w:rFonts w:ascii="Garamond" w:hAnsi="Garamond"/>
        </w:rPr>
        <w:t xml:space="preserve">Zhvillimit mund të jenë efektive në stimulimin e investimeve të biznesit në kërkim dhe zhvillim, </w:t>
      </w:r>
      <w:r w:rsidR="003C72BE" w:rsidRPr="00830F4C">
        <w:rPr>
          <w:rFonts w:ascii="Garamond" w:hAnsi="Garamond"/>
        </w:rPr>
        <w:t>dizenj</w:t>
      </w:r>
      <w:r w:rsidRPr="00830F4C">
        <w:rPr>
          <w:rFonts w:ascii="Garamond" w:hAnsi="Garamond"/>
        </w:rPr>
        <w:t>i, administrimi dhe mënyra e përfitimit nga stimujt janë thelbësore për efektivitetin e këtyre masave.</w:t>
      </w:r>
    </w:p>
    <w:p w14:paraId="7E81D279" w14:textId="1B968803" w:rsidR="00B160C4" w:rsidRPr="00830F4C" w:rsidRDefault="00B160C4" w:rsidP="00B160C4">
      <w:pPr>
        <w:ind w:firstLine="284"/>
        <w:jc w:val="both"/>
        <w:rPr>
          <w:rFonts w:ascii="Garamond" w:hAnsi="Garamond"/>
          <w:b/>
          <w:bCs/>
        </w:rPr>
      </w:pPr>
      <w:r w:rsidRPr="00830F4C">
        <w:rPr>
          <w:rFonts w:ascii="Garamond" w:hAnsi="Garamond"/>
          <w:b/>
          <w:bCs/>
        </w:rPr>
        <w:t>Masa 1.2.3 Hartimi i aktit ligjor, nëse e nevojshme, bazuar në analizën e përjashtimeve dhe normave të reduktuara dhe skemës tatimore të personave fizikë</w:t>
      </w:r>
    </w:p>
    <w:p w14:paraId="55747AC5" w14:textId="77777777" w:rsidR="00B160C4" w:rsidRPr="00830F4C" w:rsidRDefault="00B160C4" w:rsidP="00B160C4">
      <w:pPr>
        <w:ind w:firstLine="284"/>
        <w:jc w:val="both"/>
        <w:rPr>
          <w:rFonts w:ascii="Garamond" w:hAnsi="Garamond"/>
        </w:rPr>
      </w:pPr>
      <w:r w:rsidRPr="00830F4C">
        <w:rPr>
          <w:rFonts w:ascii="Garamond" w:hAnsi="Garamond"/>
        </w:rPr>
        <w:t>Bazuar në analizën e mësipërme, nëse do të jetë e nevojshme, do të hartohen ndryshimet e nevojshme në ligjin për tatimin mbi të ardhurat, që mund të jenë në fuqi pas vitit 2029.</w:t>
      </w:r>
    </w:p>
    <w:p w14:paraId="7096B97F" w14:textId="27DDEE90" w:rsidR="00B160C4" w:rsidRPr="00830F4C" w:rsidRDefault="00B160C4" w:rsidP="00B160C4">
      <w:pPr>
        <w:ind w:firstLine="284"/>
        <w:jc w:val="both"/>
        <w:rPr>
          <w:rFonts w:ascii="Garamond" w:hAnsi="Garamond"/>
        </w:rPr>
      </w:pPr>
      <w:r w:rsidRPr="00830F4C">
        <w:rPr>
          <w:rFonts w:ascii="Garamond" w:hAnsi="Garamond"/>
        </w:rPr>
        <w:t>Bazuar në ligjin e ri ekzistues për tatimin mbi të ardhurat, parashikohet që për personat juridikë të regjistruar para datës 17 maj 2023 (para hyrjes në fuqi të ligjit 29/2023), të cilët ushtrojnë veprimtari ekonomike për prodhimin ose zhvillimin e softuerit, tatimi mbi fitimin</w:t>
      </w:r>
      <w:r w:rsidR="009622EB" w:rsidRPr="00830F4C">
        <w:rPr>
          <w:rFonts w:ascii="Garamond" w:hAnsi="Garamond"/>
        </w:rPr>
        <w:t>,</w:t>
      </w:r>
      <w:r w:rsidRPr="00830F4C">
        <w:rPr>
          <w:rFonts w:ascii="Garamond" w:hAnsi="Garamond"/>
        </w:rPr>
        <w:t xml:space="preserve"> në masën 5% do të zbatohet deri më 31 dhjetor 2025. Pra, nga viti 2026 dhe në vazhdimësi kjo kategori do të jetë subjekt i tatimit mbi fitimin nga 15%. Për këtë arsye, sipas këtij komponenti, për vitet 2026 dhe 2027 parashikohen të ardhura shtesë që do të vijnë nga taksimi me 15% i kësaj kategorie, të vlerësuara në 0.036% të PBB-së, çdo vit.</w:t>
      </w:r>
    </w:p>
    <w:p w14:paraId="6157267C" w14:textId="1DD82B6D" w:rsidR="00B160C4" w:rsidRPr="00830F4C" w:rsidRDefault="00B160C4" w:rsidP="00B160C4">
      <w:pPr>
        <w:ind w:firstLine="284"/>
        <w:jc w:val="both"/>
        <w:rPr>
          <w:rFonts w:ascii="Garamond" w:hAnsi="Garamond"/>
          <w:b/>
          <w:bCs/>
        </w:rPr>
      </w:pPr>
      <w:r w:rsidRPr="00830F4C">
        <w:rPr>
          <w:rFonts w:ascii="Garamond" w:hAnsi="Garamond"/>
          <w:b/>
          <w:bCs/>
        </w:rPr>
        <w:t>Masa 1.2.4 Marrëveshjet për shmangien e tatimit të dyfishtë</w:t>
      </w:r>
    </w:p>
    <w:p w14:paraId="676C4BDF" w14:textId="3DADEB36" w:rsidR="00B160C4" w:rsidRPr="00830F4C" w:rsidRDefault="00B160C4" w:rsidP="00B160C4">
      <w:pPr>
        <w:ind w:firstLine="284"/>
        <w:jc w:val="both"/>
        <w:rPr>
          <w:rFonts w:ascii="Garamond" w:hAnsi="Garamond"/>
        </w:rPr>
      </w:pPr>
      <w:r w:rsidRPr="00830F4C">
        <w:rPr>
          <w:rFonts w:ascii="Garamond" w:hAnsi="Garamond"/>
        </w:rPr>
        <w:t xml:space="preserve">Në fokus do të jenë negociatat e marrëveshjeve të reja kryesisht me vendet e BE-së, referuar rekomandimeve për Kapitullin 16 </w:t>
      </w:r>
      <w:r w:rsidR="00D22EA5" w:rsidRPr="00830F4C">
        <w:rPr>
          <w:rFonts w:ascii="Garamond" w:hAnsi="Garamond"/>
        </w:rPr>
        <w:t>“</w:t>
      </w:r>
      <w:r w:rsidRPr="00830F4C">
        <w:rPr>
          <w:rFonts w:ascii="Garamond" w:hAnsi="Garamond"/>
        </w:rPr>
        <w:t>Taksat</w:t>
      </w:r>
      <w:r w:rsidR="00D22EA5" w:rsidRPr="00830F4C">
        <w:rPr>
          <w:rFonts w:ascii="Garamond" w:hAnsi="Garamond"/>
        </w:rPr>
        <w:t>”</w:t>
      </w:r>
      <w:r w:rsidRPr="00830F4C">
        <w:rPr>
          <w:rFonts w:ascii="Garamond" w:hAnsi="Garamond"/>
        </w:rPr>
        <w:t xml:space="preserve"> në Raportin e Progresit të BE-së. Negocimi dhe ratifikimi i Marrëveshjeve të reja do të bazohet në Marrëveshjen Model të përditësuar të OECD</w:t>
      </w:r>
      <w:r w:rsidR="009622EB" w:rsidRPr="00830F4C">
        <w:rPr>
          <w:rFonts w:ascii="Garamond" w:hAnsi="Garamond"/>
        </w:rPr>
        <w:t>-së</w:t>
      </w:r>
      <w:r w:rsidRPr="00830F4C">
        <w:rPr>
          <w:rFonts w:ascii="Garamond" w:hAnsi="Garamond"/>
        </w:rPr>
        <w:t xml:space="preserve"> dhe OKB-së.</w:t>
      </w:r>
    </w:p>
    <w:p w14:paraId="40A78846" w14:textId="3992663C" w:rsidR="00B160C4" w:rsidRPr="00830F4C" w:rsidRDefault="00B160C4" w:rsidP="00B160C4">
      <w:pPr>
        <w:ind w:firstLine="284"/>
        <w:jc w:val="both"/>
        <w:rPr>
          <w:rFonts w:ascii="Garamond" w:hAnsi="Garamond"/>
        </w:rPr>
      </w:pPr>
      <w:r w:rsidRPr="00830F4C">
        <w:rPr>
          <w:rFonts w:ascii="Garamond" w:hAnsi="Garamond"/>
        </w:rPr>
        <w:t>Për këtë arsye, brenda afatit kohor të kësaj strategjie, Shqipëria do të negociojë dhe plotësojë procedurat ligjore për marrëveshjet e shmangies së tatimit (DTA) me 4 vende anëtare të BE-së. Aktivitetet e parashikuara janë si më poshtë:</w:t>
      </w:r>
    </w:p>
    <w:p w14:paraId="7623AC3C" w14:textId="4955316E" w:rsidR="00B160C4" w:rsidRPr="00830F4C" w:rsidRDefault="00B160C4" w:rsidP="00B160C4">
      <w:pPr>
        <w:pStyle w:val="ListParagraph"/>
        <w:spacing w:after="0" w:line="240" w:lineRule="auto"/>
        <w:ind w:left="0" w:firstLine="284"/>
        <w:jc w:val="both"/>
        <w:rPr>
          <w:rFonts w:ascii="Garamond" w:hAnsi="Garamond"/>
          <w:sz w:val="24"/>
          <w:szCs w:val="24"/>
        </w:rPr>
      </w:pPr>
      <w:r w:rsidRPr="00830F4C">
        <w:rPr>
          <w:rFonts w:ascii="Garamond" w:hAnsi="Garamond" w:cs="Wingdings"/>
          <w:bCs/>
          <w:sz w:val="24"/>
          <w:szCs w:val="24"/>
        </w:rPr>
        <w:t>-</w:t>
      </w:r>
      <w:r w:rsidRPr="00830F4C">
        <w:rPr>
          <w:rFonts w:ascii="Garamond" w:hAnsi="Garamond" w:cs="Wingdings"/>
          <w:b/>
          <w:bCs/>
          <w:sz w:val="24"/>
          <w:szCs w:val="24"/>
        </w:rPr>
        <w:t xml:space="preserve"> </w:t>
      </w:r>
      <w:r w:rsidRPr="00830F4C">
        <w:rPr>
          <w:rFonts w:ascii="Garamond" w:hAnsi="Garamond"/>
          <w:sz w:val="24"/>
          <w:szCs w:val="24"/>
        </w:rPr>
        <w:t>Aktiviteti 1.2.4.1</w:t>
      </w:r>
      <w:r w:rsidR="00A72159">
        <w:rPr>
          <w:rFonts w:ascii="Garamond" w:hAnsi="Garamond"/>
          <w:sz w:val="24"/>
          <w:szCs w:val="24"/>
        </w:rPr>
        <w:t>:</w:t>
      </w:r>
      <w:r w:rsidRPr="00830F4C">
        <w:rPr>
          <w:rFonts w:ascii="Garamond" w:hAnsi="Garamond"/>
          <w:sz w:val="24"/>
          <w:szCs w:val="24"/>
        </w:rPr>
        <w:t xml:space="preserve"> Negociatat me Lituaninë, Danimarkën, Portugalinë dhe Qipron;</w:t>
      </w:r>
    </w:p>
    <w:p w14:paraId="51936C96" w14:textId="64561337" w:rsidR="00B160C4" w:rsidRPr="00830F4C" w:rsidRDefault="00B160C4" w:rsidP="00B160C4">
      <w:pPr>
        <w:pStyle w:val="ListParagraph"/>
        <w:spacing w:after="0" w:line="240" w:lineRule="auto"/>
        <w:ind w:left="0" w:firstLine="284"/>
        <w:jc w:val="both"/>
        <w:rPr>
          <w:rFonts w:ascii="Garamond" w:hAnsi="Garamond"/>
          <w:sz w:val="24"/>
          <w:szCs w:val="24"/>
        </w:rPr>
      </w:pPr>
      <w:r w:rsidRPr="00830F4C">
        <w:rPr>
          <w:rFonts w:ascii="Garamond" w:hAnsi="Garamond" w:cs="Wingdings"/>
          <w:bCs/>
          <w:sz w:val="24"/>
          <w:szCs w:val="24"/>
        </w:rPr>
        <w:t xml:space="preserve">- </w:t>
      </w:r>
      <w:r w:rsidRPr="00830F4C">
        <w:rPr>
          <w:rFonts w:ascii="Garamond" w:hAnsi="Garamond"/>
          <w:sz w:val="24"/>
          <w:szCs w:val="24"/>
        </w:rPr>
        <w:t>Aktiviteti 1.2.4.2</w:t>
      </w:r>
      <w:r w:rsidR="00A72159">
        <w:rPr>
          <w:rFonts w:ascii="Garamond" w:hAnsi="Garamond"/>
          <w:sz w:val="24"/>
          <w:szCs w:val="24"/>
        </w:rPr>
        <w:t>:</w:t>
      </w:r>
      <w:r w:rsidRPr="00830F4C">
        <w:rPr>
          <w:rFonts w:ascii="Garamond" w:hAnsi="Garamond"/>
          <w:sz w:val="24"/>
          <w:szCs w:val="24"/>
        </w:rPr>
        <w:t xml:space="preserve"> Finalizimi i </w:t>
      </w:r>
      <w:r w:rsidR="00D22EA5" w:rsidRPr="00830F4C">
        <w:rPr>
          <w:rFonts w:ascii="Garamond" w:hAnsi="Garamond"/>
          <w:sz w:val="24"/>
          <w:szCs w:val="24"/>
        </w:rPr>
        <w:t>procedurave</w:t>
      </w:r>
      <w:r w:rsidRPr="00830F4C">
        <w:rPr>
          <w:rFonts w:ascii="Garamond" w:hAnsi="Garamond"/>
          <w:sz w:val="24"/>
          <w:szCs w:val="24"/>
        </w:rPr>
        <w:t xml:space="preserve"> ligjore të brendshme për miratimin nga parlamenti të marrëveshjeve të nënshkruara për shmangien e taksimit të dyfishtë.</w:t>
      </w:r>
    </w:p>
    <w:p w14:paraId="1FB99AD3" w14:textId="38B73137" w:rsidR="00B160C4" w:rsidRPr="00830F4C" w:rsidRDefault="00B160C4" w:rsidP="00B160C4">
      <w:pPr>
        <w:ind w:firstLine="284"/>
        <w:jc w:val="both"/>
        <w:rPr>
          <w:rFonts w:ascii="Garamond" w:hAnsi="Garamond"/>
        </w:rPr>
      </w:pPr>
      <w:r w:rsidRPr="00830F4C">
        <w:rPr>
          <w:rFonts w:ascii="Garamond" w:hAnsi="Garamond"/>
        </w:rPr>
        <w:t xml:space="preserve">Ndërkohë, Shqipëria do të jetë e hapur për të ndryshuar </w:t>
      </w:r>
      <w:r w:rsidR="009622EB" w:rsidRPr="00830F4C">
        <w:rPr>
          <w:rFonts w:ascii="Garamond" w:hAnsi="Garamond"/>
        </w:rPr>
        <w:t>m</w:t>
      </w:r>
      <w:r w:rsidRPr="00830F4C">
        <w:rPr>
          <w:rFonts w:ascii="Garamond" w:hAnsi="Garamond"/>
        </w:rPr>
        <w:t>arrëveshjet ekzistuese, kur është e nevojshme, për të përmbushur kërkesat sipas standardit të Marrëveshjes Shumëpalëshe (MLI) për zbatimin e masave në lidhje me Marrëveshjet Tatimore për parandalimin e erozionit të bazës tatimore dhe transferimi i fitimeve. Për këtë arsye, nuk parashikohet asnjë aktivitet specifik pasi kjo varet nga kërkesat e vendeve të tjera.</w:t>
      </w:r>
    </w:p>
    <w:p w14:paraId="2E754C72" w14:textId="77777777" w:rsidR="00B160C4" w:rsidRPr="00830F4C" w:rsidRDefault="00B160C4" w:rsidP="00B160C4">
      <w:pPr>
        <w:ind w:firstLine="284"/>
        <w:jc w:val="both"/>
        <w:rPr>
          <w:rFonts w:ascii="Garamond" w:hAnsi="Garamond"/>
          <w:b/>
          <w:bCs/>
        </w:rPr>
      </w:pPr>
      <w:r w:rsidRPr="00830F4C">
        <w:rPr>
          <w:rFonts w:ascii="Garamond" w:hAnsi="Garamond"/>
          <w:b/>
          <w:bCs/>
        </w:rPr>
        <w:t>Masa 1.2.5 Përmbushja e angazhimeve për tatimet ndërkombëtare, kryesisht ato në kuadër të projektit ndërkombëtar BEPS</w:t>
      </w:r>
    </w:p>
    <w:p w14:paraId="6502894E" w14:textId="6ABAAD04" w:rsidR="00B160C4" w:rsidRPr="00830F4C" w:rsidRDefault="00B160C4" w:rsidP="00B160C4">
      <w:pPr>
        <w:ind w:firstLine="284"/>
        <w:jc w:val="both"/>
        <w:rPr>
          <w:rFonts w:ascii="Garamond" w:hAnsi="Garamond"/>
        </w:rPr>
      </w:pPr>
      <w:r w:rsidRPr="00830F4C">
        <w:rPr>
          <w:rFonts w:ascii="Garamond" w:hAnsi="Garamond"/>
        </w:rPr>
        <w:t>Kjo masë konsiston në</w:t>
      </w:r>
      <w:r w:rsidR="009622EB" w:rsidRPr="00830F4C">
        <w:rPr>
          <w:rFonts w:ascii="Garamond" w:hAnsi="Garamond"/>
        </w:rPr>
        <w:t>:</w:t>
      </w:r>
    </w:p>
    <w:p w14:paraId="2D5A51A6" w14:textId="4E983D8F" w:rsidR="00B160C4" w:rsidRPr="00830F4C" w:rsidRDefault="00B160C4" w:rsidP="00B160C4">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 Plotësimi</w:t>
      </w:r>
      <w:r w:rsidR="009622EB" w:rsidRPr="00830F4C">
        <w:rPr>
          <w:rFonts w:ascii="Garamond" w:hAnsi="Garamond"/>
          <w:sz w:val="24"/>
          <w:szCs w:val="24"/>
        </w:rPr>
        <w:t>n</w:t>
      </w:r>
      <w:r w:rsidRPr="00830F4C">
        <w:rPr>
          <w:rFonts w:ascii="Garamond" w:hAnsi="Garamond"/>
          <w:sz w:val="24"/>
          <w:szCs w:val="24"/>
        </w:rPr>
        <w:t xml:space="preserve"> </w:t>
      </w:r>
      <w:r w:rsidR="009622EB" w:rsidRPr="00830F4C">
        <w:rPr>
          <w:rFonts w:ascii="Garamond" w:hAnsi="Garamond"/>
          <w:sz w:val="24"/>
          <w:szCs w:val="24"/>
        </w:rPr>
        <w:t>e</w:t>
      </w:r>
      <w:r w:rsidRPr="00830F4C">
        <w:rPr>
          <w:rFonts w:ascii="Garamond" w:hAnsi="Garamond"/>
          <w:sz w:val="24"/>
          <w:szCs w:val="24"/>
        </w:rPr>
        <w:t xml:space="preserve"> standardeve minimale</w:t>
      </w:r>
      <w:r w:rsidR="009622EB" w:rsidRPr="00830F4C">
        <w:rPr>
          <w:rFonts w:ascii="Garamond" w:hAnsi="Garamond"/>
          <w:sz w:val="24"/>
          <w:szCs w:val="24"/>
        </w:rPr>
        <w:t>,</w:t>
      </w:r>
      <w:r w:rsidRPr="00830F4C">
        <w:rPr>
          <w:rFonts w:ascii="Garamond" w:hAnsi="Garamond"/>
          <w:sz w:val="24"/>
          <w:szCs w:val="24"/>
        </w:rPr>
        <w:t xml:space="preserve"> në lidhje me </w:t>
      </w:r>
      <w:r w:rsidR="00D22EA5" w:rsidRPr="00830F4C">
        <w:rPr>
          <w:rFonts w:ascii="Garamond" w:hAnsi="Garamond"/>
          <w:sz w:val="24"/>
          <w:szCs w:val="24"/>
        </w:rPr>
        <w:t>m</w:t>
      </w:r>
      <w:r w:rsidRPr="00830F4C">
        <w:rPr>
          <w:rFonts w:ascii="Garamond" w:hAnsi="Garamond"/>
          <w:sz w:val="24"/>
          <w:szCs w:val="24"/>
        </w:rPr>
        <w:t>asat 5,</w:t>
      </w:r>
      <w:r w:rsidR="00D22EA5" w:rsidRPr="00830F4C">
        <w:rPr>
          <w:rFonts w:ascii="Garamond" w:hAnsi="Garamond"/>
          <w:sz w:val="24"/>
          <w:szCs w:val="24"/>
        </w:rPr>
        <w:t xml:space="preserve"> </w:t>
      </w:r>
      <w:r w:rsidRPr="00830F4C">
        <w:rPr>
          <w:rFonts w:ascii="Garamond" w:hAnsi="Garamond"/>
          <w:sz w:val="24"/>
          <w:szCs w:val="24"/>
        </w:rPr>
        <w:t>6,</w:t>
      </w:r>
      <w:r w:rsidR="00D22EA5" w:rsidRPr="00830F4C">
        <w:rPr>
          <w:rFonts w:ascii="Garamond" w:hAnsi="Garamond"/>
          <w:sz w:val="24"/>
          <w:szCs w:val="24"/>
        </w:rPr>
        <w:t xml:space="preserve"> </w:t>
      </w:r>
      <w:r w:rsidRPr="00830F4C">
        <w:rPr>
          <w:rFonts w:ascii="Garamond" w:hAnsi="Garamond"/>
          <w:sz w:val="24"/>
          <w:szCs w:val="24"/>
        </w:rPr>
        <w:t>13 dhe 14. Angazhimi për monitorimin dhe vlerësimin vjetor të këtyre standardeve, por jo vetëm;</w:t>
      </w:r>
    </w:p>
    <w:p w14:paraId="7CFB1EC0" w14:textId="58A41613" w:rsidR="00B160C4" w:rsidRPr="00830F4C" w:rsidRDefault="00B160C4" w:rsidP="00B160C4">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 Analiz</w:t>
      </w:r>
      <w:r w:rsidR="009622EB" w:rsidRPr="00830F4C">
        <w:rPr>
          <w:rFonts w:ascii="Garamond" w:hAnsi="Garamond"/>
          <w:sz w:val="24"/>
          <w:szCs w:val="24"/>
        </w:rPr>
        <w:t>ën</w:t>
      </w:r>
      <w:r w:rsidRPr="00830F4C">
        <w:rPr>
          <w:rFonts w:ascii="Garamond" w:hAnsi="Garamond"/>
          <w:sz w:val="24"/>
          <w:szCs w:val="24"/>
        </w:rPr>
        <w:t xml:space="preserve"> e rregullave të </w:t>
      </w:r>
      <w:r w:rsidR="009622EB" w:rsidRPr="00830F4C">
        <w:rPr>
          <w:rFonts w:ascii="Garamond" w:hAnsi="Garamond"/>
          <w:sz w:val="24"/>
          <w:szCs w:val="24"/>
        </w:rPr>
        <w:t>s</w:t>
      </w:r>
      <w:r w:rsidRPr="00830F4C">
        <w:rPr>
          <w:rFonts w:ascii="Garamond" w:hAnsi="Garamond"/>
          <w:sz w:val="24"/>
          <w:szCs w:val="24"/>
        </w:rPr>
        <w:t>htyllës 2 të BEPS</w:t>
      </w:r>
      <w:r w:rsidR="009622EB" w:rsidRPr="00830F4C">
        <w:rPr>
          <w:rFonts w:ascii="Garamond" w:hAnsi="Garamond"/>
          <w:sz w:val="24"/>
          <w:szCs w:val="24"/>
        </w:rPr>
        <w:t>-së</w:t>
      </w:r>
      <w:r w:rsidRPr="00830F4C">
        <w:rPr>
          <w:rFonts w:ascii="Garamond" w:hAnsi="Garamond"/>
          <w:sz w:val="24"/>
          <w:szCs w:val="24"/>
        </w:rPr>
        <w:t xml:space="preserve"> (</w:t>
      </w:r>
      <w:r w:rsidRPr="00830F4C">
        <w:rPr>
          <w:rFonts w:ascii="Garamond" w:hAnsi="Garamond"/>
          <w:i/>
          <w:sz w:val="24"/>
          <w:szCs w:val="24"/>
        </w:rPr>
        <w:t>Base Erosion Profit Shifting</w:t>
      </w:r>
      <w:r w:rsidRPr="00830F4C">
        <w:rPr>
          <w:rFonts w:ascii="Garamond" w:hAnsi="Garamond"/>
          <w:sz w:val="24"/>
          <w:szCs w:val="24"/>
        </w:rPr>
        <w:t>);</w:t>
      </w:r>
    </w:p>
    <w:p w14:paraId="48D79699" w14:textId="3D411BE0" w:rsidR="00B160C4" w:rsidRPr="00830F4C" w:rsidRDefault="00B160C4" w:rsidP="00B160C4">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 xml:space="preserve">- Angazhimi në lidhje me masat e marra në kuadër të zbatimit të pjesshëm të </w:t>
      </w:r>
      <w:r w:rsidR="009622EB" w:rsidRPr="00830F4C">
        <w:rPr>
          <w:rFonts w:ascii="Garamond" w:hAnsi="Garamond"/>
          <w:sz w:val="24"/>
          <w:szCs w:val="24"/>
        </w:rPr>
        <w:t>s</w:t>
      </w:r>
      <w:r w:rsidRPr="00830F4C">
        <w:rPr>
          <w:rFonts w:ascii="Garamond" w:hAnsi="Garamond"/>
          <w:sz w:val="24"/>
          <w:szCs w:val="24"/>
        </w:rPr>
        <w:t>htyllës 2, dhe konkretisht nënshkrimit të STTR–MLI;</w:t>
      </w:r>
    </w:p>
    <w:p w14:paraId="11B94653" w14:textId="13523E4F" w:rsidR="00B160C4" w:rsidRPr="00830F4C" w:rsidRDefault="00B160C4" w:rsidP="00B160C4">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 xml:space="preserve">Zbatimi i legjislacionit në përputhje me direktivën e BE-së dhe në përputhje me masën 13 të BEPS për Raportimin </w:t>
      </w:r>
      <w:r w:rsidR="009622EB" w:rsidRPr="00830F4C">
        <w:rPr>
          <w:rFonts w:ascii="Garamond" w:hAnsi="Garamond"/>
          <w:sz w:val="24"/>
          <w:szCs w:val="24"/>
        </w:rPr>
        <w:t>n</w:t>
      </w:r>
      <w:r w:rsidRPr="00830F4C">
        <w:rPr>
          <w:rFonts w:ascii="Garamond" w:hAnsi="Garamond"/>
          <w:sz w:val="24"/>
          <w:szCs w:val="24"/>
        </w:rPr>
        <w:t xml:space="preserve">ga Shteti </w:t>
      </w:r>
      <w:r w:rsidR="009622EB" w:rsidRPr="00830F4C">
        <w:rPr>
          <w:rFonts w:ascii="Garamond" w:hAnsi="Garamond"/>
          <w:sz w:val="24"/>
          <w:szCs w:val="24"/>
        </w:rPr>
        <w:t>s</w:t>
      </w:r>
      <w:r w:rsidRPr="00830F4C">
        <w:rPr>
          <w:rFonts w:ascii="Garamond" w:hAnsi="Garamond"/>
          <w:sz w:val="24"/>
          <w:szCs w:val="24"/>
        </w:rPr>
        <w:t>ipas Vendit.</w:t>
      </w:r>
    </w:p>
    <w:p w14:paraId="0BCB905C" w14:textId="77777777" w:rsidR="00B160C4" w:rsidRPr="00830F4C" w:rsidRDefault="00B160C4" w:rsidP="00B160C4">
      <w:pPr>
        <w:ind w:firstLine="284"/>
        <w:jc w:val="both"/>
        <w:rPr>
          <w:rFonts w:ascii="Garamond" w:hAnsi="Garamond"/>
        </w:rPr>
      </w:pPr>
      <w:r w:rsidRPr="00830F4C">
        <w:rPr>
          <w:rFonts w:ascii="Garamond" w:hAnsi="Garamond"/>
        </w:rPr>
        <w:t>Për plotësimin e plotë të kësaj mase janë parashikuar dy aktivitete si më poshtë:</w:t>
      </w:r>
    </w:p>
    <w:p w14:paraId="1B6DC15C" w14:textId="552BFF0B" w:rsidR="00B160C4" w:rsidRPr="00830F4C" w:rsidRDefault="00B160C4" w:rsidP="00B160C4">
      <w:pPr>
        <w:pStyle w:val="ListParagraph"/>
        <w:spacing w:after="0" w:line="240" w:lineRule="auto"/>
        <w:ind w:left="0" w:firstLine="284"/>
        <w:jc w:val="both"/>
        <w:rPr>
          <w:rFonts w:ascii="Garamond" w:hAnsi="Garamond"/>
          <w:sz w:val="24"/>
          <w:szCs w:val="24"/>
        </w:rPr>
      </w:pPr>
      <w:r w:rsidRPr="00830F4C">
        <w:rPr>
          <w:rFonts w:ascii="Garamond" w:hAnsi="Garamond" w:cs="Wingdings"/>
          <w:sz w:val="24"/>
          <w:szCs w:val="24"/>
        </w:rPr>
        <w:t xml:space="preserve">- </w:t>
      </w:r>
      <w:r w:rsidRPr="00830F4C">
        <w:rPr>
          <w:rFonts w:ascii="Garamond" w:hAnsi="Garamond"/>
          <w:sz w:val="24"/>
          <w:szCs w:val="24"/>
        </w:rPr>
        <w:t>Aktiviteti 1.2.5.1</w:t>
      </w:r>
      <w:r w:rsidR="00A72159">
        <w:rPr>
          <w:rFonts w:ascii="Garamond" w:hAnsi="Garamond"/>
          <w:sz w:val="24"/>
          <w:szCs w:val="24"/>
        </w:rPr>
        <w:t>:</w:t>
      </w:r>
      <w:r w:rsidRPr="00830F4C">
        <w:rPr>
          <w:rFonts w:ascii="Garamond" w:hAnsi="Garamond"/>
          <w:sz w:val="24"/>
          <w:szCs w:val="24"/>
        </w:rPr>
        <w:t xml:space="preserve"> Vazhdimi i zbatimeve bazuar në raportet e rishikimit </w:t>
      </w:r>
      <w:r w:rsidR="00D22EA5" w:rsidRPr="00830F4C">
        <w:rPr>
          <w:rFonts w:ascii="Garamond" w:hAnsi="Garamond"/>
          <w:sz w:val="24"/>
          <w:szCs w:val="24"/>
        </w:rPr>
        <w:t>kolegjial</w:t>
      </w:r>
      <w:r w:rsidRPr="00830F4C">
        <w:rPr>
          <w:rFonts w:ascii="Garamond" w:hAnsi="Garamond"/>
          <w:sz w:val="24"/>
          <w:szCs w:val="24"/>
        </w:rPr>
        <w:t xml:space="preserve"> për BEPS</w:t>
      </w:r>
      <w:r w:rsidR="009622EB" w:rsidRPr="00830F4C">
        <w:rPr>
          <w:rFonts w:ascii="Garamond" w:hAnsi="Garamond"/>
          <w:sz w:val="24"/>
          <w:szCs w:val="24"/>
        </w:rPr>
        <w:t>-në</w:t>
      </w:r>
      <w:r w:rsidRPr="00830F4C">
        <w:rPr>
          <w:rFonts w:ascii="Garamond" w:hAnsi="Garamond"/>
          <w:sz w:val="24"/>
          <w:szCs w:val="24"/>
        </w:rPr>
        <w:t>, standardet minimale.</w:t>
      </w:r>
    </w:p>
    <w:p w14:paraId="5C9FB924" w14:textId="13E42F93" w:rsidR="00B160C4" w:rsidRPr="00830F4C" w:rsidRDefault="00B160C4" w:rsidP="00B160C4">
      <w:pPr>
        <w:pStyle w:val="ListParagraph"/>
        <w:spacing w:after="0" w:line="240" w:lineRule="auto"/>
        <w:ind w:left="0" w:firstLine="284"/>
        <w:jc w:val="both"/>
        <w:rPr>
          <w:rFonts w:ascii="Garamond" w:hAnsi="Garamond"/>
          <w:sz w:val="24"/>
          <w:szCs w:val="24"/>
        </w:rPr>
      </w:pPr>
      <w:r w:rsidRPr="00830F4C">
        <w:rPr>
          <w:rFonts w:ascii="Garamond" w:hAnsi="Garamond" w:cs="Wingdings"/>
          <w:sz w:val="24"/>
          <w:szCs w:val="24"/>
        </w:rPr>
        <w:t xml:space="preserve">- </w:t>
      </w:r>
      <w:r w:rsidRPr="00830F4C">
        <w:rPr>
          <w:rFonts w:ascii="Garamond" w:hAnsi="Garamond"/>
          <w:sz w:val="24"/>
          <w:szCs w:val="24"/>
        </w:rPr>
        <w:t>Aktiviteti 1.2.5.2</w:t>
      </w:r>
      <w:r w:rsidR="00A72159">
        <w:rPr>
          <w:rFonts w:ascii="Garamond" w:hAnsi="Garamond"/>
          <w:sz w:val="24"/>
          <w:szCs w:val="24"/>
        </w:rPr>
        <w:t>:</w:t>
      </w:r>
      <w:r w:rsidRPr="00830F4C">
        <w:rPr>
          <w:rFonts w:ascii="Garamond" w:hAnsi="Garamond"/>
          <w:sz w:val="24"/>
          <w:szCs w:val="24"/>
        </w:rPr>
        <w:t xml:space="preserve"> Analizimi i efektit të zbatimit të Rregullit Global, shtylla 2 e BEPS</w:t>
      </w:r>
      <w:r w:rsidR="009622EB" w:rsidRPr="00830F4C">
        <w:rPr>
          <w:rFonts w:ascii="Garamond" w:hAnsi="Garamond"/>
          <w:sz w:val="24"/>
          <w:szCs w:val="24"/>
        </w:rPr>
        <w:t>-së</w:t>
      </w:r>
      <w:r w:rsidRPr="00830F4C">
        <w:rPr>
          <w:rFonts w:ascii="Garamond" w:hAnsi="Garamond"/>
          <w:sz w:val="24"/>
          <w:szCs w:val="24"/>
        </w:rPr>
        <w:t xml:space="preserve"> dhe më pas zbatimi i legjislacionit të tij.</w:t>
      </w:r>
    </w:p>
    <w:p w14:paraId="768E884B" w14:textId="4C613FBB" w:rsidR="00B160C4" w:rsidRPr="00830F4C" w:rsidRDefault="00B160C4" w:rsidP="00B160C4">
      <w:pPr>
        <w:ind w:firstLine="284"/>
        <w:jc w:val="both"/>
        <w:rPr>
          <w:rFonts w:ascii="Garamond" w:hAnsi="Garamond"/>
          <w:b/>
          <w:bCs/>
        </w:rPr>
      </w:pPr>
      <w:r w:rsidRPr="00830F4C">
        <w:rPr>
          <w:rFonts w:ascii="Garamond" w:hAnsi="Garamond"/>
          <w:b/>
          <w:bCs/>
        </w:rPr>
        <w:t xml:space="preserve">Masa 1.2.6 Harmonizimet e plota të legjislacionit vendas me </w:t>
      </w:r>
      <w:r w:rsidRPr="00830F4C">
        <w:rPr>
          <w:rFonts w:ascii="Garamond" w:hAnsi="Garamond"/>
          <w:b/>
          <w:bCs/>
          <w:i/>
        </w:rPr>
        <w:t>acquis</w:t>
      </w:r>
      <w:r w:rsidRPr="00830F4C">
        <w:rPr>
          <w:rFonts w:ascii="Garamond" w:hAnsi="Garamond"/>
          <w:b/>
          <w:bCs/>
        </w:rPr>
        <w:t xml:space="preserve"> të BE-së në fushën e tatimeve direkte</w:t>
      </w:r>
    </w:p>
    <w:p w14:paraId="550FACDE" w14:textId="77777777" w:rsidR="00B160C4" w:rsidRPr="00830F4C" w:rsidRDefault="00B160C4" w:rsidP="00B160C4">
      <w:pPr>
        <w:ind w:firstLine="284"/>
        <w:jc w:val="both"/>
        <w:rPr>
          <w:rFonts w:ascii="Garamond" w:hAnsi="Garamond"/>
        </w:rPr>
      </w:pPr>
      <w:r w:rsidRPr="00830F4C">
        <w:rPr>
          <w:rFonts w:ascii="Garamond" w:hAnsi="Garamond"/>
        </w:rPr>
        <w:t xml:space="preserve">Shqipëria është pjesërisht e përafruar me </w:t>
      </w:r>
      <w:r w:rsidRPr="00830F4C">
        <w:rPr>
          <w:rFonts w:ascii="Garamond" w:hAnsi="Garamond"/>
          <w:i/>
        </w:rPr>
        <w:t>acquis</w:t>
      </w:r>
      <w:r w:rsidRPr="00830F4C">
        <w:rPr>
          <w:rFonts w:ascii="Garamond" w:hAnsi="Garamond"/>
        </w:rPr>
        <w:t xml:space="preserve"> të BE-së në fushën e tatimeve direkte. Ligji i ri për të ardhurat transpozoi shumicën e direktivave të BE-së që mund të zbatohen gjatë kohës që Shqipëria nuk është anëtare e BE-së.</w:t>
      </w:r>
    </w:p>
    <w:p w14:paraId="556791CB" w14:textId="1CC6FC59" w:rsidR="00B160C4" w:rsidRPr="00830F4C" w:rsidRDefault="00B160C4" w:rsidP="00B160C4">
      <w:pPr>
        <w:ind w:firstLine="284"/>
        <w:jc w:val="both"/>
        <w:rPr>
          <w:rFonts w:ascii="Garamond" w:hAnsi="Garamond"/>
        </w:rPr>
      </w:pPr>
      <w:r w:rsidRPr="00830F4C">
        <w:rPr>
          <w:rFonts w:ascii="Garamond" w:hAnsi="Garamond"/>
        </w:rPr>
        <w:t xml:space="preserve">Gjatë kohëzgjatjes së kësaj strategjie, synohet të transpozohet plotësisht pjesa tjetër e </w:t>
      </w:r>
      <w:r w:rsidRPr="00830F4C">
        <w:rPr>
          <w:rFonts w:ascii="Garamond" w:hAnsi="Garamond"/>
          <w:i/>
        </w:rPr>
        <w:t>acquis</w:t>
      </w:r>
      <w:r w:rsidRPr="00830F4C">
        <w:rPr>
          <w:rFonts w:ascii="Garamond" w:hAnsi="Garamond"/>
        </w:rPr>
        <w:t xml:space="preserve"> </w:t>
      </w:r>
      <w:r w:rsidR="009622EB" w:rsidRPr="00830F4C">
        <w:rPr>
          <w:rFonts w:ascii="Garamond" w:hAnsi="Garamond"/>
        </w:rPr>
        <w:t>t</w:t>
      </w:r>
      <w:r w:rsidRPr="00830F4C">
        <w:rPr>
          <w:rFonts w:ascii="Garamond" w:hAnsi="Garamond"/>
        </w:rPr>
        <w:t>ë BE-së që nuk është transpozuar. Për këtë, MF</w:t>
      </w:r>
      <w:r w:rsidR="009622EB" w:rsidRPr="00830F4C">
        <w:rPr>
          <w:rFonts w:ascii="Garamond" w:hAnsi="Garamond"/>
        </w:rPr>
        <w:t>-ja</w:t>
      </w:r>
      <w:r w:rsidRPr="00830F4C">
        <w:rPr>
          <w:rFonts w:ascii="Garamond" w:hAnsi="Garamond"/>
        </w:rPr>
        <w:t xml:space="preserve"> ka kërkuar asistencë teknike nga TAIEX.</w:t>
      </w:r>
    </w:p>
    <w:p w14:paraId="01510E17" w14:textId="77777777" w:rsidR="00B160C4" w:rsidRPr="00830F4C" w:rsidRDefault="00B160C4" w:rsidP="00B160C4">
      <w:pPr>
        <w:ind w:firstLine="284"/>
        <w:jc w:val="both"/>
        <w:rPr>
          <w:rFonts w:ascii="Garamond" w:hAnsi="Garamond"/>
        </w:rPr>
      </w:pPr>
      <w:r w:rsidRPr="00830F4C">
        <w:rPr>
          <w:rFonts w:ascii="Garamond" w:hAnsi="Garamond"/>
        </w:rPr>
        <w:t>Aktivitetet e parashikuara janë si më poshtë:</w:t>
      </w:r>
    </w:p>
    <w:p w14:paraId="1D9626B4" w14:textId="2941BEB6" w:rsidR="00B160C4" w:rsidRPr="00830F4C" w:rsidRDefault="00B160C4" w:rsidP="009622EB">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 xml:space="preserve">Aktiviteti 1.2.6.1: Punë përgatitore për transpozim të plotë me </w:t>
      </w:r>
      <w:r w:rsidRPr="00830F4C">
        <w:rPr>
          <w:rFonts w:ascii="Garamond" w:hAnsi="Garamond"/>
          <w:i/>
          <w:sz w:val="24"/>
          <w:szCs w:val="24"/>
        </w:rPr>
        <w:t>acquis</w:t>
      </w:r>
      <w:r w:rsidRPr="00830F4C">
        <w:rPr>
          <w:rFonts w:ascii="Garamond" w:hAnsi="Garamond"/>
          <w:sz w:val="24"/>
          <w:szCs w:val="24"/>
        </w:rPr>
        <w:t xml:space="preserve"> të BE-së në tatimet direkte;</w:t>
      </w:r>
    </w:p>
    <w:p w14:paraId="24579086" w14:textId="4818364F" w:rsidR="00B160C4" w:rsidRPr="00830F4C" w:rsidRDefault="00B160C4" w:rsidP="009622EB">
      <w:pPr>
        <w:ind w:firstLine="284"/>
        <w:jc w:val="both"/>
        <w:rPr>
          <w:rFonts w:ascii="Garamond" w:hAnsi="Garamond"/>
        </w:rPr>
      </w:pPr>
      <w:r w:rsidRPr="00830F4C">
        <w:rPr>
          <w:rFonts w:ascii="Garamond" w:hAnsi="Garamond"/>
        </w:rPr>
        <w:t>Aktiviteti: 1.2.6.2</w:t>
      </w:r>
      <w:r w:rsidR="00A72159">
        <w:rPr>
          <w:rFonts w:ascii="Garamond" w:hAnsi="Garamond"/>
        </w:rPr>
        <w:t>:</w:t>
      </w:r>
      <w:r w:rsidRPr="00830F4C">
        <w:rPr>
          <w:rFonts w:ascii="Garamond" w:hAnsi="Garamond"/>
        </w:rPr>
        <w:t xml:space="preserve"> Hartimi dhe miratimi i aktit ligjor për transpozimin e plotë të legjislacionit të brendshëm me </w:t>
      </w:r>
      <w:r w:rsidRPr="00830F4C">
        <w:rPr>
          <w:rFonts w:ascii="Garamond" w:hAnsi="Garamond"/>
          <w:i/>
        </w:rPr>
        <w:t>acquis</w:t>
      </w:r>
      <w:r w:rsidRPr="00830F4C">
        <w:rPr>
          <w:rFonts w:ascii="Garamond" w:hAnsi="Garamond"/>
        </w:rPr>
        <w:t xml:space="preserve"> të BE-së sipas </w:t>
      </w:r>
      <w:r w:rsidR="009622EB" w:rsidRPr="00830F4C">
        <w:rPr>
          <w:rFonts w:ascii="Garamond" w:hAnsi="Garamond"/>
        </w:rPr>
        <w:t>k</w:t>
      </w:r>
      <w:r w:rsidRPr="00830F4C">
        <w:rPr>
          <w:rFonts w:ascii="Garamond" w:hAnsi="Garamond"/>
        </w:rPr>
        <w:t>apitullit 16.</w:t>
      </w:r>
    </w:p>
    <w:p w14:paraId="4E502E72" w14:textId="48A2FF5B" w:rsidR="00B160C4" w:rsidRPr="00830F4C" w:rsidRDefault="00B160C4" w:rsidP="00B160C4">
      <w:pPr>
        <w:ind w:firstLine="284"/>
        <w:jc w:val="both"/>
        <w:rPr>
          <w:rFonts w:ascii="Garamond" w:hAnsi="Garamond"/>
          <w:b/>
          <w:bCs/>
        </w:rPr>
      </w:pPr>
      <w:r w:rsidRPr="00830F4C">
        <w:rPr>
          <w:rFonts w:ascii="Garamond" w:hAnsi="Garamond"/>
          <w:b/>
          <w:bCs/>
        </w:rPr>
        <w:t>Masa 1.2.7 Rishikimi i përjashtimeve nga taksat dhe tarifat kombëtare, përfshirë ato mjedisore.</w:t>
      </w:r>
    </w:p>
    <w:p w14:paraId="7512B1BA" w14:textId="00119DDE" w:rsidR="00B160C4" w:rsidRPr="00830F4C" w:rsidRDefault="00B160C4" w:rsidP="00B160C4">
      <w:pPr>
        <w:ind w:firstLine="284"/>
        <w:jc w:val="both"/>
        <w:rPr>
          <w:rFonts w:ascii="Garamond" w:hAnsi="Garamond"/>
        </w:rPr>
      </w:pPr>
      <w:r w:rsidRPr="00830F4C">
        <w:rPr>
          <w:rFonts w:ascii="Garamond" w:hAnsi="Garamond"/>
        </w:rPr>
        <w:t>Ligji nr. 9975, datë 28.7.2008</w:t>
      </w:r>
      <w:r w:rsidR="00D22EA5" w:rsidRPr="00830F4C">
        <w:rPr>
          <w:rFonts w:ascii="Garamond" w:hAnsi="Garamond"/>
        </w:rPr>
        <w:t>,</w:t>
      </w:r>
      <w:r w:rsidRPr="00830F4C">
        <w:rPr>
          <w:rFonts w:ascii="Garamond" w:hAnsi="Garamond"/>
        </w:rPr>
        <w:t xml:space="preserve"> </w:t>
      </w:r>
      <w:r w:rsidR="009622EB" w:rsidRPr="00830F4C">
        <w:rPr>
          <w:rFonts w:ascii="Garamond" w:hAnsi="Garamond"/>
        </w:rPr>
        <w:t>“</w:t>
      </w:r>
      <w:r w:rsidRPr="00830F4C">
        <w:rPr>
          <w:rFonts w:ascii="Garamond" w:hAnsi="Garamond"/>
        </w:rPr>
        <w:t>Për taksat dhe tarifat kombëtare</w:t>
      </w:r>
      <w:r w:rsidR="009622EB" w:rsidRPr="00830F4C">
        <w:rPr>
          <w:rFonts w:ascii="Garamond" w:hAnsi="Garamond"/>
        </w:rPr>
        <w:t>”</w:t>
      </w:r>
      <w:r w:rsidRPr="00830F4C">
        <w:rPr>
          <w:rFonts w:ascii="Garamond" w:hAnsi="Garamond"/>
        </w:rPr>
        <w:t>, i ndryshuar</w:t>
      </w:r>
      <w:r w:rsidR="009622EB" w:rsidRPr="00830F4C">
        <w:rPr>
          <w:rFonts w:ascii="Garamond" w:hAnsi="Garamond"/>
        </w:rPr>
        <w:t>,</w:t>
      </w:r>
      <w:r w:rsidRPr="00830F4C">
        <w:rPr>
          <w:rFonts w:ascii="Garamond" w:hAnsi="Garamond"/>
        </w:rPr>
        <w:t xml:space="preserve"> ka përcaktuar llojet e taksave dhe tarifave kombëtare që zbatohen në Republikën e Shqipërisë, ku përfshihen shumë lloje taksash. Janë tre kategori</w:t>
      </w:r>
      <w:r w:rsidR="00D22EA5" w:rsidRPr="00830F4C">
        <w:rPr>
          <w:rFonts w:ascii="Garamond" w:hAnsi="Garamond"/>
        </w:rPr>
        <w:t xml:space="preserve"> </w:t>
      </w:r>
      <w:r w:rsidRPr="00830F4C">
        <w:rPr>
          <w:rFonts w:ascii="Garamond" w:hAnsi="Garamond"/>
        </w:rPr>
        <w:t>taksash kombëtare: i</w:t>
      </w:r>
      <w:r w:rsidR="00D22EA5" w:rsidRPr="00830F4C">
        <w:rPr>
          <w:rFonts w:ascii="Garamond" w:hAnsi="Garamond"/>
        </w:rPr>
        <w:t>.</w:t>
      </w:r>
      <w:r w:rsidRPr="00830F4C">
        <w:rPr>
          <w:rFonts w:ascii="Garamond" w:hAnsi="Garamond"/>
        </w:rPr>
        <w:t xml:space="preserve"> taksa e qarkullimit; ii</w:t>
      </w:r>
      <w:r w:rsidR="00D22EA5" w:rsidRPr="00830F4C">
        <w:rPr>
          <w:rFonts w:ascii="Garamond" w:hAnsi="Garamond"/>
        </w:rPr>
        <w:t>.</w:t>
      </w:r>
      <w:r w:rsidRPr="00830F4C">
        <w:rPr>
          <w:rFonts w:ascii="Garamond" w:hAnsi="Garamond"/>
        </w:rPr>
        <w:t xml:space="preserve"> taksa e karbonit; iii</w:t>
      </w:r>
      <w:r w:rsidR="00D22EA5" w:rsidRPr="00830F4C">
        <w:rPr>
          <w:rFonts w:ascii="Garamond" w:hAnsi="Garamond"/>
        </w:rPr>
        <w:t>.</w:t>
      </w:r>
      <w:r w:rsidRPr="00830F4C">
        <w:rPr>
          <w:rFonts w:ascii="Garamond" w:hAnsi="Garamond"/>
        </w:rPr>
        <w:t xml:space="preserve"> taksa e ambalazheve plastike, të cilat kanë natyrë amb</w:t>
      </w:r>
      <w:r w:rsidR="00D22EA5" w:rsidRPr="00830F4C">
        <w:rPr>
          <w:rFonts w:ascii="Garamond" w:hAnsi="Garamond"/>
        </w:rPr>
        <w:t>i</w:t>
      </w:r>
      <w:r w:rsidRPr="00830F4C">
        <w:rPr>
          <w:rFonts w:ascii="Garamond" w:hAnsi="Garamond"/>
        </w:rPr>
        <w:t xml:space="preserve">entaliste dhe pavarësisht se mund të trajtohen si tatime indirekte janë pjesë e ligjit </w:t>
      </w:r>
      <w:r w:rsidR="00D22EA5" w:rsidRPr="00830F4C">
        <w:rPr>
          <w:rFonts w:ascii="Garamond" w:hAnsi="Garamond"/>
        </w:rPr>
        <w:t>“</w:t>
      </w:r>
      <w:r w:rsidRPr="00830F4C">
        <w:rPr>
          <w:rFonts w:ascii="Garamond" w:hAnsi="Garamond"/>
        </w:rPr>
        <w:t>Për taksat kombëtare</w:t>
      </w:r>
      <w:r w:rsidR="00D22EA5" w:rsidRPr="00830F4C">
        <w:rPr>
          <w:rFonts w:ascii="Garamond" w:hAnsi="Garamond"/>
        </w:rPr>
        <w:t>”</w:t>
      </w:r>
      <w:r w:rsidRPr="00830F4C">
        <w:rPr>
          <w:rFonts w:ascii="Garamond" w:hAnsi="Garamond"/>
        </w:rPr>
        <w:t>.</w:t>
      </w:r>
    </w:p>
    <w:p w14:paraId="69391AB6" w14:textId="77777777" w:rsidR="00B160C4" w:rsidRPr="00830F4C" w:rsidRDefault="00B160C4" w:rsidP="00B160C4">
      <w:pPr>
        <w:ind w:firstLine="284"/>
        <w:jc w:val="both"/>
        <w:rPr>
          <w:rFonts w:ascii="Garamond" w:hAnsi="Garamond"/>
        </w:rPr>
      </w:pPr>
      <w:r w:rsidRPr="00830F4C">
        <w:rPr>
          <w:rFonts w:ascii="Garamond" w:hAnsi="Garamond"/>
        </w:rPr>
        <w:t>Gjithashtu, përmirësimet në sistemin e taksave kombëtare synojnë të sjellin kontribut pozitiv në të ardhurat e buxhetit. Për këtë qëllim masat e mëposhtme konsiderohen si të rëndësishme për t’u ndërmarrë:</w:t>
      </w:r>
    </w:p>
    <w:p w14:paraId="4EC2B8EB" w14:textId="77777777" w:rsidR="00B160C4" w:rsidRPr="00830F4C" w:rsidRDefault="00B160C4" w:rsidP="00B160C4">
      <w:pPr>
        <w:pStyle w:val="ListParagraph"/>
        <w:spacing w:after="0" w:line="240" w:lineRule="auto"/>
        <w:ind w:left="0" w:firstLine="284"/>
        <w:jc w:val="both"/>
        <w:rPr>
          <w:rFonts w:ascii="Garamond" w:hAnsi="Garamond"/>
          <w:b/>
          <w:sz w:val="24"/>
          <w:szCs w:val="24"/>
        </w:rPr>
      </w:pPr>
      <w:r w:rsidRPr="00830F4C">
        <w:rPr>
          <w:rFonts w:ascii="Garamond" w:hAnsi="Garamond" w:cs="Wingdings"/>
          <w:b/>
          <w:sz w:val="24"/>
          <w:szCs w:val="24"/>
        </w:rPr>
        <w:t xml:space="preserve">- </w:t>
      </w:r>
      <w:r w:rsidRPr="00830F4C">
        <w:rPr>
          <w:rFonts w:ascii="Garamond" w:hAnsi="Garamond"/>
          <w:b/>
          <w:sz w:val="24"/>
          <w:szCs w:val="24"/>
        </w:rPr>
        <w:t xml:space="preserve">Aktiviteti 1.2.7.1: Analiza e përjashtimeve nga taksat dhe tarifat kombëtare </w:t>
      </w:r>
    </w:p>
    <w:p w14:paraId="1F3CF26E" w14:textId="3EE206F8" w:rsidR="00B160C4" w:rsidRPr="00830F4C" w:rsidRDefault="00B160C4" w:rsidP="00B160C4">
      <w:pPr>
        <w:ind w:firstLine="284"/>
        <w:jc w:val="both"/>
        <w:rPr>
          <w:rFonts w:ascii="Garamond" w:hAnsi="Garamond"/>
        </w:rPr>
      </w:pPr>
      <w:r w:rsidRPr="00830F4C">
        <w:rPr>
          <w:rFonts w:ascii="Garamond" w:hAnsi="Garamond"/>
        </w:rPr>
        <w:t>Të gjitha përjashtimet nga taksat dhe tarifat kombëtare do jenë objekt rishikimi periodik, duke vlerësuar efektivitetin dhe efikasitetin e tyre</w:t>
      </w:r>
      <w:r w:rsidRPr="00830F4C">
        <w:rPr>
          <w:rFonts w:ascii="Garamond" w:hAnsi="Garamond"/>
          <w:bCs/>
        </w:rPr>
        <w:t>.</w:t>
      </w:r>
      <w:r w:rsidRPr="00830F4C">
        <w:rPr>
          <w:rFonts w:ascii="Garamond" w:hAnsi="Garamond"/>
        </w:rPr>
        <w:t xml:space="preserve"> Ka disa përjashtime të parashikuara në ligj, të cila</w:t>
      </w:r>
      <w:r w:rsidR="009622EB" w:rsidRPr="00830F4C">
        <w:rPr>
          <w:rFonts w:ascii="Garamond" w:hAnsi="Garamond"/>
        </w:rPr>
        <w:t>t</w:t>
      </w:r>
      <w:r w:rsidRPr="00830F4C">
        <w:rPr>
          <w:rFonts w:ascii="Garamond" w:hAnsi="Garamond"/>
        </w:rPr>
        <w:t xml:space="preserve"> pjesërisht janë prezantuar me qëllim favorizimin e disa sektorëve prioritarë dhe pjesërisht me qëllim adresimin e problematikave me të cilat është përballur administrata tatimore. Sektorët prioritarë do të duhet të mbështeten qartësisht përmes transfertave direkte nga buxheti, në mënyrë që të jenë më të lehta për t’u monitoruar, ndërkohë që eliminimi i përjashtimeve nga pagimi i taksave, nuk c</w:t>
      </w:r>
      <w:r w:rsidR="00D22EA5" w:rsidRPr="00830F4C">
        <w:rPr>
          <w:rFonts w:ascii="Garamond" w:hAnsi="Garamond"/>
        </w:rPr>
        <w:t>e</w:t>
      </w:r>
      <w:r w:rsidRPr="00830F4C">
        <w:rPr>
          <w:rFonts w:ascii="Garamond" w:hAnsi="Garamond"/>
        </w:rPr>
        <w:t>non integritetin e sistemit tatimor.</w:t>
      </w:r>
    </w:p>
    <w:p w14:paraId="002D1E63" w14:textId="2D96340A" w:rsidR="00B160C4" w:rsidRPr="00830F4C" w:rsidRDefault="00B160C4" w:rsidP="00B160C4">
      <w:pPr>
        <w:pStyle w:val="ListParagraph"/>
        <w:spacing w:after="0" w:line="240" w:lineRule="auto"/>
        <w:ind w:left="0" w:firstLine="284"/>
        <w:rPr>
          <w:rFonts w:ascii="Garamond" w:hAnsi="Garamond"/>
          <w:b/>
          <w:sz w:val="24"/>
          <w:szCs w:val="24"/>
        </w:rPr>
      </w:pPr>
      <w:r w:rsidRPr="00830F4C">
        <w:rPr>
          <w:rFonts w:ascii="Garamond" w:hAnsi="Garamond" w:cs="Wingdings"/>
          <w:b/>
          <w:sz w:val="24"/>
          <w:szCs w:val="24"/>
        </w:rPr>
        <w:t xml:space="preserve">- </w:t>
      </w:r>
      <w:r w:rsidRPr="00830F4C">
        <w:rPr>
          <w:rFonts w:ascii="Garamond" w:hAnsi="Garamond"/>
          <w:b/>
          <w:sz w:val="24"/>
          <w:szCs w:val="24"/>
        </w:rPr>
        <w:t>Aktiviteti 1.2.7.2</w:t>
      </w:r>
      <w:r w:rsidR="00D22EA5" w:rsidRPr="00830F4C">
        <w:rPr>
          <w:rFonts w:ascii="Garamond" w:hAnsi="Garamond"/>
          <w:b/>
          <w:sz w:val="24"/>
          <w:szCs w:val="24"/>
        </w:rPr>
        <w:t>:</w:t>
      </w:r>
      <w:r w:rsidRPr="00830F4C">
        <w:rPr>
          <w:rFonts w:ascii="Garamond" w:hAnsi="Garamond"/>
          <w:b/>
          <w:sz w:val="24"/>
          <w:szCs w:val="24"/>
        </w:rPr>
        <w:t xml:space="preserve"> Analiza e taksave mjedisore</w:t>
      </w:r>
    </w:p>
    <w:p w14:paraId="5DF366D3" w14:textId="33377D1C" w:rsidR="00B160C4" w:rsidRPr="00830F4C" w:rsidRDefault="00B160C4" w:rsidP="00B160C4">
      <w:pPr>
        <w:ind w:firstLine="284"/>
        <w:jc w:val="both"/>
        <w:rPr>
          <w:rFonts w:ascii="Garamond" w:hAnsi="Garamond"/>
        </w:rPr>
      </w:pPr>
      <w:r w:rsidRPr="00830F4C">
        <w:rPr>
          <w:rFonts w:ascii="Garamond" w:hAnsi="Garamond"/>
        </w:rPr>
        <w:t xml:space="preserve">Ministria e Financave, në bashkëpunim me Bankën Botërore, ndërmori në vitin 2022 studimin për të analizuar, krahasuar, ndryshuar dhe adresuar taksat mjedisore, bazuar në përvojat më të mira ndërkombëtare, si dhe në strategjitë e miratuara nga </w:t>
      </w:r>
      <w:r w:rsidR="00377F8B" w:rsidRPr="00830F4C">
        <w:rPr>
          <w:rFonts w:ascii="Garamond" w:hAnsi="Garamond"/>
        </w:rPr>
        <w:t>q</w:t>
      </w:r>
      <w:r w:rsidRPr="00830F4C">
        <w:rPr>
          <w:rFonts w:ascii="Garamond" w:hAnsi="Garamond"/>
        </w:rPr>
        <w:t>everia për ruajtjen e mjedisin. Ndryshimet ligjore në ligjin kombëtar të taksave u miratuan me faqen fiskale 2024 dhe kalendari i ri i taksës së karbonit për qymyrin do të zbatohet në vitin 2026. Parimet e mëposhtme do të merren parasysh:</w:t>
      </w:r>
    </w:p>
    <w:p w14:paraId="5DBC8298" w14:textId="77777777" w:rsidR="00B160C4" w:rsidRPr="00830F4C" w:rsidRDefault="00B160C4" w:rsidP="00B160C4">
      <w:pPr>
        <w:pStyle w:val="ListParagraph"/>
        <w:spacing w:after="0" w:line="240" w:lineRule="auto"/>
        <w:ind w:left="0" w:firstLine="284"/>
        <w:jc w:val="both"/>
        <w:rPr>
          <w:rFonts w:ascii="Garamond" w:hAnsi="Garamond"/>
          <w:sz w:val="24"/>
          <w:szCs w:val="24"/>
        </w:rPr>
      </w:pPr>
      <w:r w:rsidRPr="00830F4C">
        <w:rPr>
          <w:rFonts w:ascii="Garamond" w:hAnsi="Garamond" w:cs="Wingdings"/>
          <w:sz w:val="24"/>
          <w:szCs w:val="24"/>
        </w:rPr>
        <w:t xml:space="preserve">- </w:t>
      </w:r>
      <w:r w:rsidRPr="00830F4C">
        <w:rPr>
          <w:rFonts w:ascii="Garamond" w:hAnsi="Garamond"/>
          <w:sz w:val="24"/>
          <w:szCs w:val="24"/>
        </w:rPr>
        <w:t>Analiza e nivelit të taksës së plastikës dhe nxitja nëpërmjet mekanizmave tatimorë për riciklimin e tyre. Ndryshimi i taksës së plastikës (kryesisht për ambalazhet plastike) do të vlerësohet, pasi kjo taksë ka hasur në disa probleme në zbatimin e saj.</w:t>
      </w:r>
    </w:p>
    <w:p w14:paraId="23EAF68F" w14:textId="77777777" w:rsidR="00B160C4" w:rsidRPr="00830F4C" w:rsidRDefault="00B160C4" w:rsidP="00B160C4">
      <w:pPr>
        <w:pStyle w:val="ListParagraph"/>
        <w:spacing w:after="0" w:line="240" w:lineRule="auto"/>
        <w:ind w:left="0" w:firstLine="284"/>
        <w:jc w:val="both"/>
        <w:rPr>
          <w:rFonts w:ascii="Garamond" w:hAnsi="Garamond"/>
          <w:sz w:val="24"/>
          <w:szCs w:val="24"/>
        </w:rPr>
      </w:pPr>
      <w:r w:rsidRPr="00830F4C">
        <w:rPr>
          <w:rFonts w:ascii="Garamond" w:hAnsi="Garamond" w:cs="Wingdings"/>
          <w:sz w:val="24"/>
          <w:szCs w:val="24"/>
        </w:rPr>
        <w:t xml:space="preserve">- </w:t>
      </w:r>
      <w:r w:rsidRPr="00830F4C">
        <w:rPr>
          <w:rFonts w:ascii="Garamond" w:hAnsi="Garamond"/>
          <w:sz w:val="24"/>
          <w:szCs w:val="24"/>
        </w:rPr>
        <w:t>Mbështetje për regjimin e taksave mjedisore nëpërmjet udhëzimeve shpjeguese.</w:t>
      </w:r>
    </w:p>
    <w:p w14:paraId="080190AA" w14:textId="77777777" w:rsidR="00B160C4" w:rsidRPr="00830F4C" w:rsidRDefault="00B160C4" w:rsidP="00B160C4">
      <w:pPr>
        <w:pStyle w:val="ListParagraph"/>
        <w:spacing w:after="0" w:line="240" w:lineRule="auto"/>
        <w:ind w:left="0" w:firstLine="284"/>
        <w:jc w:val="both"/>
        <w:rPr>
          <w:rFonts w:ascii="Garamond" w:hAnsi="Garamond"/>
          <w:sz w:val="24"/>
          <w:szCs w:val="24"/>
        </w:rPr>
      </w:pPr>
      <w:r w:rsidRPr="00830F4C">
        <w:rPr>
          <w:rFonts w:ascii="Garamond" w:hAnsi="Garamond" w:cs="Wingdings"/>
          <w:sz w:val="24"/>
          <w:szCs w:val="24"/>
        </w:rPr>
        <w:t xml:space="preserve">- </w:t>
      </w:r>
      <w:r w:rsidRPr="00830F4C">
        <w:rPr>
          <w:rFonts w:ascii="Garamond" w:hAnsi="Garamond"/>
          <w:sz w:val="24"/>
          <w:szCs w:val="24"/>
        </w:rPr>
        <w:t>Duke pasur parasysh aspiratën e vendit tonë për t’u bërë një destinacion popullor turistik, do të ishte veçanërisht e rëndësishme që të jepeshin stimujt e duhur për të mbajtur mjedisin të pastër.</w:t>
      </w:r>
    </w:p>
    <w:p w14:paraId="3F176C86" w14:textId="77777777" w:rsidR="00B160C4" w:rsidRPr="00830F4C" w:rsidRDefault="00B160C4" w:rsidP="00B160C4">
      <w:pPr>
        <w:pStyle w:val="ListParagraph"/>
        <w:spacing w:after="0" w:line="240" w:lineRule="auto"/>
        <w:ind w:left="0" w:firstLine="284"/>
        <w:rPr>
          <w:rFonts w:ascii="Garamond" w:hAnsi="Garamond"/>
          <w:sz w:val="24"/>
          <w:szCs w:val="24"/>
        </w:rPr>
      </w:pPr>
      <w:r w:rsidRPr="00830F4C">
        <w:rPr>
          <w:rFonts w:ascii="Garamond" w:hAnsi="Garamond" w:cs="Wingdings"/>
          <w:sz w:val="24"/>
          <w:szCs w:val="24"/>
        </w:rPr>
        <w:t xml:space="preserve">- </w:t>
      </w:r>
      <w:r w:rsidRPr="00830F4C">
        <w:rPr>
          <w:rFonts w:ascii="Garamond" w:hAnsi="Garamond"/>
          <w:sz w:val="24"/>
          <w:szCs w:val="24"/>
        </w:rPr>
        <w:t>Analiza e shtrirjes së aplikimit të taksës së karbonit kalendar për qymyrin në produkte të tjera që ndotin mjedisin.</w:t>
      </w:r>
    </w:p>
    <w:p w14:paraId="00AB3550" w14:textId="6898E8FE" w:rsidR="00B160C4" w:rsidRPr="00830F4C" w:rsidRDefault="00B160C4" w:rsidP="00B160C4">
      <w:pPr>
        <w:ind w:firstLine="284"/>
        <w:jc w:val="both"/>
        <w:rPr>
          <w:rFonts w:ascii="Garamond" w:hAnsi="Garamond"/>
          <w:b/>
          <w:bCs/>
        </w:rPr>
      </w:pPr>
      <w:r w:rsidRPr="00830F4C">
        <w:rPr>
          <w:rFonts w:ascii="Garamond" w:hAnsi="Garamond"/>
          <w:b/>
          <w:bCs/>
        </w:rPr>
        <w:t>Masa 1.2.8 Hartimi i aktit ligjor bazuar në analizën e taksave kombëtare, duke përfshirë taksat mjedisore</w:t>
      </w:r>
    </w:p>
    <w:p w14:paraId="61547C07" w14:textId="47B06CD0" w:rsidR="00D22EA5" w:rsidRPr="00830F4C" w:rsidRDefault="00B160C4" w:rsidP="00D22EA5">
      <w:pPr>
        <w:ind w:firstLine="284"/>
        <w:jc w:val="both"/>
        <w:rPr>
          <w:rFonts w:ascii="Garamond" w:hAnsi="Garamond"/>
        </w:rPr>
      </w:pPr>
      <w:r w:rsidRPr="00830F4C">
        <w:rPr>
          <w:rFonts w:ascii="Garamond" w:hAnsi="Garamond"/>
        </w:rPr>
        <w:t>Bazuar në analizën e mësipërme, do të hartohen ndryshimet e nevojshme në ligjin për taksat kombëtare. MF</w:t>
      </w:r>
      <w:r w:rsidR="00377F8B" w:rsidRPr="00830F4C">
        <w:rPr>
          <w:rFonts w:ascii="Garamond" w:hAnsi="Garamond"/>
        </w:rPr>
        <w:t>-ja</w:t>
      </w:r>
      <w:r w:rsidRPr="00830F4C">
        <w:rPr>
          <w:rFonts w:ascii="Garamond" w:hAnsi="Garamond"/>
        </w:rPr>
        <w:t xml:space="preserve"> synon të përfundojë analizën brenda qershorit 2025 dhe të përgatisë ndryshimet e nevojshme ligjore brenda dhjetorit 2025, me qëllim që të fillojë zbatimi deri në vitin 2026. Në përgjithësi, vlerësohet se të ardhurat shtesë nga rishikimi i taksave mjedisore do të sjellin rreth 0.008%. të PBB-së çdo vit, 2026 dhe 2027.</w:t>
      </w:r>
    </w:p>
    <w:p w14:paraId="1473B08F" w14:textId="63E85C40" w:rsidR="00B160C4" w:rsidRPr="00830F4C" w:rsidRDefault="00B160C4" w:rsidP="00D22EA5">
      <w:pPr>
        <w:ind w:firstLine="284"/>
        <w:jc w:val="both"/>
        <w:rPr>
          <w:rFonts w:ascii="Garamond" w:hAnsi="Garamond"/>
        </w:rPr>
      </w:pPr>
      <w:r w:rsidRPr="00830F4C">
        <w:rPr>
          <w:rFonts w:ascii="Garamond" w:hAnsi="Garamond"/>
          <w:b/>
        </w:rPr>
        <w:t>IV.3 Komponenti 1.3 Rishikimi i politikës tatimore të taksës mbi pasuritë e paluajtshme</w:t>
      </w:r>
    </w:p>
    <w:p w14:paraId="354920DC" w14:textId="41C7137B" w:rsidR="00B160C4" w:rsidRPr="00830F4C" w:rsidRDefault="00B160C4" w:rsidP="00B160C4">
      <w:pPr>
        <w:pStyle w:val="ListParagraph"/>
        <w:tabs>
          <w:tab w:val="left" w:pos="720"/>
        </w:tabs>
        <w:spacing w:after="0" w:line="240" w:lineRule="auto"/>
        <w:ind w:left="0" w:firstLine="284"/>
        <w:jc w:val="both"/>
        <w:rPr>
          <w:rFonts w:ascii="Garamond" w:hAnsi="Garamond"/>
          <w:sz w:val="24"/>
          <w:szCs w:val="24"/>
        </w:rPr>
      </w:pPr>
      <w:r w:rsidRPr="00830F4C">
        <w:rPr>
          <w:rFonts w:ascii="Garamond" w:hAnsi="Garamond"/>
          <w:sz w:val="24"/>
          <w:szCs w:val="24"/>
        </w:rPr>
        <w:t>Në vitin 2018 u miratuan ndryshimet në skemën e taksimit të pasurive të paluajtshme, ndërtesa, duke kaluar nga taksa me kuotë fikse për m</w:t>
      </w:r>
      <w:r w:rsidRPr="00830F4C">
        <w:rPr>
          <w:rFonts w:ascii="Garamond" w:hAnsi="Garamond"/>
          <w:sz w:val="24"/>
          <w:szCs w:val="24"/>
          <w:vertAlign w:val="superscript"/>
        </w:rPr>
        <w:t>2</w:t>
      </w:r>
      <w:r w:rsidRPr="00830F4C">
        <w:rPr>
          <w:rFonts w:ascii="Garamond" w:hAnsi="Garamond"/>
          <w:sz w:val="24"/>
          <w:szCs w:val="24"/>
        </w:rPr>
        <w:t xml:space="preserve">, në taksën </w:t>
      </w:r>
      <w:r w:rsidRPr="00830F4C">
        <w:rPr>
          <w:rFonts w:ascii="Garamond" w:hAnsi="Garamond"/>
          <w:i/>
          <w:sz w:val="24"/>
          <w:szCs w:val="24"/>
        </w:rPr>
        <w:t>ad valorem</w:t>
      </w:r>
      <w:r w:rsidRPr="00830F4C">
        <w:rPr>
          <w:rFonts w:ascii="Garamond" w:hAnsi="Garamond"/>
          <w:sz w:val="24"/>
          <w:szCs w:val="24"/>
        </w:rPr>
        <w:t xml:space="preserve"> pra me përqindje mbi vlerën e pasurisë së paluajtshme-ndërtesë. Kjo reformë u shoqërua me krijimin e Kadastrës Tatimore dhe të Regjistrit të pasurive të paluajtshme ku evidentohen pasuritë e paluajtshme, pronarët, vendndodhja, vlera e pronës dhe të dhëna të tjera. Miratimi i ligjit u shoqërua me vendosjen e disa përjashtimeve nga pagesa e taksës. Nga vlerësimet paraprake vërehet se disa përjashtime duhet të el</w:t>
      </w:r>
      <w:r w:rsidR="00D22EA5" w:rsidRPr="00830F4C">
        <w:rPr>
          <w:rFonts w:ascii="Garamond" w:hAnsi="Garamond"/>
          <w:sz w:val="24"/>
          <w:szCs w:val="24"/>
        </w:rPr>
        <w:t>i</w:t>
      </w:r>
      <w:r w:rsidRPr="00830F4C">
        <w:rPr>
          <w:rFonts w:ascii="Garamond" w:hAnsi="Garamond"/>
          <w:sz w:val="24"/>
          <w:szCs w:val="24"/>
        </w:rPr>
        <w:t xml:space="preserve">minohen, si dhe ka </w:t>
      </w:r>
      <w:r w:rsidR="00377F8B" w:rsidRPr="00830F4C">
        <w:rPr>
          <w:rFonts w:ascii="Garamond" w:hAnsi="Garamond"/>
          <w:sz w:val="24"/>
          <w:szCs w:val="24"/>
        </w:rPr>
        <w:t>hapësirë</w:t>
      </w:r>
      <w:r w:rsidRPr="00830F4C">
        <w:rPr>
          <w:rFonts w:ascii="Garamond" w:hAnsi="Garamond"/>
          <w:sz w:val="24"/>
          <w:szCs w:val="24"/>
        </w:rPr>
        <w:t xml:space="preserve"> që të mund të rritet edhe norma e taksës së pronës. Në këtë të strategjisë, po ndërmerren hapat e mëposhtëm:</w:t>
      </w:r>
    </w:p>
    <w:p w14:paraId="517E79A1" w14:textId="0D433286" w:rsidR="00B160C4" w:rsidRPr="00830F4C" w:rsidRDefault="00B160C4" w:rsidP="00B160C4">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 xml:space="preserve">Hartimi i një ligji të ri </w:t>
      </w:r>
      <w:r w:rsidR="00D22EA5" w:rsidRPr="00830F4C">
        <w:rPr>
          <w:rFonts w:ascii="Garamond" w:hAnsi="Garamond"/>
          <w:sz w:val="24"/>
          <w:szCs w:val="24"/>
        </w:rPr>
        <w:t>“</w:t>
      </w:r>
      <w:r w:rsidRPr="00830F4C">
        <w:rPr>
          <w:rFonts w:ascii="Garamond" w:hAnsi="Garamond"/>
          <w:sz w:val="24"/>
          <w:szCs w:val="24"/>
        </w:rPr>
        <w:t>Për taksën e pasurisë së paluajtshme</w:t>
      </w:r>
      <w:r w:rsidR="00D22EA5" w:rsidRPr="00830F4C">
        <w:rPr>
          <w:rFonts w:ascii="Garamond" w:hAnsi="Garamond"/>
          <w:sz w:val="24"/>
          <w:szCs w:val="24"/>
        </w:rPr>
        <w:t>”</w:t>
      </w:r>
      <w:r w:rsidRPr="00830F4C">
        <w:rPr>
          <w:rFonts w:ascii="Garamond" w:hAnsi="Garamond"/>
          <w:sz w:val="24"/>
          <w:szCs w:val="24"/>
        </w:rPr>
        <w:t>. Ky ligj hartohet me asistencën e Agjen</w:t>
      </w:r>
      <w:r w:rsidR="00D22EA5" w:rsidRPr="00830F4C">
        <w:rPr>
          <w:rFonts w:ascii="Garamond" w:hAnsi="Garamond"/>
          <w:sz w:val="24"/>
          <w:szCs w:val="24"/>
        </w:rPr>
        <w:t>c</w:t>
      </w:r>
      <w:r w:rsidRPr="00830F4C">
        <w:rPr>
          <w:rFonts w:ascii="Garamond" w:hAnsi="Garamond"/>
          <w:sz w:val="24"/>
          <w:szCs w:val="24"/>
        </w:rPr>
        <w:t>isë Ndërkombëtare Suedeze për Zhvillim (SIDA) dhe do jetë në proces konsultimi publik.</w:t>
      </w:r>
    </w:p>
    <w:p w14:paraId="7C0CE9EE" w14:textId="77777777" w:rsidR="00B160C4" w:rsidRPr="00830F4C" w:rsidRDefault="00B160C4" w:rsidP="00B160C4">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Rishikimi i përjashtimeve nga taksa mbi pasuritë e paluajtshme</w:t>
      </w:r>
      <w:r w:rsidRPr="00830F4C">
        <w:rPr>
          <w:rFonts w:ascii="Garamond" w:hAnsi="Garamond"/>
          <w:b/>
          <w:bCs/>
          <w:sz w:val="24"/>
          <w:szCs w:val="24"/>
        </w:rPr>
        <w:t>.</w:t>
      </w:r>
      <w:r w:rsidRPr="00830F4C">
        <w:rPr>
          <w:rFonts w:ascii="Garamond" w:hAnsi="Garamond"/>
          <w:sz w:val="24"/>
          <w:szCs w:val="24"/>
        </w:rPr>
        <w:t xml:space="preserve"> Duke qenë se të ardhurat nga taksa mbi pasuritë e paluajtshme përbëjnë burimin kryesor të të ardhurave të pushtetit vendor, është e nevojshme që përjashtimet të mbahen në nivele minimale dhe ndërkohë, lehtësirat tatimore për grupet vulnerabël duhet të ofrohen nëpërmjet mekanizmave dhe formave të tjera.</w:t>
      </w:r>
    </w:p>
    <w:p w14:paraId="16774480" w14:textId="65F5F42D" w:rsidR="00B160C4" w:rsidRPr="00830F4C" w:rsidRDefault="00B160C4" w:rsidP="00B160C4">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Rishikimi në rritje i tarifës së taksës</w:t>
      </w:r>
      <w:r w:rsidRPr="00830F4C">
        <w:rPr>
          <w:rFonts w:ascii="Garamond" w:hAnsi="Garamond"/>
          <w:bCs/>
          <w:sz w:val="24"/>
          <w:szCs w:val="24"/>
        </w:rPr>
        <w:t>.</w:t>
      </w:r>
      <w:r w:rsidRPr="00830F4C">
        <w:rPr>
          <w:rFonts w:ascii="Garamond" w:hAnsi="Garamond"/>
          <w:sz w:val="24"/>
          <w:szCs w:val="24"/>
        </w:rPr>
        <w:t xml:space="preserve"> Aktualisht, taksa mbi pasuritë e paluajtshme në Shqipëri kontrib</w:t>
      </w:r>
      <w:r w:rsidR="00D22EA5" w:rsidRPr="00830F4C">
        <w:rPr>
          <w:rFonts w:ascii="Garamond" w:hAnsi="Garamond"/>
          <w:sz w:val="24"/>
          <w:szCs w:val="24"/>
        </w:rPr>
        <w:t>u</w:t>
      </w:r>
      <w:r w:rsidRPr="00830F4C">
        <w:rPr>
          <w:rFonts w:ascii="Garamond" w:hAnsi="Garamond"/>
          <w:sz w:val="24"/>
          <w:szCs w:val="24"/>
        </w:rPr>
        <w:t>on në masën 0.3% të PBB-së, ndërkohë që të ardhurat mesatare që gjenerohen nga taksa e pronës në vendet e tjera të rajonit janë rreth 0.8% e PBB-së.</w:t>
      </w:r>
    </w:p>
    <w:p w14:paraId="788BB1D9" w14:textId="64000F9D" w:rsidR="00B160C4" w:rsidRPr="00830F4C" w:rsidRDefault="00B160C4" w:rsidP="00B160C4">
      <w:pPr>
        <w:ind w:firstLine="284"/>
        <w:jc w:val="both"/>
        <w:rPr>
          <w:rFonts w:ascii="Garamond" w:hAnsi="Garamond"/>
        </w:rPr>
      </w:pPr>
      <w:r w:rsidRPr="00830F4C">
        <w:rPr>
          <w:rFonts w:ascii="Garamond" w:hAnsi="Garamond"/>
        </w:rPr>
        <w:t xml:space="preserve">Ministria e Financave dhe Drejtoria e Përgjithshme e Tatimit në Pronë, të mbështetur nga ekspertë të projektit </w:t>
      </w:r>
      <w:r w:rsidR="00D22EA5" w:rsidRPr="00830F4C">
        <w:rPr>
          <w:rFonts w:ascii="Garamond" w:hAnsi="Garamond"/>
        </w:rPr>
        <w:t>“</w:t>
      </w:r>
      <w:r w:rsidRPr="00A72159">
        <w:rPr>
          <w:rFonts w:ascii="Garamond" w:hAnsi="Garamond"/>
          <w:i/>
        </w:rPr>
        <w:t>Pro Tax Albania</w:t>
      </w:r>
      <w:r w:rsidR="00D22EA5" w:rsidRPr="00830F4C">
        <w:rPr>
          <w:rFonts w:ascii="Garamond" w:hAnsi="Garamond"/>
        </w:rPr>
        <w:t>”</w:t>
      </w:r>
      <w:r w:rsidRPr="00830F4C">
        <w:rPr>
          <w:rFonts w:ascii="Garamond" w:hAnsi="Garamond"/>
        </w:rPr>
        <w:t xml:space="preserve">, kanë përgatitur projektligjin </w:t>
      </w:r>
      <w:r w:rsidR="00D22EA5" w:rsidRPr="00830F4C">
        <w:rPr>
          <w:rFonts w:ascii="Garamond" w:hAnsi="Garamond"/>
        </w:rPr>
        <w:t>“</w:t>
      </w:r>
      <w:r w:rsidRPr="00830F4C">
        <w:rPr>
          <w:rFonts w:ascii="Garamond" w:hAnsi="Garamond"/>
        </w:rPr>
        <w:t>Për tatimin mbi pasurinë e paluajtshme</w:t>
      </w:r>
      <w:r w:rsidR="00D22EA5" w:rsidRPr="00830F4C">
        <w:rPr>
          <w:rFonts w:ascii="Garamond" w:hAnsi="Garamond"/>
        </w:rPr>
        <w:t>”</w:t>
      </w:r>
      <w:r w:rsidRPr="00830F4C">
        <w:rPr>
          <w:rFonts w:ascii="Garamond" w:hAnsi="Garamond"/>
        </w:rPr>
        <w:t>. Ky projektligj është publikuar në Regjistrin Elektronik për Njoftimet dhe Konsultimet Publike, ku pas mbylljes së konsultimit publik të projektligjit nuk ka avancim të mëtejshëm.</w:t>
      </w:r>
      <w:r w:rsidR="00D22EA5" w:rsidRPr="00830F4C">
        <w:rPr>
          <w:rFonts w:ascii="Garamond" w:hAnsi="Garamond"/>
        </w:rPr>
        <w:t xml:space="preserve"> </w:t>
      </w:r>
      <w:r w:rsidRPr="00830F4C">
        <w:rPr>
          <w:rFonts w:ascii="Garamond" w:hAnsi="Garamond"/>
        </w:rPr>
        <w:t>Projektligji ka qëllimet e tij parësore:</w:t>
      </w:r>
    </w:p>
    <w:p w14:paraId="2232B963" w14:textId="77777777" w:rsidR="00B160C4" w:rsidRPr="00830F4C" w:rsidRDefault="00B160C4" w:rsidP="00B160C4">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a) ndërtimi i një sistemi modern, funksional, transparent dhe të qëndrueshëm për taksimin e pasurive të paluajtshme;</w:t>
      </w:r>
    </w:p>
    <w:p w14:paraId="0EFEBFA5" w14:textId="492EABDB" w:rsidR="00B160C4" w:rsidRPr="00830F4C" w:rsidRDefault="00B160C4" w:rsidP="00B160C4">
      <w:pPr>
        <w:pStyle w:val="ListParagraph"/>
        <w:spacing w:after="0" w:line="240" w:lineRule="auto"/>
        <w:ind w:left="0" w:firstLine="284"/>
        <w:jc w:val="both"/>
        <w:rPr>
          <w:rFonts w:ascii="Garamond" w:hAnsi="Garamond"/>
          <w:sz w:val="24"/>
          <w:szCs w:val="24"/>
        </w:rPr>
      </w:pPr>
      <w:r w:rsidRPr="00830F4C">
        <w:rPr>
          <w:rFonts w:ascii="Garamond" w:hAnsi="Garamond"/>
          <w:bCs/>
          <w:sz w:val="24"/>
          <w:szCs w:val="24"/>
        </w:rPr>
        <w:t xml:space="preserve">b) </w:t>
      </w:r>
      <w:r w:rsidRPr="00830F4C">
        <w:rPr>
          <w:rFonts w:ascii="Garamond" w:hAnsi="Garamond"/>
          <w:sz w:val="24"/>
          <w:szCs w:val="24"/>
        </w:rPr>
        <w:t>kalimi nga një sistem tatimor i bazuar në vlerë për ndërtesat dhe një sistem i thjeshtë tatimor mbi sipërfaqen për tokën në një sistem modern që takson si ndërtesat ashtu edhe tokën, bazuar në vlerën e tregut të pronës</w:t>
      </w:r>
      <w:r w:rsidR="00377F8B" w:rsidRPr="00830F4C">
        <w:rPr>
          <w:rFonts w:ascii="Garamond" w:hAnsi="Garamond"/>
          <w:sz w:val="24"/>
          <w:szCs w:val="24"/>
        </w:rPr>
        <w:t>;</w:t>
      </w:r>
      <w:r w:rsidRPr="00830F4C">
        <w:rPr>
          <w:rFonts w:ascii="Garamond" w:hAnsi="Garamond"/>
          <w:sz w:val="24"/>
          <w:szCs w:val="24"/>
        </w:rPr>
        <w:t xml:space="preserve"> si dhe</w:t>
      </w:r>
    </w:p>
    <w:p w14:paraId="5E0AC4A7" w14:textId="77777777" w:rsidR="00B160C4" w:rsidRPr="00830F4C" w:rsidRDefault="00B160C4" w:rsidP="00B160C4">
      <w:pPr>
        <w:pStyle w:val="ListParagraph"/>
        <w:spacing w:after="0" w:line="240" w:lineRule="auto"/>
        <w:ind w:left="0" w:firstLine="284"/>
        <w:jc w:val="both"/>
        <w:rPr>
          <w:rFonts w:ascii="Garamond" w:hAnsi="Garamond"/>
          <w:sz w:val="24"/>
          <w:szCs w:val="24"/>
        </w:rPr>
      </w:pPr>
      <w:r w:rsidRPr="00830F4C">
        <w:rPr>
          <w:rFonts w:ascii="Garamond" w:hAnsi="Garamond"/>
          <w:bCs/>
          <w:sz w:val="24"/>
          <w:szCs w:val="24"/>
        </w:rPr>
        <w:t xml:space="preserve">c) </w:t>
      </w:r>
      <w:r w:rsidRPr="00830F4C">
        <w:rPr>
          <w:rFonts w:ascii="Garamond" w:hAnsi="Garamond"/>
          <w:sz w:val="24"/>
          <w:szCs w:val="24"/>
        </w:rPr>
        <w:t>rritjen e bazës tatimore duke shtuar kategoritë e pasurive të paluajtshme të tatuara dhe duke rritur numrin e tyre në regjistrin e kadastrës fiskale.</w:t>
      </w:r>
    </w:p>
    <w:p w14:paraId="5E271ED8" w14:textId="390B9EB3" w:rsidR="00B160C4" w:rsidRPr="00830F4C" w:rsidRDefault="00B160C4" w:rsidP="00B160C4">
      <w:pPr>
        <w:ind w:firstLine="284"/>
        <w:jc w:val="both"/>
        <w:rPr>
          <w:rFonts w:ascii="Garamond" w:hAnsi="Garamond"/>
        </w:rPr>
      </w:pPr>
      <w:r w:rsidRPr="00830F4C">
        <w:rPr>
          <w:rFonts w:ascii="Garamond" w:hAnsi="Garamond"/>
        </w:rPr>
        <w:t>Për zbatimin e taksës së pasurisë, bazuar në vlerën e tregut, kadastra fiskale është pjesa më e rëndësishme e reformës. Sistemi informativ i Kadastrës Fiskale është krijuar me vendimet e Këshillit të Ministrave nr.</w:t>
      </w:r>
      <w:r w:rsidR="00D22EA5" w:rsidRPr="00830F4C">
        <w:rPr>
          <w:rFonts w:ascii="Garamond" w:hAnsi="Garamond"/>
        </w:rPr>
        <w:t xml:space="preserve"> </w:t>
      </w:r>
      <w:r w:rsidRPr="00830F4C">
        <w:rPr>
          <w:rFonts w:ascii="Garamond" w:hAnsi="Garamond"/>
        </w:rPr>
        <w:t xml:space="preserve">273, datë 16.5.2018, </w:t>
      </w:r>
      <w:r w:rsidR="00D22EA5" w:rsidRPr="00830F4C">
        <w:rPr>
          <w:rFonts w:ascii="Garamond" w:hAnsi="Garamond"/>
        </w:rPr>
        <w:t>“</w:t>
      </w:r>
      <w:r w:rsidRPr="00830F4C">
        <w:rPr>
          <w:rFonts w:ascii="Garamond" w:hAnsi="Garamond"/>
        </w:rPr>
        <w:t xml:space="preserve">Për krijimin e Regjistrit Qendror të Bazës së të Dhënave për Llogaritjen e Tatimit Vendor të Pasurive të Paluajtshme </w:t>
      </w:r>
      <w:r w:rsidR="00377F8B" w:rsidRPr="00830F4C">
        <w:rPr>
          <w:rFonts w:ascii="Garamond" w:hAnsi="Garamond"/>
        </w:rPr>
        <w:t>‘</w:t>
      </w:r>
      <w:r w:rsidRPr="00830F4C">
        <w:rPr>
          <w:rFonts w:ascii="Garamond" w:hAnsi="Garamond"/>
        </w:rPr>
        <w:t>ndërtesa</w:t>
      </w:r>
      <w:r w:rsidR="00377F8B" w:rsidRPr="00830F4C">
        <w:rPr>
          <w:rFonts w:ascii="Garamond" w:hAnsi="Garamond"/>
        </w:rPr>
        <w:t>’</w:t>
      </w:r>
      <w:r w:rsidRPr="00830F4C">
        <w:rPr>
          <w:rFonts w:ascii="Garamond" w:hAnsi="Garamond"/>
        </w:rPr>
        <w:t xml:space="preserve"> (Kadastra Fiskale)</w:t>
      </w:r>
      <w:r w:rsidR="00D22EA5" w:rsidRPr="00830F4C">
        <w:rPr>
          <w:rFonts w:ascii="Garamond" w:hAnsi="Garamond"/>
        </w:rPr>
        <w:t>”</w:t>
      </w:r>
      <w:r w:rsidRPr="00830F4C">
        <w:rPr>
          <w:rFonts w:ascii="Garamond" w:hAnsi="Garamond"/>
        </w:rPr>
        <w:t>.</w:t>
      </w:r>
    </w:p>
    <w:p w14:paraId="1DD73F0E" w14:textId="77777777" w:rsidR="00B160C4" w:rsidRPr="00830F4C" w:rsidRDefault="00B160C4" w:rsidP="00B160C4">
      <w:pPr>
        <w:pStyle w:val="H5"/>
        <w:spacing w:after="0" w:line="240" w:lineRule="auto"/>
        <w:ind w:firstLine="284"/>
        <w:jc w:val="both"/>
        <w:rPr>
          <w:rFonts w:ascii="Garamond" w:hAnsi="Garamond"/>
          <w:color w:val="auto"/>
          <w:sz w:val="24"/>
          <w:lang w:val="sq-AL"/>
        </w:rPr>
      </w:pPr>
      <w:r w:rsidRPr="00830F4C">
        <w:rPr>
          <w:rFonts w:ascii="Garamond" w:hAnsi="Garamond"/>
          <w:color w:val="auto"/>
          <w:sz w:val="24"/>
          <w:lang w:val="sq-AL"/>
        </w:rPr>
        <w:t>Prioriteti</w:t>
      </w:r>
    </w:p>
    <w:p w14:paraId="659AB5DB" w14:textId="7DEFB6A3" w:rsidR="00B160C4" w:rsidRPr="00830F4C" w:rsidRDefault="00B160C4" w:rsidP="00B160C4">
      <w:pPr>
        <w:ind w:firstLine="284"/>
        <w:jc w:val="both"/>
        <w:rPr>
          <w:rFonts w:ascii="Garamond" w:hAnsi="Garamond"/>
        </w:rPr>
      </w:pPr>
      <w:r w:rsidRPr="00830F4C">
        <w:rPr>
          <w:rFonts w:ascii="Garamond" w:hAnsi="Garamond"/>
        </w:rPr>
        <w:t>Prioriteti kryesor për periudhën 2023</w:t>
      </w:r>
      <w:r w:rsidR="00D22EA5" w:rsidRPr="00830F4C">
        <w:rPr>
          <w:rFonts w:ascii="Garamond" w:hAnsi="Garamond"/>
        </w:rPr>
        <w:t>–</w:t>
      </w:r>
      <w:r w:rsidRPr="00830F4C">
        <w:rPr>
          <w:rFonts w:ascii="Garamond" w:hAnsi="Garamond"/>
        </w:rPr>
        <w:t>2030 është:</w:t>
      </w:r>
    </w:p>
    <w:p w14:paraId="792A01D7" w14:textId="0DD4089B" w:rsidR="00D22EA5" w:rsidRPr="00830F4C" w:rsidRDefault="00B160C4" w:rsidP="00D22EA5">
      <w:pPr>
        <w:pStyle w:val="N-Bullet"/>
        <w:spacing w:after="0" w:line="240" w:lineRule="auto"/>
        <w:ind w:left="0" w:firstLine="284"/>
        <w:jc w:val="both"/>
        <w:rPr>
          <w:rFonts w:ascii="Garamond" w:hAnsi="Garamond"/>
          <w:color w:val="auto"/>
          <w:sz w:val="24"/>
          <w:lang w:val="sq-AL"/>
        </w:rPr>
      </w:pPr>
      <w:r w:rsidRPr="00830F4C">
        <w:rPr>
          <w:rFonts w:ascii="Garamond" w:hAnsi="Garamond"/>
          <w:color w:val="auto"/>
          <w:sz w:val="24"/>
          <w:lang w:val="sq-AL"/>
        </w:rPr>
        <w:t>- Përgatitja e kadastrës fiskale dhe zbatimi i taksimit bazuar në vlerën e tregut për ndërtesat duke filluar nga viti 2026, si dhe zbatimi i taksimit bazuar në vlerën e tregut për parcelat duke filluar nga viti 2028, duke përfshirë plotësimin e kuadrit ligjor dhe rregullator, finalizimin e Sistemit Informativ të Kadastrës Fiskale me ndërveprueshmërinë dhe integrimin me sistemet e tjera, duke adresuar kërkesat e personelit dhe ngritjen e kapaciteteve të burimeve njerëzore.</w:t>
      </w:r>
    </w:p>
    <w:p w14:paraId="4B7073C0" w14:textId="2852523F" w:rsidR="00B4081C" w:rsidRPr="00830F4C" w:rsidRDefault="00B4081C" w:rsidP="00D22EA5">
      <w:pPr>
        <w:pStyle w:val="N-Bullet"/>
        <w:spacing w:after="0" w:line="240" w:lineRule="auto"/>
        <w:ind w:left="0" w:firstLine="284"/>
        <w:jc w:val="both"/>
        <w:rPr>
          <w:rFonts w:ascii="Garamond" w:hAnsi="Garamond"/>
          <w:b/>
          <w:color w:val="auto"/>
          <w:sz w:val="24"/>
          <w:lang w:val="sq-AL"/>
        </w:rPr>
      </w:pPr>
      <w:r w:rsidRPr="00830F4C">
        <w:rPr>
          <w:rFonts w:ascii="Garamond" w:hAnsi="Garamond"/>
          <w:b/>
          <w:color w:val="auto"/>
          <w:sz w:val="24"/>
          <w:lang w:val="sq-AL"/>
        </w:rPr>
        <w:t>Masat dhe aktivitetet</w:t>
      </w:r>
    </w:p>
    <w:p w14:paraId="34157A85" w14:textId="77777777" w:rsidR="00B160C4" w:rsidRPr="00CC11D5" w:rsidRDefault="00B160C4" w:rsidP="00B160C4">
      <w:pPr>
        <w:pStyle w:val="ListParagraph"/>
        <w:spacing w:after="0" w:line="240" w:lineRule="auto"/>
        <w:ind w:left="0" w:firstLine="284"/>
        <w:jc w:val="both"/>
        <w:rPr>
          <w:rFonts w:ascii="Garamond" w:hAnsi="Garamond"/>
          <w:sz w:val="8"/>
          <w:szCs w:val="24"/>
        </w:rPr>
      </w:pPr>
    </w:p>
    <w:tbl>
      <w:tblPr>
        <w:tblStyle w:val="TableGrid"/>
        <w:tblW w:w="5000" w:type="pct"/>
        <w:tblCellMar>
          <w:top w:w="57" w:type="dxa"/>
          <w:left w:w="57" w:type="dxa"/>
          <w:bottom w:w="57" w:type="dxa"/>
          <w:right w:w="57" w:type="dxa"/>
        </w:tblCellMar>
        <w:tblLook w:val="04A0" w:firstRow="1" w:lastRow="0" w:firstColumn="1" w:lastColumn="0" w:noHBand="0" w:noVBand="1"/>
      </w:tblPr>
      <w:tblGrid>
        <w:gridCol w:w="2061"/>
        <w:gridCol w:w="3725"/>
        <w:gridCol w:w="820"/>
        <w:gridCol w:w="905"/>
        <w:gridCol w:w="1839"/>
      </w:tblGrid>
      <w:tr w:rsidR="00723888" w:rsidRPr="00CC11D5" w14:paraId="29476614" w14:textId="77777777" w:rsidTr="00723888">
        <w:trPr>
          <w:trHeight w:val="20"/>
          <w:tblHeader/>
        </w:trPr>
        <w:tc>
          <w:tcPr>
            <w:tcW w:w="2061" w:type="dxa"/>
            <w:shd w:val="clear" w:color="auto" w:fill="D9D9D9" w:themeFill="background1" w:themeFillShade="D9"/>
            <w:vAlign w:val="center"/>
          </w:tcPr>
          <w:p w14:paraId="370A1E21" w14:textId="77777777" w:rsidR="00B4081C" w:rsidRPr="00CC11D5" w:rsidRDefault="00B4081C" w:rsidP="00723888">
            <w:pPr>
              <w:pStyle w:val="T-bold"/>
              <w:spacing w:line="240" w:lineRule="auto"/>
              <w:jc w:val="center"/>
              <w:rPr>
                <w:rFonts w:ascii="Garamond" w:hAnsi="Garamond"/>
                <w:sz w:val="12"/>
                <w:szCs w:val="12"/>
                <w:lang w:val="sq-AL"/>
              </w:rPr>
            </w:pPr>
            <w:bookmarkStart w:id="27" w:name="_Hlk187061647"/>
            <w:r w:rsidRPr="00CC11D5">
              <w:rPr>
                <w:rFonts w:ascii="Garamond" w:hAnsi="Garamond"/>
                <w:sz w:val="12"/>
                <w:szCs w:val="12"/>
                <w:lang w:val="sq-AL"/>
              </w:rPr>
              <w:t>Masa</w:t>
            </w:r>
          </w:p>
        </w:tc>
        <w:tc>
          <w:tcPr>
            <w:tcW w:w="3725" w:type="dxa"/>
            <w:shd w:val="clear" w:color="auto" w:fill="D9D9D9" w:themeFill="background1" w:themeFillShade="D9"/>
            <w:vAlign w:val="center"/>
          </w:tcPr>
          <w:p w14:paraId="1A329B5A" w14:textId="77777777" w:rsidR="00B4081C" w:rsidRPr="00CC11D5" w:rsidRDefault="00B4081C" w:rsidP="00723888">
            <w:pPr>
              <w:pStyle w:val="T-bold"/>
              <w:spacing w:line="240" w:lineRule="auto"/>
              <w:jc w:val="center"/>
              <w:rPr>
                <w:rFonts w:ascii="Garamond" w:hAnsi="Garamond"/>
                <w:sz w:val="12"/>
                <w:szCs w:val="12"/>
                <w:lang w:val="sq-AL"/>
              </w:rPr>
            </w:pPr>
            <w:r w:rsidRPr="00CC11D5">
              <w:rPr>
                <w:rFonts w:ascii="Garamond" w:hAnsi="Garamond"/>
                <w:sz w:val="12"/>
                <w:szCs w:val="12"/>
                <w:lang w:val="sq-AL"/>
              </w:rPr>
              <w:t>Aktiviteti</w:t>
            </w:r>
          </w:p>
        </w:tc>
        <w:tc>
          <w:tcPr>
            <w:tcW w:w="820" w:type="dxa"/>
            <w:shd w:val="clear" w:color="auto" w:fill="D9D9D9" w:themeFill="background1" w:themeFillShade="D9"/>
            <w:vAlign w:val="center"/>
          </w:tcPr>
          <w:p w14:paraId="227E8A7D" w14:textId="77777777" w:rsidR="00B4081C" w:rsidRPr="00CC11D5" w:rsidRDefault="00B4081C" w:rsidP="00723888">
            <w:pPr>
              <w:pStyle w:val="T-bold"/>
              <w:spacing w:line="240" w:lineRule="auto"/>
              <w:jc w:val="center"/>
              <w:rPr>
                <w:rFonts w:ascii="Garamond" w:hAnsi="Garamond"/>
                <w:sz w:val="12"/>
                <w:szCs w:val="12"/>
                <w:lang w:val="sq-AL"/>
              </w:rPr>
            </w:pPr>
            <w:r w:rsidRPr="00CC11D5">
              <w:rPr>
                <w:rFonts w:ascii="Garamond" w:hAnsi="Garamond"/>
                <w:sz w:val="12"/>
                <w:szCs w:val="12"/>
                <w:lang w:val="sq-AL"/>
              </w:rPr>
              <w:t>Fillimi</w:t>
            </w:r>
          </w:p>
        </w:tc>
        <w:tc>
          <w:tcPr>
            <w:tcW w:w="905" w:type="dxa"/>
            <w:shd w:val="clear" w:color="auto" w:fill="D9D9D9" w:themeFill="background1" w:themeFillShade="D9"/>
            <w:vAlign w:val="center"/>
          </w:tcPr>
          <w:p w14:paraId="6B939920" w14:textId="77777777" w:rsidR="00B4081C" w:rsidRPr="00CC11D5" w:rsidRDefault="00B4081C" w:rsidP="00723888">
            <w:pPr>
              <w:pStyle w:val="T-bold"/>
              <w:spacing w:line="240" w:lineRule="auto"/>
              <w:jc w:val="center"/>
              <w:rPr>
                <w:rFonts w:ascii="Garamond" w:hAnsi="Garamond"/>
                <w:sz w:val="12"/>
                <w:szCs w:val="12"/>
                <w:lang w:val="sq-AL"/>
              </w:rPr>
            </w:pPr>
            <w:r w:rsidRPr="00CC11D5">
              <w:rPr>
                <w:rFonts w:ascii="Garamond" w:hAnsi="Garamond"/>
                <w:sz w:val="12"/>
                <w:szCs w:val="12"/>
                <w:lang w:val="sq-AL"/>
              </w:rPr>
              <w:t>Mbarimi</w:t>
            </w:r>
          </w:p>
        </w:tc>
        <w:tc>
          <w:tcPr>
            <w:tcW w:w="1839" w:type="dxa"/>
            <w:shd w:val="clear" w:color="auto" w:fill="D9D9D9" w:themeFill="background1" w:themeFillShade="D9"/>
            <w:vAlign w:val="center"/>
          </w:tcPr>
          <w:p w14:paraId="186657EA" w14:textId="77777777" w:rsidR="00B4081C" w:rsidRPr="00CC11D5" w:rsidRDefault="00B4081C" w:rsidP="00723888">
            <w:pPr>
              <w:jc w:val="center"/>
              <w:rPr>
                <w:rFonts w:ascii="Garamond" w:hAnsi="Garamond"/>
                <w:b/>
                <w:bCs/>
                <w:sz w:val="12"/>
                <w:szCs w:val="12"/>
              </w:rPr>
            </w:pPr>
            <w:r w:rsidRPr="00CC11D5">
              <w:rPr>
                <w:rFonts w:ascii="Garamond" w:hAnsi="Garamond"/>
                <w:b/>
                <w:bCs/>
                <w:sz w:val="12"/>
                <w:szCs w:val="12"/>
              </w:rPr>
              <w:t>Njësitë përgjegjëse</w:t>
            </w:r>
          </w:p>
        </w:tc>
      </w:tr>
      <w:tr w:rsidR="00723888" w:rsidRPr="00CC11D5" w14:paraId="026F4BF5" w14:textId="77777777" w:rsidTr="00723888">
        <w:trPr>
          <w:trHeight w:val="20"/>
        </w:trPr>
        <w:tc>
          <w:tcPr>
            <w:tcW w:w="2061" w:type="dxa"/>
            <w:vMerge w:val="restart"/>
            <w:shd w:val="clear" w:color="auto" w:fill="auto"/>
            <w:vAlign w:val="center"/>
          </w:tcPr>
          <w:p w14:paraId="3323DE57" w14:textId="2C1E2A82" w:rsidR="00B4081C" w:rsidRPr="00CC11D5" w:rsidRDefault="00B4081C" w:rsidP="00723888">
            <w:pPr>
              <w:pStyle w:val="EcorysBody"/>
              <w:spacing w:line="240" w:lineRule="auto"/>
              <w:jc w:val="center"/>
              <w:rPr>
                <w:rFonts w:ascii="Garamond" w:hAnsi="Garamond" w:cs="Times New Roman"/>
                <w:b/>
                <w:bCs/>
                <w:sz w:val="12"/>
                <w:szCs w:val="12"/>
                <w:lang w:val="sq-AL"/>
              </w:rPr>
            </w:pPr>
            <w:r w:rsidRPr="00CC11D5">
              <w:rPr>
                <w:rFonts w:ascii="Garamond" w:hAnsi="Garamond" w:cs="Times New Roman"/>
                <w:b/>
                <w:bCs/>
                <w:sz w:val="12"/>
                <w:szCs w:val="12"/>
                <w:lang w:val="sq-AL"/>
              </w:rPr>
              <w:t>Masa 1.3.1</w:t>
            </w:r>
            <w:r w:rsidR="00377F8B" w:rsidRPr="00CC11D5">
              <w:rPr>
                <w:rFonts w:ascii="Garamond" w:hAnsi="Garamond" w:cs="Times New Roman"/>
                <w:b/>
                <w:bCs/>
                <w:sz w:val="12"/>
                <w:szCs w:val="12"/>
                <w:lang w:val="sq-AL"/>
              </w:rPr>
              <w:t xml:space="preserve"> </w:t>
            </w:r>
            <w:r w:rsidRPr="00CC11D5">
              <w:rPr>
                <w:rFonts w:ascii="Garamond" w:hAnsi="Garamond" w:cs="Times New Roman"/>
                <w:b/>
                <w:bCs/>
                <w:sz w:val="12"/>
                <w:szCs w:val="12"/>
                <w:lang w:val="sq-AL"/>
              </w:rPr>
              <w:t>Përmirësimi i kadastrës fiskale dhe sistemit të mbledhjes së taksës së pasurisë</w:t>
            </w:r>
          </w:p>
          <w:p w14:paraId="0215779E" w14:textId="77777777" w:rsidR="00B4081C" w:rsidRPr="00CC11D5" w:rsidRDefault="00B4081C" w:rsidP="00723888">
            <w:pPr>
              <w:pStyle w:val="EcorysBody"/>
              <w:spacing w:line="240" w:lineRule="auto"/>
              <w:jc w:val="center"/>
              <w:rPr>
                <w:rFonts w:ascii="Garamond" w:hAnsi="Garamond" w:cs="Times New Roman"/>
                <w:b/>
                <w:bCs/>
                <w:sz w:val="12"/>
                <w:szCs w:val="12"/>
                <w:lang w:val="sq-AL"/>
              </w:rPr>
            </w:pPr>
          </w:p>
        </w:tc>
        <w:tc>
          <w:tcPr>
            <w:tcW w:w="3725" w:type="dxa"/>
            <w:vAlign w:val="center"/>
          </w:tcPr>
          <w:p w14:paraId="0C9A8ADE" w14:textId="6427DE23" w:rsidR="00B4081C" w:rsidRPr="00CC11D5" w:rsidRDefault="00B4081C" w:rsidP="00723888">
            <w:pPr>
              <w:pStyle w:val="EcorysBody"/>
              <w:spacing w:line="240" w:lineRule="auto"/>
              <w:jc w:val="center"/>
              <w:rPr>
                <w:rFonts w:ascii="Garamond" w:hAnsi="Garamond" w:cs="Times New Roman"/>
                <w:sz w:val="12"/>
                <w:szCs w:val="12"/>
                <w:lang w:val="sq-AL"/>
              </w:rPr>
            </w:pPr>
            <w:r w:rsidRPr="00CC11D5">
              <w:rPr>
                <w:rFonts w:ascii="Garamond" w:hAnsi="Garamond" w:cs="Times New Roman"/>
                <w:sz w:val="12"/>
                <w:szCs w:val="12"/>
                <w:lang w:val="sq-AL"/>
              </w:rPr>
              <w:t>Aktiviteti 1.3.1.1</w:t>
            </w:r>
            <w:r w:rsidR="00A72159" w:rsidRPr="00CC11D5">
              <w:rPr>
                <w:rFonts w:ascii="Garamond" w:hAnsi="Garamond" w:cs="Times New Roman"/>
                <w:sz w:val="12"/>
                <w:szCs w:val="12"/>
                <w:lang w:val="sq-AL"/>
              </w:rPr>
              <w:t>:</w:t>
            </w:r>
            <w:r w:rsidRPr="00CC11D5">
              <w:rPr>
                <w:rFonts w:ascii="Garamond" w:hAnsi="Garamond" w:cs="Times New Roman"/>
                <w:sz w:val="12"/>
                <w:szCs w:val="12"/>
                <w:lang w:val="sq-AL"/>
              </w:rPr>
              <w:t xml:space="preserve"> Hartimi dhe miratimi i kuadrit ligjor (aktet ligjore dhe aktet nënligjore) për kadastrën fiskale, taksën mbi tokën dhe pasurinë e paluajtshme</w:t>
            </w:r>
            <w:r w:rsidR="00377F8B" w:rsidRPr="00CC11D5">
              <w:rPr>
                <w:rFonts w:ascii="Garamond" w:hAnsi="Garamond" w:cs="Times New Roman"/>
                <w:sz w:val="12"/>
                <w:szCs w:val="12"/>
                <w:lang w:val="sq-AL"/>
              </w:rPr>
              <w:t>,</w:t>
            </w:r>
            <w:r w:rsidRPr="00CC11D5">
              <w:rPr>
                <w:rFonts w:ascii="Garamond" w:hAnsi="Garamond" w:cs="Times New Roman"/>
                <w:sz w:val="12"/>
                <w:szCs w:val="12"/>
                <w:lang w:val="sq-AL"/>
              </w:rPr>
              <w:t xml:space="preserve"> dhe aktin nënligjor për vlerësimin e tokës dhe pasurisë</w:t>
            </w:r>
          </w:p>
        </w:tc>
        <w:tc>
          <w:tcPr>
            <w:tcW w:w="820" w:type="dxa"/>
            <w:shd w:val="clear" w:color="auto" w:fill="auto"/>
            <w:vAlign w:val="center"/>
          </w:tcPr>
          <w:p w14:paraId="1FCE2F69" w14:textId="77777777" w:rsidR="00B4081C" w:rsidRPr="00CC11D5" w:rsidRDefault="00B4081C" w:rsidP="00723888">
            <w:pPr>
              <w:pStyle w:val="T-normal"/>
              <w:spacing w:line="240" w:lineRule="auto"/>
              <w:jc w:val="center"/>
              <w:rPr>
                <w:rFonts w:ascii="Garamond" w:hAnsi="Garamond"/>
                <w:sz w:val="12"/>
                <w:szCs w:val="12"/>
                <w:lang w:val="sq-AL"/>
              </w:rPr>
            </w:pPr>
            <w:r w:rsidRPr="00CC11D5">
              <w:rPr>
                <w:rFonts w:ascii="Garamond" w:hAnsi="Garamond"/>
                <w:sz w:val="12"/>
                <w:szCs w:val="12"/>
                <w:lang w:val="sq-AL"/>
              </w:rPr>
              <w:t>T1 2024</w:t>
            </w:r>
          </w:p>
        </w:tc>
        <w:tc>
          <w:tcPr>
            <w:tcW w:w="905" w:type="dxa"/>
            <w:shd w:val="clear" w:color="auto" w:fill="auto"/>
            <w:vAlign w:val="center"/>
          </w:tcPr>
          <w:p w14:paraId="43FD8190" w14:textId="77777777" w:rsidR="00B4081C" w:rsidRPr="00CC11D5" w:rsidRDefault="00B4081C" w:rsidP="00723888">
            <w:pPr>
              <w:pStyle w:val="T-normal"/>
              <w:spacing w:line="240" w:lineRule="auto"/>
              <w:jc w:val="center"/>
              <w:rPr>
                <w:rFonts w:ascii="Garamond" w:hAnsi="Garamond"/>
                <w:sz w:val="12"/>
                <w:szCs w:val="12"/>
                <w:lang w:val="sq-AL"/>
              </w:rPr>
            </w:pPr>
          </w:p>
        </w:tc>
        <w:tc>
          <w:tcPr>
            <w:tcW w:w="1839" w:type="dxa"/>
            <w:vMerge w:val="restart"/>
            <w:vAlign w:val="center"/>
          </w:tcPr>
          <w:p w14:paraId="6F604544" w14:textId="77777777" w:rsidR="00B4081C" w:rsidRPr="00CC11D5" w:rsidRDefault="00B4081C" w:rsidP="00723888">
            <w:pPr>
              <w:jc w:val="center"/>
              <w:rPr>
                <w:rFonts w:ascii="Garamond" w:hAnsi="Garamond"/>
                <w:sz w:val="12"/>
                <w:szCs w:val="12"/>
              </w:rPr>
            </w:pPr>
            <w:r w:rsidRPr="00CC11D5">
              <w:rPr>
                <w:rFonts w:ascii="Garamond" w:hAnsi="Garamond"/>
                <w:sz w:val="12"/>
                <w:szCs w:val="12"/>
              </w:rPr>
              <w:t>MF/ Drejtoria e Përgjithshme e Taksës së Pasurisë DPTP</w:t>
            </w:r>
          </w:p>
          <w:p w14:paraId="5B4E4307" w14:textId="77777777" w:rsidR="00B4081C" w:rsidRPr="00CC11D5" w:rsidRDefault="00B4081C" w:rsidP="00723888">
            <w:pPr>
              <w:jc w:val="center"/>
              <w:rPr>
                <w:rFonts w:ascii="Garamond" w:hAnsi="Garamond"/>
                <w:sz w:val="12"/>
                <w:szCs w:val="12"/>
              </w:rPr>
            </w:pPr>
          </w:p>
          <w:p w14:paraId="646E5129" w14:textId="77777777" w:rsidR="00B4081C" w:rsidRPr="00CC11D5" w:rsidRDefault="00B4081C" w:rsidP="00723888">
            <w:pPr>
              <w:jc w:val="center"/>
              <w:rPr>
                <w:rFonts w:ascii="Garamond" w:hAnsi="Garamond"/>
                <w:b/>
                <w:bCs/>
                <w:sz w:val="12"/>
                <w:szCs w:val="12"/>
              </w:rPr>
            </w:pPr>
            <w:r w:rsidRPr="00CC11D5">
              <w:rPr>
                <w:rFonts w:ascii="Garamond" w:hAnsi="Garamond"/>
                <w:b/>
                <w:bCs/>
                <w:sz w:val="12"/>
                <w:szCs w:val="12"/>
              </w:rPr>
              <w:t>Partnerët</w:t>
            </w:r>
          </w:p>
          <w:p w14:paraId="772C8821" w14:textId="77777777" w:rsidR="00B4081C" w:rsidRPr="00CC11D5" w:rsidRDefault="00B4081C" w:rsidP="00723888">
            <w:pPr>
              <w:jc w:val="center"/>
              <w:rPr>
                <w:rFonts w:ascii="Garamond" w:hAnsi="Garamond"/>
                <w:sz w:val="12"/>
                <w:szCs w:val="12"/>
              </w:rPr>
            </w:pPr>
            <w:r w:rsidRPr="00CC11D5">
              <w:rPr>
                <w:rFonts w:ascii="Garamond" w:hAnsi="Garamond"/>
                <w:sz w:val="12"/>
                <w:szCs w:val="12"/>
              </w:rPr>
              <w:t>Agjencia Suedeze për Bashkëpunim dhe Zhvillim Ndërkombëtar (SIDA), ProTax Albania Project,</w:t>
            </w:r>
            <w:r w:rsidRPr="00CC11D5">
              <w:rPr>
                <w:rStyle w:val="FootnoteReference"/>
                <w:rFonts w:ascii="Garamond" w:hAnsi="Garamond"/>
                <w:sz w:val="12"/>
                <w:szCs w:val="12"/>
              </w:rPr>
              <w:footnoteReference w:id="5"/>
            </w:r>
            <w:r w:rsidRPr="00CC11D5">
              <w:rPr>
                <w:rFonts w:ascii="Garamond" w:hAnsi="Garamond"/>
                <w:sz w:val="12"/>
                <w:szCs w:val="12"/>
              </w:rPr>
              <w:t xml:space="preserve"> dhe Agjencia Suedeze e Taksave</w:t>
            </w:r>
          </w:p>
        </w:tc>
      </w:tr>
      <w:tr w:rsidR="00723888" w:rsidRPr="00CC11D5" w14:paraId="301461EB" w14:textId="77777777" w:rsidTr="00723888">
        <w:trPr>
          <w:trHeight w:val="20"/>
        </w:trPr>
        <w:tc>
          <w:tcPr>
            <w:tcW w:w="2061" w:type="dxa"/>
            <w:vMerge/>
            <w:shd w:val="clear" w:color="auto" w:fill="auto"/>
            <w:vAlign w:val="center"/>
          </w:tcPr>
          <w:p w14:paraId="02C1B420" w14:textId="77777777" w:rsidR="00B4081C" w:rsidRPr="00CC11D5" w:rsidRDefault="00B4081C" w:rsidP="00723888">
            <w:pPr>
              <w:pStyle w:val="EcorysBody"/>
              <w:spacing w:line="240" w:lineRule="auto"/>
              <w:jc w:val="center"/>
              <w:rPr>
                <w:rFonts w:ascii="Garamond" w:hAnsi="Garamond"/>
                <w:b/>
                <w:sz w:val="12"/>
                <w:szCs w:val="12"/>
                <w:lang w:val="sq-AL"/>
              </w:rPr>
            </w:pPr>
          </w:p>
        </w:tc>
        <w:tc>
          <w:tcPr>
            <w:tcW w:w="3725" w:type="dxa"/>
            <w:vAlign w:val="center"/>
          </w:tcPr>
          <w:p w14:paraId="5C27D2FE" w14:textId="6881CB37" w:rsidR="00B4081C" w:rsidRPr="00CC11D5" w:rsidRDefault="00B4081C" w:rsidP="00723888">
            <w:pPr>
              <w:pStyle w:val="EcorysBody"/>
              <w:spacing w:line="240" w:lineRule="auto"/>
              <w:jc w:val="center"/>
              <w:rPr>
                <w:rFonts w:ascii="Garamond" w:hAnsi="Garamond"/>
                <w:sz w:val="12"/>
                <w:szCs w:val="12"/>
                <w:lang w:val="sq-AL"/>
              </w:rPr>
            </w:pPr>
            <w:r w:rsidRPr="00CC11D5">
              <w:rPr>
                <w:rFonts w:ascii="Garamond" w:hAnsi="Garamond"/>
                <w:sz w:val="12"/>
                <w:szCs w:val="12"/>
                <w:lang w:val="sq-AL"/>
              </w:rPr>
              <w:t>Aktiviteti 1.3.1.2</w:t>
            </w:r>
            <w:r w:rsidR="00A72159" w:rsidRPr="00CC11D5">
              <w:rPr>
                <w:rFonts w:ascii="Garamond" w:hAnsi="Garamond"/>
                <w:sz w:val="12"/>
                <w:szCs w:val="12"/>
                <w:lang w:val="sq-AL"/>
              </w:rPr>
              <w:t>:</w:t>
            </w:r>
            <w:r w:rsidRPr="00CC11D5">
              <w:rPr>
                <w:rFonts w:ascii="Garamond" w:hAnsi="Garamond"/>
                <w:sz w:val="12"/>
                <w:szCs w:val="12"/>
                <w:lang w:val="sq-AL"/>
              </w:rPr>
              <w:t xml:space="preserve"> Hartimi i kuadrit institucional për menaxhimin dhe administrimin e taksës mbi ndërtesën</w:t>
            </w:r>
          </w:p>
        </w:tc>
        <w:tc>
          <w:tcPr>
            <w:tcW w:w="820" w:type="dxa"/>
            <w:shd w:val="clear" w:color="auto" w:fill="auto"/>
            <w:vAlign w:val="center"/>
          </w:tcPr>
          <w:p w14:paraId="7ED640EB" w14:textId="77777777" w:rsidR="00B4081C" w:rsidRPr="00CC11D5" w:rsidRDefault="00B4081C" w:rsidP="00723888">
            <w:pPr>
              <w:pStyle w:val="T-normal"/>
              <w:spacing w:line="240" w:lineRule="auto"/>
              <w:jc w:val="center"/>
              <w:rPr>
                <w:rFonts w:ascii="Garamond" w:hAnsi="Garamond"/>
                <w:sz w:val="12"/>
                <w:szCs w:val="12"/>
                <w:lang w:val="sq-AL"/>
              </w:rPr>
            </w:pPr>
            <w:r w:rsidRPr="00CC11D5">
              <w:rPr>
                <w:rFonts w:ascii="Garamond" w:hAnsi="Garamond"/>
                <w:sz w:val="12"/>
                <w:szCs w:val="12"/>
                <w:lang w:val="sq-AL"/>
              </w:rPr>
              <w:t>T4 2024</w:t>
            </w:r>
          </w:p>
        </w:tc>
        <w:tc>
          <w:tcPr>
            <w:tcW w:w="905" w:type="dxa"/>
            <w:shd w:val="clear" w:color="auto" w:fill="auto"/>
            <w:vAlign w:val="center"/>
          </w:tcPr>
          <w:p w14:paraId="7C856A15" w14:textId="77777777" w:rsidR="00B4081C" w:rsidRPr="00CC11D5" w:rsidRDefault="00B4081C" w:rsidP="00723888">
            <w:pPr>
              <w:pStyle w:val="T-normal"/>
              <w:spacing w:line="240" w:lineRule="auto"/>
              <w:jc w:val="center"/>
              <w:rPr>
                <w:rFonts w:ascii="Garamond" w:hAnsi="Garamond"/>
                <w:sz w:val="12"/>
                <w:szCs w:val="12"/>
                <w:lang w:val="sq-AL"/>
              </w:rPr>
            </w:pPr>
          </w:p>
        </w:tc>
        <w:tc>
          <w:tcPr>
            <w:tcW w:w="1839" w:type="dxa"/>
            <w:vMerge/>
            <w:vAlign w:val="center"/>
          </w:tcPr>
          <w:p w14:paraId="2543AB6E" w14:textId="77777777" w:rsidR="00B4081C" w:rsidRPr="00CC11D5" w:rsidRDefault="00B4081C" w:rsidP="00723888">
            <w:pPr>
              <w:jc w:val="center"/>
              <w:rPr>
                <w:rFonts w:ascii="Garamond" w:hAnsi="Garamond"/>
                <w:b/>
                <w:bCs/>
                <w:sz w:val="12"/>
                <w:szCs w:val="12"/>
              </w:rPr>
            </w:pPr>
          </w:p>
        </w:tc>
      </w:tr>
      <w:tr w:rsidR="00723888" w:rsidRPr="00CC11D5" w14:paraId="5ECCD957" w14:textId="77777777" w:rsidTr="00723888">
        <w:trPr>
          <w:trHeight w:val="20"/>
        </w:trPr>
        <w:tc>
          <w:tcPr>
            <w:tcW w:w="2061" w:type="dxa"/>
            <w:vMerge/>
            <w:shd w:val="clear" w:color="auto" w:fill="auto"/>
            <w:vAlign w:val="center"/>
          </w:tcPr>
          <w:p w14:paraId="18FD4EBD" w14:textId="77777777" w:rsidR="00B4081C" w:rsidRPr="00CC11D5" w:rsidRDefault="00B4081C" w:rsidP="00723888">
            <w:pPr>
              <w:pStyle w:val="EcorysBody"/>
              <w:spacing w:line="240" w:lineRule="auto"/>
              <w:jc w:val="center"/>
              <w:rPr>
                <w:rFonts w:ascii="Garamond" w:hAnsi="Garamond"/>
                <w:b/>
                <w:sz w:val="12"/>
                <w:szCs w:val="12"/>
                <w:lang w:val="sq-AL"/>
              </w:rPr>
            </w:pPr>
          </w:p>
        </w:tc>
        <w:tc>
          <w:tcPr>
            <w:tcW w:w="3725" w:type="dxa"/>
            <w:vAlign w:val="center"/>
          </w:tcPr>
          <w:p w14:paraId="48C25E62" w14:textId="565DE967" w:rsidR="00B4081C" w:rsidRPr="00CC11D5" w:rsidRDefault="00B4081C" w:rsidP="00723888">
            <w:pPr>
              <w:pStyle w:val="EcorysBody"/>
              <w:spacing w:line="240" w:lineRule="auto"/>
              <w:jc w:val="center"/>
              <w:rPr>
                <w:rFonts w:ascii="Garamond" w:hAnsi="Garamond"/>
                <w:sz w:val="12"/>
                <w:szCs w:val="12"/>
                <w:lang w:val="sq-AL"/>
              </w:rPr>
            </w:pPr>
            <w:r w:rsidRPr="00CC11D5">
              <w:rPr>
                <w:rFonts w:ascii="Garamond" w:hAnsi="Garamond"/>
                <w:sz w:val="12"/>
                <w:szCs w:val="12"/>
                <w:lang w:val="sq-AL"/>
              </w:rPr>
              <w:t>Aktiviteti 1.3.1.3</w:t>
            </w:r>
            <w:r w:rsidR="00A72159" w:rsidRPr="00CC11D5">
              <w:rPr>
                <w:rFonts w:ascii="Garamond" w:hAnsi="Garamond"/>
                <w:sz w:val="12"/>
                <w:szCs w:val="12"/>
                <w:lang w:val="sq-AL"/>
              </w:rPr>
              <w:t>:</w:t>
            </w:r>
            <w:r w:rsidRPr="00CC11D5">
              <w:rPr>
                <w:rFonts w:ascii="Garamond" w:hAnsi="Garamond"/>
                <w:sz w:val="12"/>
                <w:szCs w:val="12"/>
                <w:lang w:val="sq-AL"/>
              </w:rPr>
              <w:t xml:space="preserve"> Finalizimi i Sistemit Informativ të Kadastrës Fiskale (SIKF), ndërveprimit të tij me sistemet e tjera dhe shtrirja në bashki</w:t>
            </w:r>
          </w:p>
        </w:tc>
        <w:tc>
          <w:tcPr>
            <w:tcW w:w="820" w:type="dxa"/>
            <w:shd w:val="clear" w:color="auto" w:fill="auto"/>
            <w:vAlign w:val="center"/>
          </w:tcPr>
          <w:p w14:paraId="63ABB881" w14:textId="77777777" w:rsidR="00B4081C" w:rsidRPr="00CC11D5" w:rsidRDefault="00B4081C" w:rsidP="00723888">
            <w:pPr>
              <w:pStyle w:val="T-normal"/>
              <w:spacing w:line="240" w:lineRule="auto"/>
              <w:jc w:val="center"/>
              <w:rPr>
                <w:rFonts w:ascii="Garamond" w:hAnsi="Garamond"/>
                <w:sz w:val="12"/>
                <w:szCs w:val="12"/>
                <w:lang w:val="sq-AL"/>
              </w:rPr>
            </w:pPr>
            <w:r w:rsidRPr="00CC11D5">
              <w:rPr>
                <w:rFonts w:ascii="Garamond" w:hAnsi="Garamond"/>
                <w:sz w:val="12"/>
                <w:szCs w:val="12"/>
                <w:lang w:val="sq-AL"/>
              </w:rPr>
              <w:t>T1 2025</w:t>
            </w:r>
          </w:p>
        </w:tc>
        <w:tc>
          <w:tcPr>
            <w:tcW w:w="905" w:type="dxa"/>
            <w:shd w:val="clear" w:color="auto" w:fill="auto"/>
            <w:vAlign w:val="center"/>
          </w:tcPr>
          <w:p w14:paraId="4DD22413" w14:textId="77777777" w:rsidR="00B4081C" w:rsidRPr="00CC11D5" w:rsidRDefault="00B4081C" w:rsidP="00723888">
            <w:pPr>
              <w:pStyle w:val="T-normal"/>
              <w:spacing w:line="240" w:lineRule="auto"/>
              <w:jc w:val="center"/>
              <w:rPr>
                <w:rFonts w:ascii="Garamond" w:hAnsi="Garamond"/>
                <w:sz w:val="12"/>
                <w:szCs w:val="12"/>
                <w:lang w:val="sq-AL"/>
              </w:rPr>
            </w:pPr>
          </w:p>
        </w:tc>
        <w:tc>
          <w:tcPr>
            <w:tcW w:w="1839" w:type="dxa"/>
            <w:vMerge/>
            <w:vAlign w:val="center"/>
          </w:tcPr>
          <w:p w14:paraId="11BEC65F" w14:textId="77777777" w:rsidR="00B4081C" w:rsidRPr="00CC11D5" w:rsidRDefault="00B4081C" w:rsidP="00723888">
            <w:pPr>
              <w:jc w:val="center"/>
              <w:rPr>
                <w:rFonts w:ascii="Garamond" w:hAnsi="Garamond"/>
                <w:sz w:val="12"/>
                <w:szCs w:val="12"/>
              </w:rPr>
            </w:pPr>
          </w:p>
        </w:tc>
      </w:tr>
      <w:tr w:rsidR="00723888" w:rsidRPr="00CC11D5" w14:paraId="06E90C95" w14:textId="77777777" w:rsidTr="00723888">
        <w:trPr>
          <w:trHeight w:val="20"/>
        </w:trPr>
        <w:tc>
          <w:tcPr>
            <w:tcW w:w="2061" w:type="dxa"/>
            <w:vMerge/>
            <w:vAlign w:val="center"/>
          </w:tcPr>
          <w:p w14:paraId="73BACC99" w14:textId="77777777" w:rsidR="00B4081C" w:rsidRPr="00CC11D5" w:rsidRDefault="00B4081C" w:rsidP="00723888">
            <w:pPr>
              <w:pStyle w:val="EcorysBody"/>
              <w:spacing w:line="240" w:lineRule="auto"/>
              <w:jc w:val="center"/>
              <w:rPr>
                <w:rFonts w:ascii="Garamond" w:hAnsi="Garamond"/>
                <w:b/>
                <w:sz w:val="12"/>
                <w:szCs w:val="12"/>
                <w:lang w:val="sq-AL"/>
              </w:rPr>
            </w:pPr>
          </w:p>
        </w:tc>
        <w:tc>
          <w:tcPr>
            <w:tcW w:w="3725" w:type="dxa"/>
            <w:vAlign w:val="center"/>
          </w:tcPr>
          <w:p w14:paraId="6047FC4C" w14:textId="6BCFE7E3" w:rsidR="00B4081C" w:rsidRPr="00CC11D5" w:rsidRDefault="00B4081C" w:rsidP="00723888">
            <w:pPr>
              <w:pStyle w:val="EcorysBody"/>
              <w:spacing w:line="240" w:lineRule="auto"/>
              <w:jc w:val="center"/>
              <w:rPr>
                <w:rFonts w:ascii="Garamond" w:hAnsi="Garamond"/>
                <w:sz w:val="12"/>
                <w:szCs w:val="12"/>
                <w:lang w:val="sq-AL"/>
              </w:rPr>
            </w:pPr>
            <w:r w:rsidRPr="00CC11D5">
              <w:rPr>
                <w:rFonts w:ascii="Garamond" w:hAnsi="Garamond"/>
                <w:sz w:val="12"/>
                <w:szCs w:val="12"/>
                <w:lang w:val="sq-AL"/>
              </w:rPr>
              <w:t>Aktiviteti 1.3.1.4</w:t>
            </w:r>
            <w:r w:rsidR="00A72159" w:rsidRPr="00CC11D5">
              <w:rPr>
                <w:rFonts w:ascii="Garamond" w:hAnsi="Garamond"/>
                <w:sz w:val="12"/>
                <w:szCs w:val="12"/>
                <w:lang w:val="sq-AL"/>
              </w:rPr>
              <w:t>:</w:t>
            </w:r>
            <w:r w:rsidRPr="00CC11D5">
              <w:rPr>
                <w:rFonts w:ascii="Garamond" w:hAnsi="Garamond"/>
                <w:sz w:val="12"/>
                <w:szCs w:val="12"/>
                <w:lang w:val="sq-AL"/>
              </w:rPr>
              <w:t xml:space="preserve"> Pilotimi, ndërtimi i kapaciteteve dhe institucionalizimi i procedurave për vlerësimin e pasurisë së paluajtshme, popullimin dhe mirëmbajtjen e të dhënave të pasurisë së paluajtshme në SIKF</w:t>
            </w:r>
          </w:p>
        </w:tc>
        <w:tc>
          <w:tcPr>
            <w:tcW w:w="820" w:type="dxa"/>
            <w:vAlign w:val="center"/>
          </w:tcPr>
          <w:p w14:paraId="44A6CD0C" w14:textId="77777777" w:rsidR="00B4081C" w:rsidRPr="00CC11D5" w:rsidRDefault="00B4081C" w:rsidP="00723888">
            <w:pPr>
              <w:pStyle w:val="T-normal"/>
              <w:spacing w:line="240" w:lineRule="auto"/>
              <w:jc w:val="center"/>
              <w:rPr>
                <w:rFonts w:ascii="Garamond" w:hAnsi="Garamond"/>
                <w:sz w:val="12"/>
                <w:szCs w:val="12"/>
                <w:highlight w:val="yellow"/>
                <w:lang w:val="sq-AL"/>
              </w:rPr>
            </w:pPr>
            <w:r w:rsidRPr="00CC11D5">
              <w:rPr>
                <w:rFonts w:ascii="Garamond" w:hAnsi="Garamond"/>
                <w:sz w:val="12"/>
                <w:szCs w:val="12"/>
                <w:lang w:val="sq-AL"/>
              </w:rPr>
              <w:t>T1 2025</w:t>
            </w:r>
          </w:p>
        </w:tc>
        <w:tc>
          <w:tcPr>
            <w:tcW w:w="905" w:type="dxa"/>
            <w:vAlign w:val="center"/>
          </w:tcPr>
          <w:p w14:paraId="4E150C3E" w14:textId="77777777" w:rsidR="00B4081C" w:rsidRPr="00CC11D5" w:rsidRDefault="00B4081C" w:rsidP="00723888">
            <w:pPr>
              <w:pStyle w:val="T-normal"/>
              <w:spacing w:line="240" w:lineRule="auto"/>
              <w:jc w:val="center"/>
              <w:rPr>
                <w:rFonts w:ascii="Garamond" w:hAnsi="Garamond"/>
                <w:sz w:val="12"/>
                <w:szCs w:val="12"/>
                <w:lang w:val="sq-AL"/>
              </w:rPr>
            </w:pPr>
            <w:r w:rsidRPr="00CC11D5">
              <w:rPr>
                <w:rFonts w:ascii="Garamond" w:hAnsi="Garamond"/>
                <w:sz w:val="12"/>
                <w:szCs w:val="12"/>
                <w:lang w:val="sq-AL"/>
              </w:rPr>
              <w:t>&gt; 2026</w:t>
            </w:r>
          </w:p>
        </w:tc>
        <w:tc>
          <w:tcPr>
            <w:tcW w:w="1839" w:type="dxa"/>
            <w:vMerge/>
            <w:vAlign w:val="center"/>
          </w:tcPr>
          <w:p w14:paraId="188379EC" w14:textId="77777777" w:rsidR="00B4081C" w:rsidRPr="00CC11D5" w:rsidRDefault="00B4081C" w:rsidP="00723888">
            <w:pPr>
              <w:jc w:val="center"/>
              <w:rPr>
                <w:rFonts w:ascii="Garamond" w:hAnsi="Garamond"/>
                <w:sz w:val="12"/>
                <w:szCs w:val="12"/>
              </w:rPr>
            </w:pPr>
          </w:p>
        </w:tc>
      </w:tr>
      <w:tr w:rsidR="00723888" w:rsidRPr="00CC11D5" w14:paraId="4D9250A6" w14:textId="77777777" w:rsidTr="00723888">
        <w:trPr>
          <w:trHeight w:val="20"/>
        </w:trPr>
        <w:tc>
          <w:tcPr>
            <w:tcW w:w="2061" w:type="dxa"/>
            <w:vMerge/>
            <w:vAlign w:val="center"/>
          </w:tcPr>
          <w:p w14:paraId="35946C4C" w14:textId="77777777" w:rsidR="00B4081C" w:rsidRPr="00CC11D5" w:rsidRDefault="00B4081C" w:rsidP="004347E4">
            <w:pPr>
              <w:pStyle w:val="EcorysBody"/>
              <w:numPr>
                <w:ilvl w:val="0"/>
                <w:numId w:val="6"/>
              </w:numPr>
              <w:spacing w:line="240" w:lineRule="auto"/>
              <w:ind w:left="0" w:firstLine="0"/>
              <w:jc w:val="center"/>
              <w:rPr>
                <w:rFonts w:ascii="Garamond" w:hAnsi="Garamond"/>
                <w:sz w:val="12"/>
                <w:szCs w:val="12"/>
                <w:lang w:val="sq-AL"/>
              </w:rPr>
            </w:pPr>
          </w:p>
        </w:tc>
        <w:tc>
          <w:tcPr>
            <w:tcW w:w="3725" w:type="dxa"/>
            <w:vAlign w:val="center"/>
          </w:tcPr>
          <w:p w14:paraId="1A0B73FB" w14:textId="6EDA300F" w:rsidR="00B4081C" w:rsidRPr="00CC11D5" w:rsidRDefault="00B4081C" w:rsidP="00723888">
            <w:pPr>
              <w:pStyle w:val="EcorysBody"/>
              <w:spacing w:line="240" w:lineRule="auto"/>
              <w:jc w:val="center"/>
              <w:rPr>
                <w:rFonts w:ascii="Garamond" w:hAnsi="Garamond"/>
                <w:sz w:val="12"/>
                <w:szCs w:val="12"/>
                <w:lang w:val="sq-AL"/>
              </w:rPr>
            </w:pPr>
            <w:r w:rsidRPr="00CC11D5">
              <w:rPr>
                <w:rFonts w:ascii="Garamond" w:hAnsi="Garamond"/>
                <w:sz w:val="12"/>
                <w:szCs w:val="12"/>
                <w:lang w:val="sq-AL"/>
              </w:rPr>
              <w:t>Aktiviteti 1.3.1.5</w:t>
            </w:r>
            <w:r w:rsidR="00A72159" w:rsidRPr="00CC11D5">
              <w:rPr>
                <w:rFonts w:ascii="Garamond" w:hAnsi="Garamond"/>
                <w:sz w:val="12"/>
                <w:szCs w:val="12"/>
                <w:lang w:val="sq-AL"/>
              </w:rPr>
              <w:t>:</w:t>
            </w:r>
            <w:r w:rsidRPr="00CC11D5">
              <w:rPr>
                <w:rFonts w:ascii="Garamond" w:hAnsi="Garamond"/>
                <w:sz w:val="12"/>
                <w:szCs w:val="12"/>
                <w:lang w:val="sq-AL"/>
              </w:rPr>
              <w:t xml:space="preserve"> Përmirësimi i proceseve për mbledhjen e taksës së pasurisë së paluajtshme dhe rritja e ndërgjegjësimit të taksapaguesve</w:t>
            </w:r>
          </w:p>
        </w:tc>
        <w:tc>
          <w:tcPr>
            <w:tcW w:w="820" w:type="dxa"/>
            <w:vAlign w:val="center"/>
          </w:tcPr>
          <w:p w14:paraId="446D2BE4" w14:textId="77777777" w:rsidR="00B4081C" w:rsidRPr="00CC11D5" w:rsidRDefault="00B4081C" w:rsidP="00723888">
            <w:pPr>
              <w:pStyle w:val="T-normal"/>
              <w:spacing w:line="240" w:lineRule="auto"/>
              <w:jc w:val="center"/>
              <w:rPr>
                <w:rFonts w:ascii="Garamond" w:hAnsi="Garamond"/>
                <w:sz w:val="12"/>
                <w:szCs w:val="12"/>
                <w:highlight w:val="yellow"/>
                <w:lang w:val="sq-AL"/>
              </w:rPr>
            </w:pPr>
            <w:r w:rsidRPr="00CC11D5">
              <w:rPr>
                <w:rFonts w:ascii="Garamond" w:hAnsi="Garamond"/>
                <w:sz w:val="12"/>
                <w:szCs w:val="12"/>
                <w:lang w:val="sq-AL"/>
              </w:rPr>
              <w:t>T1 2025</w:t>
            </w:r>
          </w:p>
        </w:tc>
        <w:tc>
          <w:tcPr>
            <w:tcW w:w="905" w:type="dxa"/>
            <w:vAlign w:val="center"/>
          </w:tcPr>
          <w:p w14:paraId="2B399D26" w14:textId="77777777" w:rsidR="00B4081C" w:rsidRPr="00CC11D5" w:rsidRDefault="00B4081C" w:rsidP="00723888">
            <w:pPr>
              <w:pStyle w:val="T-normal"/>
              <w:spacing w:line="240" w:lineRule="auto"/>
              <w:jc w:val="center"/>
              <w:rPr>
                <w:rFonts w:ascii="Garamond" w:hAnsi="Garamond"/>
                <w:sz w:val="12"/>
                <w:szCs w:val="12"/>
                <w:highlight w:val="yellow"/>
                <w:lang w:val="sq-AL"/>
              </w:rPr>
            </w:pPr>
            <w:r w:rsidRPr="00CC11D5">
              <w:rPr>
                <w:rFonts w:ascii="Garamond" w:hAnsi="Garamond"/>
                <w:sz w:val="12"/>
                <w:szCs w:val="12"/>
                <w:lang w:val="sq-AL"/>
              </w:rPr>
              <w:t>&gt; 2026</w:t>
            </w:r>
          </w:p>
        </w:tc>
        <w:tc>
          <w:tcPr>
            <w:tcW w:w="1839" w:type="dxa"/>
            <w:vMerge/>
            <w:vAlign w:val="center"/>
          </w:tcPr>
          <w:p w14:paraId="5C4E940B" w14:textId="77777777" w:rsidR="00B4081C" w:rsidRPr="00CC11D5" w:rsidRDefault="00B4081C" w:rsidP="00723888">
            <w:pPr>
              <w:jc w:val="center"/>
              <w:rPr>
                <w:rFonts w:ascii="Garamond" w:hAnsi="Garamond"/>
                <w:sz w:val="12"/>
                <w:szCs w:val="12"/>
              </w:rPr>
            </w:pPr>
          </w:p>
        </w:tc>
      </w:tr>
      <w:bookmarkEnd w:id="27"/>
    </w:tbl>
    <w:p w14:paraId="012CC44E" w14:textId="77777777" w:rsidR="00B4081C" w:rsidRPr="00830F4C" w:rsidRDefault="00B4081C" w:rsidP="00B4081C">
      <w:pPr>
        <w:pStyle w:val="N-Bullet"/>
        <w:ind w:left="0" w:firstLine="0"/>
        <w:rPr>
          <w:rFonts w:ascii="Times New Roman" w:hAnsi="Times New Roman"/>
          <w:color w:val="auto"/>
          <w:sz w:val="24"/>
          <w:lang w:val="sq-AL"/>
        </w:rPr>
      </w:pPr>
    </w:p>
    <w:p w14:paraId="2D738934" w14:textId="77777777" w:rsidR="00B4081C" w:rsidRPr="00830F4C" w:rsidRDefault="00B4081C" w:rsidP="00B4081C">
      <w:pPr>
        <w:pStyle w:val="H5"/>
        <w:spacing w:after="0" w:line="240" w:lineRule="auto"/>
        <w:ind w:firstLine="284"/>
        <w:rPr>
          <w:rStyle w:val="IntenseReference"/>
          <w:rFonts w:ascii="Garamond" w:hAnsi="Garamond"/>
          <w:i w:val="0"/>
          <w:color w:val="auto"/>
          <w:sz w:val="24"/>
          <w:lang w:val="sq-AL"/>
        </w:rPr>
      </w:pPr>
      <w:r w:rsidRPr="00830F4C">
        <w:rPr>
          <w:rFonts w:ascii="Garamond" w:hAnsi="Garamond"/>
          <w:color w:val="auto"/>
          <w:sz w:val="24"/>
          <w:lang w:val="sq-AL"/>
        </w:rPr>
        <w:t>Treguesit e performancës dhe vlerat e synuara</w:t>
      </w:r>
    </w:p>
    <w:tbl>
      <w:tblPr>
        <w:tblStyle w:val="TableGrid"/>
        <w:tblW w:w="9017" w:type="dxa"/>
        <w:tblLayout w:type="fixed"/>
        <w:tblCellMar>
          <w:top w:w="28" w:type="dxa"/>
          <w:left w:w="57" w:type="dxa"/>
          <w:bottom w:w="28" w:type="dxa"/>
          <w:right w:w="57" w:type="dxa"/>
        </w:tblCellMar>
        <w:tblLook w:val="04A0" w:firstRow="1" w:lastRow="0" w:firstColumn="1" w:lastColumn="0" w:noHBand="0" w:noVBand="1"/>
      </w:tblPr>
      <w:tblGrid>
        <w:gridCol w:w="3114"/>
        <w:gridCol w:w="1180"/>
        <w:gridCol w:w="1181"/>
        <w:gridCol w:w="1180"/>
        <w:gridCol w:w="1181"/>
        <w:gridCol w:w="1181"/>
      </w:tblGrid>
      <w:tr w:rsidR="00B4081C" w:rsidRPr="00CC11D5" w14:paraId="327AF0D7" w14:textId="77777777" w:rsidTr="00723888">
        <w:trPr>
          <w:cantSplit/>
          <w:trHeight w:val="113"/>
          <w:tblHeader/>
        </w:trPr>
        <w:tc>
          <w:tcPr>
            <w:tcW w:w="311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635174" w14:textId="77777777" w:rsidR="00B4081C" w:rsidRPr="00CC11D5" w:rsidRDefault="00B4081C" w:rsidP="00723888">
            <w:pPr>
              <w:pStyle w:val="T-bold"/>
              <w:spacing w:line="240" w:lineRule="auto"/>
              <w:jc w:val="center"/>
              <w:rPr>
                <w:rFonts w:ascii="Garamond" w:hAnsi="Garamond"/>
                <w:sz w:val="12"/>
                <w:szCs w:val="12"/>
                <w:lang w:val="sq-AL"/>
              </w:rPr>
            </w:pPr>
            <w:r w:rsidRPr="00CC11D5">
              <w:rPr>
                <w:rFonts w:ascii="Garamond" w:hAnsi="Garamond"/>
                <w:sz w:val="12"/>
                <w:szCs w:val="12"/>
                <w:lang w:val="sq-AL"/>
              </w:rPr>
              <w:t>Treguesi</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38B202" w14:textId="77777777" w:rsidR="00B4081C" w:rsidRPr="00CC11D5" w:rsidRDefault="00B4081C" w:rsidP="00723888">
            <w:pPr>
              <w:pStyle w:val="T-bold"/>
              <w:spacing w:line="240" w:lineRule="auto"/>
              <w:jc w:val="center"/>
              <w:rPr>
                <w:rFonts w:ascii="Garamond" w:hAnsi="Garamond"/>
                <w:sz w:val="12"/>
                <w:szCs w:val="12"/>
                <w:lang w:val="sq-AL"/>
              </w:rPr>
            </w:pPr>
            <w:r w:rsidRPr="00CC11D5">
              <w:rPr>
                <w:rFonts w:ascii="Garamond" w:hAnsi="Garamond"/>
                <w:sz w:val="12"/>
                <w:szCs w:val="12"/>
                <w:lang w:val="sq-AL"/>
              </w:rPr>
              <w:t>Vlera bazë (viti)</w:t>
            </w:r>
          </w:p>
        </w:tc>
        <w:tc>
          <w:tcPr>
            <w:tcW w:w="472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11D73B" w14:textId="77777777" w:rsidR="00B4081C" w:rsidRPr="00CC11D5" w:rsidRDefault="00B4081C" w:rsidP="00723888">
            <w:pPr>
              <w:pStyle w:val="T-bold"/>
              <w:spacing w:line="240" w:lineRule="auto"/>
              <w:jc w:val="center"/>
              <w:rPr>
                <w:rFonts w:ascii="Garamond" w:hAnsi="Garamond"/>
                <w:sz w:val="12"/>
                <w:szCs w:val="12"/>
                <w:lang w:val="sq-AL"/>
              </w:rPr>
            </w:pPr>
            <w:r w:rsidRPr="00CC11D5">
              <w:rPr>
                <w:rFonts w:ascii="Garamond" w:hAnsi="Garamond"/>
                <w:sz w:val="12"/>
                <w:szCs w:val="12"/>
                <w:lang w:val="sq-AL"/>
              </w:rPr>
              <w:t>Vlera e synuar</w:t>
            </w:r>
          </w:p>
        </w:tc>
      </w:tr>
      <w:tr w:rsidR="00B4081C" w:rsidRPr="00CC11D5" w14:paraId="51EE2B9F" w14:textId="77777777" w:rsidTr="00723888">
        <w:trPr>
          <w:cantSplit/>
          <w:trHeight w:val="113"/>
          <w:tblHead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31762BFE" w14:textId="77777777" w:rsidR="00B4081C" w:rsidRPr="00CC11D5" w:rsidRDefault="00B4081C" w:rsidP="00723888">
            <w:pPr>
              <w:pStyle w:val="T-bold"/>
              <w:spacing w:line="240" w:lineRule="auto"/>
              <w:jc w:val="center"/>
              <w:rPr>
                <w:rFonts w:ascii="Garamond" w:hAnsi="Garamond"/>
                <w:sz w:val="12"/>
                <w:szCs w:val="12"/>
                <w:lang w:val="sq-AL"/>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1D82787B" w14:textId="77777777" w:rsidR="00B4081C" w:rsidRPr="00CC11D5" w:rsidRDefault="00B4081C" w:rsidP="00723888">
            <w:pPr>
              <w:pStyle w:val="T-bold"/>
              <w:spacing w:line="240" w:lineRule="auto"/>
              <w:jc w:val="center"/>
              <w:rPr>
                <w:rFonts w:ascii="Garamond" w:hAnsi="Garamond"/>
                <w:sz w:val="12"/>
                <w:szCs w:val="12"/>
                <w:lang w:val="sq-AL"/>
              </w:rPr>
            </w:pPr>
          </w:p>
        </w:tc>
        <w:tc>
          <w:tcPr>
            <w:tcW w:w="11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54CBEB" w14:textId="77777777" w:rsidR="00B4081C" w:rsidRPr="00CC11D5" w:rsidRDefault="00B4081C" w:rsidP="00723888">
            <w:pPr>
              <w:pStyle w:val="T-bold"/>
              <w:spacing w:line="240" w:lineRule="auto"/>
              <w:jc w:val="center"/>
              <w:rPr>
                <w:rFonts w:ascii="Garamond" w:hAnsi="Garamond"/>
                <w:sz w:val="12"/>
                <w:szCs w:val="12"/>
                <w:lang w:val="sq-AL"/>
              </w:rPr>
            </w:pPr>
            <w:r w:rsidRPr="00CC11D5">
              <w:rPr>
                <w:rFonts w:ascii="Garamond" w:hAnsi="Garamond"/>
                <w:sz w:val="12"/>
                <w:szCs w:val="12"/>
                <w:lang w:val="sq-AL"/>
              </w:rPr>
              <w:t>2024</w:t>
            </w:r>
          </w:p>
        </w:tc>
        <w:tc>
          <w:tcPr>
            <w:tcW w:w="11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1FC9EB" w14:textId="77777777" w:rsidR="00B4081C" w:rsidRPr="00CC11D5" w:rsidRDefault="00B4081C" w:rsidP="00723888">
            <w:pPr>
              <w:pStyle w:val="T-bold"/>
              <w:spacing w:line="240" w:lineRule="auto"/>
              <w:jc w:val="center"/>
              <w:rPr>
                <w:rFonts w:ascii="Garamond" w:hAnsi="Garamond"/>
                <w:sz w:val="12"/>
                <w:szCs w:val="12"/>
                <w:lang w:val="sq-AL"/>
              </w:rPr>
            </w:pPr>
            <w:r w:rsidRPr="00CC11D5">
              <w:rPr>
                <w:rFonts w:ascii="Garamond" w:hAnsi="Garamond"/>
                <w:sz w:val="12"/>
                <w:szCs w:val="12"/>
                <w:lang w:val="sq-AL"/>
              </w:rPr>
              <w:t>2025</w:t>
            </w:r>
          </w:p>
        </w:tc>
        <w:tc>
          <w:tcPr>
            <w:tcW w:w="11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920426" w14:textId="77777777" w:rsidR="00B4081C" w:rsidRPr="00CC11D5" w:rsidRDefault="00B4081C" w:rsidP="00723888">
            <w:pPr>
              <w:pStyle w:val="T-bold"/>
              <w:spacing w:line="240" w:lineRule="auto"/>
              <w:jc w:val="center"/>
              <w:rPr>
                <w:rFonts w:ascii="Garamond" w:hAnsi="Garamond"/>
                <w:sz w:val="12"/>
                <w:szCs w:val="12"/>
                <w:lang w:val="sq-AL"/>
              </w:rPr>
            </w:pPr>
            <w:r w:rsidRPr="00CC11D5">
              <w:rPr>
                <w:rFonts w:ascii="Garamond" w:hAnsi="Garamond"/>
                <w:sz w:val="12"/>
                <w:szCs w:val="12"/>
                <w:lang w:val="sq-AL"/>
              </w:rPr>
              <w:t>2026</w:t>
            </w:r>
          </w:p>
        </w:tc>
        <w:tc>
          <w:tcPr>
            <w:tcW w:w="11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B62674" w14:textId="77777777" w:rsidR="00B4081C" w:rsidRPr="00CC11D5" w:rsidRDefault="00B4081C" w:rsidP="00723888">
            <w:pPr>
              <w:pStyle w:val="T-bold"/>
              <w:spacing w:line="240" w:lineRule="auto"/>
              <w:jc w:val="center"/>
              <w:rPr>
                <w:rFonts w:ascii="Garamond" w:hAnsi="Garamond"/>
                <w:sz w:val="12"/>
                <w:szCs w:val="12"/>
                <w:lang w:val="sq-AL"/>
              </w:rPr>
            </w:pPr>
            <w:r w:rsidRPr="00CC11D5">
              <w:rPr>
                <w:rFonts w:ascii="Garamond" w:hAnsi="Garamond"/>
                <w:sz w:val="12"/>
                <w:szCs w:val="12"/>
                <w:lang w:val="sq-AL"/>
              </w:rPr>
              <w:t>2027</w:t>
            </w:r>
          </w:p>
        </w:tc>
      </w:tr>
      <w:tr w:rsidR="00B4081C" w:rsidRPr="00CC11D5" w14:paraId="5E89BE78" w14:textId="77777777" w:rsidTr="00723888">
        <w:trPr>
          <w:trHeight w:val="113"/>
        </w:trPr>
        <w:tc>
          <w:tcPr>
            <w:tcW w:w="3114" w:type="dxa"/>
            <w:tcBorders>
              <w:top w:val="single" w:sz="4" w:space="0" w:color="auto"/>
              <w:left w:val="single" w:sz="4" w:space="0" w:color="auto"/>
              <w:bottom w:val="single" w:sz="4" w:space="0" w:color="auto"/>
              <w:right w:val="single" w:sz="4" w:space="0" w:color="auto"/>
            </w:tcBorders>
            <w:vAlign w:val="center"/>
          </w:tcPr>
          <w:p w14:paraId="390C59CA" w14:textId="77777777" w:rsidR="00B4081C" w:rsidRPr="00CC11D5" w:rsidRDefault="00B4081C" w:rsidP="00723888">
            <w:pPr>
              <w:jc w:val="center"/>
              <w:rPr>
                <w:rFonts w:ascii="Garamond" w:hAnsi="Garamond"/>
                <w:sz w:val="12"/>
                <w:szCs w:val="12"/>
              </w:rPr>
            </w:pPr>
            <w:r w:rsidRPr="00CC11D5">
              <w:rPr>
                <w:rFonts w:ascii="Garamond" w:hAnsi="Garamond"/>
                <w:sz w:val="12"/>
                <w:szCs w:val="12"/>
              </w:rPr>
              <w:t>Hartimi dhe miratimi i ligjit për taksën mbi pasurinë e paluajtshme</w:t>
            </w:r>
          </w:p>
        </w:tc>
        <w:tc>
          <w:tcPr>
            <w:tcW w:w="1180" w:type="dxa"/>
            <w:tcBorders>
              <w:top w:val="single" w:sz="4" w:space="0" w:color="auto"/>
              <w:left w:val="single" w:sz="4" w:space="0" w:color="auto"/>
              <w:bottom w:val="single" w:sz="4" w:space="0" w:color="auto"/>
              <w:right w:val="single" w:sz="4" w:space="0" w:color="auto"/>
            </w:tcBorders>
            <w:vAlign w:val="center"/>
          </w:tcPr>
          <w:p w14:paraId="29DD6ADC" w14:textId="77777777" w:rsidR="00B4081C" w:rsidRPr="00CC11D5" w:rsidRDefault="00B4081C" w:rsidP="00723888">
            <w:pPr>
              <w:pStyle w:val="T-normal"/>
              <w:spacing w:line="240" w:lineRule="auto"/>
              <w:jc w:val="center"/>
              <w:rPr>
                <w:rFonts w:ascii="Garamond" w:hAnsi="Garamond"/>
                <w:sz w:val="12"/>
                <w:szCs w:val="12"/>
                <w:lang w:val="sq-AL"/>
              </w:rPr>
            </w:pPr>
            <w:r w:rsidRPr="00CC11D5">
              <w:rPr>
                <w:rFonts w:ascii="Garamond" w:hAnsi="Garamond"/>
                <w:sz w:val="12"/>
                <w:szCs w:val="12"/>
                <w:lang w:val="sq-AL"/>
              </w:rPr>
              <w:t>-</w:t>
            </w:r>
          </w:p>
        </w:tc>
        <w:tc>
          <w:tcPr>
            <w:tcW w:w="1181" w:type="dxa"/>
            <w:tcBorders>
              <w:top w:val="single" w:sz="4" w:space="0" w:color="auto"/>
              <w:left w:val="single" w:sz="4" w:space="0" w:color="auto"/>
              <w:bottom w:val="single" w:sz="4" w:space="0" w:color="auto"/>
              <w:right w:val="single" w:sz="4" w:space="0" w:color="auto"/>
            </w:tcBorders>
            <w:vAlign w:val="center"/>
          </w:tcPr>
          <w:p w14:paraId="2E59308C" w14:textId="77777777" w:rsidR="00B4081C" w:rsidRPr="00CC11D5" w:rsidRDefault="00B4081C" w:rsidP="00723888">
            <w:pPr>
              <w:pStyle w:val="T-normal"/>
              <w:spacing w:line="240" w:lineRule="auto"/>
              <w:jc w:val="center"/>
              <w:rPr>
                <w:rFonts w:ascii="Garamond" w:hAnsi="Garamond"/>
                <w:sz w:val="12"/>
                <w:szCs w:val="12"/>
                <w:lang w:val="sq-AL"/>
              </w:rPr>
            </w:pPr>
            <w:r w:rsidRPr="00CC11D5">
              <w:rPr>
                <w:rFonts w:ascii="Garamond" w:hAnsi="Garamond"/>
                <w:sz w:val="12"/>
                <w:szCs w:val="12"/>
                <w:lang w:val="sq-AL"/>
              </w:rPr>
              <w:t>Hartimi i ligjit për taksën mbi pasurinë e paluajtshme</w:t>
            </w:r>
          </w:p>
        </w:tc>
        <w:tc>
          <w:tcPr>
            <w:tcW w:w="1180" w:type="dxa"/>
            <w:tcBorders>
              <w:top w:val="single" w:sz="4" w:space="0" w:color="auto"/>
              <w:left w:val="single" w:sz="4" w:space="0" w:color="auto"/>
              <w:bottom w:val="single" w:sz="4" w:space="0" w:color="auto"/>
              <w:right w:val="single" w:sz="4" w:space="0" w:color="auto"/>
            </w:tcBorders>
            <w:vAlign w:val="center"/>
          </w:tcPr>
          <w:p w14:paraId="2EA82E4C" w14:textId="77777777" w:rsidR="00B4081C" w:rsidRPr="00CC11D5" w:rsidRDefault="00B4081C" w:rsidP="00723888">
            <w:pPr>
              <w:pStyle w:val="T-normal"/>
              <w:spacing w:line="240" w:lineRule="auto"/>
              <w:jc w:val="center"/>
              <w:rPr>
                <w:rFonts w:ascii="Garamond" w:hAnsi="Garamond"/>
                <w:sz w:val="12"/>
                <w:szCs w:val="12"/>
                <w:lang w:val="sq-AL"/>
              </w:rPr>
            </w:pPr>
            <w:r w:rsidRPr="00CC11D5">
              <w:rPr>
                <w:rFonts w:ascii="Garamond" w:hAnsi="Garamond"/>
                <w:sz w:val="12"/>
                <w:szCs w:val="12"/>
                <w:lang w:val="sq-AL"/>
              </w:rPr>
              <w:t>Miratimi i ligjit për taksën mbi pasurinë e paluajtshme</w:t>
            </w:r>
          </w:p>
        </w:tc>
        <w:tc>
          <w:tcPr>
            <w:tcW w:w="1181" w:type="dxa"/>
            <w:tcBorders>
              <w:top w:val="single" w:sz="4" w:space="0" w:color="auto"/>
              <w:left w:val="single" w:sz="4" w:space="0" w:color="auto"/>
              <w:bottom w:val="single" w:sz="4" w:space="0" w:color="auto"/>
              <w:right w:val="single" w:sz="4" w:space="0" w:color="auto"/>
            </w:tcBorders>
            <w:vAlign w:val="center"/>
          </w:tcPr>
          <w:p w14:paraId="0504DF5F" w14:textId="77777777" w:rsidR="00B4081C" w:rsidRPr="00CC11D5" w:rsidRDefault="00B4081C" w:rsidP="00723888">
            <w:pPr>
              <w:pStyle w:val="T-normal"/>
              <w:spacing w:line="240" w:lineRule="auto"/>
              <w:jc w:val="center"/>
              <w:rPr>
                <w:rFonts w:ascii="Garamond" w:hAnsi="Garamond"/>
                <w:sz w:val="12"/>
                <w:szCs w:val="12"/>
                <w:lang w:val="sq-AL"/>
              </w:rPr>
            </w:pPr>
          </w:p>
        </w:tc>
        <w:tc>
          <w:tcPr>
            <w:tcW w:w="1181" w:type="dxa"/>
            <w:tcBorders>
              <w:top w:val="single" w:sz="4" w:space="0" w:color="auto"/>
              <w:left w:val="single" w:sz="4" w:space="0" w:color="auto"/>
              <w:bottom w:val="single" w:sz="4" w:space="0" w:color="auto"/>
              <w:right w:val="single" w:sz="4" w:space="0" w:color="auto"/>
            </w:tcBorders>
            <w:vAlign w:val="center"/>
          </w:tcPr>
          <w:p w14:paraId="26F9F71C" w14:textId="77777777" w:rsidR="00B4081C" w:rsidRPr="00CC11D5" w:rsidRDefault="00B4081C" w:rsidP="00723888">
            <w:pPr>
              <w:pStyle w:val="T-normal"/>
              <w:spacing w:line="240" w:lineRule="auto"/>
              <w:jc w:val="center"/>
              <w:rPr>
                <w:rFonts w:ascii="Garamond" w:hAnsi="Garamond"/>
                <w:sz w:val="12"/>
                <w:szCs w:val="12"/>
                <w:lang w:val="sq-AL"/>
              </w:rPr>
            </w:pPr>
            <w:r w:rsidRPr="00CC11D5">
              <w:rPr>
                <w:rFonts w:ascii="Garamond" w:hAnsi="Garamond"/>
                <w:sz w:val="12"/>
                <w:szCs w:val="12"/>
                <w:lang w:val="sq-AL"/>
              </w:rPr>
              <w:t>-</w:t>
            </w:r>
          </w:p>
        </w:tc>
      </w:tr>
      <w:tr w:rsidR="00B4081C" w:rsidRPr="00CC11D5" w14:paraId="2F2C6C6B" w14:textId="77777777" w:rsidTr="00723888">
        <w:trPr>
          <w:trHeight w:val="113"/>
        </w:trPr>
        <w:tc>
          <w:tcPr>
            <w:tcW w:w="3114" w:type="dxa"/>
            <w:tcBorders>
              <w:top w:val="single" w:sz="4" w:space="0" w:color="auto"/>
              <w:left w:val="single" w:sz="4" w:space="0" w:color="auto"/>
              <w:bottom w:val="single" w:sz="4" w:space="0" w:color="auto"/>
              <w:right w:val="single" w:sz="4" w:space="0" w:color="auto"/>
            </w:tcBorders>
            <w:vAlign w:val="center"/>
          </w:tcPr>
          <w:p w14:paraId="655CDE81" w14:textId="77777777" w:rsidR="00B4081C" w:rsidRPr="00CC11D5" w:rsidRDefault="00B4081C" w:rsidP="00723888">
            <w:pPr>
              <w:jc w:val="center"/>
              <w:rPr>
                <w:rFonts w:ascii="Garamond" w:hAnsi="Garamond"/>
                <w:sz w:val="12"/>
                <w:szCs w:val="12"/>
              </w:rPr>
            </w:pPr>
            <w:r w:rsidRPr="00CC11D5">
              <w:rPr>
                <w:rFonts w:ascii="Garamond" w:hAnsi="Garamond"/>
                <w:sz w:val="12"/>
                <w:szCs w:val="12"/>
              </w:rPr>
              <w:t>Miratimi i akteve nënligjore për zbatimin e ligjit për taksën mbi pasurinë e paluajtshme</w:t>
            </w:r>
          </w:p>
        </w:tc>
        <w:tc>
          <w:tcPr>
            <w:tcW w:w="1180" w:type="dxa"/>
            <w:tcBorders>
              <w:top w:val="single" w:sz="4" w:space="0" w:color="auto"/>
              <w:left w:val="single" w:sz="4" w:space="0" w:color="auto"/>
              <w:bottom w:val="single" w:sz="4" w:space="0" w:color="auto"/>
              <w:right w:val="single" w:sz="4" w:space="0" w:color="auto"/>
            </w:tcBorders>
            <w:vAlign w:val="center"/>
          </w:tcPr>
          <w:p w14:paraId="36D0DDB2" w14:textId="77777777" w:rsidR="00B4081C" w:rsidRPr="00CC11D5" w:rsidRDefault="00B4081C" w:rsidP="00723888">
            <w:pPr>
              <w:pStyle w:val="T-normal"/>
              <w:spacing w:line="240" w:lineRule="auto"/>
              <w:jc w:val="center"/>
              <w:rPr>
                <w:rFonts w:ascii="Garamond" w:hAnsi="Garamond"/>
                <w:sz w:val="12"/>
                <w:szCs w:val="12"/>
                <w:lang w:val="sq-AL"/>
              </w:rPr>
            </w:pPr>
            <w:r w:rsidRPr="00CC11D5">
              <w:rPr>
                <w:rFonts w:ascii="Garamond" w:hAnsi="Garamond"/>
                <w:sz w:val="12"/>
                <w:szCs w:val="12"/>
                <w:lang w:val="sq-AL"/>
              </w:rPr>
              <w:t>-</w:t>
            </w:r>
          </w:p>
        </w:tc>
        <w:tc>
          <w:tcPr>
            <w:tcW w:w="1181" w:type="dxa"/>
            <w:tcBorders>
              <w:top w:val="single" w:sz="4" w:space="0" w:color="auto"/>
              <w:left w:val="single" w:sz="4" w:space="0" w:color="auto"/>
              <w:bottom w:val="single" w:sz="4" w:space="0" w:color="auto"/>
              <w:right w:val="single" w:sz="4" w:space="0" w:color="auto"/>
            </w:tcBorders>
            <w:vAlign w:val="center"/>
          </w:tcPr>
          <w:p w14:paraId="05D5BF8C" w14:textId="77777777" w:rsidR="00B4081C" w:rsidRPr="00CC11D5" w:rsidRDefault="00B4081C" w:rsidP="00723888">
            <w:pPr>
              <w:pStyle w:val="T-normal"/>
              <w:spacing w:line="240" w:lineRule="auto"/>
              <w:jc w:val="center"/>
              <w:rPr>
                <w:rFonts w:ascii="Garamond" w:hAnsi="Garamond"/>
                <w:sz w:val="12"/>
                <w:szCs w:val="12"/>
                <w:lang w:val="sq-AL"/>
              </w:rPr>
            </w:pPr>
            <w:r w:rsidRPr="00CC11D5">
              <w:rPr>
                <w:rFonts w:ascii="Garamond" w:hAnsi="Garamond"/>
                <w:sz w:val="12"/>
                <w:szCs w:val="12"/>
                <w:lang w:val="sq-AL"/>
              </w:rPr>
              <w:t>-</w:t>
            </w:r>
          </w:p>
        </w:tc>
        <w:tc>
          <w:tcPr>
            <w:tcW w:w="1180" w:type="dxa"/>
            <w:tcBorders>
              <w:top w:val="single" w:sz="4" w:space="0" w:color="auto"/>
              <w:left w:val="single" w:sz="4" w:space="0" w:color="auto"/>
              <w:bottom w:val="single" w:sz="4" w:space="0" w:color="auto"/>
              <w:right w:val="single" w:sz="4" w:space="0" w:color="auto"/>
            </w:tcBorders>
            <w:vAlign w:val="center"/>
          </w:tcPr>
          <w:p w14:paraId="74221514" w14:textId="77777777" w:rsidR="00B4081C" w:rsidRPr="00CC11D5" w:rsidRDefault="00B4081C" w:rsidP="00723888">
            <w:pPr>
              <w:pStyle w:val="T-normal"/>
              <w:spacing w:line="240" w:lineRule="auto"/>
              <w:jc w:val="center"/>
              <w:rPr>
                <w:rFonts w:ascii="Garamond" w:hAnsi="Garamond"/>
                <w:sz w:val="12"/>
                <w:szCs w:val="12"/>
                <w:lang w:val="sq-AL"/>
              </w:rPr>
            </w:pPr>
            <w:r w:rsidRPr="00CC11D5">
              <w:rPr>
                <w:rFonts w:ascii="Garamond" w:hAnsi="Garamond"/>
                <w:sz w:val="12"/>
                <w:szCs w:val="12"/>
                <w:lang w:val="sq-AL"/>
              </w:rPr>
              <w:t>Hartimi dhe miratimi i akteve nënligjore</w:t>
            </w:r>
          </w:p>
        </w:tc>
        <w:tc>
          <w:tcPr>
            <w:tcW w:w="1181" w:type="dxa"/>
            <w:tcBorders>
              <w:top w:val="single" w:sz="4" w:space="0" w:color="auto"/>
              <w:left w:val="single" w:sz="4" w:space="0" w:color="auto"/>
              <w:bottom w:val="single" w:sz="4" w:space="0" w:color="auto"/>
              <w:right w:val="single" w:sz="4" w:space="0" w:color="auto"/>
            </w:tcBorders>
            <w:vAlign w:val="center"/>
          </w:tcPr>
          <w:p w14:paraId="5A8F9B72" w14:textId="77777777" w:rsidR="00B4081C" w:rsidRPr="00CC11D5" w:rsidRDefault="00B4081C" w:rsidP="00723888">
            <w:pPr>
              <w:pStyle w:val="T-normal"/>
              <w:spacing w:line="240" w:lineRule="auto"/>
              <w:jc w:val="center"/>
              <w:rPr>
                <w:rFonts w:ascii="Garamond" w:hAnsi="Garamond"/>
                <w:sz w:val="12"/>
                <w:szCs w:val="12"/>
                <w:lang w:val="sq-AL"/>
              </w:rPr>
            </w:pPr>
          </w:p>
        </w:tc>
        <w:tc>
          <w:tcPr>
            <w:tcW w:w="1181" w:type="dxa"/>
            <w:tcBorders>
              <w:top w:val="single" w:sz="4" w:space="0" w:color="auto"/>
              <w:left w:val="single" w:sz="4" w:space="0" w:color="auto"/>
              <w:bottom w:val="single" w:sz="4" w:space="0" w:color="auto"/>
              <w:right w:val="single" w:sz="4" w:space="0" w:color="auto"/>
            </w:tcBorders>
            <w:vAlign w:val="center"/>
          </w:tcPr>
          <w:p w14:paraId="524B55EE" w14:textId="77777777" w:rsidR="00B4081C" w:rsidRPr="00CC11D5" w:rsidRDefault="00B4081C" w:rsidP="00723888">
            <w:pPr>
              <w:pStyle w:val="T-normal"/>
              <w:spacing w:line="240" w:lineRule="auto"/>
              <w:jc w:val="center"/>
              <w:rPr>
                <w:rFonts w:ascii="Garamond" w:hAnsi="Garamond"/>
                <w:sz w:val="12"/>
                <w:szCs w:val="12"/>
                <w:lang w:val="sq-AL"/>
              </w:rPr>
            </w:pPr>
            <w:r w:rsidRPr="00CC11D5">
              <w:rPr>
                <w:rFonts w:ascii="Garamond" w:hAnsi="Garamond"/>
                <w:sz w:val="12"/>
                <w:szCs w:val="12"/>
                <w:lang w:val="sq-AL"/>
              </w:rPr>
              <w:t>-</w:t>
            </w:r>
          </w:p>
        </w:tc>
      </w:tr>
      <w:tr w:rsidR="00723888" w:rsidRPr="00CC11D5" w14:paraId="11F4228A" w14:textId="77777777" w:rsidTr="00723888">
        <w:trPr>
          <w:trHeight w:val="113"/>
        </w:trPr>
        <w:tc>
          <w:tcPr>
            <w:tcW w:w="3114" w:type="dxa"/>
            <w:tcBorders>
              <w:top w:val="single" w:sz="4" w:space="0" w:color="auto"/>
              <w:left w:val="single" w:sz="4" w:space="0" w:color="auto"/>
              <w:bottom w:val="single" w:sz="4" w:space="0" w:color="auto"/>
              <w:right w:val="single" w:sz="4" w:space="0" w:color="auto"/>
            </w:tcBorders>
            <w:vAlign w:val="center"/>
          </w:tcPr>
          <w:p w14:paraId="5648205C" w14:textId="77777777" w:rsidR="00B4081C" w:rsidRPr="00CC11D5" w:rsidRDefault="00B4081C" w:rsidP="00723888">
            <w:pPr>
              <w:jc w:val="center"/>
              <w:rPr>
                <w:rFonts w:ascii="Garamond" w:hAnsi="Garamond"/>
                <w:sz w:val="12"/>
                <w:szCs w:val="12"/>
              </w:rPr>
            </w:pPr>
            <w:r w:rsidRPr="00CC11D5">
              <w:rPr>
                <w:rFonts w:ascii="Garamond" w:hAnsi="Garamond"/>
                <w:sz w:val="12"/>
                <w:szCs w:val="12"/>
              </w:rPr>
              <w:t>Rritja e të ardhurave nga tatimi mbi ndërtesat nga zbatimi i ligjit</w:t>
            </w:r>
          </w:p>
          <w:p w14:paraId="280E3AF2" w14:textId="77777777" w:rsidR="00B4081C" w:rsidRPr="00CC11D5" w:rsidRDefault="00B4081C" w:rsidP="00723888">
            <w:pPr>
              <w:jc w:val="center"/>
              <w:rPr>
                <w:rFonts w:ascii="Garamond" w:hAnsi="Garamond"/>
                <w:sz w:val="12"/>
                <w:szCs w:val="12"/>
              </w:rPr>
            </w:pPr>
          </w:p>
        </w:tc>
        <w:tc>
          <w:tcPr>
            <w:tcW w:w="1180" w:type="dxa"/>
            <w:tcBorders>
              <w:top w:val="single" w:sz="4" w:space="0" w:color="auto"/>
              <w:left w:val="single" w:sz="4" w:space="0" w:color="auto"/>
              <w:bottom w:val="single" w:sz="4" w:space="0" w:color="auto"/>
              <w:right w:val="single" w:sz="4" w:space="0" w:color="auto"/>
            </w:tcBorders>
            <w:vAlign w:val="center"/>
          </w:tcPr>
          <w:p w14:paraId="44F8215E" w14:textId="694F2605" w:rsidR="00B4081C" w:rsidRPr="00CC11D5" w:rsidRDefault="00B4081C" w:rsidP="00723888">
            <w:pPr>
              <w:pStyle w:val="T-normal"/>
              <w:spacing w:line="240" w:lineRule="auto"/>
              <w:jc w:val="center"/>
              <w:rPr>
                <w:rFonts w:ascii="Garamond" w:hAnsi="Garamond"/>
                <w:sz w:val="12"/>
                <w:szCs w:val="12"/>
                <w:lang w:val="sq-AL"/>
              </w:rPr>
            </w:pPr>
            <w:r w:rsidRPr="00CC11D5">
              <w:rPr>
                <w:rFonts w:ascii="Garamond" w:hAnsi="Garamond"/>
                <w:sz w:val="12"/>
                <w:szCs w:val="12"/>
                <w:lang w:val="sq-AL"/>
              </w:rPr>
              <w:t>0.3% e PPB</w:t>
            </w:r>
            <w:r w:rsidR="00377F8B" w:rsidRPr="00CC11D5">
              <w:rPr>
                <w:rFonts w:ascii="Garamond" w:hAnsi="Garamond"/>
                <w:sz w:val="12"/>
                <w:szCs w:val="12"/>
                <w:lang w:val="sq-AL"/>
              </w:rPr>
              <w:t>-së</w:t>
            </w:r>
          </w:p>
        </w:tc>
        <w:tc>
          <w:tcPr>
            <w:tcW w:w="1181" w:type="dxa"/>
            <w:tcBorders>
              <w:top w:val="single" w:sz="4" w:space="0" w:color="auto"/>
              <w:left w:val="single" w:sz="4" w:space="0" w:color="auto"/>
              <w:bottom w:val="single" w:sz="4" w:space="0" w:color="auto"/>
              <w:right w:val="single" w:sz="4" w:space="0" w:color="auto"/>
            </w:tcBorders>
            <w:vAlign w:val="center"/>
          </w:tcPr>
          <w:p w14:paraId="7E24E99D" w14:textId="77777777" w:rsidR="00B4081C" w:rsidRPr="00CC11D5" w:rsidRDefault="00B4081C" w:rsidP="00723888">
            <w:pPr>
              <w:pStyle w:val="T-normal"/>
              <w:spacing w:line="240" w:lineRule="auto"/>
              <w:jc w:val="center"/>
              <w:rPr>
                <w:rFonts w:ascii="Garamond" w:hAnsi="Garamond"/>
                <w:sz w:val="12"/>
                <w:szCs w:val="12"/>
                <w:lang w:val="sq-AL"/>
              </w:rPr>
            </w:pPr>
          </w:p>
        </w:tc>
        <w:tc>
          <w:tcPr>
            <w:tcW w:w="1180" w:type="dxa"/>
            <w:tcBorders>
              <w:top w:val="single" w:sz="4" w:space="0" w:color="auto"/>
              <w:left w:val="single" w:sz="4" w:space="0" w:color="auto"/>
              <w:bottom w:val="single" w:sz="4" w:space="0" w:color="auto"/>
              <w:right w:val="single" w:sz="4" w:space="0" w:color="auto"/>
            </w:tcBorders>
            <w:vAlign w:val="center"/>
          </w:tcPr>
          <w:p w14:paraId="69231D66" w14:textId="77777777" w:rsidR="00B4081C" w:rsidRPr="00CC11D5" w:rsidRDefault="00B4081C" w:rsidP="00723888">
            <w:pPr>
              <w:pStyle w:val="T-normal"/>
              <w:spacing w:line="240" w:lineRule="auto"/>
              <w:jc w:val="center"/>
              <w:rPr>
                <w:rFonts w:ascii="Garamond" w:hAnsi="Garamond"/>
                <w:sz w:val="12"/>
                <w:szCs w:val="12"/>
                <w:lang w:val="sq-AL"/>
              </w:rPr>
            </w:pPr>
          </w:p>
        </w:tc>
        <w:tc>
          <w:tcPr>
            <w:tcW w:w="1181" w:type="dxa"/>
            <w:tcBorders>
              <w:top w:val="single" w:sz="4" w:space="0" w:color="auto"/>
              <w:left w:val="single" w:sz="4" w:space="0" w:color="auto"/>
              <w:bottom w:val="single" w:sz="4" w:space="0" w:color="auto"/>
              <w:right w:val="single" w:sz="4" w:space="0" w:color="auto"/>
            </w:tcBorders>
            <w:vAlign w:val="center"/>
          </w:tcPr>
          <w:p w14:paraId="032BCB84" w14:textId="77777777" w:rsidR="00B4081C" w:rsidRPr="00CC11D5" w:rsidRDefault="00B4081C" w:rsidP="00723888">
            <w:pPr>
              <w:pStyle w:val="T-normal"/>
              <w:spacing w:line="240" w:lineRule="auto"/>
              <w:jc w:val="center"/>
              <w:rPr>
                <w:rFonts w:ascii="Garamond" w:hAnsi="Garamond"/>
                <w:sz w:val="12"/>
                <w:szCs w:val="12"/>
                <w:lang w:val="sq-AL"/>
              </w:rPr>
            </w:pPr>
          </w:p>
        </w:tc>
        <w:tc>
          <w:tcPr>
            <w:tcW w:w="1181" w:type="dxa"/>
            <w:tcBorders>
              <w:top w:val="single" w:sz="4" w:space="0" w:color="auto"/>
              <w:left w:val="single" w:sz="4" w:space="0" w:color="auto"/>
              <w:bottom w:val="single" w:sz="4" w:space="0" w:color="auto"/>
              <w:right w:val="single" w:sz="4" w:space="0" w:color="auto"/>
            </w:tcBorders>
            <w:vAlign w:val="center"/>
          </w:tcPr>
          <w:p w14:paraId="422B4B4A" w14:textId="77777777" w:rsidR="00B4081C" w:rsidRPr="00CC11D5" w:rsidRDefault="00B4081C" w:rsidP="00723888">
            <w:pPr>
              <w:pStyle w:val="T-normal"/>
              <w:spacing w:line="240" w:lineRule="auto"/>
              <w:jc w:val="center"/>
              <w:rPr>
                <w:rFonts w:ascii="Garamond" w:hAnsi="Garamond"/>
                <w:sz w:val="12"/>
                <w:szCs w:val="12"/>
                <w:lang w:val="sq-AL"/>
              </w:rPr>
            </w:pPr>
            <w:r w:rsidRPr="00CC11D5">
              <w:rPr>
                <w:rFonts w:ascii="Garamond" w:hAnsi="Garamond"/>
                <w:sz w:val="12"/>
                <w:szCs w:val="12"/>
                <w:lang w:val="sq-AL"/>
              </w:rPr>
              <w:t>0.2% e PPB</w:t>
            </w:r>
          </w:p>
        </w:tc>
      </w:tr>
    </w:tbl>
    <w:p w14:paraId="5DDDCBA4" w14:textId="77777777" w:rsidR="00FA5537" w:rsidRPr="00830F4C" w:rsidRDefault="00FA5537" w:rsidP="00FA5537">
      <w:pPr>
        <w:pStyle w:val="H5"/>
        <w:rPr>
          <w:rFonts w:ascii="Garamond" w:hAnsi="Garamond"/>
          <w:color w:val="auto"/>
          <w:sz w:val="24"/>
          <w:lang w:val="sq-AL"/>
        </w:rPr>
      </w:pPr>
      <w:bookmarkStart w:id="28" w:name="_Toc185235091"/>
    </w:p>
    <w:p w14:paraId="20DA45AC" w14:textId="56E81916" w:rsidR="00FA5537" w:rsidRPr="00830F4C" w:rsidRDefault="00FA5537" w:rsidP="00FA5537">
      <w:pPr>
        <w:pStyle w:val="H5"/>
        <w:spacing w:after="0" w:line="240" w:lineRule="auto"/>
        <w:ind w:firstLine="284"/>
        <w:rPr>
          <w:rFonts w:ascii="Garamond" w:hAnsi="Garamond"/>
          <w:color w:val="auto"/>
          <w:sz w:val="24"/>
          <w:lang w:val="sq-AL"/>
        </w:rPr>
      </w:pPr>
      <w:r w:rsidRPr="00830F4C">
        <w:rPr>
          <w:rFonts w:ascii="Garamond" w:hAnsi="Garamond"/>
          <w:color w:val="auto"/>
          <w:sz w:val="24"/>
          <w:lang w:val="sq-AL"/>
        </w:rPr>
        <w:t>V</w:t>
      </w:r>
      <w:r w:rsidR="00377F8B" w:rsidRPr="00830F4C">
        <w:rPr>
          <w:rFonts w:ascii="Garamond" w:hAnsi="Garamond"/>
          <w:color w:val="auto"/>
          <w:sz w:val="24"/>
          <w:lang w:val="sq-AL"/>
        </w:rPr>
        <w:t>.</w:t>
      </w:r>
      <w:r w:rsidRPr="00830F4C">
        <w:rPr>
          <w:rFonts w:ascii="Garamond" w:hAnsi="Garamond"/>
          <w:color w:val="auto"/>
          <w:sz w:val="24"/>
          <w:lang w:val="sq-AL"/>
        </w:rPr>
        <w:t xml:space="preserve"> Shtylla 2: Mirëadministrimi Tatimor</w:t>
      </w:r>
      <w:bookmarkEnd w:id="28"/>
    </w:p>
    <w:p w14:paraId="70AF8AF5" w14:textId="0AF9FBCC" w:rsidR="00FA5537" w:rsidRPr="00830F4C" w:rsidRDefault="00FA5537" w:rsidP="00FA5537">
      <w:pPr>
        <w:pStyle w:val="H5"/>
        <w:spacing w:after="0" w:line="240" w:lineRule="auto"/>
        <w:ind w:firstLine="284"/>
        <w:rPr>
          <w:rFonts w:ascii="Garamond" w:hAnsi="Garamond"/>
          <w:color w:val="auto"/>
          <w:sz w:val="24"/>
          <w:lang w:val="sq-AL"/>
        </w:rPr>
      </w:pPr>
      <w:bookmarkStart w:id="29" w:name="_Toc167123149"/>
      <w:bookmarkStart w:id="30" w:name="_Toc185235092"/>
      <w:r w:rsidRPr="00830F4C">
        <w:rPr>
          <w:rFonts w:ascii="Garamond" w:hAnsi="Garamond"/>
          <w:color w:val="auto"/>
          <w:sz w:val="24"/>
          <w:lang w:val="sq-AL"/>
        </w:rPr>
        <w:t>V.1</w:t>
      </w:r>
      <w:r w:rsidR="00377F8B" w:rsidRPr="00830F4C">
        <w:rPr>
          <w:rFonts w:ascii="Garamond" w:hAnsi="Garamond"/>
          <w:color w:val="auto"/>
          <w:sz w:val="24"/>
          <w:lang w:val="sq-AL"/>
        </w:rPr>
        <w:t xml:space="preserve"> </w:t>
      </w:r>
      <w:r w:rsidRPr="00830F4C">
        <w:rPr>
          <w:rFonts w:ascii="Garamond" w:hAnsi="Garamond"/>
          <w:color w:val="auto"/>
          <w:sz w:val="24"/>
          <w:lang w:val="sq-AL"/>
        </w:rPr>
        <w:t>Hyrje</w:t>
      </w:r>
      <w:bookmarkEnd w:id="29"/>
      <w:bookmarkEnd w:id="30"/>
    </w:p>
    <w:p w14:paraId="1972D10B" w14:textId="77777777" w:rsidR="00FA5537" w:rsidRPr="00830F4C" w:rsidRDefault="00FA5537" w:rsidP="00FA5537">
      <w:pPr>
        <w:autoSpaceDE w:val="0"/>
        <w:autoSpaceDN w:val="0"/>
        <w:ind w:firstLine="284"/>
        <w:jc w:val="both"/>
        <w:rPr>
          <w:rFonts w:ascii="Garamond" w:hAnsi="Garamond"/>
        </w:rPr>
      </w:pPr>
      <w:r w:rsidRPr="00830F4C">
        <w:rPr>
          <w:rFonts w:ascii="Garamond" w:hAnsi="Garamond"/>
        </w:rPr>
        <w:t xml:space="preserve">Objektivi specifik i Shtyllës 2 është rritja e nivelit të pajtueshmërisë vullnetare të tatimpaguesve me legjislacionin tatimor dhe efikasitetit të administratës tatimore. </w:t>
      </w:r>
    </w:p>
    <w:p w14:paraId="64CA462C" w14:textId="77777777" w:rsidR="00FA5537" w:rsidRPr="00830F4C" w:rsidRDefault="00FA5537" w:rsidP="00FA5537">
      <w:pPr>
        <w:autoSpaceDE w:val="0"/>
        <w:autoSpaceDN w:val="0"/>
        <w:ind w:firstLine="284"/>
        <w:jc w:val="both"/>
        <w:rPr>
          <w:rFonts w:ascii="Garamond" w:hAnsi="Garamond"/>
        </w:rPr>
      </w:pPr>
      <w:r w:rsidRPr="00565EC8">
        <w:rPr>
          <w:rFonts w:ascii="Garamond" w:hAnsi="Garamond"/>
        </w:rPr>
        <w:t>Në Shtyllën</w:t>
      </w:r>
      <w:r w:rsidRPr="00830F4C">
        <w:rPr>
          <w:rFonts w:ascii="Garamond" w:hAnsi="Garamond"/>
        </w:rPr>
        <w:t xml:space="preserve"> e Mirëadministrimit Tatimor janë identifikuar pesë komponentë të cilësuara fusha me përparësi për përmirësimin e pajtueshmërisë, fusha të cilat përmbajnë veprime prioritare, të cilat potencialisht ndikojnë në rritjen e të ardhurave tatimore në periudhën afatmesme. </w:t>
      </w:r>
    </w:p>
    <w:p w14:paraId="3EF2E226" w14:textId="70E0E42F" w:rsidR="00FA5537" w:rsidRPr="00830F4C" w:rsidRDefault="00FA5537" w:rsidP="00FA5537">
      <w:pPr>
        <w:autoSpaceDE w:val="0"/>
        <w:autoSpaceDN w:val="0"/>
        <w:ind w:firstLine="284"/>
        <w:jc w:val="both"/>
        <w:rPr>
          <w:rFonts w:ascii="Garamond" w:hAnsi="Garamond"/>
        </w:rPr>
      </w:pPr>
      <w:r w:rsidRPr="00830F4C">
        <w:rPr>
          <w:rFonts w:ascii="Garamond" w:hAnsi="Garamond"/>
        </w:rPr>
        <w:t xml:space="preserve">Realizimi i rritjes së parashikuar të të ardhurave me 64.85 </w:t>
      </w:r>
      <w:r w:rsidR="00D22EA5" w:rsidRPr="00830F4C">
        <w:rPr>
          <w:rFonts w:ascii="Garamond" w:hAnsi="Garamond"/>
        </w:rPr>
        <w:t xml:space="preserve">miliardë </w:t>
      </w:r>
      <w:r w:rsidRPr="00830F4C">
        <w:rPr>
          <w:rFonts w:ascii="Garamond" w:hAnsi="Garamond"/>
        </w:rPr>
        <w:t>lek për një periudhë 4</w:t>
      </w:r>
      <w:r w:rsidR="0052377F" w:rsidRPr="00830F4C">
        <w:rPr>
          <w:rFonts w:ascii="Garamond" w:hAnsi="Garamond"/>
        </w:rPr>
        <w:t>-</w:t>
      </w:r>
      <w:r w:rsidRPr="00830F4C">
        <w:rPr>
          <w:rFonts w:ascii="Garamond" w:hAnsi="Garamond"/>
        </w:rPr>
        <w:t>vjeçare të kërkojë zbatimin e masave të forta e të rëndësishme të administratës tatimore. Plotësimi i të gjithë kushteve të vëna në planin e Rritjes së A</w:t>
      </w:r>
      <w:r w:rsidR="00CC11D5">
        <w:rPr>
          <w:rFonts w:ascii="Garamond" w:hAnsi="Garamond"/>
        </w:rPr>
        <w:t>gj</w:t>
      </w:r>
      <w:r w:rsidRPr="00830F4C">
        <w:rPr>
          <w:rFonts w:ascii="Garamond" w:hAnsi="Garamond"/>
        </w:rPr>
        <w:t xml:space="preserve">endës së reformave të KE-së kombinuar me një infrastrukturë të përforcuar e TI- së, përmirësimi i përdorimit të të dhënave dhe përmirësimi i stafit dhe kapacitetit do të ndihmonte në mbylljen e boshllëqeve të përputhjes, duke përfshirë turizmin, ndërtimin dhe individëve të pasur. </w:t>
      </w:r>
    </w:p>
    <w:p w14:paraId="06DA8F52" w14:textId="393EC085" w:rsidR="00FA5537" w:rsidRPr="00830F4C" w:rsidRDefault="00FA5537" w:rsidP="00FA5537">
      <w:pPr>
        <w:autoSpaceDE w:val="0"/>
        <w:autoSpaceDN w:val="0"/>
        <w:ind w:firstLine="284"/>
        <w:jc w:val="both"/>
        <w:rPr>
          <w:rFonts w:ascii="Garamond" w:hAnsi="Garamond"/>
        </w:rPr>
      </w:pPr>
      <w:r w:rsidRPr="00830F4C">
        <w:rPr>
          <w:rFonts w:ascii="Garamond" w:hAnsi="Garamond"/>
        </w:rPr>
        <w:t>Për të arritur nivelin e dëshiruar të pajtueshmërisë së tatimpaguesve me ligjin tatimor, kjo shtyllë shoqërohet edhe me dy komponentë shtesë, të cilët lidhen me reformat institucionale që duhen ndërmarrë me qëllim krijimin e një administrate fiskale efi</w:t>
      </w:r>
      <w:r w:rsidR="008C0C0F" w:rsidRPr="00830F4C">
        <w:rPr>
          <w:rFonts w:ascii="Garamond" w:hAnsi="Garamond"/>
        </w:rPr>
        <w:t>ci</w:t>
      </w:r>
      <w:r w:rsidRPr="00830F4C">
        <w:rPr>
          <w:rFonts w:ascii="Garamond" w:hAnsi="Garamond"/>
        </w:rPr>
        <w:t xml:space="preserve">ente, e cila gëzon besimin e publikut në përgjithësi dhe të tatimpaguesve në veçanti. </w:t>
      </w:r>
    </w:p>
    <w:p w14:paraId="09B8E328" w14:textId="77777777" w:rsidR="00FA5537" w:rsidRPr="00830F4C" w:rsidRDefault="00FA5537" w:rsidP="00FA5537">
      <w:pPr>
        <w:autoSpaceDE w:val="0"/>
        <w:autoSpaceDN w:val="0"/>
        <w:ind w:firstLine="284"/>
        <w:jc w:val="both"/>
        <w:rPr>
          <w:rFonts w:ascii="Garamond" w:hAnsi="Garamond"/>
        </w:rPr>
      </w:pPr>
      <w:r w:rsidRPr="00830F4C">
        <w:rPr>
          <w:rFonts w:ascii="Garamond" w:hAnsi="Garamond"/>
        </w:rPr>
        <w:t>Masat e parashikuara janë të balancuara dhe përmbajnë një sërë aktivitetesh, të cilat synojnë të reduktojnë kostot e pajtueshmërisë, rritjen e sigurisë për taksapaguesit lidhur me si interpretohet legjislacioni tatimor, si dhe rritjen e besimit të tatimpaguesve dhe qytetarëve lidhur me integritetin e administratës tatimore.</w:t>
      </w:r>
    </w:p>
    <w:tbl>
      <w:tblPr>
        <w:tblStyle w:val="TableGrid"/>
        <w:tblW w:w="0" w:type="auto"/>
        <w:shd w:val="clear" w:color="auto" w:fill="DBE5F1" w:themeFill="accent1" w:themeFillTint="33"/>
        <w:tblLook w:val="04A0" w:firstRow="1" w:lastRow="0" w:firstColumn="1" w:lastColumn="0" w:noHBand="0" w:noVBand="1"/>
      </w:tblPr>
      <w:tblGrid>
        <w:gridCol w:w="9016"/>
      </w:tblGrid>
      <w:tr w:rsidR="00FA5537" w:rsidRPr="00830F4C" w14:paraId="342DDF7B" w14:textId="77777777" w:rsidTr="009153DB">
        <w:tc>
          <w:tcPr>
            <w:tcW w:w="9016" w:type="dxa"/>
            <w:shd w:val="clear" w:color="auto" w:fill="DBE5F1" w:themeFill="accent1" w:themeFillTint="33"/>
          </w:tcPr>
          <w:p w14:paraId="36050366" w14:textId="13E61B2A" w:rsidR="00FA5537" w:rsidRPr="00CC11D5" w:rsidRDefault="00FA5537" w:rsidP="00FA5537">
            <w:pPr>
              <w:rPr>
                <w:rFonts w:ascii="Garamond" w:hAnsi="Garamond"/>
                <w:b/>
                <w:bCs/>
                <w:sz w:val="12"/>
                <w:szCs w:val="12"/>
              </w:rPr>
            </w:pPr>
            <w:r w:rsidRPr="00CC11D5">
              <w:rPr>
                <w:rFonts w:ascii="Garamond" w:hAnsi="Garamond"/>
                <w:b/>
                <w:bCs/>
                <w:sz w:val="12"/>
                <w:szCs w:val="12"/>
              </w:rPr>
              <w:t xml:space="preserve">Komponenti 2.1: </w:t>
            </w:r>
            <w:r w:rsidRPr="00CC11D5">
              <w:rPr>
                <w:rFonts w:ascii="Garamond" w:hAnsi="Garamond"/>
                <w:b/>
                <w:sz w:val="12"/>
                <w:szCs w:val="12"/>
              </w:rPr>
              <w:t>Zvogëlimi i hendekut të pajtueshmërisë në lidhje me</w:t>
            </w:r>
            <w:r w:rsidR="00DE65FB" w:rsidRPr="00CC11D5">
              <w:rPr>
                <w:rFonts w:ascii="Garamond" w:hAnsi="Garamond"/>
                <w:b/>
                <w:sz w:val="12"/>
                <w:szCs w:val="12"/>
              </w:rPr>
              <w:t xml:space="preserve"> TVSh</w:t>
            </w:r>
            <w:r w:rsidRPr="00CC11D5">
              <w:rPr>
                <w:rFonts w:ascii="Garamond" w:hAnsi="Garamond"/>
                <w:b/>
                <w:sz w:val="12"/>
                <w:szCs w:val="12"/>
              </w:rPr>
              <w:t>-në</w:t>
            </w:r>
          </w:p>
          <w:p w14:paraId="7B8898A3" w14:textId="04D73C3B" w:rsidR="00FA5537" w:rsidRPr="00CC11D5" w:rsidRDefault="00FA5537" w:rsidP="00FA5537">
            <w:pPr>
              <w:rPr>
                <w:rFonts w:ascii="Garamond" w:hAnsi="Garamond"/>
                <w:bCs/>
                <w:sz w:val="12"/>
                <w:szCs w:val="12"/>
              </w:rPr>
            </w:pPr>
            <w:r w:rsidRPr="00CC11D5">
              <w:rPr>
                <w:rFonts w:ascii="Garamond" w:hAnsi="Garamond"/>
                <w:sz w:val="12"/>
                <w:szCs w:val="12"/>
              </w:rPr>
              <w:t>Synohet që brenda vitit 2027 të rritet pajtueshmëria në</w:t>
            </w:r>
            <w:r w:rsidR="00DE65FB" w:rsidRPr="00CC11D5">
              <w:rPr>
                <w:rFonts w:ascii="Garamond" w:hAnsi="Garamond"/>
                <w:sz w:val="12"/>
                <w:szCs w:val="12"/>
              </w:rPr>
              <w:t xml:space="preserve"> TVSh</w:t>
            </w:r>
            <w:r w:rsidRPr="00CC11D5">
              <w:rPr>
                <w:rFonts w:ascii="Garamond" w:hAnsi="Garamond"/>
                <w:sz w:val="12"/>
                <w:szCs w:val="12"/>
              </w:rPr>
              <w:t>, me rritje të deklarimit të qarkullimit, të rritjes me 14% të tatimpaguesve deklarues të</w:t>
            </w:r>
            <w:r w:rsidR="00DE65FB" w:rsidRPr="00CC11D5">
              <w:rPr>
                <w:rFonts w:ascii="Garamond" w:hAnsi="Garamond"/>
                <w:sz w:val="12"/>
                <w:szCs w:val="12"/>
              </w:rPr>
              <w:t xml:space="preserve"> TVSh</w:t>
            </w:r>
            <w:r w:rsidRPr="00CC11D5">
              <w:rPr>
                <w:rFonts w:ascii="Garamond" w:hAnsi="Garamond"/>
                <w:sz w:val="12"/>
                <w:szCs w:val="12"/>
              </w:rPr>
              <w:t>-së dhe r</w:t>
            </w:r>
            <w:r w:rsidRPr="00CC11D5">
              <w:rPr>
                <w:rFonts w:ascii="Garamond" w:hAnsi="Garamond"/>
                <w:bCs/>
                <w:sz w:val="12"/>
                <w:szCs w:val="12"/>
              </w:rPr>
              <w:t>ritjes së të ardhurave nga</w:t>
            </w:r>
            <w:r w:rsidR="00DE65FB" w:rsidRPr="00CC11D5">
              <w:rPr>
                <w:rFonts w:ascii="Garamond" w:hAnsi="Garamond"/>
                <w:bCs/>
                <w:sz w:val="12"/>
                <w:szCs w:val="12"/>
              </w:rPr>
              <w:t xml:space="preserve"> TVSh</w:t>
            </w:r>
            <w:r w:rsidRPr="00CC11D5">
              <w:rPr>
                <w:rFonts w:ascii="Garamond" w:hAnsi="Garamond"/>
                <w:bCs/>
                <w:sz w:val="12"/>
                <w:szCs w:val="12"/>
              </w:rPr>
              <w:t>-ja e brendshme me rreth 0.92% e PBB</w:t>
            </w:r>
            <w:r w:rsidR="00236281" w:rsidRPr="00CC11D5">
              <w:rPr>
                <w:rFonts w:ascii="Garamond" w:hAnsi="Garamond"/>
                <w:sz w:val="12"/>
                <w:szCs w:val="12"/>
              </w:rPr>
              <w:t>-së</w:t>
            </w:r>
            <w:r w:rsidRPr="00CC11D5">
              <w:rPr>
                <w:rFonts w:ascii="Garamond" w:hAnsi="Garamond"/>
                <w:bCs/>
                <w:sz w:val="12"/>
                <w:szCs w:val="12"/>
              </w:rPr>
              <w:t>.</w:t>
            </w:r>
          </w:p>
          <w:p w14:paraId="42549755" w14:textId="14A1E89E" w:rsidR="00FA5537" w:rsidRPr="00CC11D5" w:rsidRDefault="00FA5537" w:rsidP="00FA5537">
            <w:pPr>
              <w:rPr>
                <w:rFonts w:ascii="Garamond" w:hAnsi="Garamond"/>
                <w:sz w:val="12"/>
                <w:szCs w:val="12"/>
              </w:rPr>
            </w:pPr>
            <w:r w:rsidRPr="00CC11D5">
              <w:rPr>
                <w:rFonts w:ascii="Garamond" w:hAnsi="Garamond"/>
                <w:sz w:val="12"/>
                <w:szCs w:val="12"/>
              </w:rPr>
              <w:t>Masat për vitet 2024</w:t>
            </w:r>
            <w:r w:rsidR="00D22EA5" w:rsidRPr="00CC11D5">
              <w:rPr>
                <w:rFonts w:ascii="Garamond" w:hAnsi="Garamond"/>
                <w:sz w:val="12"/>
                <w:szCs w:val="12"/>
              </w:rPr>
              <w:t>–</w:t>
            </w:r>
            <w:r w:rsidRPr="00CC11D5">
              <w:rPr>
                <w:rFonts w:ascii="Garamond" w:hAnsi="Garamond"/>
                <w:sz w:val="12"/>
                <w:szCs w:val="12"/>
              </w:rPr>
              <w:t xml:space="preserve">2027: </w:t>
            </w:r>
          </w:p>
          <w:p w14:paraId="423E63EE" w14:textId="77777777" w:rsidR="00FA5537" w:rsidRPr="00CC11D5" w:rsidRDefault="00FA5537" w:rsidP="004347E4">
            <w:pPr>
              <w:pStyle w:val="ListParagraph"/>
              <w:numPr>
                <w:ilvl w:val="0"/>
                <w:numId w:val="8"/>
              </w:numPr>
              <w:spacing w:after="0" w:line="240" w:lineRule="auto"/>
              <w:ind w:firstLine="0"/>
              <w:rPr>
                <w:rFonts w:ascii="Garamond" w:hAnsi="Garamond" w:cs="Times New Roman"/>
                <w:sz w:val="12"/>
                <w:szCs w:val="12"/>
              </w:rPr>
            </w:pPr>
            <w:r w:rsidRPr="00CC11D5">
              <w:rPr>
                <w:rFonts w:ascii="Garamond" w:hAnsi="Garamond" w:cs="Times New Roman"/>
                <w:sz w:val="12"/>
                <w:szCs w:val="12"/>
              </w:rPr>
              <w:t>Masa 2.1. Trajtimi i sektorit të ndërtimit dhe parandalimi i humbjeve tatimore në zinxhirin e furnizimit të nënkontraktorëve.</w:t>
            </w:r>
          </w:p>
          <w:p w14:paraId="6E8C894F" w14:textId="77777777" w:rsidR="00FA5537" w:rsidRPr="00CC11D5" w:rsidRDefault="00FA5537" w:rsidP="004347E4">
            <w:pPr>
              <w:pStyle w:val="ListParagraph"/>
              <w:numPr>
                <w:ilvl w:val="0"/>
                <w:numId w:val="8"/>
              </w:numPr>
              <w:spacing w:after="0" w:line="240" w:lineRule="auto"/>
              <w:ind w:firstLine="0"/>
              <w:rPr>
                <w:rFonts w:ascii="Garamond" w:hAnsi="Garamond" w:cs="Times New Roman"/>
                <w:sz w:val="12"/>
                <w:szCs w:val="12"/>
              </w:rPr>
            </w:pPr>
            <w:r w:rsidRPr="00CC11D5">
              <w:rPr>
                <w:rFonts w:ascii="Garamond" w:hAnsi="Garamond" w:cs="Times New Roman"/>
                <w:sz w:val="12"/>
                <w:szCs w:val="12"/>
              </w:rPr>
              <w:t>Masa 2.2. Vlerësimi i performancës së sektorit të turizmit dhe hartimi i planit të dedikuar sektorial.</w:t>
            </w:r>
          </w:p>
          <w:p w14:paraId="207C9276" w14:textId="573AB486" w:rsidR="00FA5537" w:rsidRPr="00CC11D5" w:rsidRDefault="00FA5537" w:rsidP="004347E4">
            <w:pPr>
              <w:pStyle w:val="ListParagraph"/>
              <w:numPr>
                <w:ilvl w:val="0"/>
                <w:numId w:val="8"/>
              </w:numPr>
              <w:spacing w:after="0" w:line="240" w:lineRule="auto"/>
              <w:ind w:firstLine="0"/>
              <w:rPr>
                <w:rFonts w:ascii="Garamond" w:hAnsi="Garamond"/>
                <w:sz w:val="12"/>
                <w:szCs w:val="12"/>
              </w:rPr>
            </w:pPr>
            <w:r w:rsidRPr="00CC11D5">
              <w:rPr>
                <w:rFonts w:ascii="Garamond" w:hAnsi="Garamond"/>
                <w:sz w:val="12"/>
                <w:szCs w:val="12"/>
              </w:rPr>
              <w:t xml:space="preserve">Masa 2.3. </w:t>
            </w:r>
            <w:r w:rsidRPr="00CC11D5">
              <w:rPr>
                <w:rFonts w:ascii="Garamond" w:hAnsi="Garamond" w:cs="Times New Roman"/>
                <w:sz w:val="12"/>
                <w:szCs w:val="12"/>
              </w:rPr>
              <w:t>Identifikimi i aktivite</w:t>
            </w:r>
            <w:r w:rsidR="008C0C0F" w:rsidRPr="00CC11D5">
              <w:rPr>
                <w:rFonts w:ascii="Garamond" w:hAnsi="Garamond" w:cs="Times New Roman"/>
                <w:sz w:val="12"/>
                <w:szCs w:val="12"/>
              </w:rPr>
              <w:t>te</w:t>
            </w:r>
            <w:r w:rsidRPr="00CC11D5">
              <w:rPr>
                <w:rFonts w:ascii="Garamond" w:hAnsi="Garamond" w:cs="Times New Roman"/>
                <w:sz w:val="12"/>
                <w:szCs w:val="12"/>
              </w:rPr>
              <w:t>ve digjitale/elektronike në të gjithë sektorët e ekonomisë.</w:t>
            </w:r>
          </w:p>
          <w:p w14:paraId="660B8EF5" w14:textId="77777777" w:rsidR="00FA5537" w:rsidRPr="00CC11D5" w:rsidRDefault="00FA5537" w:rsidP="004347E4">
            <w:pPr>
              <w:pStyle w:val="ListParagraph"/>
              <w:numPr>
                <w:ilvl w:val="0"/>
                <w:numId w:val="8"/>
              </w:numPr>
              <w:autoSpaceDE w:val="0"/>
              <w:autoSpaceDN w:val="0"/>
              <w:adjustRightInd w:val="0"/>
              <w:spacing w:after="0" w:line="240" w:lineRule="auto"/>
              <w:ind w:firstLine="0"/>
              <w:jc w:val="both"/>
              <w:rPr>
                <w:rFonts w:ascii="Garamond" w:hAnsi="Garamond"/>
                <w:sz w:val="12"/>
                <w:szCs w:val="12"/>
              </w:rPr>
            </w:pPr>
            <w:r w:rsidRPr="00CC11D5">
              <w:rPr>
                <w:rFonts w:ascii="Garamond" w:hAnsi="Garamond"/>
                <w:sz w:val="12"/>
                <w:szCs w:val="12"/>
              </w:rPr>
              <w:t xml:space="preserve">Masa 2.4. </w:t>
            </w:r>
            <w:r w:rsidRPr="00CC11D5">
              <w:rPr>
                <w:rFonts w:ascii="Garamond" w:hAnsi="Garamond" w:cs="Times New Roman"/>
                <w:sz w:val="12"/>
                <w:szCs w:val="12"/>
              </w:rPr>
              <w:t>Trajtimi i sektorëve të tjerë të identifikuar me risk nëpërmjet metodave moderne të menaxhimit të riskut për të rritur pajtueshmërinë vullnetare.</w:t>
            </w:r>
          </w:p>
          <w:p w14:paraId="647841E4" w14:textId="1C8F7CE8" w:rsidR="00FA5537" w:rsidRPr="00CC11D5" w:rsidRDefault="00FA5537" w:rsidP="004347E4">
            <w:pPr>
              <w:pStyle w:val="ListParagraph"/>
              <w:numPr>
                <w:ilvl w:val="0"/>
                <w:numId w:val="8"/>
              </w:numPr>
              <w:spacing w:after="0" w:line="240" w:lineRule="auto"/>
              <w:ind w:firstLine="0"/>
              <w:rPr>
                <w:rFonts w:ascii="Garamond" w:hAnsi="Garamond"/>
                <w:sz w:val="12"/>
                <w:szCs w:val="12"/>
              </w:rPr>
            </w:pPr>
            <w:r w:rsidRPr="00CC11D5">
              <w:rPr>
                <w:rFonts w:ascii="Garamond" w:hAnsi="Garamond"/>
                <w:sz w:val="12"/>
                <w:szCs w:val="12"/>
              </w:rPr>
              <w:t>Masa 2.5: Zgjerimi i bazës së tatueshme me rritjen e numrit të tatimpaguesve të përfshirë në përgjegjësinë e</w:t>
            </w:r>
            <w:r w:rsidR="00DE65FB" w:rsidRPr="00CC11D5">
              <w:rPr>
                <w:rFonts w:ascii="Garamond" w:hAnsi="Garamond"/>
                <w:sz w:val="12"/>
                <w:szCs w:val="12"/>
              </w:rPr>
              <w:t xml:space="preserve"> TVSh</w:t>
            </w:r>
            <w:r w:rsidRPr="00CC11D5">
              <w:rPr>
                <w:rFonts w:ascii="Garamond" w:hAnsi="Garamond"/>
                <w:sz w:val="12"/>
                <w:szCs w:val="12"/>
              </w:rPr>
              <w:t>-së.</w:t>
            </w:r>
          </w:p>
          <w:p w14:paraId="7484AF73" w14:textId="77777777" w:rsidR="00FA5537" w:rsidRPr="00CC11D5" w:rsidRDefault="00FA5537" w:rsidP="00FA5537">
            <w:pPr>
              <w:ind w:left="360"/>
              <w:rPr>
                <w:rFonts w:ascii="Garamond" w:hAnsi="Garamond"/>
                <w:sz w:val="12"/>
                <w:szCs w:val="12"/>
              </w:rPr>
            </w:pPr>
          </w:p>
          <w:p w14:paraId="214BD700" w14:textId="77777777" w:rsidR="00FA5537" w:rsidRPr="00CC11D5" w:rsidRDefault="00FA5537" w:rsidP="00FA5537">
            <w:pPr>
              <w:rPr>
                <w:rFonts w:ascii="Garamond" w:eastAsiaTheme="minorHAnsi" w:hAnsi="Garamond"/>
                <w:sz w:val="12"/>
                <w:szCs w:val="12"/>
              </w:rPr>
            </w:pPr>
            <w:r w:rsidRPr="00CC11D5">
              <w:rPr>
                <w:rFonts w:ascii="Garamond" w:hAnsi="Garamond"/>
                <w:b/>
                <w:sz w:val="12"/>
                <w:szCs w:val="12"/>
              </w:rPr>
              <w:t>Komponenti 2.2. Ulja e pagesave me para në dorë në ekonomi</w:t>
            </w:r>
          </w:p>
          <w:p w14:paraId="7583D72A" w14:textId="77777777" w:rsidR="00FA5537" w:rsidRPr="00CC11D5" w:rsidRDefault="00FA5537" w:rsidP="00FA5537">
            <w:pPr>
              <w:tabs>
                <w:tab w:val="left" w:pos="826"/>
              </w:tabs>
              <w:spacing w:before="120" w:after="120"/>
              <w:ind w:right="237"/>
              <w:jc w:val="both"/>
              <w:rPr>
                <w:rFonts w:ascii="Garamond" w:hAnsi="Garamond"/>
                <w:b/>
                <w:sz w:val="12"/>
                <w:szCs w:val="12"/>
              </w:rPr>
            </w:pPr>
            <w:r w:rsidRPr="00CC11D5">
              <w:rPr>
                <w:rFonts w:ascii="Garamond" w:hAnsi="Garamond"/>
                <w:sz w:val="12"/>
                <w:szCs w:val="12"/>
              </w:rPr>
              <w:t>Synohet që çdo vit, deri në vitin në 2027 të ulet përdorimi i pagesave me para në dorë nëpërmjet masave fiskale me qëllim që një pjesë e mirë e tatimpaguesve të pranojnë pagesa me kartë.</w:t>
            </w:r>
          </w:p>
          <w:p w14:paraId="5DE260FD" w14:textId="0EE09392" w:rsidR="00FA5537" w:rsidRPr="00CC11D5" w:rsidRDefault="00FA5537" w:rsidP="00FA5537">
            <w:pPr>
              <w:rPr>
                <w:rFonts w:ascii="Garamond" w:hAnsi="Garamond"/>
                <w:sz w:val="12"/>
                <w:szCs w:val="12"/>
              </w:rPr>
            </w:pPr>
            <w:r w:rsidRPr="00CC11D5">
              <w:rPr>
                <w:rFonts w:ascii="Garamond" w:hAnsi="Garamond"/>
                <w:sz w:val="12"/>
                <w:szCs w:val="12"/>
              </w:rPr>
              <w:t>Masat për vitet</w:t>
            </w:r>
            <w:r w:rsidR="00800B00" w:rsidRPr="00CC11D5">
              <w:rPr>
                <w:rFonts w:ascii="Garamond" w:hAnsi="Garamond"/>
                <w:sz w:val="12"/>
                <w:szCs w:val="12"/>
              </w:rPr>
              <w:t xml:space="preserve"> </w:t>
            </w:r>
            <w:r w:rsidR="00D22EA5" w:rsidRPr="00CC11D5">
              <w:rPr>
                <w:rFonts w:ascii="Garamond" w:hAnsi="Garamond"/>
                <w:sz w:val="12"/>
                <w:szCs w:val="12"/>
              </w:rPr>
              <w:t>2024–2027</w:t>
            </w:r>
            <w:r w:rsidRPr="00CC11D5">
              <w:rPr>
                <w:rFonts w:ascii="Garamond" w:hAnsi="Garamond"/>
                <w:sz w:val="12"/>
                <w:szCs w:val="12"/>
              </w:rPr>
              <w:t>:</w:t>
            </w:r>
          </w:p>
          <w:p w14:paraId="50AFB821" w14:textId="77777777" w:rsidR="00FA5537" w:rsidRPr="00CC11D5" w:rsidRDefault="00FA5537" w:rsidP="004347E4">
            <w:pPr>
              <w:pStyle w:val="ListParagraph"/>
              <w:numPr>
                <w:ilvl w:val="0"/>
                <w:numId w:val="9"/>
              </w:numPr>
              <w:spacing w:after="0" w:line="240" w:lineRule="auto"/>
              <w:ind w:firstLine="0"/>
              <w:rPr>
                <w:rFonts w:ascii="Garamond" w:hAnsi="Garamond"/>
                <w:sz w:val="12"/>
                <w:szCs w:val="12"/>
              </w:rPr>
            </w:pPr>
            <w:r w:rsidRPr="00CC11D5">
              <w:rPr>
                <w:rFonts w:ascii="Garamond" w:hAnsi="Garamond"/>
                <w:sz w:val="12"/>
                <w:szCs w:val="12"/>
              </w:rPr>
              <w:t xml:space="preserve">Masa 2.2.1: Zbatimi i një plani masash nga administrata tatimore për të ulur pagesat me para në dorë në ekonomi. </w:t>
            </w:r>
          </w:p>
          <w:p w14:paraId="72B160E2" w14:textId="3BD7BCE9" w:rsidR="00FA5537" w:rsidRPr="00CC11D5" w:rsidRDefault="00FA5537" w:rsidP="00FA5537">
            <w:pPr>
              <w:pStyle w:val="ListParagraph"/>
              <w:numPr>
                <w:ilvl w:val="0"/>
                <w:numId w:val="9"/>
              </w:numPr>
              <w:spacing w:after="0" w:line="240" w:lineRule="auto"/>
              <w:ind w:firstLine="0"/>
              <w:rPr>
                <w:rFonts w:ascii="Garamond" w:hAnsi="Garamond"/>
                <w:sz w:val="12"/>
                <w:szCs w:val="12"/>
              </w:rPr>
            </w:pPr>
            <w:r w:rsidRPr="00CC11D5">
              <w:rPr>
                <w:rFonts w:ascii="Garamond" w:hAnsi="Garamond"/>
                <w:sz w:val="12"/>
                <w:szCs w:val="12"/>
              </w:rPr>
              <w:t>Masa 2.2.2 : Diskutimi me sektorin bankar për reduktimin e komisioneve bankare për tatimpaguesit që përdorin POS.</w:t>
            </w:r>
          </w:p>
          <w:p w14:paraId="19DEA582" w14:textId="77777777" w:rsidR="00FA5537" w:rsidRPr="00CC11D5" w:rsidRDefault="00FA5537" w:rsidP="00FA5537">
            <w:pPr>
              <w:rPr>
                <w:rFonts w:ascii="Garamond" w:hAnsi="Garamond"/>
                <w:b/>
                <w:sz w:val="12"/>
                <w:szCs w:val="12"/>
              </w:rPr>
            </w:pPr>
            <w:r w:rsidRPr="00CC11D5">
              <w:rPr>
                <w:rFonts w:ascii="Garamond" w:hAnsi="Garamond"/>
                <w:b/>
                <w:sz w:val="12"/>
                <w:szCs w:val="12"/>
              </w:rPr>
              <w:t>Komponenti 2.3 Verifikimi i të ardhurave dhe kontrolli i pasurive të pajustifikuara.</w:t>
            </w:r>
          </w:p>
          <w:p w14:paraId="0D802134" w14:textId="77777777" w:rsidR="00FA5537" w:rsidRPr="00CC11D5" w:rsidRDefault="00FA5537" w:rsidP="00FA5537">
            <w:pPr>
              <w:tabs>
                <w:tab w:val="left" w:pos="826"/>
              </w:tabs>
              <w:spacing w:before="120" w:after="120"/>
              <w:ind w:right="237"/>
              <w:jc w:val="both"/>
              <w:rPr>
                <w:rFonts w:ascii="Garamond" w:hAnsi="Garamond"/>
                <w:sz w:val="12"/>
                <w:szCs w:val="12"/>
              </w:rPr>
            </w:pPr>
            <w:r w:rsidRPr="00CC11D5">
              <w:rPr>
                <w:rFonts w:ascii="Garamond" w:hAnsi="Garamond"/>
                <w:sz w:val="12"/>
                <w:szCs w:val="12"/>
              </w:rPr>
              <w:t>Synimi deri në vitin 2027 është krijimi i sistemeve, regjistrave dhe kapaciteteve për verifikimin e të ardhurave dhe pasurisë së pashpjeguar, sipas kushteve të vëna në Planin e Rritjes dhe auditimi i 200 individëve.</w:t>
            </w:r>
          </w:p>
          <w:p w14:paraId="4FA19B04" w14:textId="5E77052B" w:rsidR="00FA5537" w:rsidRPr="00CC11D5" w:rsidRDefault="00FA5537" w:rsidP="00FA5537">
            <w:pPr>
              <w:rPr>
                <w:rFonts w:ascii="Garamond" w:hAnsi="Garamond"/>
                <w:sz w:val="12"/>
                <w:szCs w:val="12"/>
              </w:rPr>
            </w:pPr>
            <w:r w:rsidRPr="00CC11D5">
              <w:rPr>
                <w:rFonts w:ascii="Garamond" w:hAnsi="Garamond"/>
                <w:sz w:val="12"/>
                <w:szCs w:val="12"/>
              </w:rPr>
              <w:t>Masat për vitet</w:t>
            </w:r>
            <w:r w:rsidR="00800B00" w:rsidRPr="00CC11D5">
              <w:rPr>
                <w:rFonts w:ascii="Garamond" w:hAnsi="Garamond"/>
                <w:sz w:val="12"/>
                <w:szCs w:val="12"/>
              </w:rPr>
              <w:t xml:space="preserve"> </w:t>
            </w:r>
            <w:r w:rsidR="00D22EA5" w:rsidRPr="00CC11D5">
              <w:rPr>
                <w:rFonts w:ascii="Garamond" w:hAnsi="Garamond"/>
                <w:sz w:val="12"/>
                <w:szCs w:val="12"/>
              </w:rPr>
              <w:t>2024–2027</w:t>
            </w:r>
            <w:r w:rsidRPr="00CC11D5">
              <w:rPr>
                <w:rFonts w:ascii="Garamond" w:hAnsi="Garamond"/>
                <w:sz w:val="12"/>
                <w:szCs w:val="12"/>
              </w:rPr>
              <w:t>:</w:t>
            </w:r>
          </w:p>
          <w:p w14:paraId="05C4BE2D" w14:textId="77777777" w:rsidR="00FA5537" w:rsidRPr="00CC11D5" w:rsidRDefault="00FA5537" w:rsidP="004347E4">
            <w:pPr>
              <w:pStyle w:val="ListParagraph"/>
              <w:numPr>
                <w:ilvl w:val="0"/>
                <w:numId w:val="7"/>
              </w:numPr>
              <w:spacing w:after="0" w:line="240" w:lineRule="auto"/>
              <w:ind w:firstLine="0"/>
              <w:rPr>
                <w:rFonts w:ascii="Garamond" w:hAnsi="Garamond"/>
                <w:sz w:val="12"/>
                <w:szCs w:val="12"/>
              </w:rPr>
            </w:pPr>
            <w:r w:rsidRPr="00CC11D5">
              <w:rPr>
                <w:rFonts w:ascii="Garamond" w:hAnsi="Garamond"/>
                <w:sz w:val="12"/>
                <w:szCs w:val="12"/>
              </w:rPr>
              <w:t xml:space="preserve">Masa 2.3.1: Përdorimi i metodave të tërthorta për vlerësimet tatimore. </w:t>
            </w:r>
          </w:p>
          <w:p w14:paraId="67C07007" w14:textId="77777777" w:rsidR="00FA5537" w:rsidRPr="00CC11D5" w:rsidRDefault="00FA5537" w:rsidP="004347E4">
            <w:pPr>
              <w:pStyle w:val="ListParagraph"/>
              <w:numPr>
                <w:ilvl w:val="0"/>
                <w:numId w:val="7"/>
              </w:numPr>
              <w:spacing w:after="0" w:line="240" w:lineRule="auto"/>
              <w:ind w:firstLine="0"/>
              <w:rPr>
                <w:rFonts w:ascii="Garamond" w:hAnsi="Garamond"/>
                <w:sz w:val="12"/>
                <w:szCs w:val="12"/>
              </w:rPr>
            </w:pPr>
            <w:r w:rsidRPr="00CC11D5">
              <w:rPr>
                <w:rFonts w:ascii="Garamond" w:hAnsi="Garamond"/>
                <w:sz w:val="12"/>
                <w:szCs w:val="12"/>
              </w:rPr>
              <w:t xml:space="preserve">Masa 2.3.2: </w:t>
            </w:r>
            <w:r w:rsidRPr="00CC11D5">
              <w:rPr>
                <w:rFonts w:ascii="Garamond" w:eastAsiaTheme="minorHAnsi" w:hAnsi="Garamond" w:cs="Times New Roman"/>
                <w:sz w:val="12"/>
                <w:szCs w:val="12"/>
              </w:rPr>
              <w:t xml:space="preserve">Identifikimi i mosdeklarimit në lidhje me juridiksionet </w:t>
            </w:r>
            <w:r w:rsidRPr="00CC11D5">
              <w:rPr>
                <w:rFonts w:ascii="Garamond" w:eastAsiaTheme="minorHAnsi" w:hAnsi="Garamond" w:cs="Times New Roman"/>
                <w:i/>
                <w:sz w:val="12"/>
                <w:szCs w:val="12"/>
              </w:rPr>
              <w:t>offshore</w:t>
            </w:r>
            <w:r w:rsidRPr="00CC11D5">
              <w:rPr>
                <w:rFonts w:ascii="Garamond" w:eastAsiaTheme="minorHAnsi" w:hAnsi="Garamond" w:cs="Times New Roman"/>
                <w:sz w:val="12"/>
                <w:szCs w:val="12"/>
              </w:rPr>
              <w:t xml:space="preserve"> bazuar në të dhënat e mbledhura nga shkëmbimi automatik i informacionit me juridiksionet homologe sipas kuadrit të Standardit të Raportimit të Përbashkët.</w:t>
            </w:r>
          </w:p>
          <w:p w14:paraId="5C96B8C6" w14:textId="77777777" w:rsidR="00FA5537" w:rsidRPr="00CC11D5" w:rsidRDefault="00FA5537" w:rsidP="004347E4">
            <w:pPr>
              <w:pStyle w:val="ListParagraph"/>
              <w:numPr>
                <w:ilvl w:val="0"/>
                <w:numId w:val="7"/>
              </w:numPr>
              <w:spacing w:after="0" w:line="240" w:lineRule="auto"/>
              <w:ind w:firstLine="0"/>
              <w:rPr>
                <w:rFonts w:ascii="Garamond" w:hAnsi="Garamond"/>
                <w:sz w:val="12"/>
                <w:szCs w:val="12"/>
              </w:rPr>
            </w:pPr>
            <w:r w:rsidRPr="00CC11D5">
              <w:rPr>
                <w:rFonts w:ascii="Garamond" w:hAnsi="Garamond"/>
                <w:sz w:val="12"/>
                <w:szCs w:val="12"/>
              </w:rPr>
              <w:t xml:space="preserve">Masa 2.433: </w:t>
            </w:r>
            <w:r w:rsidRPr="00CC11D5">
              <w:rPr>
                <w:rFonts w:ascii="Garamond" w:eastAsiaTheme="minorHAnsi" w:hAnsi="Garamond" w:cs="Times New Roman"/>
                <w:sz w:val="12"/>
                <w:szCs w:val="12"/>
              </w:rPr>
              <w:t>Ngritja e Regjistrit të Aseteve të tatimpaguesve me synimin e vlerësimit real të pasurive të tatimpaguesve.</w:t>
            </w:r>
          </w:p>
          <w:p w14:paraId="1D3B63EA" w14:textId="77777777" w:rsidR="00FA5537" w:rsidRPr="00CC11D5" w:rsidRDefault="00FA5537" w:rsidP="004347E4">
            <w:pPr>
              <w:pStyle w:val="ListParagraph"/>
              <w:numPr>
                <w:ilvl w:val="0"/>
                <w:numId w:val="7"/>
              </w:numPr>
              <w:spacing w:after="0" w:line="240" w:lineRule="auto"/>
              <w:ind w:firstLine="0"/>
              <w:rPr>
                <w:rFonts w:ascii="Garamond" w:hAnsi="Garamond"/>
                <w:sz w:val="12"/>
                <w:szCs w:val="12"/>
              </w:rPr>
            </w:pPr>
            <w:r w:rsidRPr="00CC11D5">
              <w:rPr>
                <w:rFonts w:ascii="Garamond" w:hAnsi="Garamond"/>
                <w:sz w:val="12"/>
                <w:szCs w:val="12"/>
              </w:rPr>
              <w:t>Masa 2.3.4: Integrimi dhe përdorimi i të dhënave nga palët e treta, në mënyrë që të mundësojë programin e administratës hetime tatimore të pasurisë së pajustifikuar për taksapaguesit.</w:t>
            </w:r>
          </w:p>
          <w:p w14:paraId="0A74D5A3" w14:textId="77777777" w:rsidR="00FA5537" w:rsidRPr="00CC11D5" w:rsidRDefault="00FA5537" w:rsidP="00FA5537">
            <w:pPr>
              <w:ind w:left="360"/>
              <w:rPr>
                <w:rFonts w:ascii="Garamond" w:hAnsi="Garamond"/>
                <w:sz w:val="12"/>
                <w:szCs w:val="12"/>
              </w:rPr>
            </w:pPr>
          </w:p>
          <w:p w14:paraId="5D68A913" w14:textId="6A070D08" w:rsidR="00FA5537" w:rsidRPr="00CC11D5" w:rsidRDefault="00FA5537" w:rsidP="00FA5537">
            <w:pPr>
              <w:rPr>
                <w:rFonts w:ascii="Garamond" w:hAnsi="Garamond"/>
                <w:b/>
                <w:sz w:val="12"/>
                <w:szCs w:val="12"/>
              </w:rPr>
            </w:pPr>
            <w:r w:rsidRPr="00CC11D5">
              <w:rPr>
                <w:rFonts w:ascii="Garamond" w:hAnsi="Garamond"/>
                <w:b/>
                <w:sz w:val="12"/>
                <w:szCs w:val="12"/>
              </w:rPr>
              <w:t>Komponenti 2.4 Zvogëlimi i shmangies tatimore</w:t>
            </w:r>
          </w:p>
          <w:p w14:paraId="77D5DEB5" w14:textId="2B8BCC31" w:rsidR="00FA5537" w:rsidRPr="00CC11D5" w:rsidRDefault="00FA5537" w:rsidP="00FA5537">
            <w:pPr>
              <w:rPr>
                <w:rFonts w:ascii="Garamond" w:hAnsi="Garamond"/>
                <w:sz w:val="12"/>
                <w:szCs w:val="12"/>
              </w:rPr>
            </w:pPr>
            <w:r w:rsidRPr="00CC11D5">
              <w:rPr>
                <w:rFonts w:ascii="Garamond" w:hAnsi="Garamond"/>
                <w:sz w:val="12"/>
                <w:szCs w:val="12"/>
              </w:rPr>
              <w:t>Synimi deri në vitin 2027 është krijimi i instrumentave për investigimin e rasteve të shmangieve tatimore dhe plotësimi i kushteve të vëna në Planin e Rritjes dhe kryerja e 500 hetimeve ndaj tatimpaguesve</w:t>
            </w:r>
          </w:p>
          <w:p w14:paraId="62CDCD26" w14:textId="3B04024D" w:rsidR="00FA5537" w:rsidRPr="00CC11D5" w:rsidRDefault="00FA5537" w:rsidP="00FA5537">
            <w:pPr>
              <w:rPr>
                <w:rFonts w:ascii="Garamond" w:hAnsi="Garamond"/>
                <w:sz w:val="12"/>
                <w:szCs w:val="12"/>
              </w:rPr>
            </w:pPr>
            <w:r w:rsidRPr="00CC11D5">
              <w:rPr>
                <w:rFonts w:ascii="Garamond" w:hAnsi="Garamond"/>
                <w:sz w:val="12"/>
                <w:szCs w:val="12"/>
              </w:rPr>
              <w:t>Masat për</w:t>
            </w:r>
            <w:r w:rsidR="00800B00" w:rsidRPr="00CC11D5">
              <w:rPr>
                <w:rFonts w:ascii="Garamond" w:hAnsi="Garamond"/>
                <w:sz w:val="12"/>
                <w:szCs w:val="12"/>
              </w:rPr>
              <w:t xml:space="preserve"> </w:t>
            </w:r>
            <w:r w:rsidR="00D22EA5" w:rsidRPr="00CC11D5">
              <w:rPr>
                <w:rFonts w:ascii="Garamond" w:hAnsi="Garamond"/>
                <w:sz w:val="12"/>
                <w:szCs w:val="12"/>
              </w:rPr>
              <w:t>2024–2027</w:t>
            </w:r>
            <w:r w:rsidRPr="00CC11D5">
              <w:rPr>
                <w:rFonts w:ascii="Garamond" w:hAnsi="Garamond"/>
                <w:sz w:val="12"/>
                <w:szCs w:val="12"/>
              </w:rPr>
              <w:t xml:space="preserve"> janë:</w:t>
            </w:r>
          </w:p>
          <w:p w14:paraId="0C440D57" w14:textId="742BD1A0" w:rsidR="00FA5537" w:rsidRPr="00CC11D5" w:rsidRDefault="00FA5537" w:rsidP="004347E4">
            <w:pPr>
              <w:pStyle w:val="ListParagraph"/>
              <w:numPr>
                <w:ilvl w:val="0"/>
                <w:numId w:val="10"/>
              </w:numPr>
              <w:spacing w:after="0" w:line="240" w:lineRule="auto"/>
              <w:ind w:firstLine="0"/>
              <w:rPr>
                <w:rFonts w:ascii="Garamond" w:eastAsiaTheme="minorHAnsi" w:hAnsi="Garamond" w:cs="Times New Roman"/>
                <w:sz w:val="12"/>
                <w:szCs w:val="12"/>
              </w:rPr>
            </w:pPr>
            <w:r w:rsidRPr="00CC11D5">
              <w:rPr>
                <w:rFonts w:ascii="Garamond" w:eastAsiaTheme="minorHAnsi" w:hAnsi="Garamond" w:cs="Times New Roman"/>
                <w:sz w:val="12"/>
                <w:szCs w:val="12"/>
              </w:rPr>
              <w:t>Masa 2.4.1: Të sigurohet që rregulli i përgjithshëm antiabuzim të zbatohet në mënyrë efektive dhe të veprojë si frenues për organizimet artificiale tatimore.</w:t>
            </w:r>
          </w:p>
          <w:p w14:paraId="29C0709D" w14:textId="375893C8" w:rsidR="00FA5537" w:rsidRPr="00CC11D5" w:rsidRDefault="00FA5537" w:rsidP="004347E4">
            <w:pPr>
              <w:pStyle w:val="ListParagraph"/>
              <w:numPr>
                <w:ilvl w:val="0"/>
                <w:numId w:val="10"/>
              </w:numPr>
              <w:spacing w:after="0" w:line="240" w:lineRule="auto"/>
              <w:ind w:firstLine="0"/>
              <w:rPr>
                <w:rFonts w:ascii="Garamond" w:eastAsiaTheme="minorHAnsi" w:hAnsi="Garamond" w:cs="Times New Roman"/>
                <w:sz w:val="12"/>
                <w:szCs w:val="12"/>
              </w:rPr>
            </w:pPr>
            <w:r w:rsidRPr="00CC11D5">
              <w:rPr>
                <w:rFonts w:ascii="Garamond" w:hAnsi="Garamond"/>
                <w:sz w:val="12"/>
                <w:szCs w:val="12"/>
              </w:rPr>
              <w:t xml:space="preserve">Masa 2.4.2: </w:t>
            </w:r>
            <w:r w:rsidRPr="00CC11D5">
              <w:rPr>
                <w:rFonts w:ascii="Garamond" w:eastAsiaTheme="minorHAnsi" w:hAnsi="Garamond" w:cs="Times New Roman"/>
                <w:sz w:val="12"/>
                <w:szCs w:val="12"/>
              </w:rPr>
              <w:t>Hartimi i masave antievazion për të luftuar organizimet artificiale më të përhapura si të vet</w:t>
            </w:r>
            <w:r w:rsidR="008C0C0F" w:rsidRPr="00CC11D5">
              <w:rPr>
                <w:rFonts w:ascii="Garamond" w:eastAsiaTheme="minorHAnsi" w:hAnsi="Garamond" w:cs="Times New Roman"/>
                <w:sz w:val="12"/>
                <w:szCs w:val="12"/>
              </w:rPr>
              <w:t>ë</w:t>
            </w:r>
            <w:r w:rsidRPr="00CC11D5">
              <w:rPr>
                <w:rFonts w:ascii="Garamond" w:eastAsiaTheme="minorHAnsi" w:hAnsi="Garamond" w:cs="Times New Roman"/>
                <w:sz w:val="12"/>
                <w:szCs w:val="12"/>
              </w:rPr>
              <w:t xml:space="preserve">punësuarit </w:t>
            </w:r>
            <w:r w:rsidR="00D22EA5" w:rsidRPr="00CC11D5">
              <w:rPr>
                <w:rFonts w:ascii="Garamond" w:eastAsiaTheme="minorHAnsi" w:hAnsi="Garamond" w:cs="Times New Roman"/>
                <w:sz w:val="12"/>
                <w:szCs w:val="12"/>
              </w:rPr>
              <w:t>“</w:t>
            </w:r>
            <w:r w:rsidRPr="00CC11D5">
              <w:rPr>
                <w:rFonts w:ascii="Garamond" w:eastAsiaTheme="minorHAnsi" w:hAnsi="Garamond" w:cs="Times New Roman"/>
                <w:sz w:val="12"/>
                <w:szCs w:val="12"/>
              </w:rPr>
              <w:t>fiktiv</w:t>
            </w:r>
            <w:r w:rsidR="00D22EA5" w:rsidRPr="00CC11D5">
              <w:rPr>
                <w:rFonts w:ascii="Garamond" w:eastAsiaTheme="minorHAnsi" w:hAnsi="Garamond" w:cs="Times New Roman"/>
                <w:sz w:val="12"/>
                <w:szCs w:val="12"/>
              </w:rPr>
              <w:t>”</w:t>
            </w:r>
            <w:r w:rsidRPr="00CC11D5">
              <w:rPr>
                <w:rFonts w:ascii="Garamond" w:eastAsiaTheme="minorHAnsi" w:hAnsi="Garamond" w:cs="Times New Roman"/>
                <w:sz w:val="12"/>
                <w:szCs w:val="12"/>
              </w:rPr>
              <w:t xml:space="preserve"> dhe ndarja artificiale e subjekteve.</w:t>
            </w:r>
          </w:p>
          <w:p w14:paraId="56ACFEBE" w14:textId="77777777" w:rsidR="00FA5537" w:rsidRPr="00CC11D5" w:rsidRDefault="00FA5537" w:rsidP="004347E4">
            <w:pPr>
              <w:pStyle w:val="ListParagraph"/>
              <w:numPr>
                <w:ilvl w:val="0"/>
                <w:numId w:val="10"/>
              </w:numPr>
              <w:spacing w:after="0" w:line="240" w:lineRule="auto"/>
              <w:ind w:firstLine="0"/>
              <w:rPr>
                <w:rFonts w:ascii="Garamond" w:eastAsiaTheme="minorHAnsi" w:hAnsi="Garamond" w:cs="Times New Roman"/>
                <w:sz w:val="12"/>
                <w:szCs w:val="12"/>
              </w:rPr>
            </w:pPr>
            <w:r w:rsidRPr="00CC11D5">
              <w:rPr>
                <w:rFonts w:ascii="Garamond" w:eastAsiaTheme="minorHAnsi" w:hAnsi="Garamond" w:cs="Times New Roman"/>
                <w:sz w:val="12"/>
                <w:szCs w:val="12"/>
              </w:rPr>
              <w:t>Masa 2.4.3 Forcimi i hetimeve kundër mashtrimit fiskal</w:t>
            </w:r>
          </w:p>
          <w:p w14:paraId="45B59258" w14:textId="77777777" w:rsidR="00FA5537" w:rsidRPr="00CC11D5" w:rsidRDefault="00FA5537" w:rsidP="00FA5537">
            <w:pPr>
              <w:tabs>
                <w:tab w:val="left" w:pos="826"/>
              </w:tabs>
              <w:spacing w:before="120" w:after="120"/>
              <w:ind w:right="237"/>
              <w:jc w:val="both"/>
              <w:rPr>
                <w:rFonts w:ascii="Garamond" w:hAnsi="Garamond"/>
                <w:b/>
                <w:sz w:val="12"/>
                <w:szCs w:val="12"/>
              </w:rPr>
            </w:pPr>
            <w:r w:rsidRPr="00CC11D5">
              <w:rPr>
                <w:rFonts w:ascii="Garamond" w:hAnsi="Garamond"/>
                <w:b/>
                <w:sz w:val="12"/>
                <w:szCs w:val="12"/>
              </w:rPr>
              <w:t>Komponenti 2.5.</w:t>
            </w:r>
            <w:r w:rsidRPr="00CC11D5">
              <w:rPr>
                <w:rFonts w:ascii="Garamond" w:hAnsi="Garamond"/>
                <w:b/>
                <w:bCs/>
                <w:sz w:val="12"/>
                <w:szCs w:val="12"/>
              </w:rPr>
              <w:t xml:space="preserve"> </w:t>
            </w:r>
            <w:r w:rsidRPr="00CC11D5">
              <w:rPr>
                <w:rFonts w:ascii="Garamond" w:hAnsi="Garamond"/>
                <w:b/>
                <w:sz w:val="12"/>
                <w:szCs w:val="12"/>
              </w:rPr>
              <w:t>Reduktimi i punës së padeklaruar dhe të nëndeklarimit të pagës reale</w:t>
            </w:r>
          </w:p>
          <w:p w14:paraId="0739BEE9" w14:textId="2D2536F0" w:rsidR="00FA5537" w:rsidRPr="00CC11D5" w:rsidRDefault="00FA5537" w:rsidP="00FA5537">
            <w:pPr>
              <w:rPr>
                <w:rFonts w:ascii="Garamond" w:hAnsi="Garamond"/>
                <w:sz w:val="12"/>
                <w:szCs w:val="12"/>
              </w:rPr>
            </w:pPr>
            <w:r w:rsidRPr="00CC11D5">
              <w:rPr>
                <w:rFonts w:ascii="Garamond" w:hAnsi="Garamond"/>
                <w:sz w:val="12"/>
                <w:szCs w:val="12"/>
              </w:rPr>
              <w:t>Synohet që brenda vitit 2027 të jetë përfshirë në listë pagesë 5.5 % të punësuar të rinj krahasuar me vitin bazë</w:t>
            </w:r>
            <w:r w:rsidR="00D22EA5" w:rsidRPr="00CC11D5">
              <w:rPr>
                <w:rFonts w:ascii="Garamond" w:hAnsi="Garamond"/>
                <w:sz w:val="12"/>
                <w:szCs w:val="12"/>
              </w:rPr>
              <w:t xml:space="preserve"> </w:t>
            </w:r>
            <w:r w:rsidRPr="00CC11D5">
              <w:rPr>
                <w:rFonts w:ascii="Garamond" w:hAnsi="Garamond"/>
                <w:sz w:val="12"/>
                <w:szCs w:val="12"/>
              </w:rPr>
              <w:t>2023, si dhe të rritet deklarimi i pagës reale për 16% të totalit të të punësuarve.</w:t>
            </w:r>
          </w:p>
          <w:p w14:paraId="1B8DD506" w14:textId="07B96571" w:rsidR="00FA5537" w:rsidRPr="00CC11D5" w:rsidRDefault="00FA5537" w:rsidP="00377F8B">
            <w:pPr>
              <w:jc w:val="both"/>
              <w:rPr>
                <w:rFonts w:ascii="Garamond" w:hAnsi="Garamond"/>
                <w:sz w:val="12"/>
                <w:szCs w:val="12"/>
              </w:rPr>
            </w:pPr>
            <w:r w:rsidRPr="00CC11D5">
              <w:rPr>
                <w:rFonts w:ascii="Garamond" w:hAnsi="Garamond"/>
                <w:sz w:val="12"/>
                <w:szCs w:val="12"/>
              </w:rPr>
              <w:t>Masat për vitet</w:t>
            </w:r>
            <w:r w:rsidR="00800B00" w:rsidRPr="00CC11D5">
              <w:rPr>
                <w:rFonts w:ascii="Garamond" w:hAnsi="Garamond"/>
                <w:sz w:val="12"/>
                <w:szCs w:val="12"/>
              </w:rPr>
              <w:t xml:space="preserve"> </w:t>
            </w:r>
            <w:r w:rsidR="00D22EA5" w:rsidRPr="00CC11D5">
              <w:rPr>
                <w:rFonts w:ascii="Garamond" w:hAnsi="Garamond"/>
                <w:sz w:val="12"/>
                <w:szCs w:val="12"/>
              </w:rPr>
              <w:t>2024–2027</w:t>
            </w:r>
            <w:r w:rsidRPr="00CC11D5">
              <w:rPr>
                <w:rFonts w:ascii="Garamond" w:hAnsi="Garamond"/>
                <w:sz w:val="12"/>
                <w:szCs w:val="12"/>
              </w:rPr>
              <w:t>:</w:t>
            </w:r>
            <w:r w:rsidRPr="00CC11D5">
              <w:rPr>
                <w:rFonts w:ascii="Garamond" w:eastAsiaTheme="minorHAnsi" w:hAnsi="Garamond"/>
                <w:sz w:val="12"/>
                <w:szCs w:val="12"/>
              </w:rPr>
              <w:t xml:space="preserve"> </w:t>
            </w:r>
          </w:p>
          <w:p w14:paraId="2B3208BE" w14:textId="77777777" w:rsidR="00FA5537" w:rsidRPr="00CC11D5" w:rsidRDefault="00FA5537" w:rsidP="004347E4">
            <w:pPr>
              <w:pStyle w:val="ListParagraph"/>
              <w:numPr>
                <w:ilvl w:val="0"/>
                <w:numId w:val="7"/>
              </w:numPr>
              <w:spacing w:after="0" w:line="240" w:lineRule="auto"/>
              <w:ind w:firstLine="0"/>
              <w:rPr>
                <w:rFonts w:ascii="Garamond" w:eastAsiaTheme="minorHAnsi" w:hAnsi="Garamond" w:cs="Times New Roman"/>
                <w:sz w:val="12"/>
                <w:szCs w:val="12"/>
              </w:rPr>
            </w:pPr>
            <w:r w:rsidRPr="00CC11D5">
              <w:rPr>
                <w:rFonts w:ascii="Garamond" w:eastAsiaTheme="minorHAnsi" w:hAnsi="Garamond" w:cs="Times New Roman"/>
                <w:sz w:val="12"/>
                <w:szCs w:val="12"/>
              </w:rPr>
              <w:t>Masa 2.5.1: Hartimi i një plani të integruar në drejtim të mosdeklarimit të punonjësve.</w:t>
            </w:r>
          </w:p>
          <w:p w14:paraId="39863864" w14:textId="77777777" w:rsidR="00FA5537" w:rsidRPr="00CC11D5" w:rsidRDefault="00FA5537" w:rsidP="004347E4">
            <w:pPr>
              <w:pStyle w:val="ListParagraph"/>
              <w:numPr>
                <w:ilvl w:val="0"/>
                <w:numId w:val="7"/>
              </w:numPr>
              <w:spacing w:after="0" w:line="240" w:lineRule="auto"/>
              <w:ind w:firstLine="0"/>
              <w:rPr>
                <w:rFonts w:ascii="Garamond" w:eastAsiaTheme="minorHAnsi" w:hAnsi="Garamond" w:cs="Times New Roman"/>
                <w:sz w:val="12"/>
                <w:szCs w:val="12"/>
              </w:rPr>
            </w:pPr>
            <w:r w:rsidRPr="00CC11D5">
              <w:rPr>
                <w:rFonts w:ascii="Garamond" w:eastAsiaTheme="minorHAnsi" w:hAnsi="Garamond" w:cs="Times New Roman"/>
                <w:sz w:val="12"/>
                <w:szCs w:val="12"/>
              </w:rPr>
              <w:t>Masa 2.5.2: Përmirësimi i bashkëpunimit ndërinstitucional për koordinimin e veprimeve në kuadër të identifikimit të punës së padeklaruar ose nëndeklaruar, mbështetur në një strategji të qartë.</w:t>
            </w:r>
          </w:p>
          <w:p w14:paraId="6D2E2639" w14:textId="77777777" w:rsidR="00FA5537" w:rsidRPr="00CC11D5" w:rsidRDefault="00FA5537" w:rsidP="004347E4">
            <w:pPr>
              <w:pStyle w:val="ListParagraph"/>
              <w:numPr>
                <w:ilvl w:val="0"/>
                <w:numId w:val="7"/>
              </w:numPr>
              <w:spacing w:after="0" w:line="240" w:lineRule="auto"/>
              <w:ind w:firstLine="0"/>
              <w:rPr>
                <w:rFonts w:ascii="Garamond" w:eastAsiaTheme="minorHAnsi" w:hAnsi="Garamond" w:cs="Times New Roman"/>
                <w:sz w:val="12"/>
                <w:szCs w:val="12"/>
              </w:rPr>
            </w:pPr>
            <w:r w:rsidRPr="00CC11D5">
              <w:rPr>
                <w:rFonts w:ascii="Garamond" w:eastAsiaTheme="minorHAnsi" w:hAnsi="Garamond" w:cs="Times New Roman"/>
                <w:sz w:val="12"/>
                <w:szCs w:val="12"/>
              </w:rPr>
              <w:t>Masa 2.5.3: Analizimi i kategorive të personave të cilët kanë detyrimin të plotësojnë deklaratën individuale vjetore të të ardhurave.</w:t>
            </w:r>
          </w:p>
          <w:p w14:paraId="1E7D4701" w14:textId="77777777" w:rsidR="00FA5537" w:rsidRPr="00CC11D5" w:rsidRDefault="00FA5537" w:rsidP="004347E4">
            <w:pPr>
              <w:pStyle w:val="ListParagraph"/>
              <w:numPr>
                <w:ilvl w:val="0"/>
                <w:numId w:val="7"/>
              </w:numPr>
              <w:spacing w:after="0" w:line="240" w:lineRule="auto"/>
              <w:ind w:firstLine="0"/>
              <w:rPr>
                <w:rFonts w:ascii="Garamond" w:eastAsiaTheme="minorHAnsi" w:hAnsi="Garamond" w:cs="Times New Roman"/>
                <w:sz w:val="12"/>
                <w:szCs w:val="12"/>
              </w:rPr>
            </w:pPr>
            <w:r w:rsidRPr="00CC11D5">
              <w:rPr>
                <w:rFonts w:ascii="Garamond" w:eastAsiaTheme="minorHAnsi" w:hAnsi="Garamond" w:cs="Times New Roman"/>
                <w:sz w:val="12"/>
                <w:szCs w:val="12"/>
              </w:rPr>
              <w:t>Masa 2.5.4: Përmirësimi i analizave dhe shkëmbimit të të dhënave me palë të treta për të evidentuar punonjësit e paregjistruar dhe nëndeklarimin e pagës reale.</w:t>
            </w:r>
          </w:p>
          <w:p w14:paraId="4719B33A" w14:textId="77777777" w:rsidR="00FA5537" w:rsidRPr="00CC11D5" w:rsidRDefault="00FA5537" w:rsidP="004347E4">
            <w:pPr>
              <w:pStyle w:val="ListParagraph"/>
              <w:numPr>
                <w:ilvl w:val="0"/>
                <w:numId w:val="7"/>
              </w:numPr>
              <w:spacing w:after="0" w:line="240" w:lineRule="auto"/>
              <w:ind w:firstLine="0"/>
              <w:rPr>
                <w:rFonts w:ascii="Garamond" w:eastAsiaTheme="minorHAnsi" w:hAnsi="Garamond" w:cs="Times New Roman"/>
                <w:sz w:val="12"/>
                <w:szCs w:val="12"/>
              </w:rPr>
            </w:pPr>
            <w:r w:rsidRPr="00CC11D5">
              <w:rPr>
                <w:rFonts w:ascii="Garamond" w:eastAsiaTheme="minorHAnsi" w:hAnsi="Garamond" w:cs="Times New Roman"/>
                <w:sz w:val="12"/>
                <w:szCs w:val="12"/>
              </w:rPr>
              <w:t xml:space="preserve">Masa 2.5.5: Fushata të ndërgjegjësimit publik lidhur me përfitimet e pagesës së kontributeve. </w:t>
            </w:r>
          </w:p>
          <w:p w14:paraId="3FFD84F2" w14:textId="7031D5E4" w:rsidR="00FA5537" w:rsidRPr="00CC11D5" w:rsidRDefault="00FA5537" w:rsidP="004347E4">
            <w:pPr>
              <w:pStyle w:val="ListParagraph"/>
              <w:numPr>
                <w:ilvl w:val="0"/>
                <w:numId w:val="7"/>
              </w:numPr>
              <w:spacing w:after="0" w:line="240" w:lineRule="auto"/>
              <w:ind w:firstLine="0"/>
              <w:rPr>
                <w:rFonts w:ascii="Garamond" w:eastAsiaTheme="minorHAnsi" w:hAnsi="Garamond" w:cs="Times New Roman"/>
                <w:sz w:val="12"/>
                <w:szCs w:val="12"/>
              </w:rPr>
            </w:pPr>
            <w:r w:rsidRPr="00CC11D5">
              <w:rPr>
                <w:rFonts w:ascii="Garamond" w:hAnsi="Garamond"/>
                <w:sz w:val="12"/>
                <w:szCs w:val="12"/>
              </w:rPr>
              <w:t>Masa 2.5.6: Zhvillimi i partneriteteve me përfaqësuesit e biznesit dhe të komunitetit për identifikimin e</w:t>
            </w:r>
            <w:r w:rsidR="00D22EA5" w:rsidRPr="00CC11D5">
              <w:rPr>
                <w:rFonts w:ascii="Garamond" w:hAnsi="Garamond"/>
                <w:sz w:val="12"/>
                <w:szCs w:val="12"/>
              </w:rPr>
              <w:t xml:space="preserve"> </w:t>
            </w:r>
            <w:r w:rsidRPr="00CC11D5">
              <w:rPr>
                <w:rFonts w:ascii="Garamond" w:hAnsi="Garamond"/>
                <w:sz w:val="12"/>
                <w:szCs w:val="12"/>
              </w:rPr>
              <w:t>informalitetin në punësim.</w:t>
            </w:r>
          </w:p>
          <w:p w14:paraId="7BE21FB0" w14:textId="32A1763F" w:rsidR="00FA5537" w:rsidRPr="00CC11D5" w:rsidRDefault="00FA5537" w:rsidP="00FA5537">
            <w:pPr>
              <w:tabs>
                <w:tab w:val="left" w:pos="826"/>
              </w:tabs>
              <w:spacing w:before="120" w:after="120"/>
              <w:ind w:right="237"/>
              <w:jc w:val="both"/>
              <w:rPr>
                <w:rFonts w:ascii="Garamond" w:hAnsi="Garamond"/>
                <w:sz w:val="12"/>
                <w:szCs w:val="12"/>
              </w:rPr>
            </w:pPr>
            <w:r w:rsidRPr="00CC11D5">
              <w:rPr>
                <w:rFonts w:ascii="Garamond" w:hAnsi="Garamond"/>
                <w:b/>
                <w:sz w:val="12"/>
                <w:szCs w:val="12"/>
              </w:rPr>
              <w:t>Komponenti 2.6 Reduktimi i kostove të pajtueshmërisë, rritja e sigurisë tatimore dhe e besimit te</w:t>
            </w:r>
            <w:r w:rsidR="008C0C0F" w:rsidRPr="00CC11D5">
              <w:rPr>
                <w:rFonts w:ascii="Garamond" w:hAnsi="Garamond"/>
                <w:b/>
                <w:sz w:val="12"/>
                <w:szCs w:val="12"/>
              </w:rPr>
              <w:t>k</w:t>
            </w:r>
            <w:r w:rsidRPr="00CC11D5">
              <w:rPr>
                <w:rFonts w:ascii="Garamond" w:hAnsi="Garamond"/>
                <w:b/>
                <w:sz w:val="12"/>
                <w:szCs w:val="12"/>
              </w:rPr>
              <w:t xml:space="preserve"> administrata tatimore</w:t>
            </w:r>
            <w:r w:rsidRPr="00CC11D5">
              <w:rPr>
                <w:rFonts w:ascii="Garamond" w:hAnsi="Garamond"/>
                <w:sz w:val="12"/>
                <w:szCs w:val="12"/>
              </w:rPr>
              <w:t xml:space="preserve"> </w:t>
            </w:r>
          </w:p>
          <w:p w14:paraId="2CE692BB" w14:textId="77777777" w:rsidR="00FA5537" w:rsidRPr="00CC11D5" w:rsidRDefault="00FA5537" w:rsidP="00FA5537">
            <w:pPr>
              <w:rPr>
                <w:rFonts w:ascii="Garamond" w:hAnsi="Garamond"/>
                <w:sz w:val="12"/>
                <w:szCs w:val="12"/>
              </w:rPr>
            </w:pPr>
            <w:r w:rsidRPr="00CC11D5">
              <w:rPr>
                <w:rFonts w:ascii="Garamond" w:hAnsi="Garamond"/>
                <w:sz w:val="12"/>
                <w:szCs w:val="12"/>
              </w:rPr>
              <w:t>Synimi deri në vitin 2027 është rritja graduale e pajtueshmërisë vullnetare të tatimpaguesve dhe besimit tek administrata tatimore dhe plotësimi ikushteve të vëna në Planin e Rritjes.</w:t>
            </w:r>
          </w:p>
          <w:p w14:paraId="2497EA13" w14:textId="007D8142" w:rsidR="00FA5537" w:rsidRPr="00CC11D5" w:rsidRDefault="00FA5537" w:rsidP="00FA5537">
            <w:pPr>
              <w:tabs>
                <w:tab w:val="left" w:pos="826"/>
              </w:tabs>
              <w:spacing w:before="120" w:after="120"/>
              <w:ind w:right="237"/>
              <w:jc w:val="both"/>
              <w:rPr>
                <w:rFonts w:ascii="Garamond" w:hAnsi="Garamond"/>
                <w:sz w:val="12"/>
                <w:szCs w:val="12"/>
              </w:rPr>
            </w:pPr>
            <w:r w:rsidRPr="00CC11D5">
              <w:rPr>
                <w:rFonts w:ascii="Garamond" w:hAnsi="Garamond"/>
                <w:sz w:val="12"/>
                <w:szCs w:val="12"/>
              </w:rPr>
              <w:t>Masat për</w:t>
            </w:r>
            <w:r w:rsidR="00800B00" w:rsidRPr="00CC11D5">
              <w:rPr>
                <w:rFonts w:ascii="Garamond" w:hAnsi="Garamond"/>
                <w:sz w:val="12"/>
                <w:szCs w:val="12"/>
              </w:rPr>
              <w:t xml:space="preserve"> </w:t>
            </w:r>
            <w:r w:rsidR="00D22EA5" w:rsidRPr="00CC11D5">
              <w:rPr>
                <w:rFonts w:ascii="Garamond" w:hAnsi="Garamond"/>
                <w:sz w:val="12"/>
                <w:szCs w:val="12"/>
              </w:rPr>
              <w:t>2024–2027</w:t>
            </w:r>
            <w:r w:rsidRPr="00CC11D5">
              <w:rPr>
                <w:rFonts w:ascii="Garamond" w:hAnsi="Garamond"/>
                <w:sz w:val="12"/>
                <w:szCs w:val="12"/>
              </w:rPr>
              <w:t xml:space="preserve"> janë:</w:t>
            </w:r>
          </w:p>
          <w:p w14:paraId="72FBA215" w14:textId="45505EF8" w:rsidR="00FA5537" w:rsidRPr="00CC11D5" w:rsidRDefault="00FA5537" w:rsidP="004347E4">
            <w:pPr>
              <w:pStyle w:val="ListParagraph"/>
              <w:numPr>
                <w:ilvl w:val="0"/>
                <w:numId w:val="11"/>
              </w:numPr>
              <w:spacing w:after="0" w:line="240" w:lineRule="auto"/>
              <w:ind w:firstLine="0"/>
              <w:rPr>
                <w:rFonts w:ascii="Garamond" w:hAnsi="Garamond"/>
                <w:sz w:val="12"/>
                <w:szCs w:val="12"/>
              </w:rPr>
            </w:pPr>
            <w:r w:rsidRPr="00CC11D5">
              <w:rPr>
                <w:rFonts w:ascii="Garamond" w:hAnsi="Garamond"/>
                <w:sz w:val="12"/>
                <w:szCs w:val="12"/>
              </w:rPr>
              <w:t>Masa 2.6.1</w:t>
            </w:r>
            <w:r w:rsidR="00D22EA5" w:rsidRPr="00CC11D5">
              <w:rPr>
                <w:rFonts w:ascii="Garamond" w:hAnsi="Garamond"/>
                <w:sz w:val="12"/>
                <w:szCs w:val="12"/>
              </w:rPr>
              <w:t xml:space="preserve"> </w:t>
            </w:r>
            <w:r w:rsidRPr="00CC11D5">
              <w:rPr>
                <w:rFonts w:ascii="Garamond" w:hAnsi="Garamond"/>
                <w:sz w:val="12"/>
                <w:szCs w:val="12"/>
              </w:rPr>
              <w:t>Hartimi i një strategjie për shërbimin e tatimpaguesve.</w:t>
            </w:r>
          </w:p>
          <w:p w14:paraId="3A85EEE6" w14:textId="670FB218" w:rsidR="00FA5537" w:rsidRPr="00CC11D5" w:rsidRDefault="00FA5537" w:rsidP="004347E4">
            <w:pPr>
              <w:pStyle w:val="ListParagraph"/>
              <w:numPr>
                <w:ilvl w:val="0"/>
                <w:numId w:val="11"/>
              </w:numPr>
              <w:spacing w:after="0" w:line="240" w:lineRule="auto"/>
              <w:ind w:firstLine="0"/>
              <w:jc w:val="both"/>
              <w:rPr>
                <w:rFonts w:ascii="Garamond" w:hAnsi="Garamond"/>
                <w:sz w:val="12"/>
                <w:szCs w:val="12"/>
              </w:rPr>
            </w:pPr>
            <w:r w:rsidRPr="00CC11D5">
              <w:rPr>
                <w:rFonts w:ascii="Garamond" w:hAnsi="Garamond"/>
                <w:sz w:val="12"/>
                <w:szCs w:val="12"/>
              </w:rPr>
              <w:t>Masa 2.6.2. Ulja e kohës mesatare të rimbursimit të</w:t>
            </w:r>
            <w:r w:rsidR="00DE65FB" w:rsidRPr="00CC11D5">
              <w:rPr>
                <w:rFonts w:ascii="Garamond" w:hAnsi="Garamond"/>
                <w:sz w:val="12"/>
                <w:szCs w:val="12"/>
              </w:rPr>
              <w:t xml:space="preserve"> TVSh</w:t>
            </w:r>
            <w:r w:rsidRPr="00CC11D5">
              <w:rPr>
                <w:rFonts w:ascii="Garamond" w:hAnsi="Garamond"/>
                <w:sz w:val="12"/>
                <w:szCs w:val="12"/>
              </w:rPr>
              <w:t>-së.</w:t>
            </w:r>
          </w:p>
          <w:p w14:paraId="3F2ABD5B" w14:textId="77777777" w:rsidR="00FA5537" w:rsidRPr="00CC11D5" w:rsidRDefault="00FA5537" w:rsidP="004347E4">
            <w:pPr>
              <w:pStyle w:val="ListParagraph"/>
              <w:numPr>
                <w:ilvl w:val="0"/>
                <w:numId w:val="11"/>
              </w:numPr>
              <w:spacing w:after="0" w:line="240" w:lineRule="auto"/>
              <w:ind w:firstLine="0"/>
              <w:jc w:val="both"/>
              <w:rPr>
                <w:rFonts w:ascii="Garamond" w:hAnsi="Garamond"/>
                <w:sz w:val="12"/>
                <w:szCs w:val="12"/>
              </w:rPr>
            </w:pPr>
            <w:r w:rsidRPr="00CC11D5">
              <w:rPr>
                <w:rFonts w:ascii="Garamond" w:hAnsi="Garamond"/>
                <w:sz w:val="12"/>
                <w:szCs w:val="12"/>
              </w:rPr>
              <w:t>Masa 2.6.3. Digjitalizimi i proceseve të punës.</w:t>
            </w:r>
          </w:p>
          <w:p w14:paraId="65AF10B1" w14:textId="70BA9178" w:rsidR="00FA5537" w:rsidRPr="00CC11D5" w:rsidRDefault="00FA5537" w:rsidP="004347E4">
            <w:pPr>
              <w:pStyle w:val="ListParagraph"/>
              <w:numPr>
                <w:ilvl w:val="0"/>
                <w:numId w:val="11"/>
              </w:numPr>
              <w:spacing w:after="0" w:line="240" w:lineRule="auto"/>
              <w:ind w:firstLine="0"/>
              <w:rPr>
                <w:rFonts w:ascii="Garamond" w:hAnsi="Garamond"/>
                <w:sz w:val="12"/>
                <w:szCs w:val="12"/>
              </w:rPr>
            </w:pPr>
            <w:r w:rsidRPr="00CC11D5">
              <w:rPr>
                <w:rFonts w:ascii="Garamond" w:hAnsi="Garamond"/>
                <w:sz w:val="12"/>
                <w:szCs w:val="12"/>
              </w:rPr>
              <w:t xml:space="preserve">Masa 2.6.4 </w:t>
            </w:r>
            <w:r w:rsidRPr="00CC11D5">
              <w:rPr>
                <w:rFonts w:ascii="Garamond" w:hAnsi="Garamond" w:cs="Times New Roman"/>
                <w:sz w:val="12"/>
                <w:szCs w:val="12"/>
              </w:rPr>
              <w:t>Ngritja e një kuadri më të strukturuar për sigurimin e pac</w:t>
            </w:r>
            <w:r w:rsidR="00D22EA5" w:rsidRPr="00CC11D5">
              <w:rPr>
                <w:rFonts w:ascii="Garamond" w:hAnsi="Garamond" w:cs="Times New Roman"/>
                <w:sz w:val="12"/>
                <w:szCs w:val="12"/>
              </w:rPr>
              <w:t>e</w:t>
            </w:r>
            <w:r w:rsidRPr="00CC11D5">
              <w:rPr>
                <w:rFonts w:ascii="Garamond" w:hAnsi="Garamond" w:cs="Times New Roman"/>
                <w:sz w:val="12"/>
                <w:szCs w:val="12"/>
              </w:rPr>
              <w:t>nueshmërisë së vlerave (integritetit).</w:t>
            </w:r>
          </w:p>
          <w:p w14:paraId="58170D67" w14:textId="52B3CC5C" w:rsidR="00FA5537" w:rsidRPr="00CC11D5" w:rsidRDefault="00FA5537" w:rsidP="00FA5537">
            <w:pPr>
              <w:pStyle w:val="ListParagraph"/>
              <w:numPr>
                <w:ilvl w:val="0"/>
                <w:numId w:val="11"/>
              </w:numPr>
              <w:spacing w:after="0" w:line="240" w:lineRule="auto"/>
              <w:ind w:firstLine="0"/>
              <w:rPr>
                <w:rFonts w:ascii="Garamond" w:hAnsi="Garamond"/>
                <w:sz w:val="12"/>
                <w:szCs w:val="12"/>
              </w:rPr>
            </w:pPr>
            <w:r w:rsidRPr="00CC11D5">
              <w:rPr>
                <w:rFonts w:ascii="Garamond" w:hAnsi="Garamond"/>
                <w:sz w:val="12"/>
                <w:szCs w:val="12"/>
              </w:rPr>
              <w:t xml:space="preserve">Masa 2.6.5 </w:t>
            </w:r>
            <w:r w:rsidRPr="00CC11D5">
              <w:rPr>
                <w:rFonts w:ascii="Garamond" w:hAnsi="Garamond" w:cs="Times New Roman"/>
                <w:sz w:val="12"/>
                <w:szCs w:val="12"/>
              </w:rPr>
              <w:t>Procese dhe shërbime tatimore të konsultuara me përdoruesit e shërbimeve të DPT.</w:t>
            </w:r>
          </w:p>
          <w:p w14:paraId="0883B40D" w14:textId="56B3D331" w:rsidR="00FA5537" w:rsidRPr="00CC11D5" w:rsidRDefault="00FA5537" w:rsidP="00FA5537">
            <w:pPr>
              <w:rPr>
                <w:rFonts w:ascii="Garamond" w:hAnsi="Garamond"/>
                <w:b/>
                <w:sz w:val="12"/>
                <w:szCs w:val="12"/>
              </w:rPr>
            </w:pPr>
            <w:r w:rsidRPr="00CC11D5">
              <w:rPr>
                <w:rFonts w:ascii="Garamond" w:hAnsi="Garamond"/>
                <w:b/>
                <w:sz w:val="12"/>
                <w:szCs w:val="12"/>
              </w:rPr>
              <w:t xml:space="preserve">Komponenti 2.7 Përmirësimi i cilësisë së shërbimit të ofruar nga Administrata Tatimore (AT) nëpërmjet zhvillimit të kapaciteteve institucionale </w:t>
            </w:r>
          </w:p>
          <w:p w14:paraId="3F9EFC69" w14:textId="77777777" w:rsidR="00FA5537" w:rsidRPr="00CC11D5" w:rsidRDefault="00FA5537" w:rsidP="00FA5537">
            <w:pPr>
              <w:rPr>
                <w:rFonts w:ascii="Garamond" w:hAnsi="Garamond"/>
                <w:sz w:val="12"/>
                <w:szCs w:val="12"/>
              </w:rPr>
            </w:pPr>
            <w:r w:rsidRPr="00CC11D5">
              <w:rPr>
                <w:rFonts w:ascii="Garamond" w:hAnsi="Garamond"/>
                <w:sz w:val="12"/>
                <w:szCs w:val="12"/>
              </w:rPr>
              <w:t>Synimi deri në vitin 2027 është rritja e efektivitetit të administratës tatimore, si dhe rritja e cilësisë së shërbimeve të ofruara.</w:t>
            </w:r>
          </w:p>
          <w:p w14:paraId="51462FFF" w14:textId="144571AF" w:rsidR="00FA5537" w:rsidRPr="00CC11D5" w:rsidRDefault="00FA5537" w:rsidP="00FA5537">
            <w:pPr>
              <w:tabs>
                <w:tab w:val="left" w:pos="826"/>
              </w:tabs>
              <w:spacing w:before="120" w:after="120"/>
              <w:ind w:right="237"/>
              <w:jc w:val="both"/>
              <w:rPr>
                <w:rFonts w:ascii="Garamond" w:hAnsi="Garamond"/>
                <w:sz w:val="12"/>
                <w:szCs w:val="12"/>
              </w:rPr>
            </w:pPr>
            <w:r w:rsidRPr="00CC11D5">
              <w:rPr>
                <w:rFonts w:ascii="Garamond" w:hAnsi="Garamond"/>
                <w:sz w:val="12"/>
                <w:szCs w:val="12"/>
              </w:rPr>
              <w:t>Masat për</w:t>
            </w:r>
            <w:r w:rsidR="00800B00" w:rsidRPr="00CC11D5">
              <w:rPr>
                <w:rFonts w:ascii="Garamond" w:hAnsi="Garamond"/>
                <w:sz w:val="12"/>
                <w:szCs w:val="12"/>
              </w:rPr>
              <w:t xml:space="preserve"> </w:t>
            </w:r>
            <w:r w:rsidR="00D22EA5" w:rsidRPr="00CC11D5">
              <w:rPr>
                <w:rFonts w:ascii="Garamond" w:hAnsi="Garamond"/>
                <w:sz w:val="12"/>
                <w:szCs w:val="12"/>
              </w:rPr>
              <w:t>2024–2027</w:t>
            </w:r>
            <w:r w:rsidRPr="00CC11D5">
              <w:rPr>
                <w:rFonts w:ascii="Garamond" w:hAnsi="Garamond"/>
                <w:sz w:val="12"/>
                <w:szCs w:val="12"/>
              </w:rPr>
              <w:t xml:space="preserve"> janë:</w:t>
            </w:r>
          </w:p>
          <w:p w14:paraId="0CAC1A0A" w14:textId="77777777" w:rsidR="00FA5537" w:rsidRPr="00CC11D5" w:rsidRDefault="00FA5537" w:rsidP="004347E4">
            <w:pPr>
              <w:pStyle w:val="ListParagraph"/>
              <w:numPr>
                <w:ilvl w:val="0"/>
                <w:numId w:val="11"/>
              </w:numPr>
              <w:spacing w:after="0" w:line="240" w:lineRule="auto"/>
              <w:ind w:firstLine="0"/>
              <w:rPr>
                <w:rFonts w:ascii="Garamond" w:hAnsi="Garamond"/>
                <w:sz w:val="12"/>
                <w:szCs w:val="12"/>
              </w:rPr>
            </w:pPr>
            <w:r w:rsidRPr="00CC11D5">
              <w:rPr>
                <w:rFonts w:ascii="Garamond" w:hAnsi="Garamond"/>
                <w:sz w:val="12"/>
                <w:szCs w:val="12"/>
              </w:rPr>
              <w:t xml:space="preserve">Masa 2.7.1 Fuqizimi i Qendrës së Thirrjeve, si pjesë përbërëse e Strategjisë së Shërbimit për Tatimpaguesit. </w:t>
            </w:r>
          </w:p>
          <w:p w14:paraId="416FA14A" w14:textId="77777777" w:rsidR="00FA5537" w:rsidRPr="00CC11D5" w:rsidRDefault="00FA5537" w:rsidP="004347E4">
            <w:pPr>
              <w:pStyle w:val="ListParagraph"/>
              <w:numPr>
                <w:ilvl w:val="0"/>
                <w:numId w:val="11"/>
              </w:numPr>
              <w:spacing w:after="0" w:line="240" w:lineRule="auto"/>
              <w:ind w:firstLine="0"/>
              <w:rPr>
                <w:rFonts w:ascii="Garamond" w:hAnsi="Garamond"/>
                <w:sz w:val="12"/>
                <w:szCs w:val="12"/>
              </w:rPr>
            </w:pPr>
            <w:r w:rsidRPr="00CC11D5">
              <w:rPr>
                <w:rFonts w:ascii="Garamond" w:hAnsi="Garamond"/>
                <w:sz w:val="12"/>
                <w:szCs w:val="12"/>
              </w:rPr>
              <w:t>Masa 2.7.2 Ngritja e kapaciteteve analitike në përpunimin dhe analizimin e të dhënave që sigurohen nga Fiskalizimi.</w:t>
            </w:r>
          </w:p>
          <w:p w14:paraId="728B5B70" w14:textId="77777777" w:rsidR="00FA5537" w:rsidRPr="00CC11D5" w:rsidRDefault="00FA5537" w:rsidP="004347E4">
            <w:pPr>
              <w:pStyle w:val="ListParagraph"/>
              <w:numPr>
                <w:ilvl w:val="0"/>
                <w:numId w:val="11"/>
              </w:numPr>
              <w:spacing w:after="0" w:line="240" w:lineRule="auto"/>
              <w:ind w:firstLine="0"/>
              <w:rPr>
                <w:rFonts w:ascii="Garamond" w:hAnsi="Garamond"/>
                <w:sz w:val="12"/>
                <w:szCs w:val="12"/>
              </w:rPr>
            </w:pPr>
            <w:r w:rsidRPr="00CC11D5">
              <w:rPr>
                <w:rFonts w:ascii="Garamond" w:hAnsi="Garamond"/>
                <w:sz w:val="12"/>
                <w:szCs w:val="12"/>
              </w:rPr>
              <w:t xml:space="preserve">Masa 2.7.3. Shtrirja e analizave të riskut në çdo funksion të administratës tatimore. </w:t>
            </w:r>
          </w:p>
          <w:p w14:paraId="673FC36F" w14:textId="77777777" w:rsidR="00FA5537" w:rsidRPr="00CC11D5" w:rsidRDefault="00FA5537" w:rsidP="004347E4">
            <w:pPr>
              <w:pStyle w:val="ListParagraph"/>
              <w:numPr>
                <w:ilvl w:val="0"/>
                <w:numId w:val="11"/>
              </w:numPr>
              <w:spacing w:after="0" w:line="240" w:lineRule="auto"/>
              <w:ind w:firstLine="0"/>
              <w:rPr>
                <w:rFonts w:ascii="Garamond" w:hAnsi="Garamond"/>
                <w:sz w:val="12"/>
                <w:szCs w:val="12"/>
              </w:rPr>
            </w:pPr>
            <w:r w:rsidRPr="00CC11D5">
              <w:rPr>
                <w:rFonts w:ascii="Garamond" w:hAnsi="Garamond"/>
                <w:sz w:val="12"/>
                <w:szCs w:val="12"/>
              </w:rPr>
              <w:t xml:space="preserve">Masa 2.7.4. Trajnim i stafit të Njësisë së Tatimpaguesve të Mëdhenj me qëllim rritjen e kapaciteteve për analizën dhe kontrollin e sektorëve specifikë të ekonomisë. </w:t>
            </w:r>
          </w:p>
          <w:p w14:paraId="14395AF5" w14:textId="77777777" w:rsidR="00FA5537" w:rsidRPr="00CC11D5" w:rsidRDefault="00FA5537" w:rsidP="004347E4">
            <w:pPr>
              <w:pStyle w:val="ListParagraph"/>
              <w:numPr>
                <w:ilvl w:val="0"/>
                <w:numId w:val="11"/>
              </w:numPr>
              <w:spacing w:after="0" w:line="240" w:lineRule="auto"/>
              <w:ind w:firstLine="0"/>
              <w:rPr>
                <w:rFonts w:ascii="Garamond" w:hAnsi="Garamond"/>
                <w:sz w:val="12"/>
                <w:szCs w:val="12"/>
              </w:rPr>
            </w:pPr>
            <w:r w:rsidRPr="00CC11D5">
              <w:rPr>
                <w:rFonts w:ascii="Garamond" w:hAnsi="Garamond"/>
                <w:sz w:val="12"/>
                <w:szCs w:val="12"/>
              </w:rPr>
              <w:t>Masa 2.7.5. Bashkëpunimi me universitetet me qëllim rritjen e kapaciteteve në kuptueshmërinë e sjelljes së tatimpaguesve dhe aftësive të stafit të administratës tatimore me risitë e reja në fushën ekonomike.</w:t>
            </w:r>
          </w:p>
          <w:p w14:paraId="7763367A" w14:textId="77777777" w:rsidR="00FA5537" w:rsidRPr="00CC11D5" w:rsidRDefault="00FA5537" w:rsidP="00FA5537">
            <w:pPr>
              <w:rPr>
                <w:rFonts w:ascii="Garamond" w:eastAsiaTheme="minorHAnsi" w:hAnsi="Garamond"/>
                <w:sz w:val="12"/>
                <w:szCs w:val="12"/>
              </w:rPr>
            </w:pPr>
          </w:p>
        </w:tc>
      </w:tr>
    </w:tbl>
    <w:p w14:paraId="5EE34095" w14:textId="77777777" w:rsidR="00FA5537" w:rsidRPr="00830F4C" w:rsidRDefault="00FA5537" w:rsidP="00FA5537">
      <w:pPr>
        <w:autoSpaceDE w:val="0"/>
        <w:autoSpaceDN w:val="0"/>
        <w:jc w:val="both"/>
        <w:rPr>
          <w:rFonts w:ascii="Garamond" w:hAnsi="Garamond"/>
        </w:rPr>
      </w:pPr>
    </w:p>
    <w:p w14:paraId="7494AFAB" w14:textId="77777777" w:rsidR="00E32A1E" w:rsidRDefault="00E32A1E" w:rsidP="00FA5537">
      <w:pPr>
        <w:ind w:firstLine="284"/>
        <w:jc w:val="both"/>
        <w:rPr>
          <w:rFonts w:ascii="Garamond" w:hAnsi="Garamond"/>
        </w:rPr>
      </w:pPr>
    </w:p>
    <w:p w14:paraId="07242730" w14:textId="77777777" w:rsidR="00E32A1E" w:rsidRDefault="00E32A1E" w:rsidP="00FA5537">
      <w:pPr>
        <w:ind w:firstLine="284"/>
        <w:jc w:val="both"/>
        <w:rPr>
          <w:rFonts w:ascii="Garamond" w:hAnsi="Garamond"/>
        </w:rPr>
      </w:pPr>
    </w:p>
    <w:p w14:paraId="11001DDA" w14:textId="77777777" w:rsidR="00E32A1E" w:rsidRDefault="00E32A1E" w:rsidP="00FA5537">
      <w:pPr>
        <w:ind w:firstLine="284"/>
        <w:jc w:val="both"/>
        <w:rPr>
          <w:rFonts w:ascii="Garamond" w:hAnsi="Garamond"/>
        </w:rPr>
      </w:pPr>
    </w:p>
    <w:p w14:paraId="4C85FDA0" w14:textId="77777777" w:rsidR="00E32A1E" w:rsidRDefault="00E32A1E" w:rsidP="00FA5537">
      <w:pPr>
        <w:ind w:firstLine="284"/>
        <w:jc w:val="both"/>
        <w:rPr>
          <w:rFonts w:ascii="Garamond" w:hAnsi="Garamond"/>
        </w:rPr>
      </w:pPr>
    </w:p>
    <w:p w14:paraId="4B5FBD43" w14:textId="77777777" w:rsidR="00E32A1E" w:rsidRDefault="00E32A1E" w:rsidP="00FA5537">
      <w:pPr>
        <w:ind w:firstLine="284"/>
        <w:jc w:val="both"/>
        <w:rPr>
          <w:rFonts w:ascii="Garamond" w:hAnsi="Garamond"/>
        </w:rPr>
      </w:pPr>
    </w:p>
    <w:p w14:paraId="4F31783C" w14:textId="3C034587" w:rsidR="00FA5537" w:rsidRPr="00830F4C" w:rsidRDefault="00FA5537" w:rsidP="00FA5537">
      <w:pPr>
        <w:ind w:firstLine="284"/>
        <w:jc w:val="both"/>
        <w:rPr>
          <w:rFonts w:ascii="Garamond" w:hAnsi="Garamond"/>
        </w:rPr>
      </w:pPr>
      <w:r w:rsidRPr="00830F4C">
        <w:rPr>
          <w:rFonts w:ascii="Garamond" w:hAnsi="Garamond"/>
        </w:rPr>
        <w:t>Nëpërmjet masave që do ndërmerren për zbatimin e komponentëve të mësipërm pritet që të ardhurat tatimore të rriten me rreth 1.97% e PBB</w:t>
      </w:r>
      <w:r w:rsidR="00D22EA5" w:rsidRPr="00830F4C">
        <w:rPr>
          <w:rFonts w:ascii="Garamond" w:hAnsi="Garamond"/>
        </w:rPr>
        <w:t>-së</w:t>
      </w:r>
      <w:r w:rsidRPr="00830F4C">
        <w:rPr>
          <w:rFonts w:ascii="Garamond" w:hAnsi="Garamond"/>
        </w:rPr>
        <w:t xml:space="preserve"> ose 51 miliardë </w:t>
      </w:r>
      <w:r w:rsidR="00D22EA5" w:rsidRPr="00830F4C">
        <w:rPr>
          <w:rFonts w:ascii="Garamond" w:hAnsi="Garamond"/>
        </w:rPr>
        <w:t>l</w:t>
      </w:r>
      <w:r w:rsidRPr="00830F4C">
        <w:rPr>
          <w:rFonts w:ascii="Garamond" w:hAnsi="Garamond"/>
        </w:rPr>
        <w:t>ek</w:t>
      </w:r>
      <w:r w:rsidR="00D22EA5" w:rsidRPr="00830F4C">
        <w:rPr>
          <w:rFonts w:ascii="Garamond" w:hAnsi="Garamond"/>
        </w:rPr>
        <w:t>ë</w:t>
      </w:r>
      <w:r w:rsidRPr="00830F4C">
        <w:rPr>
          <w:rFonts w:ascii="Garamond" w:hAnsi="Garamond"/>
        </w:rPr>
        <w:t xml:space="preserve"> brenda periudhës katërvjeçare</w:t>
      </w:r>
      <w:r w:rsidR="00800B00" w:rsidRPr="00830F4C">
        <w:rPr>
          <w:rFonts w:ascii="Garamond" w:hAnsi="Garamond"/>
        </w:rPr>
        <w:t xml:space="preserve"> </w:t>
      </w:r>
      <w:r w:rsidR="00D22EA5" w:rsidRPr="00830F4C">
        <w:rPr>
          <w:rFonts w:ascii="Garamond" w:hAnsi="Garamond"/>
        </w:rPr>
        <w:t>2024–2027</w:t>
      </w:r>
      <w:r w:rsidRPr="00830F4C">
        <w:rPr>
          <w:rFonts w:ascii="Garamond" w:hAnsi="Garamond"/>
        </w:rPr>
        <w:t>, dhe e ndarë sipas zërave të tatimeve, sikurse tregohet në tabelën më poshtë</w:t>
      </w:r>
    </w:p>
    <w:p w14:paraId="37DE630C" w14:textId="602229AB" w:rsidR="00FA5537" w:rsidRPr="00830F4C" w:rsidRDefault="00FA5537" w:rsidP="00723888">
      <w:pPr>
        <w:pStyle w:val="Caption"/>
        <w:keepNext/>
        <w:spacing w:after="0"/>
        <w:ind w:firstLine="284"/>
        <w:rPr>
          <w:rFonts w:ascii="Garamond" w:hAnsi="Garamond"/>
          <w:color w:val="auto"/>
          <w:sz w:val="20"/>
          <w:szCs w:val="20"/>
        </w:rPr>
      </w:pPr>
      <w:bookmarkStart w:id="31" w:name="_Toc185235135"/>
      <w:bookmarkStart w:id="32" w:name="_Toc172043341"/>
      <w:r w:rsidRPr="00830F4C">
        <w:rPr>
          <w:rFonts w:ascii="Garamond" w:hAnsi="Garamond"/>
          <w:color w:val="auto"/>
          <w:sz w:val="20"/>
          <w:szCs w:val="20"/>
        </w:rPr>
        <w:t xml:space="preserve">Tabela </w:t>
      </w:r>
      <w:r w:rsidRPr="00830F4C">
        <w:rPr>
          <w:rFonts w:ascii="Garamond" w:hAnsi="Garamond"/>
          <w:color w:val="auto"/>
          <w:sz w:val="20"/>
          <w:szCs w:val="20"/>
        </w:rPr>
        <w:fldChar w:fldCharType="begin"/>
      </w:r>
      <w:r w:rsidRPr="00830F4C">
        <w:rPr>
          <w:rFonts w:ascii="Garamond" w:hAnsi="Garamond"/>
          <w:color w:val="auto"/>
          <w:sz w:val="20"/>
          <w:szCs w:val="20"/>
        </w:rPr>
        <w:instrText xml:space="preserve"> SEQ Tabela \* ARABIC </w:instrText>
      </w:r>
      <w:r w:rsidRPr="00830F4C">
        <w:rPr>
          <w:rFonts w:ascii="Garamond" w:hAnsi="Garamond"/>
          <w:color w:val="auto"/>
          <w:sz w:val="20"/>
          <w:szCs w:val="20"/>
        </w:rPr>
        <w:fldChar w:fldCharType="separate"/>
      </w:r>
      <w:r w:rsidRPr="00830F4C">
        <w:rPr>
          <w:rFonts w:ascii="Garamond" w:hAnsi="Garamond"/>
          <w:color w:val="auto"/>
          <w:sz w:val="20"/>
          <w:szCs w:val="20"/>
        </w:rPr>
        <w:t>10</w:t>
      </w:r>
      <w:r w:rsidRPr="00830F4C">
        <w:rPr>
          <w:rFonts w:ascii="Garamond" w:hAnsi="Garamond"/>
          <w:color w:val="auto"/>
          <w:sz w:val="20"/>
          <w:szCs w:val="20"/>
        </w:rPr>
        <w:fldChar w:fldCharType="end"/>
      </w:r>
      <w:r w:rsidRPr="00830F4C">
        <w:rPr>
          <w:rFonts w:ascii="Garamond" w:hAnsi="Garamond" w:cs="Times New Roman"/>
          <w:color w:val="auto"/>
          <w:sz w:val="20"/>
          <w:szCs w:val="20"/>
        </w:rPr>
        <w:t xml:space="preserve">: Të ardhura në buxhetin e shtetit nga Shtylla 2 </w:t>
      </w:r>
      <w:r w:rsidR="00D22EA5" w:rsidRPr="00830F4C">
        <w:rPr>
          <w:rFonts w:ascii="Garamond" w:hAnsi="Garamond" w:cs="Times New Roman"/>
          <w:color w:val="auto"/>
          <w:sz w:val="20"/>
          <w:szCs w:val="20"/>
        </w:rPr>
        <w:t>“</w:t>
      </w:r>
      <w:r w:rsidRPr="00830F4C">
        <w:rPr>
          <w:rFonts w:ascii="Garamond" w:hAnsi="Garamond" w:cs="Times New Roman"/>
          <w:color w:val="auto"/>
          <w:sz w:val="20"/>
          <w:szCs w:val="20"/>
        </w:rPr>
        <w:t>Mirëadminitrimi Tatimor</w:t>
      </w:r>
      <w:r w:rsidR="00D22EA5" w:rsidRPr="00830F4C">
        <w:rPr>
          <w:rFonts w:ascii="Garamond" w:hAnsi="Garamond" w:cs="Times New Roman"/>
          <w:color w:val="auto"/>
          <w:sz w:val="20"/>
          <w:szCs w:val="20"/>
        </w:rPr>
        <w:t>”</w:t>
      </w:r>
      <w:r w:rsidRPr="00830F4C">
        <w:rPr>
          <w:rFonts w:ascii="Garamond" w:hAnsi="Garamond" w:cs="Times New Roman"/>
          <w:color w:val="auto"/>
          <w:sz w:val="20"/>
          <w:szCs w:val="20"/>
        </w:rPr>
        <w:t>, sipas zërave të taksave</w:t>
      </w:r>
      <w:bookmarkEnd w:id="31"/>
    </w:p>
    <w:tbl>
      <w:tblPr>
        <w:tblStyle w:val="GridTable1Light-Accent21"/>
        <w:tblW w:w="9355" w:type="dxa"/>
        <w:tblLook w:val="04A0" w:firstRow="1" w:lastRow="0" w:firstColumn="1" w:lastColumn="0" w:noHBand="0" w:noVBand="1"/>
      </w:tblPr>
      <w:tblGrid>
        <w:gridCol w:w="2320"/>
        <w:gridCol w:w="1360"/>
        <w:gridCol w:w="1360"/>
        <w:gridCol w:w="1340"/>
        <w:gridCol w:w="1540"/>
        <w:gridCol w:w="1435"/>
      </w:tblGrid>
      <w:tr w:rsidR="00FA5537" w:rsidRPr="00CC11D5" w14:paraId="3DDEE770" w14:textId="77777777" w:rsidTr="00D22EA5">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20" w:type="dxa"/>
            <w:noWrap/>
            <w:vAlign w:val="center"/>
            <w:hideMark/>
          </w:tcPr>
          <w:bookmarkEnd w:id="32"/>
          <w:p w14:paraId="698AA79C" w14:textId="655D6C20" w:rsidR="00FA5537" w:rsidRPr="00CC11D5" w:rsidRDefault="00FA5537" w:rsidP="00D22EA5">
            <w:pPr>
              <w:jc w:val="center"/>
              <w:rPr>
                <w:rFonts w:ascii="Garamond" w:hAnsi="Garamond"/>
                <w:sz w:val="12"/>
                <w:szCs w:val="12"/>
              </w:rPr>
            </w:pPr>
            <w:r w:rsidRPr="00CC11D5">
              <w:rPr>
                <w:rFonts w:ascii="Garamond" w:hAnsi="Garamond"/>
                <w:sz w:val="12"/>
                <w:szCs w:val="12"/>
              </w:rPr>
              <w:t xml:space="preserve">Të ardhurat nga Shtylla 2 </w:t>
            </w:r>
            <w:r w:rsidR="00D22EA5" w:rsidRPr="00CC11D5">
              <w:rPr>
                <w:rFonts w:ascii="Garamond" w:hAnsi="Garamond"/>
                <w:sz w:val="12"/>
                <w:szCs w:val="12"/>
              </w:rPr>
              <w:t>“</w:t>
            </w:r>
            <w:r w:rsidRPr="00CC11D5">
              <w:rPr>
                <w:rFonts w:ascii="Garamond" w:hAnsi="Garamond"/>
                <w:sz w:val="12"/>
                <w:szCs w:val="12"/>
              </w:rPr>
              <w:t>Mirëadministrimi Tatimor</w:t>
            </w:r>
            <w:r w:rsidR="00D22EA5" w:rsidRPr="00CC11D5">
              <w:rPr>
                <w:rFonts w:ascii="Garamond" w:hAnsi="Garamond"/>
                <w:sz w:val="12"/>
                <w:szCs w:val="12"/>
              </w:rPr>
              <w:t>”</w:t>
            </w:r>
            <w:r w:rsidRPr="00CC11D5">
              <w:rPr>
                <w:rFonts w:ascii="Garamond" w:hAnsi="Garamond"/>
                <w:sz w:val="12"/>
                <w:szCs w:val="12"/>
              </w:rPr>
              <w:t xml:space="preserve"> nga taksat si më poshtë</w:t>
            </w:r>
          </w:p>
        </w:tc>
        <w:tc>
          <w:tcPr>
            <w:tcW w:w="1360" w:type="dxa"/>
            <w:vAlign w:val="center"/>
            <w:hideMark/>
          </w:tcPr>
          <w:p w14:paraId="074D0D3A" w14:textId="77777777" w:rsidR="00FA5537" w:rsidRPr="00CC11D5" w:rsidRDefault="00FA5537" w:rsidP="00D22EA5">
            <w:pPr>
              <w:jc w:val="center"/>
              <w:cnfStyle w:val="100000000000" w:firstRow="1"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2024</w:t>
            </w:r>
          </w:p>
        </w:tc>
        <w:tc>
          <w:tcPr>
            <w:tcW w:w="1360" w:type="dxa"/>
            <w:vAlign w:val="center"/>
            <w:hideMark/>
          </w:tcPr>
          <w:p w14:paraId="32011FB8" w14:textId="77777777" w:rsidR="00FA5537" w:rsidRPr="00CC11D5" w:rsidRDefault="00FA5537" w:rsidP="00D22EA5">
            <w:pPr>
              <w:jc w:val="center"/>
              <w:cnfStyle w:val="100000000000" w:firstRow="1"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2025</w:t>
            </w:r>
          </w:p>
        </w:tc>
        <w:tc>
          <w:tcPr>
            <w:tcW w:w="1340" w:type="dxa"/>
            <w:vAlign w:val="center"/>
            <w:hideMark/>
          </w:tcPr>
          <w:p w14:paraId="702AB1C7" w14:textId="77777777" w:rsidR="00FA5537" w:rsidRPr="00CC11D5" w:rsidRDefault="00FA5537" w:rsidP="00D22EA5">
            <w:pPr>
              <w:jc w:val="center"/>
              <w:cnfStyle w:val="100000000000" w:firstRow="1"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2026</w:t>
            </w:r>
          </w:p>
        </w:tc>
        <w:tc>
          <w:tcPr>
            <w:tcW w:w="1540" w:type="dxa"/>
            <w:vAlign w:val="center"/>
            <w:hideMark/>
          </w:tcPr>
          <w:p w14:paraId="30F31AA0" w14:textId="77777777" w:rsidR="00FA5537" w:rsidRPr="00CC11D5" w:rsidRDefault="00FA5537" w:rsidP="00D22EA5">
            <w:pPr>
              <w:jc w:val="center"/>
              <w:cnfStyle w:val="100000000000" w:firstRow="1"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2027</w:t>
            </w:r>
          </w:p>
        </w:tc>
        <w:tc>
          <w:tcPr>
            <w:tcW w:w="1435" w:type="dxa"/>
            <w:vAlign w:val="center"/>
            <w:hideMark/>
          </w:tcPr>
          <w:p w14:paraId="7951455D" w14:textId="60209E21" w:rsidR="00FA5537" w:rsidRPr="00CC11D5" w:rsidRDefault="00FA5537" w:rsidP="00D22EA5">
            <w:pPr>
              <w:jc w:val="center"/>
              <w:cnfStyle w:val="100000000000" w:firstRow="1"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Totali</w:t>
            </w:r>
            <w:r w:rsidR="00800B00" w:rsidRPr="00CC11D5">
              <w:rPr>
                <w:rFonts w:ascii="Garamond" w:hAnsi="Garamond"/>
                <w:sz w:val="12"/>
                <w:szCs w:val="12"/>
              </w:rPr>
              <w:t xml:space="preserve"> </w:t>
            </w:r>
            <w:r w:rsidR="00D22EA5" w:rsidRPr="00CC11D5">
              <w:rPr>
                <w:rFonts w:ascii="Garamond" w:hAnsi="Garamond"/>
                <w:sz w:val="12"/>
                <w:szCs w:val="12"/>
              </w:rPr>
              <w:t>2024–2027</w:t>
            </w:r>
          </w:p>
        </w:tc>
      </w:tr>
      <w:tr w:rsidR="00FA5537" w:rsidRPr="00CC11D5" w14:paraId="3C517ED7" w14:textId="77777777" w:rsidTr="00FA5537">
        <w:trPr>
          <w:trHeight w:val="300"/>
        </w:trPr>
        <w:tc>
          <w:tcPr>
            <w:cnfStyle w:val="001000000000" w:firstRow="0" w:lastRow="0" w:firstColumn="1" w:lastColumn="0" w:oddVBand="0" w:evenVBand="0" w:oddHBand="0" w:evenHBand="0" w:firstRowFirstColumn="0" w:firstRowLastColumn="0" w:lastRowFirstColumn="0" w:lastRowLastColumn="0"/>
            <w:tcW w:w="2320" w:type="dxa"/>
            <w:hideMark/>
          </w:tcPr>
          <w:p w14:paraId="2B6187D5" w14:textId="77777777" w:rsidR="00FA5537" w:rsidRPr="00CC11D5" w:rsidRDefault="00FA5537" w:rsidP="00FA5537">
            <w:pPr>
              <w:jc w:val="center"/>
              <w:rPr>
                <w:rFonts w:ascii="Garamond" w:hAnsi="Garamond"/>
                <w:b w:val="0"/>
                <w:sz w:val="12"/>
                <w:szCs w:val="12"/>
              </w:rPr>
            </w:pPr>
            <w:r w:rsidRPr="00CC11D5">
              <w:rPr>
                <w:rFonts w:ascii="Garamond" w:hAnsi="Garamond"/>
                <w:b w:val="0"/>
                <w:sz w:val="12"/>
                <w:szCs w:val="12"/>
              </w:rPr>
              <w:t>TVSH</w:t>
            </w:r>
          </w:p>
        </w:tc>
        <w:tc>
          <w:tcPr>
            <w:tcW w:w="1360" w:type="dxa"/>
            <w:hideMark/>
          </w:tcPr>
          <w:p w14:paraId="57A4CF8B"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0.42%</w:t>
            </w:r>
          </w:p>
        </w:tc>
        <w:tc>
          <w:tcPr>
            <w:tcW w:w="1360" w:type="dxa"/>
            <w:hideMark/>
          </w:tcPr>
          <w:p w14:paraId="68BAE72D"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0.21%</w:t>
            </w:r>
          </w:p>
        </w:tc>
        <w:tc>
          <w:tcPr>
            <w:tcW w:w="1340" w:type="dxa"/>
            <w:hideMark/>
          </w:tcPr>
          <w:p w14:paraId="6543A7D3"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0.15%</w:t>
            </w:r>
          </w:p>
        </w:tc>
        <w:tc>
          <w:tcPr>
            <w:tcW w:w="1540" w:type="dxa"/>
            <w:hideMark/>
          </w:tcPr>
          <w:p w14:paraId="6F8A3ADE"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0.14%</w:t>
            </w:r>
          </w:p>
        </w:tc>
        <w:tc>
          <w:tcPr>
            <w:tcW w:w="1435" w:type="dxa"/>
            <w:hideMark/>
          </w:tcPr>
          <w:p w14:paraId="25014219"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bCs/>
                <w:sz w:val="12"/>
                <w:szCs w:val="12"/>
              </w:rPr>
              <w:t>0.92%</w:t>
            </w:r>
          </w:p>
        </w:tc>
      </w:tr>
      <w:tr w:rsidR="00FA5537" w:rsidRPr="00CC11D5" w14:paraId="14D57144" w14:textId="77777777" w:rsidTr="00FA5537">
        <w:trPr>
          <w:trHeight w:val="300"/>
        </w:trPr>
        <w:tc>
          <w:tcPr>
            <w:cnfStyle w:val="001000000000" w:firstRow="0" w:lastRow="0" w:firstColumn="1" w:lastColumn="0" w:oddVBand="0" w:evenVBand="0" w:oddHBand="0" w:evenHBand="0" w:firstRowFirstColumn="0" w:firstRowLastColumn="0" w:lastRowFirstColumn="0" w:lastRowLastColumn="0"/>
            <w:tcW w:w="2320" w:type="dxa"/>
            <w:hideMark/>
          </w:tcPr>
          <w:p w14:paraId="1D7BDC11" w14:textId="77777777" w:rsidR="00FA5537" w:rsidRPr="00CC11D5" w:rsidRDefault="00FA5537" w:rsidP="00FA5537">
            <w:pPr>
              <w:jc w:val="center"/>
              <w:rPr>
                <w:rFonts w:ascii="Garamond" w:hAnsi="Garamond"/>
                <w:b w:val="0"/>
                <w:sz w:val="12"/>
                <w:szCs w:val="12"/>
              </w:rPr>
            </w:pPr>
            <w:r w:rsidRPr="00CC11D5">
              <w:rPr>
                <w:rFonts w:ascii="Garamond" w:hAnsi="Garamond"/>
                <w:b w:val="0"/>
                <w:sz w:val="12"/>
                <w:szCs w:val="12"/>
              </w:rPr>
              <w:t>Tatim fitimi</w:t>
            </w:r>
          </w:p>
        </w:tc>
        <w:tc>
          <w:tcPr>
            <w:tcW w:w="1360" w:type="dxa"/>
            <w:hideMark/>
          </w:tcPr>
          <w:p w14:paraId="33B64979"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0.22%</w:t>
            </w:r>
          </w:p>
        </w:tc>
        <w:tc>
          <w:tcPr>
            <w:tcW w:w="1360" w:type="dxa"/>
            <w:hideMark/>
          </w:tcPr>
          <w:p w14:paraId="732D83DE"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0.24%</w:t>
            </w:r>
          </w:p>
        </w:tc>
        <w:tc>
          <w:tcPr>
            <w:tcW w:w="1340" w:type="dxa"/>
            <w:hideMark/>
          </w:tcPr>
          <w:p w14:paraId="3428BE7B"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0.12%</w:t>
            </w:r>
          </w:p>
        </w:tc>
        <w:tc>
          <w:tcPr>
            <w:tcW w:w="1540" w:type="dxa"/>
            <w:hideMark/>
          </w:tcPr>
          <w:p w14:paraId="1A203EA4"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0.12%</w:t>
            </w:r>
          </w:p>
        </w:tc>
        <w:tc>
          <w:tcPr>
            <w:tcW w:w="1435" w:type="dxa"/>
            <w:hideMark/>
          </w:tcPr>
          <w:p w14:paraId="620FD7C4"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bCs/>
                <w:sz w:val="12"/>
                <w:szCs w:val="12"/>
              </w:rPr>
              <w:t>0.71%</w:t>
            </w:r>
          </w:p>
        </w:tc>
      </w:tr>
      <w:tr w:rsidR="00FA5537" w:rsidRPr="00CC11D5" w14:paraId="06C0E753" w14:textId="77777777" w:rsidTr="00FA5537">
        <w:trPr>
          <w:trHeight w:val="300"/>
        </w:trPr>
        <w:tc>
          <w:tcPr>
            <w:cnfStyle w:val="001000000000" w:firstRow="0" w:lastRow="0" w:firstColumn="1" w:lastColumn="0" w:oddVBand="0" w:evenVBand="0" w:oddHBand="0" w:evenHBand="0" w:firstRowFirstColumn="0" w:firstRowLastColumn="0" w:lastRowFirstColumn="0" w:lastRowLastColumn="0"/>
            <w:tcW w:w="2320" w:type="dxa"/>
            <w:hideMark/>
          </w:tcPr>
          <w:p w14:paraId="5B67093B" w14:textId="52C824DE" w:rsidR="00FA5537" w:rsidRPr="00CC11D5" w:rsidRDefault="00FA5537" w:rsidP="00FA5537">
            <w:pPr>
              <w:jc w:val="center"/>
              <w:rPr>
                <w:rFonts w:ascii="Garamond" w:hAnsi="Garamond"/>
                <w:b w:val="0"/>
                <w:sz w:val="12"/>
                <w:szCs w:val="12"/>
              </w:rPr>
            </w:pPr>
            <w:r w:rsidRPr="00CC11D5">
              <w:rPr>
                <w:rFonts w:ascii="Garamond" w:hAnsi="Garamond"/>
                <w:b w:val="0"/>
                <w:sz w:val="12"/>
                <w:szCs w:val="12"/>
              </w:rPr>
              <w:t xml:space="preserve">Tatimi mbi </w:t>
            </w:r>
            <w:r w:rsidR="00377F8B" w:rsidRPr="00CC11D5">
              <w:rPr>
                <w:rFonts w:ascii="Garamond" w:hAnsi="Garamond"/>
                <w:b w:val="0"/>
                <w:sz w:val="12"/>
                <w:szCs w:val="12"/>
              </w:rPr>
              <w:t>qiranë</w:t>
            </w:r>
          </w:p>
        </w:tc>
        <w:tc>
          <w:tcPr>
            <w:tcW w:w="1360" w:type="dxa"/>
            <w:hideMark/>
          </w:tcPr>
          <w:p w14:paraId="1AD9F9DF"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0.02%</w:t>
            </w:r>
          </w:p>
        </w:tc>
        <w:tc>
          <w:tcPr>
            <w:tcW w:w="1360" w:type="dxa"/>
            <w:hideMark/>
          </w:tcPr>
          <w:p w14:paraId="3753A6E5"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0.04%</w:t>
            </w:r>
          </w:p>
        </w:tc>
        <w:tc>
          <w:tcPr>
            <w:tcW w:w="1340" w:type="dxa"/>
            <w:hideMark/>
          </w:tcPr>
          <w:p w14:paraId="1F367297"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0.05%</w:t>
            </w:r>
          </w:p>
        </w:tc>
        <w:tc>
          <w:tcPr>
            <w:tcW w:w="1540" w:type="dxa"/>
            <w:hideMark/>
          </w:tcPr>
          <w:p w14:paraId="06D6C4B4"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0.05%</w:t>
            </w:r>
          </w:p>
        </w:tc>
        <w:tc>
          <w:tcPr>
            <w:tcW w:w="1435" w:type="dxa"/>
            <w:hideMark/>
          </w:tcPr>
          <w:p w14:paraId="7844E98E"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bCs/>
                <w:sz w:val="12"/>
                <w:szCs w:val="12"/>
              </w:rPr>
              <w:t>0.16%</w:t>
            </w:r>
          </w:p>
        </w:tc>
      </w:tr>
      <w:tr w:rsidR="00FA5537" w:rsidRPr="00CC11D5" w14:paraId="3E87210C" w14:textId="77777777" w:rsidTr="00CC11D5">
        <w:trPr>
          <w:trHeight w:val="305"/>
        </w:trPr>
        <w:tc>
          <w:tcPr>
            <w:cnfStyle w:val="001000000000" w:firstRow="0" w:lastRow="0" w:firstColumn="1" w:lastColumn="0" w:oddVBand="0" w:evenVBand="0" w:oddHBand="0" w:evenHBand="0" w:firstRowFirstColumn="0" w:firstRowLastColumn="0" w:lastRowFirstColumn="0" w:lastRowLastColumn="0"/>
            <w:tcW w:w="2320" w:type="dxa"/>
            <w:hideMark/>
          </w:tcPr>
          <w:p w14:paraId="3176FCA6" w14:textId="3B0BD1F4" w:rsidR="00FA5537" w:rsidRPr="00CC11D5" w:rsidRDefault="00FA5537" w:rsidP="00FA5537">
            <w:pPr>
              <w:jc w:val="center"/>
              <w:rPr>
                <w:rFonts w:ascii="Garamond" w:hAnsi="Garamond"/>
                <w:b w:val="0"/>
                <w:sz w:val="12"/>
                <w:szCs w:val="12"/>
              </w:rPr>
            </w:pPr>
            <w:r w:rsidRPr="00CC11D5">
              <w:rPr>
                <w:rFonts w:ascii="Garamond" w:hAnsi="Garamond"/>
                <w:b w:val="0"/>
                <w:sz w:val="12"/>
                <w:szCs w:val="12"/>
              </w:rPr>
              <w:t>T</w:t>
            </w:r>
            <w:r w:rsidR="00377F8B" w:rsidRPr="00CC11D5">
              <w:rPr>
                <w:rFonts w:ascii="Garamond" w:hAnsi="Garamond"/>
                <w:b w:val="0"/>
                <w:sz w:val="12"/>
                <w:szCs w:val="12"/>
              </w:rPr>
              <w:t>at</w:t>
            </w:r>
            <w:r w:rsidRPr="00CC11D5">
              <w:rPr>
                <w:rFonts w:ascii="Garamond" w:hAnsi="Garamond"/>
                <w:b w:val="0"/>
                <w:sz w:val="12"/>
                <w:szCs w:val="12"/>
              </w:rPr>
              <w:t>imi mbi pagën</w:t>
            </w:r>
          </w:p>
        </w:tc>
        <w:tc>
          <w:tcPr>
            <w:tcW w:w="1360" w:type="dxa"/>
            <w:hideMark/>
          </w:tcPr>
          <w:p w14:paraId="3CC72733"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0.003%</w:t>
            </w:r>
          </w:p>
        </w:tc>
        <w:tc>
          <w:tcPr>
            <w:tcW w:w="1360" w:type="dxa"/>
            <w:hideMark/>
          </w:tcPr>
          <w:p w14:paraId="3F37A086"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0.01%</w:t>
            </w:r>
          </w:p>
        </w:tc>
        <w:tc>
          <w:tcPr>
            <w:tcW w:w="1340" w:type="dxa"/>
            <w:hideMark/>
          </w:tcPr>
          <w:p w14:paraId="54161C14"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0.01%</w:t>
            </w:r>
          </w:p>
        </w:tc>
        <w:tc>
          <w:tcPr>
            <w:tcW w:w="1540" w:type="dxa"/>
            <w:hideMark/>
          </w:tcPr>
          <w:p w14:paraId="6F401E94"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0.02%</w:t>
            </w:r>
          </w:p>
        </w:tc>
        <w:tc>
          <w:tcPr>
            <w:tcW w:w="1435" w:type="dxa"/>
            <w:hideMark/>
          </w:tcPr>
          <w:p w14:paraId="09E20283"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bCs/>
                <w:sz w:val="12"/>
                <w:szCs w:val="12"/>
              </w:rPr>
              <w:t>0.05%</w:t>
            </w:r>
          </w:p>
        </w:tc>
      </w:tr>
      <w:tr w:rsidR="00FA5537" w:rsidRPr="00CC11D5" w14:paraId="48DCC658" w14:textId="77777777" w:rsidTr="00CC11D5">
        <w:trPr>
          <w:trHeight w:val="350"/>
        </w:trPr>
        <w:tc>
          <w:tcPr>
            <w:cnfStyle w:val="001000000000" w:firstRow="0" w:lastRow="0" w:firstColumn="1" w:lastColumn="0" w:oddVBand="0" w:evenVBand="0" w:oddHBand="0" w:evenHBand="0" w:firstRowFirstColumn="0" w:firstRowLastColumn="0" w:lastRowFirstColumn="0" w:lastRowLastColumn="0"/>
            <w:tcW w:w="2320" w:type="dxa"/>
            <w:hideMark/>
          </w:tcPr>
          <w:p w14:paraId="610BB1CF" w14:textId="77777777" w:rsidR="00FA5537" w:rsidRPr="00CC11D5" w:rsidRDefault="00FA5537" w:rsidP="00FA5537">
            <w:pPr>
              <w:jc w:val="center"/>
              <w:rPr>
                <w:rFonts w:ascii="Garamond" w:hAnsi="Garamond"/>
                <w:b w:val="0"/>
                <w:sz w:val="12"/>
                <w:szCs w:val="12"/>
              </w:rPr>
            </w:pPr>
            <w:r w:rsidRPr="00CC11D5">
              <w:rPr>
                <w:rFonts w:ascii="Garamond" w:hAnsi="Garamond"/>
                <w:b w:val="0"/>
                <w:sz w:val="12"/>
                <w:szCs w:val="12"/>
              </w:rPr>
              <w:t>Kontributet e sigurimeve shoqërore dhe shëndetësore</w:t>
            </w:r>
          </w:p>
        </w:tc>
        <w:tc>
          <w:tcPr>
            <w:tcW w:w="1360" w:type="dxa"/>
            <w:hideMark/>
          </w:tcPr>
          <w:p w14:paraId="18B133FC"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0.02%</w:t>
            </w:r>
          </w:p>
        </w:tc>
        <w:tc>
          <w:tcPr>
            <w:tcW w:w="1360" w:type="dxa"/>
            <w:hideMark/>
          </w:tcPr>
          <w:p w14:paraId="6123FF98"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0.04%</w:t>
            </w:r>
          </w:p>
        </w:tc>
        <w:tc>
          <w:tcPr>
            <w:tcW w:w="1340" w:type="dxa"/>
            <w:hideMark/>
          </w:tcPr>
          <w:p w14:paraId="3D115B23"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0.04%</w:t>
            </w:r>
          </w:p>
        </w:tc>
        <w:tc>
          <w:tcPr>
            <w:tcW w:w="1540" w:type="dxa"/>
            <w:hideMark/>
          </w:tcPr>
          <w:p w14:paraId="5DE21D4A"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0.05%</w:t>
            </w:r>
          </w:p>
        </w:tc>
        <w:tc>
          <w:tcPr>
            <w:tcW w:w="1435" w:type="dxa"/>
            <w:hideMark/>
          </w:tcPr>
          <w:p w14:paraId="468A75FA"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bCs/>
                <w:sz w:val="12"/>
                <w:szCs w:val="12"/>
              </w:rPr>
              <w:t>0.14%</w:t>
            </w:r>
          </w:p>
        </w:tc>
      </w:tr>
      <w:tr w:rsidR="00FA5537" w:rsidRPr="00CC11D5" w14:paraId="180467C1" w14:textId="77777777" w:rsidTr="00FA5537">
        <w:trPr>
          <w:trHeight w:val="315"/>
        </w:trPr>
        <w:tc>
          <w:tcPr>
            <w:cnfStyle w:val="001000000000" w:firstRow="0" w:lastRow="0" w:firstColumn="1" w:lastColumn="0" w:oddVBand="0" w:evenVBand="0" w:oddHBand="0" w:evenHBand="0" w:firstRowFirstColumn="0" w:firstRowLastColumn="0" w:lastRowFirstColumn="0" w:lastRowLastColumn="0"/>
            <w:tcW w:w="2320" w:type="dxa"/>
            <w:hideMark/>
          </w:tcPr>
          <w:p w14:paraId="58B20598" w14:textId="77777777" w:rsidR="00FA5537" w:rsidRPr="00CC11D5" w:rsidRDefault="00FA5537" w:rsidP="00FA5537">
            <w:pPr>
              <w:jc w:val="center"/>
              <w:rPr>
                <w:rFonts w:ascii="Garamond" w:hAnsi="Garamond"/>
                <w:sz w:val="12"/>
                <w:szCs w:val="12"/>
              </w:rPr>
            </w:pPr>
            <w:r w:rsidRPr="00CC11D5">
              <w:rPr>
                <w:rFonts w:ascii="Garamond" w:hAnsi="Garamond"/>
                <w:sz w:val="12"/>
                <w:szCs w:val="12"/>
              </w:rPr>
              <w:t>Totali</w:t>
            </w:r>
          </w:p>
        </w:tc>
        <w:tc>
          <w:tcPr>
            <w:tcW w:w="1360" w:type="dxa"/>
            <w:hideMark/>
          </w:tcPr>
          <w:p w14:paraId="408D7A13"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bCs/>
                <w:sz w:val="12"/>
                <w:szCs w:val="12"/>
              </w:rPr>
              <w:t>0.68%</w:t>
            </w:r>
          </w:p>
        </w:tc>
        <w:tc>
          <w:tcPr>
            <w:tcW w:w="1360" w:type="dxa"/>
            <w:hideMark/>
          </w:tcPr>
          <w:p w14:paraId="0E910D49"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bCs/>
                <w:sz w:val="12"/>
                <w:szCs w:val="12"/>
              </w:rPr>
              <w:t>0.54%</w:t>
            </w:r>
          </w:p>
        </w:tc>
        <w:tc>
          <w:tcPr>
            <w:tcW w:w="1340" w:type="dxa"/>
            <w:hideMark/>
          </w:tcPr>
          <w:p w14:paraId="6DB76FF3"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bCs/>
                <w:sz w:val="12"/>
                <w:szCs w:val="12"/>
              </w:rPr>
              <w:t>0.37%</w:t>
            </w:r>
          </w:p>
        </w:tc>
        <w:tc>
          <w:tcPr>
            <w:tcW w:w="1540" w:type="dxa"/>
            <w:hideMark/>
          </w:tcPr>
          <w:p w14:paraId="314EB397"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bCs/>
                <w:sz w:val="12"/>
                <w:szCs w:val="12"/>
              </w:rPr>
              <w:t>0.38%</w:t>
            </w:r>
          </w:p>
        </w:tc>
        <w:tc>
          <w:tcPr>
            <w:tcW w:w="1435" w:type="dxa"/>
            <w:hideMark/>
          </w:tcPr>
          <w:p w14:paraId="334C7A81"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bCs/>
                <w:sz w:val="12"/>
                <w:szCs w:val="12"/>
              </w:rPr>
              <w:t>1.97%</w:t>
            </w:r>
          </w:p>
        </w:tc>
      </w:tr>
      <w:tr w:rsidR="00FA5537" w:rsidRPr="00CC11D5" w14:paraId="1D16C09D" w14:textId="77777777" w:rsidTr="00CC11D5">
        <w:trPr>
          <w:trHeight w:val="206"/>
        </w:trPr>
        <w:tc>
          <w:tcPr>
            <w:cnfStyle w:val="001000000000" w:firstRow="0" w:lastRow="0" w:firstColumn="1" w:lastColumn="0" w:oddVBand="0" w:evenVBand="0" w:oddHBand="0" w:evenHBand="0" w:firstRowFirstColumn="0" w:firstRowLastColumn="0" w:lastRowFirstColumn="0" w:lastRowLastColumn="0"/>
            <w:tcW w:w="9355" w:type="dxa"/>
            <w:gridSpan w:val="6"/>
          </w:tcPr>
          <w:p w14:paraId="7C0D1620" w14:textId="39550C3C" w:rsidR="00FA5537" w:rsidRPr="00CC11D5" w:rsidRDefault="00CC11D5" w:rsidP="00FA5537">
            <w:pPr>
              <w:jc w:val="center"/>
              <w:rPr>
                <w:rFonts w:ascii="Garamond" w:hAnsi="Garamond"/>
                <w:b w:val="0"/>
                <w:sz w:val="12"/>
                <w:szCs w:val="12"/>
              </w:rPr>
            </w:pPr>
            <w:r>
              <w:rPr>
                <w:rFonts w:ascii="Garamond" w:hAnsi="Garamond"/>
                <w:b w:val="0"/>
                <w:bCs w:val="0"/>
                <w:i/>
                <w:sz w:val="12"/>
                <w:szCs w:val="12"/>
              </w:rPr>
              <w:t>n</w:t>
            </w:r>
            <w:r w:rsidR="00FA5537" w:rsidRPr="00CC11D5">
              <w:rPr>
                <w:rFonts w:ascii="Garamond" w:hAnsi="Garamond"/>
                <w:b w:val="0"/>
                <w:bCs w:val="0"/>
                <w:i/>
                <w:sz w:val="12"/>
                <w:szCs w:val="12"/>
              </w:rPr>
              <w:t xml:space="preserve">ë </w:t>
            </w:r>
            <w:r w:rsidR="00236281" w:rsidRPr="00CC11D5">
              <w:rPr>
                <w:rFonts w:ascii="Garamond" w:hAnsi="Garamond"/>
                <w:b w:val="0"/>
                <w:bCs w:val="0"/>
                <w:i/>
                <w:sz w:val="12"/>
                <w:szCs w:val="12"/>
              </w:rPr>
              <w:t>milionë</w:t>
            </w:r>
            <w:r w:rsidR="0052377F" w:rsidRPr="00CC11D5">
              <w:rPr>
                <w:rFonts w:ascii="Garamond" w:hAnsi="Garamond"/>
                <w:b w:val="0"/>
                <w:bCs w:val="0"/>
                <w:i/>
                <w:sz w:val="12"/>
                <w:szCs w:val="12"/>
              </w:rPr>
              <w:t xml:space="preserve"> </w:t>
            </w:r>
            <w:r w:rsidR="00377F8B" w:rsidRPr="00CC11D5">
              <w:rPr>
                <w:rFonts w:ascii="Garamond" w:hAnsi="Garamond"/>
                <w:b w:val="0"/>
                <w:bCs w:val="0"/>
                <w:i/>
                <w:sz w:val="12"/>
                <w:szCs w:val="12"/>
              </w:rPr>
              <w:t>l</w:t>
            </w:r>
            <w:r w:rsidR="00FA5537" w:rsidRPr="00CC11D5">
              <w:rPr>
                <w:rFonts w:ascii="Garamond" w:hAnsi="Garamond"/>
                <w:b w:val="0"/>
                <w:bCs w:val="0"/>
                <w:i/>
                <w:sz w:val="12"/>
                <w:szCs w:val="12"/>
              </w:rPr>
              <w:t>ekë</w:t>
            </w:r>
          </w:p>
        </w:tc>
      </w:tr>
      <w:tr w:rsidR="00FA5537" w:rsidRPr="00CC11D5" w14:paraId="6E9582B7" w14:textId="77777777" w:rsidTr="00FA5537">
        <w:trPr>
          <w:trHeight w:val="300"/>
        </w:trPr>
        <w:tc>
          <w:tcPr>
            <w:cnfStyle w:val="001000000000" w:firstRow="0" w:lastRow="0" w:firstColumn="1" w:lastColumn="0" w:oddVBand="0" w:evenVBand="0" w:oddHBand="0" w:evenHBand="0" w:firstRowFirstColumn="0" w:firstRowLastColumn="0" w:lastRowFirstColumn="0" w:lastRowLastColumn="0"/>
            <w:tcW w:w="2320" w:type="dxa"/>
            <w:hideMark/>
          </w:tcPr>
          <w:p w14:paraId="0CE80B99" w14:textId="77777777" w:rsidR="00FA5537" w:rsidRPr="00CC11D5" w:rsidRDefault="00FA5537" w:rsidP="00FA5537">
            <w:pPr>
              <w:jc w:val="center"/>
              <w:rPr>
                <w:rFonts w:ascii="Garamond" w:hAnsi="Garamond"/>
                <w:b w:val="0"/>
                <w:sz w:val="12"/>
                <w:szCs w:val="12"/>
              </w:rPr>
            </w:pPr>
            <w:r w:rsidRPr="00CC11D5">
              <w:rPr>
                <w:rFonts w:ascii="Garamond" w:hAnsi="Garamond"/>
                <w:b w:val="0"/>
                <w:sz w:val="12"/>
                <w:szCs w:val="12"/>
              </w:rPr>
              <w:t>TVSH</w:t>
            </w:r>
          </w:p>
        </w:tc>
        <w:tc>
          <w:tcPr>
            <w:tcW w:w="1360" w:type="dxa"/>
            <w:hideMark/>
          </w:tcPr>
          <w:p w14:paraId="3D11A7C7"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10,153</w:t>
            </w:r>
          </w:p>
        </w:tc>
        <w:tc>
          <w:tcPr>
            <w:tcW w:w="1360" w:type="dxa"/>
            <w:hideMark/>
          </w:tcPr>
          <w:p w14:paraId="695E43CC"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5,478</w:t>
            </w:r>
          </w:p>
        </w:tc>
        <w:tc>
          <w:tcPr>
            <w:tcW w:w="1340" w:type="dxa"/>
            <w:hideMark/>
          </w:tcPr>
          <w:p w14:paraId="605BE663"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4,002</w:t>
            </w:r>
          </w:p>
        </w:tc>
        <w:tc>
          <w:tcPr>
            <w:tcW w:w="1540" w:type="dxa"/>
            <w:hideMark/>
          </w:tcPr>
          <w:p w14:paraId="40A258C7"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2F34AAF4"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3,833</w:t>
            </w:r>
          </w:p>
        </w:tc>
        <w:tc>
          <w:tcPr>
            <w:tcW w:w="1435" w:type="dxa"/>
            <w:hideMark/>
          </w:tcPr>
          <w:p w14:paraId="128F1242"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p>
          <w:p w14:paraId="15BC299F"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sz w:val="12"/>
                <w:szCs w:val="12"/>
              </w:rPr>
              <w:t>23,466</w:t>
            </w:r>
          </w:p>
        </w:tc>
      </w:tr>
      <w:tr w:rsidR="00FA5537" w:rsidRPr="00CC11D5" w14:paraId="657F1F3C" w14:textId="77777777" w:rsidTr="00FA5537">
        <w:trPr>
          <w:trHeight w:val="242"/>
        </w:trPr>
        <w:tc>
          <w:tcPr>
            <w:cnfStyle w:val="001000000000" w:firstRow="0" w:lastRow="0" w:firstColumn="1" w:lastColumn="0" w:oddVBand="0" w:evenVBand="0" w:oddHBand="0" w:evenHBand="0" w:firstRowFirstColumn="0" w:firstRowLastColumn="0" w:lastRowFirstColumn="0" w:lastRowLastColumn="0"/>
            <w:tcW w:w="2320" w:type="dxa"/>
            <w:hideMark/>
          </w:tcPr>
          <w:p w14:paraId="78C48B08" w14:textId="77777777" w:rsidR="00FA5537" w:rsidRPr="00CC11D5" w:rsidRDefault="00FA5537" w:rsidP="00FA5537">
            <w:pPr>
              <w:jc w:val="center"/>
              <w:rPr>
                <w:rFonts w:ascii="Garamond" w:hAnsi="Garamond"/>
                <w:b w:val="0"/>
                <w:sz w:val="12"/>
                <w:szCs w:val="12"/>
              </w:rPr>
            </w:pPr>
            <w:r w:rsidRPr="00CC11D5">
              <w:rPr>
                <w:rFonts w:ascii="Garamond" w:hAnsi="Garamond"/>
                <w:b w:val="0"/>
                <w:sz w:val="12"/>
                <w:szCs w:val="12"/>
              </w:rPr>
              <w:t>Tatim fitimi</w:t>
            </w:r>
          </w:p>
        </w:tc>
        <w:tc>
          <w:tcPr>
            <w:tcW w:w="1360" w:type="dxa"/>
            <w:hideMark/>
          </w:tcPr>
          <w:p w14:paraId="2716A91E"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5,466</w:t>
            </w:r>
          </w:p>
        </w:tc>
        <w:tc>
          <w:tcPr>
            <w:tcW w:w="1360" w:type="dxa"/>
            <w:hideMark/>
          </w:tcPr>
          <w:p w14:paraId="2B62BD70"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6,030</w:t>
            </w:r>
          </w:p>
        </w:tc>
        <w:tc>
          <w:tcPr>
            <w:tcW w:w="1340" w:type="dxa"/>
            <w:hideMark/>
          </w:tcPr>
          <w:p w14:paraId="060A4DDA"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3,316</w:t>
            </w:r>
          </w:p>
        </w:tc>
        <w:tc>
          <w:tcPr>
            <w:tcW w:w="1540" w:type="dxa"/>
            <w:hideMark/>
          </w:tcPr>
          <w:p w14:paraId="545967B4"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04EC577C"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3,482</w:t>
            </w:r>
          </w:p>
        </w:tc>
        <w:tc>
          <w:tcPr>
            <w:tcW w:w="1435" w:type="dxa"/>
            <w:hideMark/>
          </w:tcPr>
          <w:p w14:paraId="79E4E385"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p>
          <w:p w14:paraId="5CF95D5A"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sz w:val="12"/>
                <w:szCs w:val="12"/>
              </w:rPr>
              <w:t>18,294</w:t>
            </w:r>
          </w:p>
        </w:tc>
      </w:tr>
      <w:tr w:rsidR="00FA5537" w:rsidRPr="00CC11D5" w14:paraId="31BEC381" w14:textId="77777777" w:rsidTr="00FA5537">
        <w:trPr>
          <w:trHeight w:val="323"/>
        </w:trPr>
        <w:tc>
          <w:tcPr>
            <w:cnfStyle w:val="001000000000" w:firstRow="0" w:lastRow="0" w:firstColumn="1" w:lastColumn="0" w:oddVBand="0" w:evenVBand="0" w:oddHBand="0" w:evenHBand="0" w:firstRowFirstColumn="0" w:firstRowLastColumn="0" w:lastRowFirstColumn="0" w:lastRowLastColumn="0"/>
            <w:tcW w:w="2320" w:type="dxa"/>
            <w:hideMark/>
          </w:tcPr>
          <w:p w14:paraId="58DE1CF5" w14:textId="7EE0E86E" w:rsidR="00FA5537" w:rsidRPr="00CC11D5" w:rsidRDefault="00FA5537" w:rsidP="00FA5537">
            <w:pPr>
              <w:jc w:val="center"/>
              <w:rPr>
                <w:rFonts w:ascii="Garamond" w:hAnsi="Garamond"/>
                <w:b w:val="0"/>
                <w:sz w:val="12"/>
                <w:szCs w:val="12"/>
              </w:rPr>
            </w:pPr>
            <w:r w:rsidRPr="00CC11D5">
              <w:rPr>
                <w:rFonts w:ascii="Garamond" w:hAnsi="Garamond"/>
                <w:b w:val="0"/>
                <w:sz w:val="12"/>
                <w:szCs w:val="12"/>
              </w:rPr>
              <w:t>Tatimi mbi q</w:t>
            </w:r>
            <w:r w:rsidR="00D22EA5" w:rsidRPr="00CC11D5">
              <w:rPr>
                <w:rFonts w:ascii="Garamond" w:hAnsi="Garamond"/>
                <w:b w:val="0"/>
                <w:sz w:val="12"/>
                <w:szCs w:val="12"/>
              </w:rPr>
              <w:t>i</w:t>
            </w:r>
            <w:r w:rsidRPr="00CC11D5">
              <w:rPr>
                <w:rFonts w:ascii="Garamond" w:hAnsi="Garamond"/>
                <w:b w:val="0"/>
                <w:sz w:val="12"/>
                <w:szCs w:val="12"/>
              </w:rPr>
              <w:t>ranë</w:t>
            </w:r>
          </w:p>
        </w:tc>
        <w:tc>
          <w:tcPr>
            <w:tcW w:w="1360" w:type="dxa"/>
            <w:hideMark/>
          </w:tcPr>
          <w:p w14:paraId="5C09CCE0"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487</w:t>
            </w:r>
          </w:p>
        </w:tc>
        <w:tc>
          <w:tcPr>
            <w:tcW w:w="1360" w:type="dxa"/>
            <w:hideMark/>
          </w:tcPr>
          <w:p w14:paraId="7F05A076"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1,067</w:t>
            </w:r>
          </w:p>
        </w:tc>
        <w:tc>
          <w:tcPr>
            <w:tcW w:w="1340" w:type="dxa"/>
            <w:hideMark/>
          </w:tcPr>
          <w:p w14:paraId="15E9CF13"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1,280</w:t>
            </w:r>
          </w:p>
        </w:tc>
        <w:tc>
          <w:tcPr>
            <w:tcW w:w="1540" w:type="dxa"/>
            <w:hideMark/>
          </w:tcPr>
          <w:p w14:paraId="45B9B749"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00B94BE2"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1,536</w:t>
            </w:r>
          </w:p>
        </w:tc>
        <w:tc>
          <w:tcPr>
            <w:tcW w:w="1435" w:type="dxa"/>
            <w:hideMark/>
          </w:tcPr>
          <w:p w14:paraId="5FA0C0D7"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p>
          <w:p w14:paraId="3512EA99"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sz w:val="12"/>
                <w:szCs w:val="12"/>
              </w:rPr>
              <w:t>4,369</w:t>
            </w:r>
          </w:p>
        </w:tc>
      </w:tr>
      <w:tr w:rsidR="00FA5537" w:rsidRPr="00CC11D5" w14:paraId="3DE9ABAD" w14:textId="77777777" w:rsidTr="00FA5537">
        <w:trPr>
          <w:trHeight w:val="242"/>
        </w:trPr>
        <w:tc>
          <w:tcPr>
            <w:cnfStyle w:val="001000000000" w:firstRow="0" w:lastRow="0" w:firstColumn="1" w:lastColumn="0" w:oddVBand="0" w:evenVBand="0" w:oddHBand="0" w:evenHBand="0" w:firstRowFirstColumn="0" w:firstRowLastColumn="0" w:lastRowFirstColumn="0" w:lastRowLastColumn="0"/>
            <w:tcW w:w="2320" w:type="dxa"/>
            <w:hideMark/>
          </w:tcPr>
          <w:p w14:paraId="7E5EF01F" w14:textId="77777777" w:rsidR="00FA5537" w:rsidRPr="00CC11D5" w:rsidRDefault="00FA5537" w:rsidP="00FA5537">
            <w:pPr>
              <w:jc w:val="center"/>
              <w:rPr>
                <w:rFonts w:ascii="Garamond" w:hAnsi="Garamond"/>
                <w:b w:val="0"/>
                <w:sz w:val="12"/>
                <w:szCs w:val="12"/>
              </w:rPr>
            </w:pPr>
            <w:r w:rsidRPr="00CC11D5">
              <w:rPr>
                <w:rFonts w:ascii="Garamond" w:hAnsi="Garamond"/>
                <w:b w:val="0"/>
                <w:sz w:val="12"/>
                <w:szCs w:val="12"/>
              </w:rPr>
              <w:t>Tatimi mbi pagën</w:t>
            </w:r>
          </w:p>
        </w:tc>
        <w:tc>
          <w:tcPr>
            <w:tcW w:w="1360" w:type="dxa"/>
            <w:hideMark/>
          </w:tcPr>
          <w:p w14:paraId="1B2EC150"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82</w:t>
            </w:r>
          </w:p>
        </w:tc>
        <w:tc>
          <w:tcPr>
            <w:tcW w:w="1360" w:type="dxa"/>
            <w:hideMark/>
          </w:tcPr>
          <w:p w14:paraId="6BBACAD7"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273</w:t>
            </w:r>
          </w:p>
        </w:tc>
        <w:tc>
          <w:tcPr>
            <w:tcW w:w="1340" w:type="dxa"/>
            <w:hideMark/>
          </w:tcPr>
          <w:p w14:paraId="78047D75"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5F4DEC4F"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382</w:t>
            </w:r>
          </w:p>
        </w:tc>
        <w:tc>
          <w:tcPr>
            <w:tcW w:w="1540" w:type="dxa"/>
            <w:hideMark/>
          </w:tcPr>
          <w:p w14:paraId="4B6F87D0"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10BA0CBC"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491</w:t>
            </w:r>
          </w:p>
        </w:tc>
        <w:tc>
          <w:tcPr>
            <w:tcW w:w="1435" w:type="dxa"/>
            <w:hideMark/>
          </w:tcPr>
          <w:p w14:paraId="4C87376D"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p>
          <w:p w14:paraId="7A663419"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sz w:val="12"/>
                <w:szCs w:val="12"/>
              </w:rPr>
              <w:t>1,229</w:t>
            </w:r>
          </w:p>
        </w:tc>
      </w:tr>
      <w:tr w:rsidR="00FA5537" w:rsidRPr="00CC11D5" w14:paraId="20841AFA" w14:textId="77777777" w:rsidTr="00FA5537">
        <w:trPr>
          <w:trHeight w:val="300"/>
        </w:trPr>
        <w:tc>
          <w:tcPr>
            <w:cnfStyle w:val="001000000000" w:firstRow="0" w:lastRow="0" w:firstColumn="1" w:lastColumn="0" w:oddVBand="0" w:evenVBand="0" w:oddHBand="0" w:evenHBand="0" w:firstRowFirstColumn="0" w:firstRowLastColumn="0" w:lastRowFirstColumn="0" w:lastRowLastColumn="0"/>
            <w:tcW w:w="2320" w:type="dxa"/>
            <w:hideMark/>
          </w:tcPr>
          <w:p w14:paraId="486BEAC8" w14:textId="77777777" w:rsidR="00FA5537" w:rsidRPr="00CC11D5" w:rsidRDefault="00FA5537" w:rsidP="00FA5537">
            <w:pPr>
              <w:jc w:val="center"/>
              <w:rPr>
                <w:rFonts w:ascii="Garamond" w:hAnsi="Garamond"/>
                <w:b w:val="0"/>
                <w:sz w:val="12"/>
                <w:szCs w:val="12"/>
              </w:rPr>
            </w:pPr>
            <w:r w:rsidRPr="00CC11D5">
              <w:rPr>
                <w:rFonts w:ascii="Garamond" w:hAnsi="Garamond"/>
                <w:b w:val="0"/>
                <w:sz w:val="12"/>
                <w:szCs w:val="12"/>
              </w:rPr>
              <w:t>Kontributet e sigurimeve shoqërore dhe shëndetësore</w:t>
            </w:r>
          </w:p>
        </w:tc>
        <w:tc>
          <w:tcPr>
            <w:tcW w:w="1360" w:type="dxa"/>
            <w:hideMark/>
          </w:tcPr>
          <w:p w14:paraId="6F1AD9D0"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390</w:t>
            </w:r>
          </w:p>
        </w:tc>
        <w:tc>
          <w:tcPr>
            <w:tcW w:w="1360" w:type="dxa"/>
            <w:hideMark/>
          </w:tcPr>
          <w:p w14:paraId="7422F4A0"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907</w:t>
            </w:r>
          </w:p>
        </w:tc>
        <w:tc>
          <w:tcPr>
            <w:tcW w:w="1340" w:type="dxa"/>
            <w:hideMark/>
          </w:tcPr>
          <w:p w14:paraId="7C0F85E6"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1,088</w:t>
            </w:r>
          </w:p>
        </w:tc>
        <w:tc>
          <w:tcPr>
            <w:tcW w:w="1540" w:type="dxa"/>
            <w:hideMark/>
          </w:tcPr>
          <w:p w14:paraId="7A90B86B"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1,322</w:t>
            </w:r>
          </w:p>
        </w:tc>
        <w:tc>
          <w:tcPr>
            <w:tcW w:w="1435" w:type="dxa"/>
            <w:hideMark/>
          </w:tcPr>
          <w:p w14:paraId="1CFFE86B"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sz w:val="12"/>
                <w:szCs w:val="12"/>
              </w:rPr>
              <w:t>3,708</w:t>
            </w:r>
          </w:p>
        </w:tc>
      </w:tr>
      <w:tr w:rsidR="00FA5537" w:rsidRPr="00CC11D5" w14:paraId="3C19FE7C" w14:textId="77777777" w:rsidTr="00CC11D5">
        <w:trPr>
          <w:trHeight w:val="188"/>
        </w:trPr>
        <w:tc>
          <w:tcPr>
            <w:cnfStyle w:val="001000000000" w:firstRow="0" w:lastRow="0" w:firstColumn="1" w:lastColumn="0" w:oddVBand="0" w:evenVBand="0" w:oddHBand="0" w:evenHBand="0" w:firstRowFirstColumn="0" w:firstRowLastColumn="0" w:lastRowFirstColumn="0" w:lastRowLastColumn="0"/>
            <w:tcW w:w="2320" w:type="dxa"/>
            <w:hideMark/>
          </w:tcPr>
          <w:p w14:paraId="070BB4F4" w14:textId="77777777" w:rsidR="00FA5537" w:rsidRPr="00CC11D5" w:rsidRDefault="00FA5537" w:rsidP="00FA5537">
            <w:pPr>
              <w:jc w:val="center"/>
              <w:rPr>
                <w:rFonts w:ascii="Garamond" w:hAnsi="Garamond"/>
                <w:sz w:val="12"/>
                <w:szCs w:val="12"/>
              </w:rPr>
            </w:pPr>
            <w:r w:rsidRPr="00CC11D5">
              <w:rPr>
                <w:rFonts w:ascii="Garamond" w:hAnsi="Garamond"/>
                <w:sz w:val="12"/>
                <w:szCs w:val="12"/>
              </w:rPr>
              <w:t>Totali</w:t>
            </w:r>
          </w:p>
        </w:tc>
        <w:tc>
          <w:tcPr>
            <w:tcW w:w="1360" w:type="dxa"/>
            <w:hideMark/>
          </w:tcPr>
          <w:p w14:paraId="672996BB"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sz w:val="12"/>
                <w:szCs w:val="12"/>
              </w:rPr>
              <w:t>16,577</w:t>
            </w:r>
          </w:p>
        </w:tc>
        <w:tc>
          <w:tcPr>
            <w:tcW w:w="1360" w:type="dxa"/>
            <w:hideMark/>
          </w:tcPr>
          <w:p w14:paraId="41887693"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sz w:val="12"/>
                <w:szCs w:val="12"/>
              </w:rPr>
              <w:t>13,755</w:t>
            </w:r>
          </w:p>
        </w:tc>
        <w:tc>
          <w:tcPr>
            <w:tcW w:w="1340" w:type="dxa"/>
            <w:hideMark/>
          </w:tcPr>
          <w:p w14:paraId="2B39BBCC"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sz w:val="12"/>
                <w:szCs w:val="12"/>
              </w:rPr>
              <w:t>10,069</w:t>
            </w:r>
          </w:p>
        </w:tc>
        <w:tc>
          <w:tcPr>
            <w:tcW w:w="1540" w:type="dxa"/>
            <w:hideMark/>
          </w:tcPr>
          <w:p w14:paraId="60E64525"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sz w:val="12"/>
                <w:szCs w:val="12"/>
              </w:rPr>
              <w:t>10,665</w:t>
            </w:r>
          </w:p>
        </w:tc>
        <w:tc>
          <w:tcPr>
            <w:tcW w:w="1435" w:type="dxa"/>
            <w:hideMark/>
          </w:tcPr>
          <w:p w14:paraId="7CF77394" w14:textId="77777777" w:rsidR="00FA5537" w:rsidRPr="00CC11D5" w:rsidRDefault="00FA5537" w:rsidP="00FA553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sz w:val="12"/>
                <w:szCs w:val="12"/>
              </w:rPr>
              <w:t>51,067</w:t>
            </w:r>
          </w:p>
        </w:tc>
      </w:tr>
    </w:tbl>
    <w:p w14:paraId="4C44AF7E" w14:textId="0E3C0A50" w:rsidR="00FA5537" w:rsidRPr="00830F4C" w:rsidRDefault="00FA5537" w:rsidP="00FA5537">
      <w:pPr>
        <w:pStyle w:val="Heading2"/>
        <w:spacing w:before="0"/>
        <w:ind w:firstLine="284"/>
        <w:rPr>
          <w:rFonts w:ascii="Garamond" w:hAnsi="Garamond" w:cs="Times New Roman"/>
          <w:b/>
          <w:bCs/>
          <w:color w:val="auto"/>
          <w:sz w:val="24"/>
          <w:szCs w:val="24"/>
        </w:rPr>
      </w:pPr>
      <w:bookmarkStart w:id="33" w:name="_Toc167123150"/>
      <w:bookmarkStart w:id="34" w:name="_Toc172271633"/>
      <w:bookmarkStart w:id="35" w:name="_Toc185235093"/>
      <w:r w:rsidRPr="00830F4C">
        <w:rPr>
          <w:rFonts w:ascii="Garamond" w:hAnsi="Garamond" w:cs="Times New Roman"/>
          <w:b/>
          <w:bCs/>
          <w:color w:val="auto"/>
          <w:sz w:val="24"/>
          <w:szCs w:val="24"/>
        </w:rPr>
        <w:t xml:space="preserve">V.2. Komponenti 2.1 </w:t>
      </w:r>
      <w:r w:rsidRPr="00830F4C">
        <w:rPr>
          <w:rFonts w:ascii="Garamond" w:hAnsi="Garamond" w:cs="Times New Roman"/>
          <w:b/>
          <w:color w:val="auto"/>
          <w:sz w:val="24"/>
          <w:szCs w:val="24"/>
        </w:rPr>
        <w:t>Zvogëlimi i hendekut të pajtueshmërisë në lidhje me</w:t>
      </w:r>
      <w:r w:rsidR="00DE65FB">
        <w:rPr>
          <w:rFonts w:ascii="Garamond" w:hAnsi="Garamond" w:cs="Times New Roman"/>
          <w:b/>
          <w:color w:val="auto"/>
          <w:sz w:val="24"/>
          <w:szCs w:val="24"/>
        </w:rPr>
        <w:t xml:space="preserve"> TVSh</w:t>
      </w:r>
      <w:r w:rsidRPr="00830F4C">
        <w:rPr>
          <w:rFonts w:ascii="Garamond" w:hAnsi="Garamond" w:cs="Times New Roman"/>
          <w:b/>
          <w:color w:val="auto"/>
          <w:sz w:val="24"/>
          <w:szCs w:val="24"/>
        </w:rPr>
        <w:t>-në</w:t>
      </w:r>
      <w:bookmarkEnd w:id="33"/>
      <w:bookmarkEnd w:id="34"/>
      <w:bookmarkEnd w:id="35"/>
    </w:p>
    <w:p w14:paraId="020D4374" w14:textId="77777777" w:rsidR="00FA5537" w:rsidRPr="00830F4C" w:rsidRDefault="00FA5537" w:rsidP="00FA5537">
      <w:pPr>
        <w:ind w:firstLine="284"/>
        <w:jc w:val="both"/>
        <w:rPr>
          <w:rFonts w:ascii="Garamond" w:hAnsi="Garamond"/>
          <w:b/>
        </w:rPr>
      </w:pPr>
      <w:r w:rsidRPr="00830F4C">
        <w:rPr>
          <w:rFonts w:ascii="Garamond" w:hAnsi="Garamond"/>
          <w:b/>
        </w:rPr>
        <w:t>Objektivi</w:t>
      </w:r>
    </w:p>
    <w:p w14:paraId="51E161FA" w14:textId="23EA836D" w:rsidR="00FA5537" w:rsidRPr="00830F4C" w:rsidRDefault="00FA5537" w:rsidP="00FA5537">
      <w:pPr>
        <w:ind w:firstLine="284"/>
        <w:jc w:val="both"/>
        <w:rPr>
          <w:rFonts w:ascii="Garamond" w:hAnsi="Garamond"/>
        </w:rPr>
      </w:pPr>
      <w:r w:rsidRPr="00830F4C">
        <w:rPr>
          <w:rFonts w:ascii="Garamond" w:hAnsi="Garamond"/>
        </w:rPr>
        <w:t>Synohet që në periudhën 4</w:t>
      </w:r>
      <w:r w:rsidR="0052377F" w:rsidRPr="00830F4C">
        <w:rPr>
          <w:rFonts w:ascii="Garamond" w:hAnsi="Garamond"/>
        </w:rPr>
        <w:t>-</w:t>
      </w:r>
      <w:r w:rsidRPr="00830F4C">
        <w:rPr>
          <w:rFonts w:ascii="Garamond" w:hAnsi="Garamond"/>
        </w:rPr>
        <w:t>vjeçare, hendeku i</w:t>
      </w:r>
      <w:r w:rsidR="00DE65FB">
        <w:rPr>
          <w:rFonts w:ascii="Garamond" w:hAnsi="Garamond"/>
        </w:rPr>
        <w:t xml:space="preserve"> TVSh</w:t>
      </w:r>
      <w:r w:rsidRPr="00830F4C">
        <w:rPr>
          <w:rFonts w:ascii="Garamond" w:hAnsi="Garamond"/>
        </w:rPr>
        <w:t>-së të zvogëlohet me 0.92% e PBB</w:t>
      </w:r>
      <w:r w:rsidR="00D22EA5" w:rsidRPr="00830F4C">
        <w:rPr>
          <w:rFonts w:ascii="Garamond" w:hAnsi="Garamond"/>
        </w:rPr>
        <w:t>-së</w:t>
      </w:r>
      <w:r w:rsidRPr="00830F4C">
        <w:rPr>
          <w:rFonts w:ascii="Garamond" w:hAnsi="Garamond"/>
        </w:rPr>
        <w:t xml:space="preserve">, e vlerësuar në rreth 23.5 </w:t>
      </w:r>
      <w:r w:rsidR="00D22EA5" w:rsidRPr="00830F4C">
        <w:rPr>
          <w:rFonts w:ascii="Garamond" w:hAnsi="Garamond"/>
        </w:rPr>
        <w:t xml:space="preserve">miliardë </w:t>
      </w:r>
      <w:r w:rsidRPr="00830F4C">
        <w:rPr>
          <w:rFonts w:ascii="Garamond" w:hAnsi="Garamond"/>
        </w:rPr>
        <w:t>Lek. Ky objektiv synohet të arrihet nëpërmjet impaktit pozitiv në sistemin fiskal të projektit të fiskalizimit, i kombinuar ky me masa të tjera që do të ndërmerren në sektorët më me risk për</w:t>
      </w:r>
      <w:r w:rsidR="00DE65FB">
        <w:rPr>
          <w:rFonts w:ascii="Garamond" w:hAnsi="Garamond"/>
        </w:rPr>
        <w:t xml:space="preserve"> TVSh</w:t>
      </w:r>
      <w:r w:rsidRPr="00830F4C">
        <w:rPr>
          <w:rFonts w:ascii="Garamond" w:hAnsi="Garamond"/>
        </w:rPr>
        <w:t>-në, zgjerimin e bazës së tatueshme të tatimpaguesve të përfshirë në këtë përgjegjësi si dhe vëmendjen maksimale për identifikimin dhe goditjen e skemave të mashtrimit me</w:t>
      </w:r>
      <w:r w:rsidR="00DE65FB">
        <w:rPr>
          <w:rFonts w:ascii="Garamond" w:hAnsi="Garamond"/>
        </w:rPr>
        <w:t xml:space="preserve"> TVSh</w:t>
      </w:r>
      <w:r w:rsidRPr="00830F4C">
        <w:rPr>
          <w:rFonts w:ascii="Garamond" w:hAnsi="Garamond"/>
        </w:rPr>
        <w:t>-në. Sektorët me fokus prioritar do të jenë: ndërtimi, turizmi dhe tregtia elektronike.</w:t>
      </w:r>
    </w:p>
    <w:p w14:paraId="4E788D70" w14:textId="77777777" w:rsidR="00FA5537" w:rsidRPr="00830F4C" w:rsidRDefault="00FA5537" w:rsidP="00FA5537">
      <w:pPr>
        <w:ind w:firstLine="284"/>
        <w:jc w:val="both"/>
        <w:rPr>
          <w:rFonts w:ascii="Garamond" w:hAnsi="Garamond"/>
          <w:b/>
        </w:rPr>
      </w:pPr>
      <w:r w:rsidRPr="00830F4C">
        <w:rPr>
          <w:rFonts w:ascii="Garamond" w:hAnsi="Garamond"/>
          <w:b/>
        </w:rPr>
        <w:t>Konteksti</w:t>
      </w:r>
    </w:p>
    <w:p w14:paraId="01D6D576" w14:textId="50BD317D" w:rsidR="00FA5537" w:rsidRPr="00830F4C" w:rsidRDefault="00FA5537" w:rsidP="00FA5537">
      <w:pPr>
        <w:ind w:firstLine="284"/>
        <w:jc w:val="both"/>
        <w:rPr>
          <w:rFonts w:ascii="Garamond" w:hAnsi="Garamond"/>
        </w:rPr>
      </w:pPr>
      <w:r w:rsidRPr="00830F4C">
        <w:rPr>
          <w:rFonts w:ascii="Garamond" w:hAnsi="Garamond"/>
        </w:rPr>
        <w:t>Të ardhurat në total nga</w:t>
      </w:r>
      <w:r w:rsidR="00DE65FB">
        <w:rPr>
          <w:rFonts w:ascii="Garamond" w:hAnsi="Garamond"/>
        </w:rPr>
        <w:t xml:space="preserve"> TVSh</w:t>
      </w:r>
      <w:r w:rsidRPr="00830F4C">
        <w:rPr>
          <w:rFonts w:ascii="Garamond" w:hAnsi="Garamond"/>
        </w:rPr>
        <w:t>, në import dhe</w:t>
      </w:r>
      <w:r w:rsidR="00DE65FB">
        <w:rPr>
          <w:rFonts w:ascii="Garamond" w:hAnsi="Garamond"/>
        </w:rPr>
        <w:t xml:space="preserve"> TVSh</w:t>
      </w:r>
      <w:r w:rsidR="00D22EA5" w:rsidRPr="00830F4C">
        <w:rPr>
          <w:rFonts w:ascii="Garamond" w:hAnsi="Garamond"/>
        </w:rPr>
        <w:t xml:space="preserve"> </w:t>
      </w:r>
      <w:r w:rsidRPr="00830F4C">
        <w:rPr>
          <w:rFonts w:ascii="Garamond" w:hAnsi="Garamond"/>
        </w:rPr>
        <w:t>e brendshme, përbëjnë 30% të totalit të të ardhurave të buxhetit të shtetit ose 8.32% e PBB</w:t>
      </w:r>
      <w:r w:rsidR="00D22EA5" w:rsidRPr="00830F4C">
        <w:rPr>
          <w:rFonts w:ascii="Garamond" w:hAnsi="Garamond"/>
        </w:rPr>
        <w:t>-së</w:t>
      </w:r>
      <w:r w:rsidRPr="00830F4C">
        <w:rPr>
          <w:rFonts w:ascii="Garamond" w:hAnsi="Garamond"/>
        </w:rPr>
        <w:t xml:space="preserve"> në vitin 2023. Të ndara sipas administratave fiskale,</w:t>
      </w:r>
      <w:r w:rsidR="00DE65FB">
        <w:rPr>
          <w:rFonts w:ascii="Garamond" w:hAnsi="Garamond"/>
        </w:rPr>
        <w:t xml:space="preserve"> TVSh</w:t>
      </w:r>
      <w:r w:rsidRPr="00830F4C">
        <w:rPr>
          <w:rFonts w:ascii="Garamond" w:hAnsi="Garamond"/>
        </w:rPr>
        <w:t xml:space="preserve"> e brendshme neto është në masën 1.99% e PBB</w:t>
      </w:r>
      <w:r w:rsidR="00D22EA5" w:rsidRPr="00830F4C">
        <w:rPr>
          <w:rFonts w:ascii="Garamond" w:hAnsi="Garamond"/>
        </w:rPr>
        <w:t>-së</w:t>
      </w:r>
      <w:r w:rsidRPr="00830F4C">
        <w:rPr>
          <w:rFonts w:ascii="Garamond" w:hAnsi="Garamond"/>
        </w:rPr>
        <w:t xml:space="preserve"> ndërsa në import është 6.33% e PBB</w:t>
      </w:r>
      <w:r w:rsidR="00D22EA5" w:rsidRPr="00830F4C">
        <w:rPr>
          <w:rFonts w:ascii="Garamond" w:hAnsi="Garamond"/>
        </w:rPr>
        <w:t>-së</w:t>
      </w:r>
      <w:r w:rsidRPr="00830F4C">
        <w:rPr>
          <w:rFonts w:ascii="Garamond" w:hAnsi="Garamond"/>
        </w:rPr>
        <w:t xml:space="preserve">. </w:t>
      </w:r>
    </w:p>
    <w:p w14:paraId="29C7C631" w14:textId="283F3E51" w:rsidR="00FA5537" w:rsidRPr="00830F4C" w:rsidRDefault="00FA5537" w:rsidP="00FA5537">
      <w:pPr>
        <w:ind w:firstLine="284"/>
        <w:jc w:val="both"/>
        <w:rPr>
          <w:rFonts w:ascii="Garamond" w:hAnsi="Garamond"/>
        </w:rPr>
      </w:pPr>
      <w:r w:rsidRPr="00830F4C">
        <w:rPr>
          <w:rFonts w:ascii="Garamond" w:hAnsi="Garamond"/>
        </w:rPr>
        <w:t>Vitet e fundit është shënuar rritje pozitive në</w:t>
      </w:r>
      <w:r w:rsidR="00DE65FB">
        <w:rPr>
          <w:rFonts w:ascii="Garamond" w:hAnsi="Garamond"/>
        </w:rPr>
        <w:t xml:space="preserve"> TVSh</w:t>
      </w:r>
      <w:r w:rsidRPr="00830F4C">
        <w:rPr>
          <w:rFonts w:ascii="Garamond" w:hAnsi="Garamond"/>
        </w:rPr>
        <w:t>-në e brendshme, rezultat ky i përmirësimit në deklarim pas implementimit të sistemit të ri të fiskalizimit dhe kryesisht faturës elektronike. Kështu, nga 1.63% e PBB</w:t>
      </w:r>
      <w:r w:rsidR="00D22EA5" w:rsidRPr="00830F4C">
        <w:rPr>
          <w:rFonts w:ascii="Garamond" w:hAnsi="Garamond"/>
        </w:rPr>
        <w:t>-së</w:t>
      </w:r>
      <w:r w:rsidRPr="00830F4C">
        <w:rPr>
          <w:rFonts w:ascii="Garamond" w:hAnsi="Garamond"/>
        </w:rPr>
        <w:t xml:space="preserve"> në vitin 2021,</w:t>
      </w:r>
      <w:r w:rsidR="00DE65FB">
        <w:rPr>
          <w:rFonts w:ascii="Garamond" w:hAnsi="Garamond"/>
        </w:rPr>
        <w:t xml:space="preserve"> TVSh</w:t>
      </w:r>
      <w:r w:rsidR="00D22EA5" w:rsidRPr="00830F4C">
        <w:rPr>
          <w:rFonts w:ascii="Garamond" w:hAnsi="Garamond"/>
        </w:rPr>
        <w:t xml:space="preserve"> </w:t>
      </w:r>
      <w:r w:rsidRPr="00830F4C">
        <w:rPr>
          <w:rFonts w:ascii="Garamond" w:hAnsi="Garamond"/>
        </w:rPr>
        <w:t>e brendshme arriti në 1.99% e PBB</w:t>
      </w:r>
      <w:r w:rsidR="00D22EA5" w:rsidRPr="00830F4C">
        <w:rPr>
          <w:rFonts w:ascii="Garamond" w:hAnsi="Garamond"/>
        </w:rPr>
        <w:t>-së</w:t>
      </w:r>
      <w:r w:rsidRPr="00830F4C">
        <w:rPr>
          <w:rFonts w:ascii="Garamond" w:hAnsi="Garamond"/>
        </w:rPr>
        <w:t xml:space="preserve"> në vitin 2023, me një rritje prej 0.36% e PBB</w:t>
      </w:r>
      <w:r w:rsidR="00D22EA5" w:rsidRPr="00830F4C">
        <w:rPr>
          <w:rFonts w:ascii="Garamond" w:hAnsi="Garamond"/>
        </w:rPr>
        <w:t>-së</w:t>
      </w:r>
      <w:r w:rsidRPr="00830F4C">
        <w:rPr>
          <w:rFonts w:ascii="Garamond" w:hAnsi="Garamond"/>
        </w:rPr>
        <w:t xml:space="preserve"> ose 15,7 </w:t>
      </w:r>
      <w:r w:rsidR="00D22EA5" w:rsidRPr="00830F4C">
        <w:rPr>
          <w:rFonts w:ascii="Garamond" w:hAnsi="Garamond"/>
        </w:rPr>
        <w:t xml:space="preserve">miliardë </w:t>
      </w:r>
      <w:r w:rsidRPr="00830F4C">
        <w:rPr>
          <w:rFonts w:ascii="Garamond" w:hAnsi="Garamond"/>
        </w:rPr>
        <w:t>lek më shumë, brenda tre viteve.</w:t>
      </w:r>
    </w:p>
    <w:p w14:paraId="700B13BA" w14:textId="713791A6" w:rsidR="00FA5537" w:rsidRPr="00830F4C" w:rsidRDefault="00FA5537" w:rsidP="00FA5537">
      <w:pPr>
        <w:ind w:firstLine="284"/>
        <w:jc w:val="both"/>
        <w:rPr>
          <w:rFonts w:ascii="Garamond" w:hAnsi="Garamond"/>
        </w:rPr>
      </w:pPr>
      <w:r w:rsidRPr="00830F4C">
        <w:rPr>
          <w:rFonts w:ascii="Garamond" w:hAnsi="Garamond"/>
        </w:rPr>
        <w:t>Në Shqipëri, 27% e bizneseve aktive subjekt i tatimit të thjeshtuar mbi fitimin ose tatimit mbi fitimin janë pagues të</w:t>
      </w:r>
      <w:r w:rsidR="00DE65FB">
        <w:rPr>
          <w:rFonts w:ascii="Garamond" w:hAnsi="Garamond"/>
        </w:rPr>
        <w:t xml:space="preserve"> TVSh</w:t>
      </w:r>
      <w:r w:rsidRPr="00830F4C">
        <w:rPr>
          <w:rFonts w:ascii="Garamond" w:hAnsi="Garamond"/>
        </w:rPr>
        <w:t>. Në vitin 2023 janë 33,283 tatimpagues deklarues</w:t>
      </w:r>
      <w:r w:rsidR="00DE65FB">
        <w:rPr>
          <w:rFonts w:ascii="Garamond" w:hAnsi="Garamond"/>
        </w:rPr>
        <w:t xml:space="preserve"> TVSh</w:t>
      </w:r>
      <w:r w:rsidRPr="00830F4C">
        <w:rPr>
          <w:rFonts w:ascii="Garamond" w:hAnsi="Garamond"/>
        </w:rPr>
        <w:t>, ku pjesa më e madhe e tyre operojnë në sektorin e tregtisë me shumicë, tregtisë me pakicë, në sektorin e ndërtimi, akomodimit, bar-kafe dhe transportit. Ndërsa sipas kontributit në pagesat e</w:t>
      </w:r>
      <w:r w:rsidR="00DE65FB">
        <w:rPr>
          <w:rFonts w:ascii="Garamond" w:hAnsi="Garamond"/>
        </w:rPr>
        <w:t xml:space="preserve"> TVSh</w:t>
      </w:r>
      <w:r w:rsidRPr="00830F4C">
        <w:rPr>
          <w:rFonts w:ascii="Garamond" w:hAnsi="Garamond"/>
        </w:rPr>
        <w:t>,</w:t>
      </w:r>
      <w:r w:rsidR="00D22EA5" w:rsidRPr="00830F4C">
        <w:rPr>
          <w:rFonts w:ascii="Garamond" w:hAnsi="Garamond"/>
        </w:rPr>
        <w:t xml:space="preserve"> </w:t>
      </w:r>
      <w:r w:rsidRPr="00830F4C">
        <w:rPr>
          <w:rFonts w:ascii="Garamond" w:hAnsi="Garamond"/>
        </w:rPr>
        <w:t>grafiku më poshtë jep të ardhurat nga</w:t>
      </w:r>
      <w:r w:rsidR="00DE65FB">
        <w:rPr>
          <w:rFonts w:ascii="Garamond" w:hAnsi="Garamond"/>
        </w:rPr>
        <w:t xml:space="preserve"> TVSh</w:t>
      </w:r>
      <w:r w:rsidR="00D22EA5" w:rsidRPr="00830F4C">
        <w:rPr>
          <w:rFonts w:ascii="Garamond" w:hAnsi="Garamond"/>
        </w:rPr>
        <w:t xml:space="preserve"> </w:t>
      </w:r>
      <w:r w:rsidRPr="00830F4C">
        <w:rPr>
          <w:rFonts w:ascii="Garamond" w:hAnsi="Garamond"/>
        </w:rPr>
        <w:t>totale paguar sipas sektorëve kryesorë të ekonomisë, ku rezulton se tregtia me shumicë, ndërtimi, telekomunikacioni dhe bar kafet janë sektorët që kontribuojnë me më shumë të ardhura në</w:t>
      </w:r>
      <w:r w:rsidR="00DE65FB">
        <w:rPr>
          <w:rFonts w:ascii="Garamond" w:hAnsi="Garamond"/>
        </w:rPr>
        <w:t xml:space="preserve"> TVSh</w:t>
      </w:r>
      <w:r w:rsidRPr="00830F4C">
        <w:rPr>
          <w:rFonts w:ascii="Garamond" w:hAnsi="Garamond"/>
        </w:rPr>
        <w:t>.</w:t>
      </w:r>
    </w:p>
    <w:p w14:paraId="7400B3D0" w14:textId="77777777" w:rsidR="00FA5537" w:rsidRDefault="00FA5537" w:rsidP="00FA5537">
      <w:pPr>
        <w:ind w:firstLine="284"/>
        <w:jc w:val="both"/>
        <w:rPr>
          <w:rFonts w:ascii="Garamond" w:hAnsi="Garamond"/>
        </w:rPr>
      </w:pPr>
    </w:p>
    <w:p w14:paraId="3E5E0CDB" w14:textId="77777777" w:rsidR="00683C3D" w:rsidRDefault="00683C3D" w:rsidP="00FA5537">
      <w:pPr>
        <w:ind w:firstLine="284"/>
        <w:jc w:val="both"/>
        <w:rPr>
          <w:rFonts w:ascii="Garamond" w:hAnsi="Garamond"/>
        </w:rPr>
      </w:pPr>
    </w:p>
    <w:p w14:paraId="39200440" w14:textId="77777777" w:rsidR="00683C3D" w:rsidRPr="00830F4C" w:rsidRDefault="00683C3D" w:rsidP="00FA5537">
      <w:pPr>
        <w:ind w:firstLine="284"/>
        <w:jc w:val="both"/>
        <w:rPr>
          <w:rFonts w:ascii="Garamond" w:hAnsi="Garamond"/>
        </w:rPr>
      </w:pPr>
    </w:p>
    <w:p w14:paraId="59FF2C78" w14:textId="2C6118FC" w:rsidR="00FA5537" w:rsidRPr="00830F4C" w:rsidRDefault="00FA5537" w:rsidP="00FA5537">
      <w:pPr>
        <w:pStyle w:val="Caption"/>
        <w:keepNext/>
        <w:spacing w:after="0"/>
        <w:rPr>
          <w:rFonts w:ascii="Garamond" w:hAnsi="Garamond"/>
          <w:color w:val="auto"/>
          <w:sz w:val="20"/>
          <w:szCs w:val="20"/>
        </w:rPr>
      </w:pPr>
      <w:bookmarkStart w:id="36" w:name="_Toc185235136"/>
      <w:bookmarkStart w:id="37" w:name="_Toc172043342"/>
      <w:r w:rsidRPr="00830F4C">
        <w:rPr>
          <w:rFonts w:ascii="Garamond" w:hAnsi="Garamond"/>
          <w:color w:val="auto"/>
          <w:sz w:val="20"/>
          <w:szCs w:val="20"/>
        </w:rPr>
        <w:t xml:space="preserve">Tabela </w:t>
      </w:r>
      <w:r w:rsidRPr="00830F4C">
        <w:rPr>
          <w:rFonts w:ascii="Garamond" w:hAnsi="Garamond"/>
          <w:color w:val="auto"/>
          <w:sz w:val="20"/>
          <w:szCs w:val="20"/>
        </w:rPr>
        <w:fldChar w:fldCharType="begin"/>
      </w:r>
      <w:r w:rsidRPr="00830F4C">
        <w:rPr>
          <w:rFonts w:ascii="Garamond" w:hAnsi="Garamond"/>
          <w:color w:val="auto"/>
          <w:sz w:val="20"/>
          <w:szCs w:val="20"/>
        </w:rPr>
        <w:instrText xml:space="preserve"> SEQ Tabela \* ARABIC </w:instrText>
      </w:r>
      <w:r w:rsidRPr="00830F4C">
        <w:rPr>
          <w:rFonts w:ascii="Garamond" w:hAnsi="Garamond"/>
          <w:color w:val="auto"/>
          <w:sz w:val="20"/>
          <w:szCs w:val="20"/>
        </w:rPr>
        <w:fldChar w:fldCharType="separate"/>
      </w:r>
      <w:r w:rsidRPr="00830F4C">
        <w:rPr>
          <w:rFonts w:ascii="Garamond" w:hAnsi="Garamond"/>
          <w:color w:val="auto"/>
          <w:sz w:val="20"/>
          <w:szCs w:val="20"/>
        </w:rPr>
        <w:t>11</w:t>
      </w:r>
      <w:r w:rsidRPr="00830F4C">
        <w:rPr>
          <w:rFonts w:ascii="Garamond" w:hAnsi="Garamond"/>
          <w:color w:val="auto"/>
          <w:sz w:val="20"/>
          <w:szCs w:val="20"/>
        </w:rPr>
        <w:fldChar w:fldCharType="end"/>
      </w:r>
      <w:r w:rsidRPr="00830F4C">
        <w:rPr>
          <w:rFonts w:ascii="Garamond" w:hAnsi="Garamond" w:cs="Times New Roman"/>
          <w:color w:val="auto"/>
          <w:sz w:val="20"/>
          <w:szCs w:val="20"/>
        </w:rPr>
        <w:t xml:space="preserve"> : Realizimi i</w:t>
      </w:r>
      <w:r w:rsidR="00DE65FB">
        <w:rPr>
          <w:rFonts w:ascii="Garamond" w:hAnsi="Garamond" w:cs="Times New Roman"/>
          <w:color w:val="auto"/>
          <w:sz w:val="20"/>
          <w:szCs w:val="20"/>
        </w:rPr>
        <w:t xml:space="preserve"> TVSh</w:t>
      </w:r>
      <w:r w:rsidR="00D22EA5" w:rsidRPr="00830F4C">
        <w:rPr>
          <w:rFonts w:ascii="Garamond" w:hAnsi="Garamond" w:cs="Times New Roman"/>
          <w:color w:val="auto"/>
          <w:sz w:val="20"/>
          <w:szCs w:val="20"/>
        </w:rPr>
        <w:t xml:space="preserve"> </w:t>
      </w:r>
      <w:r w:rsidRPr="00830F4C">
        <w:rPr>
          <w:rFonts w:ascii="Garamond" w:hAnsi="Garamond" w:cs="Times New Roman"/>
          <w:color w:val="auto"/>
          <w:sz w:val="20"/>
          <w:szCs w:val="20"/>
        </w:rPr>
        <w:t>sipas Administratave fiskale, në vlerë dhe % ndaj PBB</w:t>
      </w:r>
      <w:r w:rsidR="00236281" w:rsidRPr="00830F4C">
        <w:rPr>
          <w:rFonts w:ascii="Garamond" w:hAnsi="Garamond"/>
        </w:rPr>
        <w:t>-së</w:t>
      </w:r>
      <w:r w:rsidRPr="00830F4C">
        <w:rPr>
          <w:rFonts w:ascii="Garamond" w:hAnsi="Garamond" w:cs="Times New Roman"/>
          <w:color w:val="auto"/>
          <w:sz w:val="20"/>
          <w:szCs w:val="20"/>
        </w:rPr>
        <w:t>.</w:t>
      </w:r>
      <w:bookmarkEnd w:id="36"/>
    </w:p>
    <w:bookmarkEnd w:id="37"/>
    <w:p w14:paraId="2D59E5D1" w14:textId="7889516A" w:rsidR="00FA5537" w:rsidRPr="00830F4C" w:rsidRDefault="00377F8B" w:rsidP="00FA5537">
      <w:pPr>
        <w:jc w:val="right"/>
        <w:rPr>
          <w:rFonts w:ascii="Garamond" w:hAnsi="Garamond"/>
          <w:i/>
        </w:rPr>
      </w:pPr>
      <w:r w:rsidRPr="00830F4C">
        <w:rPr>
          <w:rFonts w:ascii="Garamond" w:hAnsi="Garamond"/>
          <w:i/>
        </w:rPr>
        <w:t>n</w:t>
      </w:r>
      <w:r w:rsidR="00FA5537" w:rsidRPr="00830F4C">
        <w:rPr>
          <w:rFonts w:ascii="Garamond" w:hAnsi="Garamond"/>
          <w:i/>
        </w:rPr>
        <w:t>ë milionë lek</w:t>
      </w:r>
      <w:r w:rsidR="00D22EA5" w:rsidRPr="00830F4C">
        <w:rPr>
          <w:rFonts w:ascii="Garamond" w:hAnsi="Garamond"/>
          <w:i/>
        </w:rPr>
        <w:t>ë</w:t>
      </w:r>
    </w:p>
    <w:tbl>
      <w:tblPr>
        <w:tblW w:w="9034" w:type="dxa"/>
        <w:tblLook w:val="04A0" w:firstRow="1" w:lastRow="0" w:firstColumn="1" w:lastColumn="0" w:noHBand="0" w:noVBand="1"/>
      </w:tblPr>
      <w:tblGrid>
        <w:gridCol w:w="669"/>
        <w:gridCol w:w="939"/>
        <w:gridCol w:w="993"/>
        <w:gridCol w:w="880"/>
        <w:gridCol w:w="887"/>
        <w:gridCol w:w="939"/>
        <w:gridCol w:w="1005"/>
        <w:gridCol w:w="939"/>
        <w:gridCol w:w="993"/>
        <w:gridCol w:w="790"/>
      </w:tblGrid>
      <w:tr w:rsidR="00FA5537" w:rsidRPr="00CC11D5" w14:paraId="27EE8F27" w14:textId="77777777" w:rsidTr="00FA5537">
        <w:trPr>
          <w:trHeight w:val="260"/>
        </w:trPr>
        <w:tc>
          <w:tcPr>
            <w:tcW w:w="0" w:type="auto"/>
            <w:vMerge w:val="restart"/>
            <w:tcBorders>
              <w:top w:val="single" w:sz="12" w:space="0" w:color="F4B083"/>
              <w:left w:val="single" w:sz="8" w:space="0" w:color="F7CAAC"/>
              <w:bottom w:val="single" w:sz="8" w:space="0" w:color="F7CAAC"/>
              <w:right w:val="single" w:sz="8" w:space="0" w:color="F7CAAC"/>
            </w:tcBorders>
            <w:shd w:val="clear" w:color="auto" w:fill="auto"/>
            <w:noWrap/>
            <w:hideMark/>
          </w:tcPr>
          <w:p w14:paraId="6CD23DD1" w14:textId="77777777" w:rsidR="00FA5537" w:rsidRPr="00CC11D5" w:rsidRDefault="00FA5537" w:rsidP="00FA5537">
            <w:pPr>
              <w:jc w:val="center"/>
              <w:rPr>
                <w:rFonts w:ascii="Garamond" w:hAnsi="Garamond"/>
                <w:b/>
                <w:sz w:val="12"/>
                <w:szCs w:val="12"/>
              </w:rPr>
            </w:pPr>
            <w:r w:rsidRPr="00CC11D5">
              <w:rPr>
                <w:rFonts w:ascii="Garamond" w:hAnsi="Garamond"/>
                <w:b/>
                <w:sz w:val="12"/>
                <w:szCs w:val="12"/>
              </w:rPr>
              <w:t>Viti</w:t>
            </w:r>
          </w:p>
        </w:tc>
        <w:tc>
          <w:tcPr>
            <w:tcW w:w="0" w:type="auto"/>
            <w:gridSpan w:val="2"/>
            <w:tcBorders>
              <w:top w:val="single" w:sz="12" w:space="0" w:color="F4B083"/>
              <w:left w:val="nil"/>
              <w:bottom w:val="single" w:sz="8" w:space="0" w:color="F7CAAC"/>
              <w:right w:val="single" w:sz="8" w:space="0" w:color="F7CAAC"/>
            </w:tcBorders>
            <w:shd w:val="clear" w:color="auto" w:fill="auto"/>
            <w:noWrap/>
            <w:hideMark/>
          </w:tcPr>
          <w:p w14:paraId="589A7249" w14:textId="77777777" w:rsidR="00FA5537" w:rsidRPr="00CC11D5" w:rsidRDefault="00FA5537" w:rsidP="00FA5537">
            <w:pPr>
              <w:jc w:val="center"/>
              <w:rPr>
                <w:rFonts w:ascii="Garamond" w:hAnsi="Garamond"/>
                <w:b/>
                <w:sz w:val="12"/>
                <w:szCs w:val="12"/>
              </w:rPr>
            </w:pPr>
            <w:r w:rsidRPr="00CC11D5">
              <w:rPr>
                <w:rFonts w:ascii="Garamond" w:hAnsi="Garamond"/>
                <w:b/>
                <w:sz w:val="12"/>
                <w:szCs w:val="12"/>
              </w:rPr>
              <w:t>Administratat fiskale</w:t>
            </w:r>
          </w:p>
        </w:tc>
        <w:tc>
          <w:tcPr>
            <w:tcW w:w="0" w:type="auto"/>
            <w:vMerge w:val="restart"/>
            <w:tcBorders>
              <w:top w:val="single" w:sz="12" w:space="0" w:color="F4B083"/>
              <w:left w:val="single" w:sz="8" w:space="0" w:color="F7CAAC"/>
              <w:bottom w:val="single" w:sz="8" w:space="0" w:color="F7CAAC"/>
              <w:right w:val="single" w:sz="8" w:space="0" w:color="F7CAAC"/>
            </w:tcBorders>
            <w:shd w:val="clear" w:color="auto" w:fill="auto"/>
            <w:noWrap/>
            <w:hideMark/>
          </w:tcPr>
          <w:p w14:paraId="381F41FF" w14:textId="77777777" w:rsidR="00FA5537" w:rsidRPr="00CC11D5" w:rsidRDefault="00FA5537" w:rsidP="00FA5537">
            <w:pPr>
              <w:jc w:val="center"/>
              <w:rPr>
                <w:rFonts w:ascii="Garamond" w:hAnsi="Garamond"/>
                <w:b/>
                <w:sz w:val="12"/>
                <w:szCs w:val="12"/>
              </w:rPr>
            </w:pPr>
            <w:r w:rsidRPr="00CC11D5">
              <w:rPr>
                <w:rFonts w:ascii="Garamond" w:hAnsi="Garamond"/>
                <w:b/>
                <w:sz w:val="12"/>
                <w:szCs w:val="12"/>
              </w:rPr>
              <w:t>Totali</w:t>
            </w:r>
          </w:p>
        </w:tc>
        <w:tc>
          <w:tcPr>
            <w:tcW w:w="0" w:type="auto"/>
            <w:gridSpan w:val="2"/>
            <w:tcBorders>
              <w:top w:val="single" w:sz="12" w:space="0" w:color="F4B083"/>
              <w:left w:val="nil"/>
              <w:bottom w:val="single" w:sz="8" w:space="0" w:color="F7CAAC"/>
              <w:right w:val="single" w:sz="8" w:space="0" w:color="F7CAAC"/>
            </w:tcBorders>
            <w:shd w:val="clear" w:color="auto" w:fill="auto"/>
            <w:noWrap/>
            <w:hideMark/>
          </w:tcPr>
          <w:p w14:paraId="2233A78F" w14:textId="77777777" w:rsidR="00FA5537" w:rsidRPr="00CC11D5" w:rsidRDefault="00FA5537" w:rsidP="00FA5537">
            <w:pPr>
              <w:jc w:val="center"/>
              <w:rPr>
                <w:rFonts w:ascii="Garamond" w:hAnsi="Garamond"/>
                <w:b/>
                <w:sz w:val="12"/>
                <w:szCs w:val="12"/>
              </w:rPr>
            </w:pPr>
            <w:r w:rsidRPr="00CC11D5">
              <w:rPr>
                <w:rFonts w:ascii="Garamond" w:hAnsi="Garamond"/>
                <w:b/>
                <w:sz w:val="12"/>
                <w:szCs w:val="12"/>
              </w:rPr>
              <w:t>Në % ndaj totalit</w:t>
            </w:r>
          </w:p>
        </w:tc>
        <w:tc>
          <w:tcPr>
            <w:tcW w:w="0" w:type="auto"/>
            <w:vMerge w:val="restart"/>
            <w:tcBorders>
              <w:top w:val="single" w:sz="12" w:space="0" w:color="F4B083"/>
              <w:left w:val="single" w:sz="8" w:space="0" w:color="F7CAAC"/>
              <w:bottom w:val="single" w:sz="8" w:space="0" w:color="F7CAAC"/>
              <w:right w:val="single" w:sz="8" w:space="0" w:color="F7CAAC"/>
            </w:tcBorders>
            <w:shd w:val="clear" w:color="auto" w:fill="auto"/>
            <w:hideMark/>
          </w:tcPr>
          <w:p w14:paraId="32AFDD36" w14:textId="77777777" w:rsidR="00FA5537" w:rsidRPr="00CC11D5" w:rsidRDefault="00FA5537" w:rsidP="00FA5537">
            <w:pPr>
              <w:jc w:val="center"/>
              <w:rPr>
                <w:rFonts w:ascii="Garamond" w:hAnsi="Garamond"/>
                <w:b/>
                <w:sz w:val="12"/>
                <w:szCs w:val="12"/>
              </w:rPr>
            </w:pPr>
            <w:r w:rsidRPr="00CC11D5">
              <w:rPr>
                <w:rFonts w:ascii="Garamond" w:hAnsi="Garamond"/>
                <w:b/>
                <w:sz w:val="12"/>
                <w:szCs w:val="12"/>
              </w:rPr>
              <w:t>PPB</w:t>
            </w:r>
          </w:p>
        </w:tc>
        <w:tc>
          <w:tcPr>
            <w:tcW w:w="0" w:type="auto"/>
            <w:gridSpan w:val="2"/>
            <w:tcBorders>
              <w:top w:val="single" w:sz="12" w:space="0" w:color="F4B083"/>
              <w:left w:val="nil"/>
              <w:bottom w:val="single" w:sz="8" w:space="0" w:color="F7CAAC"/>
              <w:right w:val="single" w:sz="8" w:space="0" w:color="F7CAAC"/>
            </w:tcBorders>
            <w:shd w:val="clear" w:color="auto" w:fill="auto"/>
            <w:noWrap/>
            <w:hideMark/>
          </w:tcPr>
          <w:p w14:paraId="1FC6264E" w14:textId="77777777" w:rsidR="00FA5537" w:rsidRPr="00CC11D5" w:rsidRDefault="00FA5537" w:rsidP="00FA5537">
            <w:pPr>
              <w:jc w:val="center"/>
              <w:rPr>
                <w:rFonts w:ascii="Garamond" w:hAnsi="Garamond"/>
                <w:b/>
                <w:sz w:val="12"/>
                <w:szCs w:val="12"/>
              </w:rPr>
            </w:pPr>
            <w:r w:rsidRPr="00CC11D5">
              <w:rPr>
                <w:rFonts w:ascii="Garamond" w:hAnsi="Garamond"/>
                <w:b/>
                <w:sz w:val="12"/>
                <w:szCs w:val="12"/>
              </w:rPr>
              <w:t>Administratat fiskale</w:t>
            </w:r>
          </w:p>
        </w:tc>
        <w:tc>
          <w:tcPr>
            <w:tcW w:w="0" w:type="auto"/>
            <w:vMerge w:val="restart"/>
            <w:tcBorders>
              <w:top w:val="single" w:sz="12" w:space="0" w:color="F4B083"/>
              <w:left w:val="single" w:sz="8" w:space="0" w:color="F7CAAC"/>
              <w:bottom w:val="single" w:sz="8" w:space="0" w:color="F7CAAC"/>
              <w:right w:val="single" w:sz="8" w:space="0" w:color="F7CAAC"/>
            </w:tcBorders>
            <w:shd w:val="clear" w:color="auto" w:fill="auto"/>
            <w:noWrap/>
            <w:hideMark/>
          </w:tcPr>
          <w:p w14:paraId="0FB82EF8" w14:textId="77777777" w:rsidR="00FA5537" w:rsidRPr="00CC11D5" w:rsidRDefault="00FA5537" w:rsidP="00FA5537">
            <w:pPr>
              <w:jc w:val="center"/>
              <w:rPr>
                <w:rFonts w:ascii="Garamond" w:hAnsi="Garamond"/>
                <w:b/>
                <w:sz w:val="12"/>
                <w:szCs w:val="12"/>
              </w:rPr>
            </w:pPr>
            <w:r w:rsidRPr="00CC11D5">
              <w:rPr>
                <w:rFonts w:ascii="Garamond" w:hAnsi="Garamond"/>
                <w:b/>
                <w:sz w:val="12"/>
                <w:szCs w:val="12"/>
              </w:rPr>
              <w:t>Totali</w:t>
            </w:r>
          </w:p>
        </w:tc>
      </w:tr>
      <w:tr w:rsidR="00FA5537" w:rsidRPr="00CC11D5" w14:paraId="71245FBB" w14:textId="77777777" w:rsidTr="00FA5537">
        <w:trPr>
          <w:trHeight w:val="248"/>
        </w:trPr>
        <w:tc>
          <w:tcPr>
            <w:tcW w:w="0" w:type="auto"/>
            <w:vMerge/>
            <w:tcBorders>
              <w:top w:val="single" w:sz="12" w:space="0" w:color="F4B083"/>
              <w:left w:val="single" w:sz="8" w:space="0" w:color="F7CAAC"/>
              <w:bottom w:val="single" w:sz="8" w:space="0" w:color="F7CAAC"/>
              <w:right w:val="single" w:sz="8" w:space="0" w:color="F7CAAC"/>
            </w:tcBorders>
            <w:hideMark/>
          </w:tcPr>
          <w:p w14:paraId="05F68158" w14:textId="77777777" w:rsidR="00FA5537" w:rsidRPr="00CC11D5" w:rsidRDefault="00FA5537" w:rsidP="00FA5537">
            <w:pPr>
              <w:jc w:val="center"/>
              <w:rPr>
                <w:rFonts w:ascii="Garamond" w:hAnsi="Garamond"/>
                <w:b/>
                <w:sz w:val="12"/>
                <w:szCs w:val="12"/>
              </w:rPr>
            </w:pPr>
          </w:p>
        </w:tc>
        <w:tc>
          <w:tcPr>
            <w:tcW w:w="0" w:type="auto"/>
            <w:tcBorders>
              <w:top w:val="nil"/>
              <w:left w:val="nil"/>
              <w:bottom w:val="single" w:sz="8" w:space="0" w:color="F7CAAC"/>
              <w:right w:val="single" w:sz="8" w:space="0" w:color="F7CAAC"/>
            </w:tcBorders>
            <w:shd w:val="clear" w:color="auto" w:fill="auto"/>
            <w:noWrap/>
            <w:hideMark/>
          </w:tcPr>
          <w:p w14:paraId="5CCCCCF5" w14:textId="77777777" w:rsidR="00FA5537" w:rsidRPr="00CC11D5" w:rsidRDefault="00FA5537" w:rsidP="00FA5537">
            <w:pPr>
              <w:jc w:val="center"/>
              <w:rPr>
                <w:rFonts w:ascii="Garamond" w:hAnsi="Garamond"/>
                <w:b/>
                <w:sz w:val="12"/>
                <w:szCs w:val="12"/>
              </w:rPr>
            </w:pPr>
            <w:r w:rsidRPr="00CC11D5">
              <w:rPr>
                <w:rFonts w:ascii="Garamond" w:hAnsi="Garamond"/>
                <w:b/>
                <w:sz w:val="12"/>
                <w:szCs w:val="12"/>
              </w:rPr>
              <w:t>Tatime</w:t>
            </w:r>
          </w:p>
        </w:tc>
        <w:tc>
          <w:tcPr>
            <w:tcW w:w="0" w:type="auto"/>
            <w:tcBorders>
              <w:top w:val="nil"/>
              <w:left w:val="nil"/>
              <w:bottom w:val="single" w:sz="8" w:space="0" w:color="F7CAAC"/>
              <w:right w:val="single" w:sz="8" w:space="0" w:color="F7CAAC"/>
            </w:tcBorders>
            <w:shd w:val="clear" w:color="auto" w:fill="auto"/>
            <w:noWrap/>
            <w:hideMark/>
          </w:tcPr>
          <w:p w14:paraId="37DFB17D" w14:textId="77777777" w:rsidR="00FA5537" w:rsidRPr="00CC11D5" w:rsidRDefault="00FA5537" w:rsidP="00FA5537">
            <w:pPr>
              <w:jc w:val="center"/>
              <w:rPr>
                <w:rFonts w:ascii="Garamond" w:hAnsi="Garamond"/>
                <w:b/>
                <w:sz w:val="12"/>
                <w:szCs w:val="12"/>
              </w:rPr>
            </w:pPr>
            <w:r w:rsidRPr="00CC11D5">
              <w:rPr>
                <w:rFonts w:ascii="Garamond" w:hAnsi="Garamond"/>
                <w:b/>
                <w:sz w:val="12"/>
                <w:szCs w:val="12"/>
              </w:rPr>
              <w:t>Dogana</w:t>
            </w:r>
          </w:p>
        </w:tc>
        <w:tc>
          <w:tcPr>
            <w:tcW w:w="0" w:type="auto"/>
            <w:vMerge/>
            <w:tcBorders>
              <w:top w:val="single" w:sz="12" w:space="0" w:color="F4B083"/>
              <w:left w:val="single" w:sz="8" w:space="0" w:color="F7CAAC"/>
              <w:bottom w:val="single" w:sz="8" w:space="0" w:color="F7CAAC"/>
              <w:right w:val="single" w:sz="8" w:space="0" w:color="F7CAAC"/>
            </w:tcBorders>
            <w:hideMark/>
          </w:tcPr>
          <w:p w14:paraId="1BA8E420" w14:textId="77777777" w:rsidR="00FA5537" w:rsidRPr="00CC11D5" w:rsidRDefault="00FA5537" w:rsidP="00FA5537">
            <w:pPr>
              <w:jc w:val="center"/>
              <w:rPr>
                <w:rFonts w:ascii="Garamond" w:hAnsi="Garamond"/>
                <w:b/>
                <w:sz w:val="12"/>
                <w:szCs w:val="12"/>
              </w:rPr>
            </w:pPr>
          </w:p>
        </w:tc>
        <w:tc>
          <w:tcPr>
            <w:tcW w:w="0" w:type="auto"/>
            <w:tcBorders>
              <w:top w:val="nil"/>
              <w:left w:val="nil"/>
              <w:bottom w:val="single" w:sz="8" w:space="0" w:color="F7CAAC"/>
              <w:right w:val="single" w:sz="8" w:space="0" w:color="F7CAAC"/>
            </w:tcBorders>
            <w:shd w:val="clear" w:color="auto" w:fill="auto"/>
            <w:noWrap/>
            <w:hideMark/>
          </w:tcPr>
          <w:p w14:paraId="39445FB0" w14:textId="77777777" w:rsidR="00FA5537" w:rsidRPr="00CC11D5" w:rsidRDefault="00FA5537" w:rsidP="00FA5537">
            <w:pPr>
              <w:jc w:val="center"/>
              <w:rPr>
                <w:rFonts w:ascii="Garamond" w:hAnsi="Garamond"/>
                <w:b/>
                <w:sz w:val="12"/>
                <w:szCs w:val="12"/>
              </w:rPr>
            </w:pPr>
            <w:r w:rsidRPr="00CC11D5">
              <w:rPr>
                <w:rFonts w:ascii="Garamond" w:hAnsi="Garamond"/>
                <w:b/>
                <w:sz w:val="12"/>
                <w:szCs w:val="12"/>
              </w:rPr>
              <w:t>Tatime</w:t>
            </w:r>
          </w:p>
        </w:tc>
        <w:tc>
          <w:tcPr>
            <w:tcW w:w="0" w:type="auto"/>
            <w:tcBorders>
              <w:top w:val="nil"/>
              <w:left w:val="nil"/>
              <w:bottom w:val="single" w:sz="8" w:space="0" w:color="F7CAAC"/>
              <w:right w:val="single" w:sz="8" w:space="0" w:color="F7CAAC"/>
            </w:tcBorders>
            <w:shd w:val="clear" w:color="auto" w:fill="auto"/>
            <w:noWrap/>
            <w:hideMark/>
          </w:tcPr>
          <w:p w14:paraId="0F17C865" w14:textId="77777777" w:rsidR="00FA5537" w:rsidRPr="00CC11D5" w:rsidRDefault="00FA5537" w:rsidP="00FA5537">
            <w:pPr>
              <w:jc w:val="center"/>
              <w:rPr>
                <w:rFonts w:ascii="Garamond" w:hAnsi="Garamond"/>
                <w:b/>
                <w:sz w:val="12"/>
                <w:szCs w:val="12"/>
              </w:rPr>
            </w:pPr>
            <w:r w:rsidRPr="00CC11D5">
              <w:rPr>
                <w:rFonts w:ascii="Garamond" w:hAnsi="Garamond"/>
                <w:b/>
                <w:sz w:val="12"/>
                <w:szCs w:val="12"/>
              </w:rPr>
              <w:t>Dogana</w:t>
            </w:r>
          </w:p>
        </w:tc>
        <w:tc>
          <w:tcPr>
            <w:tcW w:w="0" w:type="auto"/>
            <w:vMerge/>
            <w:tcBorders>
              <w:top w:val="single" w:sz="12" w:space="0" w:color="F4B083"/>
              <w:left w:val="single" w:sz="8" w:space="0" w:color="F7CAAC"/>
              <w:bottom w:val="single" w:sz="8" w:space="0" w:color="F7CAAC"/>
              <w:right w:val="single" w:sz="8" w:space="0" w:color="F7CAAC"/>
            </w:tcBorders>
            <w:hideMark/>
          </w:tcPr>
          <w:p w14:paraId="1E6F7BEC" w14:textId="77777777" w:rsidR="00FA5537" w:rsidRPr="00CC11D5" w:rsidRDefault="00FA5537" w:rsidP="00FA5537">
            <w:pPr>
              <w:jc w:val="center"/>
              <w:rPr>
                <w:rFonts w:ascii="Garamond" w:hAnsi="Garamond"/>
                <w:b/>
                <w:sz w:val="12"/>
                <w:szCs w:val="12"/>
              </w:rPr>
            </w:pPr>
          </w:p>
        </w:tc>
        <w:tc>
          <w:tcPr>
            <w:tcW w:w="0" w:type="auto"/>
            <w:tcBorders>
              <w:top w:val="nil"/>
              <w:left w:val="nil"/>
              <w:bottom w:val="single" w:sz="8" w:space="0" w:color="F7CAAC"/>
              <w:right w:val="single" w:sz="8" w:space="0" w:color="F7CAAC"/>
            </w:tcBorders>
            <w:shd w:val="clear" w:color="auto" w:fill="auto"/>
            <w:noWrap/>
            <w:hideMark/>
          </w:tcPr>
          <w:p w14:paraId="35F1CD2C" w14:textId="77777777" w:rsidR="00FA5537" w:rsidRPr="00CC11D5" w:rsidRDefault="00FA5537" w:rsidP="00FA5537">
            <w:pPr>
              <w:jc w:val="center"/>
              <w:rPr>
                <w:rFonts w:ascii="Garamond" w:hAnsi="Garamond"/>
                <w:b/>
                <w:sz w:val="12"/>
                <w:szCs w:val="12"/>
              </w:rPr>
            </w:pPr>
            <w:r w:rsidRPr="00CC11D5">
              <w:rPr>
                <w:rFonts w:ascii="Garamond" w:hAnsi="Garamond"/>
                <w:b/>
                <w:sz w:val="12"/>
                <w:szCs w:val="12"/>
              </w:rPr>
              <w:t>Tatime</w:t>
            </w:r>
          </w:p>
        </w:tc>
        <w:tc>
          <w:tcPr>
            <w:tcW w:w="0" w:type="auto"/>
            <w:tcBorders>
              <w:top w:val="nil"/>
              <w:left w:val="nil"/>
              <w:bottom w:val="single" w:sz="8" w:space="0" w:color="F7CAAC"/>
              <w:right w:val="single" w:sz="8" w:space="0" w:color="F7CAAC"/>
            </w:tcBorders>
            <w:shd w:val="clear" w:color="auto" w:fill="auto"/>
            <w:noWrap/>
            <w:hideMark/>
          </w:tcPr>
          <w:p w14:paraId="1858F2EB" w14:textId="77777777" w:rsidR="00FA5537" w:rsidRPr="00CC11D5" w:rsidRDefault="00FA5537" w:rsidP="00FA5537">
            <w:pPr>
              <w:jc w:val="center"/>
              <w:rPr>
                <w:rFonts w:ascii="Garamond" w:hAnsi="Garamond"/>
                <w:b/>
                <w:sz w:val="12"/>
                <w:szCs w:val="12"/>
              </w:rPr>
            </w:pPr>
            <w:r w:rsidRPr="00CC11D5">
              <w:rPr>
                <w:rFonts w:ascii="Garamond" w:hAnsi="Garamond"/>
                <w:b/>
                <w:sz w:val="12"/>
                <w:szCs w:val="12"/>
              </w:rPr>
              <w:t>Dogana</w:t>
            </w:r>
          </w:p>
        </w:tc>
        <w:tc>
          <w:tcPr>
            <w:tcW w:w="0" w:type="auto"/>
            <w:vMerge/>
            <w:tcBorders>
              <w:top w:val="single" w:sz="12" w:space="0" w:color="F4B083"/>
              <w:left w:val="single" w:sz="8" w:space="0" w:color="F7CAAC"/>
              <w:bottom w:val="single" w:sz="8" w:space="0" w:color="F7CAAC"/>
              <w:right w:val="single" w:sz="8" w:space="0" w:color="F7CAAC"/>
            </w:tcBorders>
            <w:hideMark/>
          </w:tcPr>
          <w:p w14:paraId="276BE45C" w14:textId="77777777" w:rsidR="00FA5537" w:rsidRPr="00CC11D5" w:rsidRDefault="00FA5537" w:rsidP="00FA5537">
            <w:pPr>
              <w:jc w:val="center"/>
              <w:rPr>
                <w:rFonts w:ascii="Garamond" w:hAnsi="Garamond"/>
                <w:b/>
                <w:sz w:val="12"/>
                <w:szCs w:val="12"/>
              </w:rPr>
            </w:pPr>
          </w:p>
        </w:tc>
      </w:tr>
      <w:tr w:rsidR="00FA5537" w:rsidRPr="00CC11D5" w14:paraId="790C5B90" w14:textId="77777777" w:rsidTr="00FA5537">
        <w:trPr>
          <w:trHeight w:val="248"/>
        </w:trPr>
        <w:tc>
          <w:tcPr>
            <w:tcW w:w="0" w:type="auto"/>
            <w:tcBorders>
              <w:top w:val="nil"/>
              <w:left w:val="single" w:sz="8" w:space="0" w:color="F7CAAC"/>
              <w:bottom w:val="single" w:sz="8" w:space="0" w:color="F7CAAC"/>
              <w:right w:val="single" w:sz="8" w:space="0" w:color="F7CAAC"/>
            </w:tcBorders>
            <w:shd w:val="clear" w:color="auto" w:fill="auto"/>
            <w:noWrap/>
            <w:hideMark/>
          </w:tcPr>
          <w:p w14:paraId="1B797F9F" w14:textId="77777777" w:rsidR="00FA5537" w:rsidRPr="00CC11D5" w:rsidRDefault="00FA5537" w:rsidP="00FA5537">
            <w:pPr>
              <w:jc w:val="center"/>
              <w:rPr>
                <w:rFonts w:ascii="Garamond" w:hAnsi="Garamond"/>
                <w:b/>
                <w:sz w:val="12"/>
                <w:szCs w:val="12"/>
              </w:rPr>
            </w:pPr>
            <w:r w:rsidRPr="00CC11D5">
              <w:rPr>
                <w:rFonts w:ascii="Garamond" w:hAnsi="Garamond"/>
                <w:b/>
                <w:sz w:val="12"/>
                <w:szCs w:val="12"/>
              </w:rPr>
              <w:t>2021</w:t>
            </w:r>
          </w:p>
        </w:tc>
        <w:tc>
          <w:tcPr>
            <w:tcW w:w="0" w:type="auto"/>
            <w:tcBorders>
              <w:top w:val="nil"/>
              <w:left w:val="nil"/>
              <w:bottom w:val="single" w:sz="8" w:space="0" w:color="F7CAAC"/>
              <w:right w:val="single" w:sz="8" w:space="0" w:color="F7CAAC"/>
            </w:tcBorders>
            <w:shd w:val="clear" w:color="auto" w:fill="auto"/>
            <w:noWrap/>
            <w:hideMark/>
          </w:tcPr>
          <w:p w14:paraId="1F21C5D0" w14:textId="77777777" w:rsidR="00FA5537" w:rsidRPr="00CC11D5" w:rsidRDefault="00FA5537" w:rsidP="00FA5537">
            <w:pPr>
              <w:jc w:val="center"/>
              <w:rPr>
                <w:rFonts w:ascii="Garamond" w:hAnsi="Garamond"/>
                <w:sz w:val="12"/>
                <w:szCs w:val="12"/>
              </w:rPr>
            </w:pPr>
            <w:r w:rsidRPr="00CC11D5">
              <w:rPr>
                <w:rFonts w:ascii="Garamond" w:hAnsi="Garamond"/>
                <w:sz w:val="12"/>
                <w:szCs w:val="12"/>
              </w:rPr>
              <w:t>30,235</w:t>
            </w:r>
          </w:p>
        </w:tc>
        <w:tc>
          <w:tcPr>
            <w:tcW w:w="0" w:type="auto"/>
            <w:tcBorders>
              <w:top w:val="nil"/>
              <w:left w:val="nil"/>
              <w:bottom w:val="single" w:sz="8" w:space="0" w:color="F7CAAC"/>
              <w:right w:val="single" w:sz="8" w:space="0" w:color="F7CAAC"/>
            </w:tcBorders>
            <w:shd w:val="clear" w:color="auto" w:fill="auto"/>
            <w:noWrap/>
            <w:hideMark/>
          </w:tcPr>
          <w:p w14:paraId="6DAE883D" w14:textId="77777777" w:rsidR="00FA5537" w:rsidRPr="00CC11D5" w:rsidRDefault="00FA5537" w:rsidP="00FA5537">
            <w:pPr>
              <w:jc w:val="center"/>
              <w:rPr>
                <w:rFonts w:ascii="Garamond" w:hAnsi="Garamond"/>
                <w:sz w:val="12"/>
                <w:szCs w:val="12"/>
              </w:rPr>
            </w:pPr>
            <w:r w:rsidRPr="00CC11D5">
              <w:rPr>
                <w:rFonts w:ascii="Garamond" w:hAnsi="Garamond"/>
                <w:sz w:val="12"/>
                <w:szCs w:val="12"/>
              </w:rPr>
              <w:t>131,301</w:t>
            </w:r>
          </w:p>
        </w:tc>
        <w:tc>
          <w:tcPr>
            <w:tcW w:w="0" w:type="auto"/>
            <w:tcBorders>
              <w:top w:val="nil"/>
              <w:left w:val="nil"/>
              <w:bottom w:val="single" w:sz="8" w:space="0" w:color="F7CAAC"/>
              <w:right w:val="single" w:sz="8" w:space="0" w:color="F7CAAC"/>
            </w:tcBorders>
            <w:shd w:val="clear" w:color="auto" w:fill="auto"/>
            <w:noWrap/>
            <w:hideMark/>
          </w:tcPr>
          <w:p w14:paraId="5BAD7788" w14:textId="77777777" w:rsidR="00FA5537" w:rsidRPr="00CC11D5" w:rsidRDefault="00FA5537" w:rsidP="00FA5537">
            <w:pPr>
              <w:jc w:val="center"/>
              <w:rPr>
                <w:rFonts w:ascii="Garamond" w:hAnsi="Garamond"/>
                <w:sz w:val="12"/>
                <w:szCs w:val="12"/>
              </w:rPr>
            </w:pPr>
            <w:r w:rsidRPr="00CC11D5">
              <w:rPr>
                <w:rFonts w:ascii="Garamond" w:hAnsi="Garamond"/>
                <w:sz w:val="12"/>
                <w:szCs w:val="12"/>
              </w:rPr>
              <w:t>161,536</w:t>
            </w:r>
          </w:p>
        </w:tc>
        <w:tc>
          <w:tcPr>
            <w:tcW w:w="0" w:type="auto"/>
            <w:tcBorders>
              <w:top w:val="nil"/>
              <w:left w:val="nil"/>
              <w:bottom w:val="single" w:sz="8" w:space="0" w:color="F7CAAC"/>
              <w:right w:val="single" w:sz="8" w:space="0" w:color="F7CAAC"/>
            </w:tcBorders>
            <w:shd w:val="clear" w:color="auto" w:fill="auto"/>
            <w:noWrap/>
            <w:hideMark/>
          </w:tcPr>
          <w:p w14:paraId="28CF817C" w14:textId="77777777" w:rsidR="00FA5537" w:rsidRPr="00CC11D5" w:rsidRDefault="00FA5537" w:rsidP="00FA5537">
            <w:pPr>
              <w:jc w:val="center"/>
              <w:rPr>
                <w:rFonts w:ascii="Garamond" w:hAnsi="Garamond"/>
                <w:sz w:val="12"/>
                <w:szCs w:val="12"/>
              </w:rPr>
            </w:pPr>
            <w:r w:rsidRPr="00CC11D5">
              <w:rPr>
                <w:rFonts w:ascii="Garamond" w:hAnsi="Garamond"/>
                <w:sz w:val="12"/>
                <w:szCs w:val="12"/>
              </w:rPr>
              <w:t>19%</w:t>
            </w:r>
          </w:p>
        </w:tc>
        <w:tc>
          <w:tcPr>
            <w:tcW w:w="0" w:type="auto"/>
            <w:tcBorders>
              <w:top w:val="nil"/>
              <w:left w:val="nil"/>
              <w:bottom w:val="single" w:sz="8" w:space="0" w:color="F7CAAC"/>
              <w:right w:val="single" w:sz="8" w:space="0" w:color="F7CAAC"/>
            </w:tcBorders>
            <w:shd w:val="clear" w:color="auto" w:fill="auto"/>
            <w:noWrap/>
            <w:hideMark/>
          </w:tcPr>
          <w:p w14:paraId="3BA74D29" w14:textId="77777777" w:rsidR="00FA5537" w:rsidRPr="00CC11D5" w:rsidRDefault="00FA5537" w:rsidP="00FA5537">
            <w:pPr>
              <w:jc w:val="center"/>
              <w:rPr>
                <w:rFonts w:ascii="Garamond" w:hAnsi="Garamond"/>
                <w:sz w:val="12"/>
                <w:szCs w:val="12"/>
              </w:rPr>
            </w:pPr>
            <w:r w:rsidRPr="00CC11D5">
              <w:rPr>
                <w:rFonts w:ascii="Garamond" w:hAnsi="Garamond"/>
                <w:sz w:val="12"/>
                <w:szCs w:val="12"/>
              </w:rPr>
              <w:t>81%</w:t>
            </w:r>
          </w:p>
        </w:tc>
        <w:tc>
          <w:tcPr>
            <w:tcW w:w="0" w:type="auto"/>
            <w:tcBorders>
              <w:top w:val="nil"/>
              <w:left w:val="nil"/>
              <w:bottom w:val="single" w:sz="8" w:space="0" w:color="F7CAAC"/>
              <w:right w:val="single" w:sz="8" w:space="0" w:color="F7CAAC"/>
            </w:tcBorders>
            <w:shd w:val="clear" w:color="auto" w:fill="auto"/>
            <w:noWrap/>
            <w:hideMark/>
          </w:tcPr>
          <w:p w14:paraId="1C47F2F1" w14:textId="77777777" w:rsidR="00FA5537" w:rsidRPr="00CC11D5" w:rsidRDefault="00FA5537" w:rsidP="00FA5537">
            <w:pPr>
              <w:jc w:val="center"/>
              <w:rPr>
                <w:rFonts w:ascii="Garamond" w:hAnsi="Garamond"/>
                <w:sz w:val="12"/>
                <w:szCs w:val="12"/>
              </w:rPr>
            </w:pPr>
            <w:r w:rsidRPr="00CC11D5">
              <w:rPr>
                <w:rFonts w:ascii="Garamond" w:hAnsi="Garamond"/>
                <w:sz w:val="12"/>
                <w:szCs w:val="12"/>
              </w:rPr>
              <w:t>1,856,172</w:t>
            </w:r>
          </w:p>
        </w:tc>
        <w:tc>
          <w:tcPr>
            <w:tcW w:w="0" w:type="auto"/>
            <w:tcBorders>
              <w:top w:val="nil"/>
              <w:left w:val="nil"/>
              <w:bottom w:val="single" w:sz="8" w:space="0" w:color="F7CAAC"/>
              <w:right w:val="single" w:sz="8" w:space="0" w:color="F7CAAC"/>
            </w:tcBorders>
            <w:shd w:val="clear" w:color="auto" w:fill="auto"/>
            <w:noWrap/>
            <w:hideMark/>
          </w:tcPr>
          <w:p w14:paraId="0F3FC140" w14:textId="77777777" w:rsidR="00FA5537" w:rsidRPr="00CC11D5" w:rsidRDefault="00FA5537" w:rsidP="00FA5537">
            <w:pPr>
              <w:jc w:val="center"/>
              <w:rPr>
                <w:rFonts w:ascii="Garamond" w:hAnsi="Garamond"/>
                <w:sz w:val="12"/>
                <w:szCs w:val="12"/>
              </w:rPr>
            </w:pPr>
            <w:r w:rsidRPr="00CC11D5">
              <w:rPr>
                <w:rFonts w:ascii="Garamond" w:hAnsi="Garamond"/>
                <w:sz w:val="12"/>
                <w:szCs w:val="12"/>
              </w:rPr>
              <w:t>1.63%</w:t>
            </w:r>
          </w:p>
        </w:tc>
        <w:tc>
          <w:tcPr>
            <w:tcW w:w="0" w:type="auto"/>
            <w:tcBorders>
              <w:top w:val="nil"/>
              <w:left w:val="nil"/>
              <w:bottom w:val="single" w:sz="8" w:space="0" w:color="F7CAAC"/>
              <w:right w:val="single" w:sz="8" w:space="0" w:color="F7CAAC"/>
            </w:tcBorders>
            <w:shd w:val="clear" w:color="auto" w:fill="auto"/>
            <w:noWrap/>
            <w:hideMark/>
          </w:tcPr>
          <w:p w14:paraId="1BE5627C" w14:textId="77777777" w:rsidR="00FA5537" w:rsidRPr="00CC11D5" w:rsidRDefault="00FA5537" w:rsidP="00FA5537">
            <w:pPr>
              <w:jc w:val="center"/>
              <w:rPr>
                <w:rFonts w:ascii="Garamond" w:hAnsi="Garamond"/>
                <w:sz w:val="12"/>
                <w:szCs w:val="12"/>
              </w:rPr>
            </w:pPr>
            <w:r w:rsidRPr="00CC11D5">
              <w:rPr>
                <w:rFonts w:ascii="Garamond" w:hAnsi="Garamond"/>
                <w:sz w:val="12"/>
                <w:szCs w:val="12"/>
              </w:rPr>
              <w:t>7.07%</w:t>
            </w:r>
          </w:p>
        </w:tc>
        <w:tc>
          <w:tcPr>
            <w:tcW w:w="0" w:type="auto"/>
            <w:tcBorders>
              <w:top w:val="nil"/>
              <w:left w:val="nil"/>
              <w:bottom w:val="single" w:sz="8" w:space="0" w:color="F7CAAC"/>
              <w:right w:val="single" w:sz="8" w:space="0" w:color="F7CAAC"/>
            </w:tcBorders>
            <w:shd w:val="clear" w:color="auto" w:fill="auto"/>
            <w:noWrap/>
            <w:hideMark/>
          </w:tcPr>
          <w:p w14:paraId="49FFE54B" w14:textId="77777777" w:rsidR="00FA5537" w:rsidRPr="00CC11D5" w:rsidRDefault="00FA5537" w:rsidP="00FA5537">
            <w:pPr>
              <w:jc w:val="center"/>
              <w:rPr>
                <w:rFonts w:ascii="Garamond" w:hAnsi="Garamond"/>
                <w:sz w:val="12"/>
                <w:szCs w:val="12"/>
              </w:rPr>
            </w:pPr>
            <w:r w:rsidRPr="00CC11D5">
              <w:rPr>
                <w:rFonts w:ascii="Garamond" w:hAnsi="Garamond"/>
                <w:sz w:val="12"/>
                <w:szCs w:val="12"/>
              </w:rPr>
              <w:t>8.70%</w:t>
            </w:r>
          </w:p>
        </w:tc>
      </w:tr>
      <w:tr w:rsidR="00FA5537" w:rsidRPr="00CC11D5" w14:paraId="5D95AC67" w14:textId="77777777" w:rsidTr="00FA5537">
        <w:trPr>
          <w:trHeight w:val="248"/>
        </w:trPr>
        <w:tc>
          <w:tcPr>
            <w:tcW w:w="0" w:type="auto"/>
            <w:tcBorders>
              <w:top w:val="nil"/>
              <w:left w:val="single" w:sz="8" w:space="0" w:color="F7CAAC"/>
              <w:bottom w:val="single" w:sz="8" w:space="0" w:color="F7CAAC"/>
              <w:right w:val="single" w:sz="8" w:space="0" w:color="F7CAAC"/>
            </w:tcBorders>
            <w:shd w:val="clear" w:color="auto" w:fill="auto"/>
            <w:noWrap/>
            <w:hideMark/>
          </w:tcPr>
          <w:p w14:paraId="6A21A409" w14:textId="77777777" w:rsidR="00FA5537" w:rsidRPr="00CC11D5" w:rsidRDefault="00FA5537" w:rsidP="00FA5537">
            <w:pPr>
              <w:jc w:val="center"/>
              <w:rPr>
                <w:rFonts w:ascii="Garamond" w:hAnsi="Garamond"/>
                <w:b/>
                <w:sz w:val="12"/>
                <w:szCs w:val="12"/>
              </w:rPr>
            </w:pPr>
            <w:r w:rsidRPr="00CC11D5">
              <w:rPr>
                <w:rFonts w:ascii="Garamond" w:hAnsi="Garamond"/>
                <w:b/>
                <w:sz w:val="12"/>
                <w:szCs w:val="12"/>
              </w:rPr>
              <w:t>2022</w:t>
            </w:r>
          </w:p>
        </w:tc>
        <w:tc>
          <w:tcPr>
            <w:tcW w:w="0" w:type="auto"/>
            <w:tcBorders>
              <w:top w:val="nil"/>
              <w:left w:val="nil"/>
              <w:bottom w:val="single" w:sz="8" w:space="0" w:color="F7CAAC"/>
              <w:right w:val="single" w:sz="8" w:space="0" w:color="F7CAAC"/>
            </w:tcBorders>
            <w:shd w:val="clear" w:color="auto" w:fill="auto"/>
            <w:noWrap/>
            <w:hideMark/>
          </w:tcPr>
          <w:p w14:paraId="279EEFDF" w14:textId="77777777" w:rsidR="00FA5537" w:rsidRPr="00CC11D5" w:rsidRDefault="00FA5537" w:rsidP="00FA5537">
            <w:pPr>
              <w:jc w:val="center"/>
              <w:rPr>
                <w:rFonts w:ascii="Garamond" w:hAnsi="Garamond"/>
                <w:sz w:val="12"/>
                <w:szCs w:val="12"/>
              </w:rPr>
            </w:pPr>
            <w:r w:rsidRPr="00CC11D5">
              <w:rPr>
                <w:rFonts w:ascii="Garamond" w:hAnsi="Garamond"/>
                <w:sz w:val="12"/>
                <w:szCs w:val="12"/>
              </w:rPr>
              <w:t>34,514</w:t>
            </w:r>
          </w:p>
        </w:tc>
        <w:tc>
          <w:tcPr>
            <w:tcW w:w="0" w:type="auto"/>
            <w:tcBorders>
              <w:top w:val="nil"/>
              <w:left w:val="nil"/>
              <w:bottom w:val="single" w:sz="8" w:space="0" w:color="F7CAAC"/>
              <w:right w:val="single" w:sz="8" w:space="0" w:color="F7CAAC"/>
            </w:tcBorders>
            <w:shd w:val="clear" w:color="auto" w:fill="auto"/>
            <w:noWrap/>
            <w:hideMark/>
          </w:tcPr>
          <w:p w14:paraId="1765087E" w14:textId="77777777" w:rsidR="00FA5537" w:rsidRPr="00CC11D5" w:rsidRDefault="00FA5537" w:rsidP="00FA5537">
            <w:pPr>
              <w:jc w:val="center"/>
              <w:rPr>
                <w:rFonts w:ascii="Garamond" w:hAnsi="Garamond"/>
                <w:sz w:val="12"/>
                <w:szCs w:val="12"/>
              </w:rPr>
            </w:pPr>
            <w:r w:rsidRPr="00CC11D5">
              <w:rPr>
                <w:rFonts w:ascii="Garamond" w:hAnsi="Garamond"/>
                <w:sz w:val="12"/>
                <w:szCs w:val="12"/>
              </w:rPr>
              <w:t>156,898</w:t>
            </w:r>
          </w:p>
        </w:tc>
        <w:tc>
          <w:tcPr>
            <w:tcW w:w="0" w:type="auto"/>
            <w:tcBorders>
              <w:top w:val="nil"/>
              <w:left w:val="nil"/>
              <w:bottom w:val="single" w:sz="8" w:space="0" w:color="F7CAAC"/>
              <w:right w:val="single" w:sz="8" w:space="0" w:color="F7CAAC"/>
            </w:tcBorders>
            <w:shd w:val="clear" w:color="auto" w:fill="auto"/>
            <w:noWrap/>
            <w:hideMark/>
          </w:tcPr>
          <w:p w14:paraId="1A039262" w14:textId="77777777" w:rsidR="00FA5537" w:rsidRPr="00CC11D5" w:rsidRDefault="00FA5537" w:rsidP="00FA5537">
            <w:pPr>
              <w:jc w:val="center"/>
              <w:rPr>
                <w:rFonts w:ascii="Garamond" w:hAnsi="Garamond"/>
                <w:sz w:val="12"/>
                <w:szCs w:val="12"/>
              </w:rPr>
            </w:pPr>
            <w:r w:rsidRPr="00CC11D5">
              <w:rPr>
                <w:rFonts w:ascii="Garamond" w:hAnsi="Garamond"/>
                <w:sz w:val="12"/>
                <w:szCs w:val="12"/>
              </w:rPr>
              <w:t>191,412</w:t>
            </w:r>
          </w:p>
        </w:tc>
        <w:tc>
          <w:tcPr>
            <w:tcW w:w="0" w:type="auto"/>
            <w:tcBorders>
              <w:top w:val="nil"/>
              <w:left w:val="nil"/>
              <w:bottom w:val="single" w:sz="8" w:space="0" w:color="F7CAAC"/>
              <w:right w:val="single" w:sz="8" w:space="0" w:color="F7CAAC"/>
            </w:tcBorders>
            <w:shd w:val="clear" w:color="auto" w:fill="auto"/>
            <w:noWrap/>
            <w:hideMark/>
          </w:tcPr>
          <w:p w14:paraId="16136D74" w14:textId="77777777" w:rsidR="00FA5537" w:rsidRPr="00CC11D5" w:rsidRDefault="00FA5537" w:rsidP="00FA5537">
            <w:pPr>
              <w:jc w:val="center"/>
              <w:rPr>
                <w:rFonts w:ascii="Garamond" w:hAnsi="Garamond"/>
                <w:sz w:val="12"/>
                <w:szCs w:val="12"/>
              </w:rPr>
            </w:pPr>
            <w:r w:rsidRPr="00CC11D5">
              <w:rPr>
                <w:rFonts w:ascii="Garamond" w:hAnsi="Garamond"/>
                <w:sz w:val="12"/>
                <w:szCs w:val="12"/>
              </w:rPr>
              <w:t>18%</w:t>
            </w:r>
          </w:p>
        </w:tc>
        <w:tc>
          <w:tcPr>
            <w:tcW w:w="0" w:type="auto"/>
            <w:tcBorders>
              <w:top w:val="nil"/>
              <w:left w:val="nil"/>
              <w:bottom w:val="single" w:sz="8" w:space="0" w:color="F7CAAC"/>
              <w:right w:val="single" w:sz="8" w:space="0" w:color="F7CAAC"/>
            </w:tcBorders>
            <w:shd w:val="clear" w:color="auto" w:fill="auto"/>
            <w:noWrap/>
            <w:hideMark/>
          </w:tcPr>
          <w:p w14:paraId="025AC94C" w14:textId="77777777" w:rsidR="00FA5537" w:rsidRPr="00CC11D5" w:rsidRDefault="00FA5537" w:rsidP="00FA5537">
            <w:pPr>
              <w:jc w:val="center"/>
              <w:rPr>
                <w:rFonts w:ascii="Garamond" w:hAnsi="Garamond"/>
                <w:sz w:val="12"/>
                <w:szCs w:val="12"/>
              </w:rPr>
            </w:pPr>
            <w:r w:rsidRPr="00CC11D5">
              <w:rPr>
                <w:rFonts w:ascii="Garamond" w:hAnsi="Garamond"/>
                <w:sz w:val="12"/>
                <w:szCs w:val="12"/>
              </w:rPr>
              <w:t>82%</w:t>
            </w:r>
          </w:p>
        </w:tc>
        <w:tc>
          <w:tcPr>
            <w:tcW w:w="0" w:type="auto"/>
            <w:tcBorders>
              <w:top w:val="nil"/>
              <w:left w:val="nil"/>
              <w:bottom w:val="single" w:sz="8" w:space="0" w:color="F7CAAC"/>
              <w:right w:val="single" w:sz="8" w:space="0" w:color="F7CAAC"/>
            </w:tcBorders>
            <w:shd w:val="clear" w:color="auto" w:fill="auto"/>
            <w:noWrap/>
            <w:hideMark/>
          </w:tcPr>
          <w:p w14:paraId="6FE90707" w14:textId="77777777" w:rsidR="00FA5537" w:rsidRPr="00CC11D5" w:rsidRDefault="00FA5537" w:rsidP="00FA5537">
            <w:pPr>
              <w:jc w:val="center"/>
              <w:rPr>
                <w:rFonts w:ascii="Garamond" w:hAnsi="Garamond"/>
                <w:sz w:val="12"/>
                <w:szCs w:val="12"/>
              </w:rPr>
            </w:pPr>
            <w:r w:rsidRPr="00CC11D5">
              <w:rPr>
                <w:rFonts w:ascii="Garamond" w:hAnsi="Garamond"/>
                <w:sz w:val="12"/>
                <w:szCs w:val="12"/>
              </w:rPr>
              <w:t>2,138,339</w:t>
            </w:r>
          </w:p>
        </w:tc>
        <w:tc>
          <w:tcPr>
            <w:tcW w:w="0" w:type="auto"/>
            <w:tcBorders>
              <w:top w:val="nil"/>
              <w:left w:val="nil"/>
              <w:bottom w:val="single" w:sz="8" w:space="0" w:color="F7CAAC"/>
              <w:right w:val="single" w:sz="8" w:space="0" w:color="F7CAAC"/>
            </w:tcBorders>
            <w:shd w:val="clear" w:color="auto" w:fill="auto"/>
            <w:noWrap/>
            <w:hideMark/>
          </w:tcPr>
          <w:p w14:paraId="59BF8E01" w14:textId="77777777" w:rsidR="00FA5537" w:rsidRPr="00CC11D5" w:rsidRDefault="00FA5537" w:rsidP="00FA5537">
            <w:pPr>
              <w:jc w:val="center"/>
              <w:rPr>
                <w:rFonts w:ascii="Garamond" w:hAnsi="Garamond"/>
                <w:sz w:val="12"/>
                <w:szCs w:val="12"/>
              </w:rPr>
            </w:pPr>
            <w:r w:rsidRPr="00CC11D5">
              <w:rPr>
                <w:rFonts w:ascii="Garamond" w:hAnsi="Garamond"/>
                <w:sz w:val="12"/>
                <w:szCs w:val="12"/>
              </w:rPr>
              <w:t>1.61%</w:t>
            </w:r>
          </w:p>
        </w:tc>
        <w:tc>
          <w:tcPr>
            <w:tcW w:w="0" w:type="auto"/>
            <w:tcBorders>
              <w:top w:val="nil"/>
              <w:left w:val="nil"/>
              <w:bottom w:val="single" w:sz="8" w:space="0" w:color="F7CAAC"/>
              <w:right w:val="single" w:sz="8" w:space="0" w:color="F7CAAC"/>
            </w:tcBorders>
            <w:shd w:val="clear" w:color="auto" w:fill="auto"/>
            <w:noWrap/>
            <w:hideMark/>
          </w:tcPr>
          <w:p w14:paraId="24B7B3E0" w14:textId="77777777" w:rsidR="00FA5537" w:rsidRPr="00CC11D5" w:rsidRDefault="00FA5537" w:rsidP="00FA5537">
            <w:pPr>
              <w:jc w:val="center"/>
              <w:rPr>
                <w:rFonts w:ascii="Garamond" w:hAnsi="Garamond"/>
                <w:sz w:val="12"/>
                <w:szCs w:val="12"/>
              </w:rPr>
            </w:pPr>
            <w:r w:rsidRPr="00CC11D5">
              <w:rPr>
                <w:rFonts w:ascii="Garamond" w:hAnsi="Garamond"/>
                <w:sz w:val="12"/>
                <w:szCs w:val="12"/>
              </w:rPr>
              <w:t>7.34%</w:t>
            </w:r>
          </w:p>
        </w:tc>
        <w:tc>
          <w:tcPr>
            <w:tcW w:w="0" w:type="auto"/>
            <w:tcBorders>
              <w:top w:val="nil"/>
              <w:left w:val="nil"/>
              <w:bottom w:val="single" w:sz="8" w:space="0" w:color="F7CAAC"/>
              <w:right w:val="single" w:sz="8" w:space="0" w:color="F7CAAC"/>
            </w:tcBorders>
            <w:shd w:val="clear" w:color="auto" w:fill="auto"/>
            <w:noWrap/>
            <w:hideMark/>
          </w:tcPr>
          <w:p w14:paraId="367C675A" w14:textId="77777777" w:rsidR="00FA5537" w:rsidRPr="00CC11D5" w:rsidRDefault="00FA5537" w:rsidP="00FA5537">
            <w:pPr>
              <w:jc w:val="center"/>
              <w:rPr>
                <w:rFonts w:ascii="Garamond" w:hAnsi="Garamond"/>
                <w:sz w:val="12"/>
                <w:szCs w:val="12"/>
              </w:rPr>
            </w:pPr>
            <w:r w:rsidRPr="00CC11D5">
              <w:rPr>
                <w:rFonts w:ascii="Garamond" w:hAnsi="Garamond"/>
                <w:sz w:val="12"/>
                <w:szCs w:val="12"/>
              </w:rPr>
              <w:t>8.95%</w:t>
            </w:r>
          </w:p>
        </w:tc>
      </w:tr>
      <w:tr w:rsidR="00FA5537" w:rsidRPr="00CC11D5" w14:paraId="3714BDE3" w14:textId="77777777" w:rsidTr="00CC11D5">
        <w:trPr>
          <w:trHeight w:val="35"/>
        </w:trPr>
        <w:tc>
          <w:tcPr>
            <w:tcW w:w="0" w:type="auto"/>
            <w:tcBorders>
              <w:top w:val="nil"/>
              <w:left w:val="single" w:sz="8" w:space="0" w:color="F7CAAC"/>
              <w:bottom w:val="single" w:sz="8" w:space="0" w:color="F7CAAC"/>
              <w:right w:val="single" w:sz="8" w:space="0" w:color="F7CAAC"/>
            </w:tcBorders>
            <w:shd w:val="clear" w:color="auto" w:fill="auto"/>
            <w:noWrap/>
            <w:hideMark/>
          </w:tcPr>
          <w:p w14:paraId="5203DAE9" w14:textId="77777777" w:rsidR="00FA5537" w:rsidRPr="00CC11D5" w:rsidRDefault="00FA5537" w:rsidP="00FA5537">
            <w:pPr>
              <w:jc w:val="center"/>
              <w:rPr>
                <w:rFonts w:ascii="Garamond" w:hAnsi="Garamond"/>
                <w:b/>
                <w:sz w:val="12"/>
                <w:szCs w:val="12"/>
              </w:rPr>
            </w:pPr>
            <w:r w:rsidRPr="00CC11D5">
              <w:rPr>
                <w:rFonts w:ascii="Garamond" w:hAnsi="Garamond"/>
                <w:b/>
                <w:sz w:val="12"/>
                <w:szCs w:val="12"/>
              </w:rPr>
              <w:t>2023</w:t>
            </w:r>
          </w:p>
        </w:tc>
        <w:tc>
          <w:tcPr>
            <w:tcW w:w="0" w:type="auto"/>
            <w:tcBorders>
              <w:top w:val="nil"/>
              <w:left w:val="nil"/>
              <w:bottom w:val="single" w:sz="8" w:space="0" w:color="F7CAAC"/>
              <w:right w:val="single" w:sz="8" w:space="0" w:color="F7CAAC"/>
            </w:tcBorders>
            <w:shd w:val="clear" w:color="auto" w:fill="auto"/>
            <w:noWrap/>
            <w:hideMark/>
          </w:tcPr>
          <w:p w14:paraId="78F20145" w14:textId="77777777" w:rsidR="00FA5537" w:rsidRPr="00CC11D5" w:rsidRDefault="00FA5537" w:rsidP="00FA5537">
            <w:pPr>
              <w:jc w:val="center"/>
              <w:rPr>
                <w:rFonts w:ascii="Garamond" w:hAnsi="Garamond"/>
                <w:sz w:val="12"/>
                <w:szCs w:val="12"/>
              </w:rPr>
            </w:pPr>
            <w:r w:rsidRPr="00CC11D5">
              <w:rPr>
                <w:rFonts w:ascii="Garamond" w:hAnsi="Garamond"/>
                <w:sz w:val="12"/>
                <w:szCs w:val="12"/>
              </w:rPr>
              <w:t>45,936</w:t>
            </w:r>
          </w:p>
        </w:tc>
        <w:tc>
          <w:tcPr>
            <w:tcW w:w="0" w:type="auto"/>
            <w:tcBorders>
              <w:top w:val="nil"/>
              <w:left w:val="nil"/>
              <w:bottom w:val="single" w:sz="8" w:space="0" w:color="F7CAAC"/>
              <w:right w:val="single" w:sz="8" w:space="0" w:color="F7CAAC"/>
            </w:tcBorders>
            <w:shd w:val="clear" w:color="auto" w:fill="auto"/>
            <w:noWrap/>
            <w:hideMark/>
          </w:tcPr>
          <w:p w14:paraId="7727B218" w14:textId="77777777" w:rsidR="00FA5537" w:rsidRPr="00CC11D5" w:rsidRDefault="00FA5537" w:rsidP="00FA5537">
            <w:pPr>
              <w:jc w:val="center"/>
              <w:rPr>
                <w:rFonts w:ascii="Garamond" w:hAnsi="Garamond"/>
                <w:sz w:val="12"/>
                <w:szCs w:val="12"/>
              </w:rPr>
            </w:pPr>
            <w:r w:rsidRPr="00CC11D5">
              <w:rPr>
                <w:rFonts w:ascii="Garamond" w:hAnsi="Garamond"/>
                <w:sz w:val="12"/>
                <w:szCs w:val="12"/>
              </w:rPr>
              <w:t>146,386</w:t>
            </w:r>
          </w:p>
        </w:tc>
        <w:tc>
          <w:tcPr>
            <w:tcW w:w="0" w:type="auto"/>
            <w:tcBorders>
              <w:top w:val="nil"/>
              <w:left w:val="nil"/>
              <w:bottom w:val="single" w:sz="8" w:space="0" w:color="F7CAAC"/>
              <w:right w:val="single" w:sz="8" w:space="0" w:color="F7CAAC"/>
            </w:tcBorders>
            <w:shd w:val="clear" w:color="auto" w:fill="auto"/>
            <w:noWrap/>
            <w:hideMark/>
          </w:tcPr>
          <w:p w14:paraId="48E830A3" w14:textId="77777777" w:rsidR="00FA5537" w:rsidRPr="00CC11D5" w:rsidRDefault="00FA5537" w:rsidP="00FA5537">
            <w:pPr>
              <w:jc w:val="center"/>
              <w:rPr>
                <w:rFonts w:ascii="Garamond" w:hAnsi="Garamond"/>
                <w:sz w:val="12"/>
                <w:szCs w:val="12"/>
              </w:rPr>
            </w:pPr>
            <w:r w:rsidRPr="00CC11D5">
              <w:rPr>
                <w:rFonts w:ascii="Garamond" w:hAnsi="Garamond"/>
                <w:sz w:val="12"/>
                <w:szCs w:val="12"/>
              </w:rPr>
              <w:t>192,322</w:t>
            </w:r>
          </w:p>
        </w:tc>
        <w:tc>
          <w:tcPr>
            <w:tcW w:w="0" w:type="auto"/>
            <w:tcBorders>
              <w:top w:val="nil"/>
              <w:left w:val="nil"/>
              <w:bottom w:val="single" w:sz="8" w:space="0" w:color="F7CAAC"/>
              <w:right w:val="single" w:sz="8" w:space="0" w:color="F7CAAC"/>
            </w:tcBorders>
            <w:shd w:val="clear" w:color="auto" w:fill="auto"/>
            <w:noWrap/>
            <w:hideMark/>
          </w:tcPr>
          <w:p w14:paraId="0E9EC90A" w14:textId="77777777" w:rsidR="00FA5537" w:rsidRPr="00CC11D5" w:rsidRDefault="00FA5537" w:rsidP="00FA5537">
            <w:pPr>
              <w:jc w:val="center"/>
              <w:rPr>
                <w:rFonts w:ascii="Garamond" w:hAnsi="Garamond"/>
                <w:sz w:val="12"/>
                <w:szCs w:val="12"/>
              </w:rPr>
            </w:pPr>
            <w:r w:rsidRPr="00CC11D5">
              <w:rPr>
                <w:rFonts w:ascii="Garamond" w:hAnsi="Garamond"/>
                <w:sz w:val="12"/>
                <w:szCs w:val="12"/>
              </w:rPr>
              <w:t>24%</w:t>
            </w:r>
          </w:p>
        </w:tc>
        <w:tc>
          <w:tcPr>
            <w:tcW w:w="0" w:type="auto"/>
            <w:tcBorders>
              <w:top w:val="nil"/>
              <w:left w:val="nil"/>
              <w:bottom w:val="single" w:sz="8" w:space="0" w:color="F7CAAC"/>
              <w:right w:val="single" w:sz="8" w:space="0" w:color="F7CAAC"/>
            </w:tcBorders>
            <w:shd w:val="clear" w:color="auto" w:fill="auto"/>
            <w:noWrap/>
            <w:hideMark/>
          </w:tcPr>
          <w:p w14:paraId="7C9346B7" w14:textId="77777777" w:rsidR="00FA5537" w:rsidRPr="00CC11D5" w:rsidRDefault="00FA5537" w:rsidP="00FA5537">
            <w:pPr>
              <w:jc w:val="center"/>
              <w:rPr>
                <w:rFonts w:ascii="Garamond" w:hAnsi="Garamond"/>
                <w:sz w:val="12"/>
                <w:szCs w:val="12"/>
              </w:rPr>
            </w:pPr>
            <w:r w:rsidRPr="00CC11D5">
              <w:rPr>
                <w:rFonts w:ascii="Garamond" w:hAnsi="Garamond"/>
                <w:sz w:val="12"/>
                <w:szCs w:val="12"/>
              </w:rPr>
              <w:t>76%</w:t>
            </w:r>
          </w:p>
        </w:tc>
        <w:tc>
          <w:tcPr>
            <w:tcW w:w="0" w:type="auto"/>
            <w:tcBorders>
              <w:top w:val="nil"/>
              <w:left w:val="nil"/>
              <w:bottom w:val="single" w:sz="8" w:space="0" w:color="F7CAAC"/>
              <w:right w:val="single" w:sz="8" w:space="0" w:color="F7CAAC"/>
            </w:tcBorders>
            <w:shd w:val="clear" w:color="auto" w:fill="auto"/>
            <w:noWrap/>
            <w:hideMark/>
          </w:tcPr>
          <w:p w14:paraId="390CE2A0" w14:textId="77777777" w:rsidR="00FA5537" w:rsidRPr="00CC11D5" w:rsidRDefault="00FA5537" w:rsidP="00FA5537">
            <w:pPr>
              <w:jc w:val="center"/>
              <w:rPr>
                <w:rFonts w:ascii="Garamond" w:hAnsi="Garamond"/>
                <w:sz w:val="12"/>
                <w:szCs w:val="12"/>
              </w:rPr>
            </w:pPr>
            <w:r w:rsidRPr="00CC11D5">
              <w:rPr>
                <w:rFonts w:ascii="Garamond" w:hAnsi="Garamond"/>
                <w:sz w:val="12"/>
                <w:szCs w:val="12"/>
              </w:rPr>
              <w:t>2,311,672</w:t>
            </w:r>
          </w:p>
        </w:tc>
        <w:tc>
          <w:tcPr>
            <w:tcW w:w="0" w:type="auto"/>
            <w:tcBorders>
              <w:top w:val="nil"/>
              <w:left w:val="nil"/>
              <w:bottom w:val="single" w:sz="8" w:space="0" w:color="F7CAAC"/>
              <w:right w:val="single" w:sz="8" w:space="0" w:color="F7CAAC"/>
            </w:tcBorders>
            <w:shd w:val="clear" w:color="auto" w:fill="auto"/>
            <w:noWrap/>
            <w:hideMark/>
          </w:tcPr>
          <w:p w14:paraId="3E5EEF9D" w14:textId="77777777" w:rsidR="00FA5537" w:rsidRPr="00CC11D5" w:rsidRDefault="00FA5537" w:rsidP="00FA5537">
            <w:pPr>
              <w:jc w:val="center"/>
              <w:rPr>
                <w:rFonts w:ascii="Garamond" w:hAnsi="Garamond"/>
                <w:sz w:val="12"/>
                <w:szCs w:val="12"/>
              </w:rPr>
            </w:pPr>
            <w:r w:rsidRPr="00CC11D5">
              <w:rPr>
                <w:rFonts w:ascii="Garamond" w:hAnsi="Garamond"/>
                <w:sz w:val="12"/>
                <w:szCs w:val="12"/>
              </w:rPr>
              <w:t>1.99%</w:t>
            </w:r>
          </w:p>
        </w:tc>
        <w:tc>
          <w:tcPr>
            <w:tcW w:w="0" w:type="auto"/>
            <w:tcBorders>
              <w:top w:val="nil"/>
              <w:left w:val="nil"/>
              <w:bottom w:val="single" w:sz="8" w:space="0" w:color="F7CAAC"/>
              <w:right w:val="single" w:sz="8" w:space="0" w:color="F7CAAC"/>
            </w:tcBorders>
            <w:shd w:val="clear" w:color="auto" w:fill="auto"/>
            <w:noWrap/>
            <w:hideMark/>
          </w:tcPr>
          <w:p w14:paraId="5B1B2B8E" w14:textId="77777777" w:rsidR="00FA5537" w:rsidRPr="00CC11D5" w:rsidRDefault="00FA5537" w:rsidP="00FA5537">
            <w:pPr>
              <w:jc w:val="center"/>
              <w:rPr>
                <w:rFonts w:ascii="Garamond" w:hAnsi="Garamond"/>
                <w:sz w:val="12"/>
                <w:szCs w:val="12"/>
              </w:rPr>
            </w:pPr>
            <w:r w:rsidRPr="00CC11D5">
              <w:rPr>
                <w:rFonts w:ascii="Garamond" w:hAnsi="Garamond"/>
                <w:sz w:val="12"/>
                <w:szCs w:val="12"/>
              </w:rPr>
              <w:t>6.33%</w:t>
            </w:r>
          </w:p>
        </w:tc>
        <w:tc>
          <w:tcPr>
            <w:tcW w:w="0" w:type="auto"/>
            <w:tcBorders>
              <w:top w:val="nil"/>
              <w:left w:val="nil"/>
              <w:bottom w:val="single" w:sz="8" w:space="0" w:color="F7CAAC"/>
              <w:right w:val="single" w:sz="8" w:space="0" w:color="F7CAAC"/>
            </w:tcBorders>
            <w:shd w:val="clear" w:color="auto" w:fill="auto"/>
            <w:noWrap/>
            <w:hideMark/>
          </w:tcPr>
          <w:p w14:paraId="3C62D867" w14:textId="77777777" w:rsidR="00FA5537" w:rsidRPr="00CC11D5" w:rsidRDefault="00FA5537" w:rsidP="00FA5537">
            <w:pPr>
              <w:jc w:val="center"/>
              <w:rPr>
                <w:rFonts w:ascii="Garamond" w:hAnsi="Garamond"/>
                <w:sz w:val="12"/>
                <w:szCs w:val="12"/>
              </w:rPr>
            </w:pPr>
            <w:r w:rsidRPr="00CC11D5">
              <w:rPr>
                <w:rFonts w:ascii="Garamond" w:hAnsi="Garamond"/>
                <w:sz w:val="12"/>
                <w:szCs w:val="12"/>
              </w:rPr>
              <w:t>8.32%</w:t>
            </w:r>
          </w:p>
        </w:tc>
      </w:tr>
    </w:tbl>
    <w:p w14:paraId="31C57878" w14:textId="77777777" w:rsidR="00FA5537" w:rsidRPr="00830F4C" w:rsidRDefault="00FA5537" w:rsidP="00FA5537">
      <w:pPr>
        <w:jc w:val="both"/>
        <w:rPr>
          <w:rFonts w:ascii="Garamond" w:hAnsi="Garamond"/>
          <w:i/>
          <w:sz w:val="20"/>
          <w:szCs w:val="20"/>
        </w:rPr>
      </w:pPr>
      <w:r w:rsidRPr="00830F4C">
        <w:rPr>
          <w:rFonts w:ascii="Garamond" w:hAnsi="Garamond"/>
          <w:i/>
          <w:sz w:val="20"/>
          <w:szCs w:val="20"/>
        </w:rPr>
        <w:t>Burimi: Drejtoria e Përgjithshme e Tatimeve</w:t>
      </w:r>
    </w:p>
    <w:p w14:paraId="7FAB669C" w14:textId="77777777" w:rsidR="00FA5537" w:rsidRPr="00830F4C" w:rsidRDefault="00FA5537" w:rsidP="00FA5537">
      <w:pPr>
        <w:jc w:val="both"/>
        <w:rPr>
          <w:rFonts w:ascii="Garamond" w:hAnsi="Garamond"/>
        </w:rPr>
      </w:pPr>
    </w:p>
    <w:p w14:paraId="6D8C78C3" w14:textId="6B6DAEEA" w:rsidR="00FA5537" w:rsidRPr="00830F4C" w:rsidRDefault="00FA5537" w:rsidP="00FA5537">
      <w:pPr>
        <w:pStyle w:val="Caption"/>
        <w:spacing w:after="0"/>
        <w:rPr>
          <w:rFonts w:ascii="Garamond" w:hAnsi="Garamond" w:cs="Times New Roman"/>
          <w:color w:val="auto"/>
          <w:sz w:val="20"/>
          <w:szCs w:val="24"/>
        </w:rPr>
      </w:pPr>
      <w:bookmarkStart w:id="38" w:name="_Toc185235122"/>
      <w:r w:rsidRPr="00830F4C">
        <w:rPr>
          <w:rFonts w:ascii="Garamond" w:hAnsi="Garamond"/>
          <w:color w:val="auto"/>
          <w:sz w:val="20"/>
          <w:szCs w:val="24"/>
        </w:rPr>
        <w:t xml:space="preserve">Grafik </w:t>
      </w:r>
      <w:r w:rsidRPr="00830F4C">
        <w:rPr>
          <w:rFonts w:ascii="Garamond" w:hAnsi="Garamond"/>
          <w:color w:val="auto"/>
          <w:sz w:val="20"/>
          <w:szCs w:val="24"/>
        </w:rPr>
        <w:fldChar w:fldCharType="begin"/>
      </w:r>
      <w:r w:rsidRPr="00830F4C">
        <w:rPr>
          <w:rFonts w:ascii="Garamond" w:hAnsi="Garamond"/>
          <w:color w:val="auto"/>
          <w:sz w:val="20"/>
          <w:szCs w:val="24"/>
        </w:rPr>
        <w:instrText xml:space="preserve"> SEQ Grafik \* ARABIC </w:instrText>
      </w:r>
      <w:r w:rsidRPr="00830F4C">
        <w:rPr>
          <w:rFonts w:ascii="Garamond" w:hAnsi="Garamond"/>
          <w:color w:val="auto"/>
          <w:sz w:val="20"/>
          <w:szCs w:val="24"/>
        </w:rPr>
        <w:fldChar w:fldCharType="separate"/>
      </w:r>
      <w:r w:rsidRPr="00830F4C">
        <w:rPr>
          <w:rFonts w:ascii="Garamond" w:hAnsi="Garamond"/>
          <w:color w:val="auto"/>
          <w:sz w:val="20"/>
          <w:szCs w:val="24"/>
        </w:rPr>
        <w:t>6</w:t>
      </w:r>
      <w:r w:rsidRPr="00830F4C">
        <w:rPr>
          <w:rFonts w:ascii="Garamond" w:hAnsi="Garamond"/>
          <w:color w:val="auto"/>
          <w:sz w:val="20"/>
          <w:szCs w:val="24"/>
        </w:rPr>
        <w:fldChar w:fldCharType="end"/>
      </w:r>
      <w:r w:rsidRPr="00830F4C">
        <w:rPr>
          <w:rFonts w:ascii="Garamond" w:hAnsi="Garamond" w:cs="Times New Roman"/>
          <w:color w:val="auto"/>
          <w:sz w:val="20"/>
          <w:szCs w:val="24"/>
        </w:rPr>
        <w:t>: Sektorët kontribues në</w:t>
      </w:r>
      <w:r w:rsidR="00DE65FB">
        <w:rPr>
          <w:rFonts w:ascii="Garamond" w:hAnsi="Garamond" w:cs="Times New Roman"/>
          <w:color w:val="auto"/>
          <w:sz w:val="20"/>
          <w:szCs w:val="24"/>
        </w:rPr>
        <w:t xml:space="preserve"> TVSh</w:t>
      </w:r>
      <w:r w:rsidRPr="00830F4C">
        <w:rPr>
          <w:rFonts w:ascii="Garamond" w:hAnsi="Garamond" w:cs="Times New Roman"/>
          <w:color w:val="auto"/>
          <w:sz w:val="20"/>
          <w:szCs w:val="24"/>
        </w:rPr>
        <w:t>-në e brendshme</w:t>
      </w:r>
      <w:bookmarkEnd w:id="38"/>
    </w:p>
    <w:p w14:paraId="4101C80D" w14:textId="77777777" w:rsidR="00FA5537" w:rsidRPr="00830F4C" w:rsidRDefault="00FA5537" w:rsidP="00FA5537">
      <w:pPr>
        <w:pStyle w:val="HTMLPreformatted"/>
        <w:shd w:val="clear" w:color="auto" w:fill="F8F9FA"/>
        <w:jc w:val="both"/>
        <w:rPr>
          <w:rFonts w:eastAsia="MS Mincho"/>
          <w:color w:val="auto"/>
          <w:sz w:val="24"/>
          <w:szCs w:val="24"/>
          <w:lang w:val="sq-AL"/>
        </w:rPr>
      </w:pPr>
      <w:r w:rsidRPr="00830F4C">
        <w:rPr>
          <w:noProof/>
          <w:color w:val="auto"/>
        </w:rPr>
        <w:drawing>
          <wp:inline distT="0" distB="0" distL="0" distR="0" wp14:anchorId="7DCC9B69" wp14:editId="2D72FFF6">
            <wp:extent cx="5943600" cy="2313305"/>
            <wp:effectExtent l="0" t="0" r="0" b="10795"/>
            <wp:docPr id="6" name="Chart 6">
              <a:extLst xmlns:a="http://schemas.openxmlformats.org/drawingml/2006/main">
                <a:ext uri="{FF2B5EF4-FFF2-40B4-BE49-F238E27FC236}">
                  <a16:creationId xmlns:a16="http://schemas.microsoft.com/office/drawing/2014/main" id="{51D3E3B6-1A0F-40F3-8801-83E1261A4B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4CD0A81" w14:textId="2F224868" w:rsidR="00FA5537" w:rsidRPr="00CC11D5" w:rsidRDefault="00FA5537" w:rsidP="00CC11D5">
      <w:pPr>
        <w:autoSpaceDE w:val="0"/>
        <w:autoSpaceDN w:val="0"/>
        <w:adjustRightInd w:val="0"/>
        <w:ind w:firstLine="284"/>
        <w:jc w:val="both"/>
        <w:rPr>
          <w:rFonts w:ascii="Garamond" w:eastAsiaTheme="minorHAnsi" w:hAnsi="Garamond"/>
          <w:i/>
          <w:sz w:val="20"/>
          <w:szCs w:val="20"/>
        </w:rPr>
      </w:pPr>
      <w:r w:rsidRPr="00830F4C">
        <w:rPr>
          <w:rFonts w:ascii="Garamond" w:eastAsiaTheme="minorHAnsi" w:hAnsi="Garamond"/>
          <w:i/>
          <w:sz w:val="20"/>
          <w:szCs w:val="20"/>
        </w:rPr>
        <w:t>Burimi: Drejtoria e Përgjithshme e Tatimeve</w:t>
      </w:r>
    </w:p>
    <w:p w14:paraId="3918BA86" w14:textId="29F9A1A9" w:rsidR="00FA5537" w:rsidRPr="00830F4C" w:rsidRDefault="00FA5537" w:rsidP="00FA5537">
      <w:pPr>
        <w:autoSpaceDE w:val="0"/>
        <w:autoSpaceDN w:val="0"/>
        <w:adjustRightInd w:val="0"/>
        <w:ind w:firstLine="284"/>
        <w:jc w:val="both"/>
        <w:rPr>
          <w:rFonts w:ascii="Garamond" w:eastAsiaTheme="minorHAnsi" w:hAnsi="Garamond"/>
        </w:rPr>
      </w:pPr>
      <w:r w:rsidRPr="00830F4C">
        <w:rPr>
          <w:rFonts w:ascii="Garamond" w:eastAsiaTheme="minorHAnsi" w:hAnsi="Garamond"/>
        </w:rPr>
        <w:t>Në Tatimin mbi Vlerën e Shtuar aplikohen jo pak përjashtime, si dhe dy norma të reduktuara, 6 % dhe 10 %, sikurse është shpjeguar në seksionet më sipër të kësaj Strategjie. Shqipëria aplikon normë relativisht të lartë të pragut për regjistrim</w:t>
      </w:r>
      <w:r w:rsidR="00DE65FB">
        <w:rPr>
          <w:rFonts w:ascii="Garamond" w:eastAsiaTheme="minorHAnsi" w:hAnsi="Garamond"/>
        </w:rPr>
        <w:t xml:space="preserve"> TVSh</w:t>
      </w:r>
      <w:r w:rsidRPr="00830F4C">
        <w:rPr>
          <w:rFonts w:ascii="Garamond" w:eastAsiaTheme="minorHAnsi" w:hAnsi="Garamond"/>
        </w:rPr>
        <w:t>, duke synuar lehtësimin e barrës administrative dhe asaj fiskale të tatimpaguesve të vegjël. Aplikimi i një pragu të lartë të</w:t>
      </w:r>
      <w:r w:rsidR="00DE65FB">
        <w:rPr>
          <w:rFonts w:ascii="Garamond" w:eastAsiaTheme="minorHAnsi" w:hAnsi="Garamond"/>
        </w:rPr>
        <w:t xml:space="preserve"> TVSh</w:t>
      </w:r>
      <w:r w:rsidRPr="00830F4C">
        <w:rPr>
          <w:rFonts w:ascii="Garamond" w:eastAsiaTheme="minorHAnsi" w:hAnsi="Garamond"/>
        </w:rPr>
        <w:t>-së nxit nëndeklarimin e qarkullimit nga tatimpaguesit, me qëllim qëndrimin nën këtë prag. Nga tërësia e kontrolleve të administratës tatimore, kontrollet për</w:t>
      </w:r>
      <w:r w:rsidR="00DE65FB">
        <w:rPr>
          <w:rFonts w:ascii="Garamond" w:eastAsiaTheme="minorHAnsi" w:hAnsi="Garamond"/>
        </w:rPr>
        <w:t xml:space="preserve"> TVSh</w:t>
      </w:r>
      <w:r w:rsidRPr="00830F4C">
        <w:rPr>
          <w:rFonts w:ascii="Garamond" w:eastAsiaTheme="minorHAnsi" w:hAnsi="Garamond"/>
        </w:rPr>
        <w:t xml:space="preserve"> përbëjnë edhe numrin më të lartë të kontrolleve. </w:t>
      </w:r>
    </w:p>
    <w:p w14:paraId="04B88159" w14:textId="5F6E82CF" w:rsidR="00FA5537" w:rsidRPr="00830F4C" w:rsidRDefault="00FA5537" w:rsidP="00FA5537">
      <w:pPr>
        <w:autoSpaceDE w:val="0"/>
        <w:autoSpaceDN w:val="0"/>
        <w:adjustRightInd w:val="0"/>
        <w:ind w:firstLine="284"/>
        <w:jc w:val="both"/>
        <w:rPr>
          <w:rFonts w:ascii="Garamond" w:eastAsiaTheme="minorHAnsi" w:hAnsi="Garamond"/>
        </w:rPr>
      </w:pPr>
      <w:r w:rsidRPr="00830F4C">
        <w:rPr>
          <w:rFonts w:ascii="Garamond" w:eastAsiaTheme="minorHAnsi" w:hAnsi="Garamond"/>
        </w:rPr>
        <w:t>Për vet specifikën e saj,</w:t>
      </w:r>
      <w:r w:rsidR="00DE65FB">
        <w:rPr>
          <w:rFonts w:ascii="Garamond" w:eastAsiaTheme="minorHAnsi" w:hAnsi="Garamond"/>
        </w:rPr>
        <w:t xml:space="preserve"> TVSh</w:t>
      </w:r>
      <w:r w:rsidRPr="00830F4C">
        <w:rPr>
          <w:rFonts w:ascii="Garamond" w:eastAsiaTheme="minorHAnsi" w:hAnsi="Garamond"/>
        </w:rPr>
        <w:t>-ja është tatim mbi të cilin eksperienca të ndryshme tregojnë përdorimin nga tatimpaguesit të skemave të ndryshme të mashtrimit me</w:t>
      </w:r>
      <w:r w:rsidR="00DE65FB">
        <w:rPr>
          <w:rFonts w:ascii="Garamond" w:eastAsiaTheme="minorHAnsi" w:hAnsi="Garamond"/>
        </w:rPr>
        <w:t xml:space="preserve"> TVSh</w:t>
      </w:r>
      <w:r w:rsidRPr="00830F4C">
        <w:rPr>
          <w:rFonts w:ascii="Garamond" w:eastAsiaTheme="minorHAnsi" w:hAnsi="Garamond"/>
        </w:rPr>
        <w:t xml:space="preserve">-në. Skemat Carusel janë të njohura në nivel global. Edhe në vendin tonë janë evidentuar jo pak raste të </w:t>
      </w:r>
      <w:r w:rsidR="00D22EA5" w:rsidRPr="00830F4C">
        <w:rPr>
          <w:rFonts w:ascii="Garamond" w:eastAsiaTheme="minorHAnsi" w:hAnsi="Garamond"/>
        </w:rPr>
        <w:t>“</w:t>
      </w:r>
      <w:r w:rsidRPr="00830F4C">
        <w:rPr>
          <w:rFonts w:ascii="Garamond" w:eastAsiaTheme="minorHAnsi" w:hAnsi="Garamond"/>
        </w:rPr>
        <w:t>tregtimit</w:t>
      </w:r>
      <w:r w:rsidR="00D22EA5" w:rsidRPr="00830F4C">
        <w:rPr>
          <w:rFonts w:ascii="Garamond" w:eastAsiaTheme="minorHAnsi" w:hAnsi="Garamond"/>
        </w:rPr>
        <w:t>”</w:t>
      </w:r>
      <w:r w:rsidRPr="00830F4C">
        <w:rPr>
          <w:rFonts w:ascii="Garamond" w:eastAsiaTheme="minorHAnsi" w:hAnsi="Garamond"/>
        </w:rPr>
        <w:t xml:space="preserve"> të</w:t>
      </w:r>
      <w:r w:rsidR="00DE65FB">
        <w:rPr>
          <w:rFonts w:ascii="Garamond" w:eastAsiaTheme="minorHAnsi" w:hAnsi="Garamond"/>
        </w:rPr>
        <w:t xml:space="preserve"> TVSh</w:t>
      </w:r>
      <w:r w:rsidRPr="00830F4C">
        <w:rPr>
          <w:rFonts w:ascii="Garamond" w:eastAsiaTheme="minorHAnsi" w:hAnsi="Garamond"/>
        </w:rPr>
        <w:t>-së me qëllim shmangien e pagesës së saj. Tipologjia e mashtrimit tatimor dallon mes evazionit dhe mashtrimit të organizuar – por të dyja synojnë të përfitojnë një avantazh tatimor të paligjshëm. Evazioni shpesh buron nga informaliteti dhe është lëshimi, fshehja ose keqinterpretimi i qëllimshëm i informacionit për të minimizuar detyrimin e tatimpaguesit për</w:t>
      </w:r>
      <w:r w:rsidR="00DE65FB">
        <w:rPr>
          <w:rFonts w:ascii="Garamond" w:eastAsiaTheme="minorHAnsi" w:hAnsi="Garamond"/>
        </w:rPr>
        <w:t xml:space="preserve"> TVSh</w:t>
      </w:r>
      <w:r w:rsidRPr="00830F4C">
        <w:rPr>
          <w:rFonts w:ascii="Garamond" w:eastAsiaTheme="minorHAnsi" w:hAnsi="Garamond"/>
        </w:rPr>
        <w:t>-në. Në të kundërt, mashtrimi i organizuar përfshin veprime të kordinuara dhe sistematike, shpesh mjaft të sofistikuara, drejt realizimit të një përfitimi shtesë të paligjshëm të</w:t>
      </w:r>
      <w:r w:rsidR="00DE65FB">
        <w:rPr>
          <w:rFonts w:ascii="Garamond" w:eastAsiaTheme="minorHAnsi" w:hAnsi="Garamond"/>
        </w:rPr>
        <w:t xml:space="preserve"> TVSh</w:t>
      </w:r>
      <w:r w:rsidRPr="00830F4C">
        <w:rPr>
          <w:rFonts w:ascii="Garamond" w:eastAsiaTheme="minorHAnsi" w:hAnsi="Garamond"/>
        </w:rPr>
        <w:t xml:space="preserve">-së. </w:t>
      </w:r>
    </w:p>
    <w:p w14:paraId="3546DE91" w14:textId="020101D7" w:rsidR="00FA5537" w:rsidRPr="00830F4C" w:rsidRDefault="00FA5537" w:rsidP="00FA5537">
      <w:pPr>
        <w:autoSpaceDE w:val="0"/>
        <w:autoSpaceDN w:val="0"/>
        <w:adjustRightInd w:val="0"/>
        <w:ind w:firstLine="284"/>
        <w:jc w:val="both"/>
        <w:rPr>
          <w:rFonts w:ascii="Garamond" w:eastAsiaTheme="minorHAnsi" w:hAnsi="Garamond"/>
        </w:rPr>
      </w:pPr>
      <w:r w:rsidRPr="00830F4C">
        <w:rPr>
          <w:rFonts w:ascii="Garamond" w:eastAsiaTheme="minorHAnsi" w:hAnsi="Garamond"/>
        </w:rPr>
        <w:t>Për sa më sipër, pjesë e kësaj Strategjie do të jetë zhvillimi i planeve operacionale dhe aktiviteteve kundër mashtrimit me</w:t>
      </w:r>
      <w:r w:rsidR="00DE65FB">
        <w:rPr>
          <w:rFonts w:ascii="Garamond" w:eastAsiaTheme="minorHAnsi" w:hAnsi="Garamond"/>
        </w:rPr>
        <w:t xml:space="preserve"> TVSh</w:t>
      </w:r>
      <w:r w:rsidRPr="00830F4C">
        <w:rPr>
          <w:rFonts w:ascii="Garamond" w:eastAsiaTheme="minorHAnsi" w:hAnsi="Garamond"/>
        </w:rPr>
        <w:t xml:space="preserve">-në, e shtrirë kjo në të gjithë gamën e evazionit. Praktikat do të vlerësohen, me synimin për të hartuar kundërmasa efektive. </w:t>
      </w:r>
    </w:p>
    <w:p w14:paraId="7AD53318" w14:textId="77777777" w:rsidR="00FA5537" w:rsidRPr="00830F4C" w:rsidRDefault="00FA5537" w:rsidP="00FA5537">
      <w:pPr>
        <w:autoSpaceDE w:val="0"/>
        <w:autoSpaceDN w:val="0"/>
        <w:adjustRightInd w:val="0"/>
        <w:ind w:firstLine="284"/>
        <w:jc w:val="both"/>
        <w:rPr>
          <w:rFonts w:ascii="Garamond" w:eastAsiaTheme="minorHAnsi" w:hAnsi="Garamond"/>
          <w:b/>
        </w:rPr>
      </w:pPr>
      <w:r w:rsidRPr="00830F4C">
        <w:rPr>
          <w:rFonts w:ascii="Garamond" w:eastAsiaTheme="minorHAnsi" w:hAnsi="Garamond"/>
          <w:b/>
        </w:rPr>
        <w:t>Prioritetet:</w:t>
      </w:r>
    </w:p>
    <w:p w14:paraId="6016186D" w14:textId="072C6AFD" w:rsidR="00FA5537" w:rsidRPr="00830F4C" w:rsidRDefault="00FA5537" w:rsidP="00FA5537">
      <w:pPr>
        <w:autoSpaceDE w:val="0"/>
        <w:autoSpaceDN w:val="0"/>
        <w:adjustRightInd w:val="0"/>
        <w:ind w:firstLine="284"/>
        <w:jc w:val="both"/>
        <w:rPr>
          <w:rFonts w:ascii="Garamond" w:eastAsiaTheme="minorHAnsi" w:hAnsi="Garamond"/>
        </w:rPr>
      </w:pPr>
      <w:r w:rsidRPr="00830F4C">
        <w:rPr>
          <w:rFonts w:ascii="Garamond" w:eastAsiaTheme="minorHAnsi" w:hAnsi="Garamond"/>
        </w:rPr>
        <w:t>Prioritetet për periudhën</w:t>
      </w:r>
      <w:r w:rsidR="00800B00" w:rsidRPr="00830F4C">
        <w:rPr>
          <w:rFonts w:ascii="Garamond" w:eastAsiaTheme="minorHAnsi" w:hAnsi="Garamond"/>
        </w:rPr>
        <w:t xml:space="preserve"> </w:t>
      </w:r>
      <w:r w:rsidR="00D22EA5" w:rsidRPr="00830F4C">
        <w:rPr>
          <w:rFonts w:ascii="Garamond" w:eastAsiaTheme="minorHAnsi" w:hAnsi="Garamond"/>
        </w:rPr>
        <w:t>2024–2027</w:t>
      </w:r>
      <w:r w:rsidRPr="00830F4C">
        <w:rPr>
          <w:rFonts w:ascii="Garamond" w:eastAsiaTheme="minorHAnsi" w:hAnsi="Garamond"/>
        </w:rPr>
        <w:t xml:space="preserve"> janë:</w:t>
      </w:r>
    </w:p>
    <w:p w14:paraId="4AB3FF6A" w14:textId="331CE1FB" w:rsidR="00FA5537" w:rsidRPr="00830F4C" w:rsidRDefault="00FA5537" w:rsidP="00FA5537">
      <w:pPr>
        <w:autoSpaceDE w:val="0"/>
        <w:autoSpaceDN w:val="0"/>
        <w:adjustRightInd w:val="0"/>
        <w:ind w:firstLine="284"/>
        <w:rPr>
          <w:rFonts w:ascii="Garamond" w:eastAsiaTheme="minorHAnsi" w:hAnsi="Garamond"/>
        </w:rPr>
      </w:pPr>
      <w:r w:rsidRPr="00830F4C">
        <w:rPr>
          <w:rFonts w:ascii="Garamond" w:eastAsiaTheme="minorHAnsi" w:hAnsi="Garamond"/>
        </w:rPr>
        <w:t>1. Rritja me 0.92% e PBB</w:t>
      </w:r>
      <w:r w:rsidR="00D22EA5" w:rsidRPr="00830F4C">
        <w:rPr>
          <w:rFonts w:ascii="Garamond" w:eastAsiaTheme="minorHAnsi" w:hAnsi="Garamond"/>
        </w:rPr>
        <w:t>-së</w:t>
      </w:r>
      <w:r w:rsidRPr="00830F4C">
        <w:rPr>
          <w:rFonts w:ascii="Garamond" w:eastAsiaTheme="minorHAnsi" w:hAnsi="Garamond"/>
        </w:rPr>
        <w:t xml:space="preserve"> të të ardhurave nga</w:t>
      </w:r>
      <w:r w:rsidR="00DE65FB">
        <w:rPr>
          <w:rFonts w:ascii="Garamond" w:eastAsiaTheme="minorHAnsi" w:hAnsi="Garamond"/>
        </w:rPr>
        <w:t xml:space="preserve"> TVSh</w:t>
      </w:r>
      <w:r w:rsidRPr="00830F4C">
        <w:rPr>
          <w:rFonts w:ascii="Garamond" w:eastAsiaTheme="minorHAnsi" w:hAnsi="Garamond"/>
        </w:rPr>
        <w:t>, për periudhën</w:t>
      </w:r>
      <w:r w:rsidR="00800B00" w:rsidRPr="00830F4C">
        <w:rPr>
          <w:rFonts w:ascii="Garamond" w:eastAsiaTheme="minorHAnsi" w:hAnsi="Garamond"/>
        </w:rPr>
        <w:t xml:space="preserve"> </w:t>
      </w:r>
      <w:r w:rsidR="00D22EA5" w:rsidRPr="00830F4C">
        <w:rPr>
          <w:rFonts w:ascii="Garamond" w:eastAsiaTheme="minorHAnsi" w:hAnsi="Garamond"/>
        </w:rPr>
        <w:t>2024–2027</w:t>
      </w:r>
      <w:r w:rsidRPr="00830F4C">
        <w:rPr>
          <w:rFonts w:ascii="Garamond" w:eastAsiaTheme="minorHAnsi" w:hAnsi="Garamond"/>
        </w:rPr>
        <w:t>.</w:t>
      </w:r>
    </w:p>
    <w:p w14:paraId="765A5BF9" w14:textId="77777777" w:rsidR="00FA5537" w:rsidRPr="00830F4C" w:rsidRDefault="00FA5537" w:rsidP="00FA5537">
      <w:pPr>
        <w:autoSpaceDE w:val="0"/>
        <w:autoSpaceDN w:val="0"/>
        <w:adjustRightInd w:val="0"/>
        <w:ind w:firstLine="284"/>
        <w:rPr>
          <w:rFonts w:ascii="Garamond" w:eastAsiaTheme="minorHAnsi" w:hAnsi="Garamond"/>
        </w:rPr>
      </w:pPr>
      <w:r w:rsidRPr="00830F4C">
        <w:rPr>
          <w:rFonts w:ascii="Garamond" w:eastAsiaTheme="minorHAnsi" w:hAnsi="Garamond"/>
        </w:rPr>
        <w:t>2. Përdorimi i teknologjisë se informacionit, përpunimi i të dhënave dhe menaxhimi i riskut.</w:t>
      </w:r>
    </w:p>
    <w:p w14:paraId="038750D4" w14:textId="77777777" w:rsidR="00FA5537" w:rsidRPr="00830F4C" w:rsidRDefault="00FA5537" w:rsidP="00FA5537">
      <w:pPr>
        <w:autoSpaceDE w:val="0"/>
        <w:autoSpaceDN w:val="0"/>
        <w:adjustRightInd w:val="0"/>
        <w:ind w:firstLine="284"/>
        <w:rPr>
          <w:rFonts w:ascii="Garamond" w:eastAsiaTheme="minorHAnsi" w:hAnsi="Garamond"/>
        </w:rPr>
      </w:pPr>
      <w:r w:rsidRPr="00830F4C">
        <w:rPr>
          <w:rFonts w:ascii="Garamond" w:eastAsiaTheme="minorHAnsi" w:hAnsi="Garamond"/>
        </w:rPr>
        <w:t>3. Rritja e përputhshmërisë së tatimpaguesve dhe zgjerimi i bazës së tatueshme.</w:t>
      </w:r>
    </w:p>
    <w:p w14:paraId="793481BF" w14:textId="77777777" w:rsidR="00FA5537" w:rsidRPr="00830F4C" w:rsidRDefault="00FA5537" w:rsidP="00FA5537">
      <w:pPr>
        <w:autoSpaceDE w:val="0"/>
        <w:autoSpaceDN w:val="0"/>
        <w:adjustRightInd w:val="0"/>
        <w:ind w:firstLine="284"/>
        <w:rPr>
          <w:rFonts w:ascii="Garamond" w:eastAsiaTheme="minorHAnsi" w:hAnsi="Garamond"/>
        </w:rPr>
      </w:pPr>
      <w:r w:rsidRPr="00830F4C">
        <w:rPr>
          <w:rFonts w:ascii="Garamond" w:eastAsiaTheme="minorHAnsi" w:hAnsi="Garamond"/>
        </w:rPr>
        <w:t>4. Rritja e kapaciteteve inteligjente për gjurmimin e evazionit dhe shmangies tatimore.</w:t>
      </w:r>
    </w:p>
    <w:p w14:paraId="6E626715" w14:textId="4916870C" w:rsidR="00FA5537" w:rsidRPr="00830F4C" w:rsidRDefault="00FA5537" w:rsidP="00FA5537">
      <w:pPr>
        <w:autoSpaceDE w:val="0"/>
        <w:autoSpaceDN w:val="0"/>
        <w:adjustRightInd w:val="0"/>
        <w:ind w:firstLine="284"/>
        <w:jc w:val="both"/>
        <w:rPr>
          <w:rFonts w:ascii="Garamond" w:eastAsiaTheme="minorHAnsi" w:hAnsi="Garamond"/>
        </w:rPr>
      </w:pPr>
      <w:r w:rsidRPr="00830F4C">
        <w:rPr>
          <w:rFonts w:ascii="Garamond" w:eastAsiaTheme="minorHAnsi" w:hAnsi="Garamond"/>
        </w:rPr>
        <w:t>5. Rritje e</w:t>
      </w:r>
      <w:r w:rsidR="00DE65FB">
        <w:rPr>
          <w:rFonts w:ascii="Garamond" w:eastAsiaTheme="minorHAnsi" w:hAnsi="Garamond"/>
        </w:rPr>
        <w:t xml:space="preserve"> TVSh</w:t>
      </w:r>
      <w:r w:rsidRPr="00830F4C">
        <w:rPr>
          <w:rFonts w:ascii="Garamond" w:eastAsiaTheme="minorHAnsi" w:hAnsi="Garamond"/>
        </w:rPr>
        <w:t>-së së paguar në sektorin e turizmit në përputhje me rritjen e fluksit turistik.</w:t>
      </w:r>
    </w:p>
    <w:p w14:paraId="501983A5" w14:textId="58A24BFE" w:rsidR="00FA5537" w:rsidRPr="00830F4C" w:rsidRDefault="00FA5537" w:rsidP="00FA5537">
      <w:pPr>
        <w:autoSpaceDE w:val="0"/>
        <w:autoSpaceDN w:val="0"/>
        <w:adjustRightInd w:val="0"/>
        <w:ind w:firstLine="284"/>
        <w:jc w:val="both"/>
        <w:rPr>
          <w:rFonts w:ascii="Garamond" w:eastAsiaTheme="minorHAnsi" w:hAnsi="Garamond"/>
        </w:rPr>
      </w:pPr>
      <w:r w:rsidRPr="00830F4C">
        <w:rPr>
          <w:rFonts w:ascii="Garamond" w:eastAsiaTheme="minorHAnsi" w:hAnsi="Garamond"/>
        </w:rPr>
        <w:t>6. Plotësimi i kushtit të vënë në Planin e Rritjes së KE-së për parambushjen 100% të deklaratës së</w:t>
      </w:r>
      <w:r w:rsidR="00DE65FB">
        <w:rPr>
          <w:rFonts w:ascii="Garamond" w:eastAsiaTheme="minorHAnsi" w:hAnsi="Garamond"/>
        </w:rPr>
        <w:t xml:space="preserve"> TVSh</w:t>
      </w:r>
      <w:r w:rsidRPr="00830F4C">
        <w:rPr>
          <w:rFonts w:ascii="Garamond" w:eastAsiaTheme="minorHAnsi" w:hAnsi="Garamond"/>
        </w:rPr>
        <w:t>-së, brenda vitit 2026.</w:t>
      </w:r>
    </w:p>
    <w:p w14:paraId="7DDC23E2" w14:textId="6AC74A31" w:rsidR="00FA5537" w:rsidRPr="00830F4C" w:rsidRDefault="00FA5537" w:rsidP="00FA5537">
      <w:pPr>
        <w:autoSpaceDE w:val="0"/>
        <w:autoSpaceDN w:val="0"/>
        <w:adjustRightInd w:val="0"/>
        <w:ind w:firstLine="284"/>
        <w:jc w:val="both"/>
        <w:rPr>
          <w:rFonts w:ascii="Garamond" w:eastAsiaTheme="minorHAnsi" w:hAnsi="Garamond"/>
        </w:rPr>
      </w:pPr>
      <w:r w:rsidRPr="00830F4C">
        <w:rPr>
          <w:rFonts w:ascii="Garamond" w:eastAsiaTheme="minorHAnsi" w:hAnsi="Garamond"/>
        </w:rPr>
        <w:t>7. Rritja e tatimpaguesve deklarues në</w:t>
      </w:r>
      <w:r w:rsidR="00DE65FB">
        <w:rPr>
          <w:rFonts w:ascii="Garamond" w:eastAsiaTheme="minorHAnsi" w:hAnsi="Garamond"/>
        </w:rPr>
        <w:t xml:space="preserve"> TVSh</w:t>
      </w:r>
      <w:r w:rsidRPr="00830F4C">
        <w:rPr>
          <w:rFonts w:ascii="Garamond" w:eastAsiaTheme="minorHAnsi" w:hAnsi="Garamond"/>
        </w:rPr>
        <w:t xml:space="preserve"> me 14% në 2027 krahasuar me 2023,</w:t>
      </w:r>
      <w:r w:rsidR="00D22EA5" w:rsidRPr="00830F4C">
        <w:rPr>
          <w:rFonts w:ascii="Garamond" w:eastAsiaTheme="minorHAnsi" w:hAnsi="Garamond"/>
        </w:rPr>
        <w:t xml:space="preserve"> </w:t>
      </w:r>
      <w:r w:rsidRPr="00830F4C">
        <w:rPr>
          <w:rFonts w:ascii="Garamond" w:eastAsiaTheme="minorHAnsi" w:hAnsi="Garamond"/>
        </w:rPr>
        <w:t>për</w:t>
      </w:r>
      <w:r w:rsidR="00D22EA5" w:rsidRPr="00830F4C">
        <w:rPr>
          <w:rFonts w:ascii="Garamond" w:eastAsiaTheme="minorHAnsi" w:hAnsi="Garamond"/>
        </w:rPr>
        <w:t xml:space="preserve"> </w:t>
      </w:r>
      <w:r w:rsidRPr="00830F4C">
        <w:rPr>
          <w:rFonts w:ascii="Garamond" w:eastAsiaTheme="minorHAnsi" w:hAnsi="Garamond"/>
        </w:rPr>
        <w:t>të gjithë sektorët e ekonomisë.</w:t>
      </w:r>
    </w:p>
    <w:p w14:paraId="0159983B" w14:textId="77777777" w:rsidR="00EA1C5E" w:rsidRPr="00830F4C" w:rsidRDefault="00EA1C5E" w:rsidP="00EA1C5E">
      <w:pPr>
        <w:jc w:val="both"/>
        <w:rPr>
          <w:rFonts w:ascii="Garamond" w:hAnsi="Garamond"/>
          <w:b/>
        </w:rPr>
      </w:pPr>
      <w:bookmarkStart w:id="39" w:name="_Hlk187062580"/>
      <w:r w:rsidRPr="00830F4C">
        <w:rPr>
          <w:rFonts w:ascii="Garamond" w:hAnsi="Garamond"/>
          <w:b/>
        </w:rPr>
        <w:t>Masat dhe aktivitetet</w:t>
      </w:r>
      <w:bookmarkEnd w:id="39"/>
    </w:p>
    <w:tbl>
      <w:tblPr>
        <w:tblStyle w:val="TableGrid"/>
        <w:tblW w:w="0" w:type="auto"/>
        <w:tblLook w:val="04A0" w:firstRow="1" w:lastRow="0" w:firstColumn="1" w:lastColumn="0" w:noHBand="0" w:noVBand="1"/>
      </w:tblPr>
      <w:tblGrid>
        <w:gridCol w:w="1894"/>
        <w:gridCol w:w="3034"/>
        <w:gridCol w:w="1086"/>
        <w:gridCol w:w="1266"/>
        <w:gridCol w:w="1736"/>
      </w:tblGrid>
      <w:tr w:rsidR="00EA1C5E" w:rsidRPr="00CC11D5" w14:paraId="19FC97AC" w14:textId="77777777" w:rsidTr="00377F8B">
        <w:trPr>
          <w:trHeight w:val="20"/>
        </w:trPr>
        <w:tc>
          <w:tcPr>
            <w:tcW w:w="1894" w:type="dxa"/>
            <w:vAlign w:val="center"/>
          </w:tcPr>
          <w:p w14:paraId="6531BE1D" w14:textId="77777777" w:rsidR="00EA1C5E" w:rsidRPr="00CC11D5" w:rsidRDefault="00EA1C5E" w:rsidP="00377F8B">
            <w:pPr>
              <w:jc w:val="center"/>
              <w:rPr>
                <w:rFonts w:ascii="Garamond" w:hAnsi="Garamond"/>
                <w:b/>
                <w:sz w:val="12"/>
                <w:szCs w:val="12"/>
              </w:rPr>
            </w:pPr>
            <w:r w:rsidRPr="00CC11D5">
              <w:rPr>
                <w:rFonts w:ascii="Garamond" w:hAnsi="Garamond"/>
                <w:b/>
                <w:sz w:val="12"/>
                <w:szCs w:val="12"/>
              </w:rPr>
              <w:t>Masa</w:t>
            </w:r>
          </w:p>
        </w:tc>
        <w:tc>
          <w:tcPr>
            <w:tcW w:w="3034" w:type="dxa"/>
            <w:vAlign w:val="center"/>
          </w:tcPr>
          <w:p w14:paraId="40573E98" w14:textId="77777777" w:rsidR="00EA1C5E" w:rsidRPr="00CC11D5" w:rsidRDefault="00EA1C5E" w:rsidP="00377F8B">
            <w:pPr>
              <w:jc w:val="center"/>
              <w:rPr>
                <w:rFonts w:ascii="Garamond" w:hAnsi="Garamond"/>
                <w:b/>
                <w:sz w:val="12"/>
                <w:szCs w:val="12"/>
              </w:rPr>
            </w:pPr>
            <w:r w:rsidRPr="00CC11D5">
              <w:rPr>
                <w:rFonts w:ascii="Garamond" w:hAnsi="Garamond"/>
                <w:b/>
                <w:sz w:val="12"/>
                <w:szCs w:val="12"/>
              </w:rPr>
              <w:t>Aktivitetet</w:t>
            </w:r>
          </w:p>
        </w:tc>
        <w:tc>
          <w:tcPr>
            <w:tcW w:w="1086" w:type="dxa"/>
            <w:vAlign w:val="center"/>
          </w:tcPr>
          <w:p w14:paraId="6E092D46" w14:textId="77777777" w:rsidR="00EA1C5E" w:rsidRPr="00CC11D5" w:rsidRDefault="00EA1C5E" w:rsidP="00377F8B">
            <w:pPr>
              <w:jc w:val="center"/>
              <w:rPr>
                <w:rFonts w:ascii="Garamond" w:hAnsi="Garamond"/>
                <w:b/>
                <w:sz w:val="12"/>
                <w:szCs w:val="12"/>
              </w:rPr>
            </w:pPr>
            <w:r w:rsidRPr="00CC11D5">
              <w:rPr>
                <w:rFonts w:ascii="Garamond" w:hAnsi="Garamond"/>
                <w:b/>
                <w:sz w:val="12"/>
                <w:szCs w:val="12"/>
              </w:rPr>
              <w:t>Fillimi</w:t>
            </w:r>
          </w:p>
        </w:tc>
        <w:tc>
          <w:tcPr>
            <w:tcW w:w="1266" w:type="dxa"/>
            <w:vAlign w:val="center"/>
          </w:tcPr>
          <w:p w14:paraId="711AD162" w14:textId="77777777" w:rsidR="00EA1C5E" w:rsidRPr="00CC11D5" w:rsidRDefault="00EA1C5E" w:rsidP="00377F8B">
            <w:pPr>
              <w:jc w:val="center"/>
              <w:rPr>
                <w:rFonts w:ascii="Garamond" w:hAnsi="Garamond"/>
                <w:b/>
                <w:sz w:val="12"/>
                <w:szCs w:val="12"/>
              </w:rPr>
            </w:pPr>
            <w:r w:rsidRPr="00CC11D5">
              <w:rPr>
                <w:rFonts w:ascii="Garamond" w:hAnsi="Garamond"/>
                <w:b/>
                <w:sz w:val="12"/>
                <w:szCs w:val="12"/>
              </w:rPr>
              <w:t>Mbarimi</w:t>
            </w:r>
          </w:p>
        </w:tc>
        <w:tc>
          <w:tcPr>
            <w:tcW w:w="1736" w:type="dxa"/>
            <w:vAlign w:val="center"/>
          </w:tcPr>
          <w:p w14:paraId="2CDF9FA7" w14:textId="77777777" w:rsidR="00EA1C5E" w:rsidRPr="00CC11D5" w:rsidRDefault="00EA1C5E" w:rsidP="00377F8B">
            <w:pPr>
              <w:jc w:val="center"/>
              <w:rPr>
                <w:rFonts w:ascii="Garamond" w:hAnsi="Garamond"/>
                <w:b/>
                <w:sz w:val="12"/>
                <w:szCs w:val="12"/>
              </w:rPr>
            </w:pPr>
            <w:r w:rsidRPr="00CC11D5">
              <w:rPr>
                <w:rFonts w:ascii="Garamond" w:hAnsi="Garamond"/>
                <w:b/>
                <w:sz w:val="12"/>
                <w:szCs w:val="12"/>
              </w:rPr>
              <w:t>Institucioni përgjegjës</w:t>
            </w:r>
          </w:p>
        </w:tc>
      </w:tr>
      <w:tr w:rsidR="00EA1C5E" w:rsidRPr="00CC11D5" w14:paraId="3171FB39" w14:textId="77777777" w:rsidTr="00EA1C5E">
        <w:trPr>
          <w:trHeight w:val="20"/>
        </w:trPr>
        <w:tc>
          <w:tcPr>
            <w:tcW w:w="1894" w:type="dxa"/>
          </w:tcPr>
          <w:p w14:paraId="0A535856" w14:textId="77777777" w:rsidR="00EA1C5E" w:rsidRPr="00CC11D5" w:rsidRDefault="00EA1C5E" w:rsidP="00EA1C5E">
            <w:pPr>
              <w:jc w:val="center"/>
              <w:rPr>
                <w:rFonts w:ascii="Garamond" w:hAnsi="Garamond"/>
                <w:sz w:val="12"/>
                <w:szCs w:val="12"/>
              </w:rPr>
            </w:pPr>
            <w:r w:rsidRPr="00CC11D5">
              <w:rPr>
                <w:rFonts w:ascii="Garamond" w:hAnsi="Garamond"/>
                <w:sz w:val="12"/>
                <w:szCs w:val="12"/>
              </w:rPr>
              <w:t>Masa 2.1.1 Trajtimi i sektorit të ndërtimit dhe parandalimi i humbjeve tatimore në zinxhirin e furnizimit të nënkontraktorëve</w:t>
            </w:r>
          </w:p>
        </w:tc>
        <w:tc>
          <w:tcPr>
            <w:tcW w:w="3034" w:type="dxa"/>
          </w:tcPr>
          <w:p w14:paraId="3A708D38" w14:textId="4372B186" w:rsidR="00EA1C5E" w:rsidRPr="00CC11D5" w:rsidRDefault="00EA1C5E" w:rsidP="00EA1C5E">
            <w:pPr>
              <w:jc w:val="center"/>
              <w:rPr>
                <w:rFonts w:ascii="Garamond" w:hAnsi="Garamond"/>
                <w:sz w:val="12"/>
                <w:szCs w:val="12"/>
              </w:rPr>
            </w:pPr>
            <w:r w:rsidRPr="00CC11D5">
              <w:rPr>
                <w:rFonts w:ascii="Garamond" w:hAnsi="Garamond"/>
                <w:sz w:val="12"/>
                <w:szCs w:val="12"/>
              </w:rPr>
              <w:t>Aktiviteti 2.1.1.1</w:t>
            </w:r>
            <w:r w:rsidR="00A72159" w:rsidRPr="00CC11D5">
              <w:rPr>
                <w:rFonts w:ascii="Garamond" w:hAnsi="Garamond"/>
                <w:sz w:val="12"/>
                <w:szCs w:val="12"/>
              </w:rPr>
              <w:t>:</w:t>
            </w:r>
            <w:r w:rsidRPr="00CC11D5">
              <w:rPr>
                <w:rFonts w:ascii="Garamond" w:hAnsi="Garamond"/>
                <w:sz w:val="12"/>
                <w:szCs w:val="12"/>
              </w:rPr>
              <w:t xml:space="preserve"> Kryerja e një analize të detajuar në sektorin e ndërtimit, përfshirë zinxhirin e transaksioneve me nënkontraktorët.</w:t>
            </w:r>
          </w:p>
          <w:p w14:paraId="0AE67D1B" w14:textId="0C081944" w:rsidR="00EA1C5E" w:rsidRPr="00CC11D5" w:rsidRDefault="00EA1C5E" w:rsidP="00EA1C5E">
            <w:pPr>
              <w:jc w:val="center"/>
              <w:rPr>
                <w:rFonts w:ascii="Garamond" w:hAnsi="Garamond"/>
                <w:sz w:val="12"/>
                <w:szCs w:val="12"/>
              </w:rPr>
            </w:pPr>
            <w:r w:rsidRPr="00CC11D5">
              <w:rPr>
                <w:rFonts w:ascii="Garamond" w:hAnsi="Garamond"/>
                <w:sz w:val="12"/>
                <w:szCs w:val="12"/>
              </w:rPr>
              <w:t>Aktiviteti 2.1.2</w:t>
            </w:r>
            <w:r w:rsidR="00A72159" w:rsidRPr="00CC11D5">
              <w:rPr>
                <w:rFonts w:ascii="Garamond" w:hAnsi="Garamond"/>
                <w:sz w:val="12"/>
                <w:szCs w:val="12"/>
              </w:rPr>
              <w:t>:</w:t>
            </w:r>
            <w:r w:rsidRPr="00CC11D5">
              <w:rPr>
                <w:rFonts w:ascii="Garamond" w:hAnsi="Garamond"/>
                <w:sz w:val="12"/>
                <w:szCs w:val="12"/>
              </w:rPr>
              <w:t xml:space="preserve"> Hartimi dhe zbatimi Planit sektorial të sektorit të ndërtimit</w:t>
            </w:r>
          </w:p>
        </w:tc>
        <w:tc>
          <w:tcPr>
            <w:tcW w:w="1086" w:type="dxa"/>
          </w:tcPr>
          <w:p w14:paraId="475A2D87" w14:textId="77777777" w:rsidR="00EA1C5E" w:rsidRPr="00CC11D5" w:rsidRDefault="00EA1C5E" w:rsidP="00EA1C5E">
            <w:pPr>
              <w:jc w:val="center"/>
              <w:rPr>
                <w:rFonts w:ascii="Garamond" w:hAnsi="Garamond"/>
                <w:sz w:val="12"/>
                <w:szCs w:val="12"/>
              </w:rPr>
            </w:pPr>
            <w:r w:rsidRPr="00CC11D5">
              <w:rPr>
                <w:rFonts w:ascii="Garamond" w:hAnsi="Garamond"/>
                <w:sz w:val="12"/>
                <w:szCs w:val="12"/>
              </w:rPr>
              <w:t>2025</w:t>
            </w:r>
          </w:p>
        </w:tc>
        <w:tc>
          <w:tcPr>
            <w:tcW w:w="1266" w:type="dxa"/>
          </w:tcPr>
          <w:p w14:paraId="69918123" w14:textId="77777777" w:rsidR="00EA1C5E" w:rsidRPr="00CC11D5" w:rsidRDefault="00EA1C5E" w:rsidP="00EA1C5E">
            <w:pPr>
              <w:jc w:val="center"/>
              <w:rPr>
                <w:rFonts w:ascii="Garamond" w:hAnsi="Garamond"/>
                <w:sz w:val="12"/>
                <w:szCs w:val="12"/>
              </w:rPr>
            </w:pPr>
            <w:r w:rsidRPr="00CC11D5">
              <w:rPr>
                <w:rFonts w:ascii="Garamond" w:hAnsi="Garamond"/>
                <w:sz w:val="12"/>
                <w:szCs w:val="12"/>
              </w:rPr>
              <w:t>2027</w:t>
            </w:r>
          </w:p>
        </w:tc>
        <w:tc>
          <w:tcPr>
            <w:tcW w:w="1736" w:type="dxa"/>
          </w:tcPr>
          <w:p w14:paraId="0E14078A" w14:textId="382F88E4" w:rsidR="00EA1C5E" w:rsidRPr="00CC11D5" w:rsidRDefault="00EA1C5E" w:rsidP="00EA1C5E">
            <w:pPr>
              <w:jc w:val="center"/>
              <w:rPr>
                <w:rFonts w:ascii="Garamond" w:hAnsi="Garamond"/>
                <w:sz w:val="12"/>
                <w:szCs w:val="12"/>
              </w:rPr>
            </w:pPr>
            <w:r w:rsidRPr="00CC11D5">
              <w:rPr>
                <w:rFonts w:ascii="Garamond" w:hAnsi="Garamond"/>
                <w:sz w:val="12"/>
                <w:szCs w:val="12"/>
              </w:rPr>
              <w:t>DPT/Shoqata e Ndërtuesve/Agjencia e planifikimit t</w:t>
            </w:r>
            <w:r w:rsidR="008C0C0F" w:rsidRPr="00CC11D5">
              <w:rPr>
                <w:rFonts w:ascii="Garamond" w:hAnsi="Garamond"/>
                <w:sz w:val="12"/>
                <w:szCs w:val="12"/>
              </w:rPr>
              <w:t>ë</w:t>
            </w:r>
            <w:r w:rsidRPr="00CC11D5">
              <w:rPr>
                <w:rFonts w:ascii="Garamond" w:hAnsi="Garamond"/>
                <w:sz w:val="12"/>
                <w:szCs w:val="12"/>
              </w:rPr>
              <w:t xml:space="preserve"> territorit</w:t>
            </w:r>
          </w:p>
        </w:tc>
      </w:tr>
      <w:tr w:rsidR="00EA1C5E" w:rsidRPr="00CC11D5" w14:paraId="073D7236" w14:textId="77777777" w:rsidTr="00EA1C5E">
        <w:trPr>
          <w:trHeight w:val="20"/>
        </w:trPr>
        <w:tc>
          <w:tcPr>
            <w:tcW w:w="1894" w:type="dxa"/>
          </w:tcPr>
          <w:p w14:paraId="7CBF751F" w14:textId="77777777" w:rsidR="00EA1C5E" w:rsidRPr="00CC11D5" w:rsidRDefault="00EA1C5E" w:rsidP="00EA1C5E">
            <w:pPr>
              <w:autoSpaceDE w:val="0"/>
              <w:autoSpaceDN w:val="0"/>
              <w:adjustRightInd w:val="0"/>
              <w:jc w:val="center"/>
              <w:rPr>
                <w:rFonts w:ascii="Garamond" w:hAnsi="Garamond"/>
                <w:sz w:val="12"/>
                <w:szCs w:val="12"/>
              </w:rPr>
            </w:pPr>
            <w:r w:rsidRPr="00CC11D5">
              <w:rPr>
                <w:rFonts w:ascii="Garamond" w:hAnsi="Garamond"/>
                <w:sz w:val="12"/>
                <w:szCs w:val="12"/>
              </w:rPr>
              <w:t>Masa 2.1.2 Vlerësimi i performancës së sektorit të turizmit dhe hartimi i planit të dedikuar sektorial</w:t>
            </w:r>
          </w:p>
        </w:tc>
        <w:tc>
          <w:tcPr>
            <w:tcW w:w="3034" w:type="dxa"/>
          </w:tcPr>
          <w:p w14:paraId="57FD2809" w14:textId="3199894F" w:rsidR="00EA1C5E" w:rsidRPr="00CC11D5" w:rsidRDefault="00EA1C5E" w:rsidP="00EA1C5E">
            <w:pPr>
              <w:jc w:val="center"/>
              <w:rPr>
                <w:rFonts w:ascii="Garamond" w:hAnsi="Garamond"/>
                <w:sz w:val="12"/>
                <w:szCs w:val="12"/>
              </w:rPr>
            </w:pPr>
            <w:r w:rsidRPr="00CC11D5">
              <w:rPr>
                <w:rFonts w:ascii="Garamond" w:hAnsi="Garamond"/>
                <w:sz w:val="12"/>
                <w:szCs w:val="12"/>
              </w:rPr>
              <w:t>Aktiviteti: 2.1.2.1</w:t>
            </w:r>
            <w:r w:rsidR="00A72159" w:rsidRPr="00CC11D5">
              <w:rPr>
                <w:rFonts w:ascii="Garamond" w:hAnsi="Garamond"/>
                <w:sz w:val="12"/>
                <w:szCs w:val="12"/>
              </w:rPr>
              <w:t>:</w:t>
            </w:r>
            <w:r w:rsidRPr="00CC11D5">
              <w:rPr>
                <w:rFonts w:ascii="Garamond" w:hAnsi="Garamond"/>
                <w:sz w:val="12"/>
                <w:szCs w:val="12"/>
              </w:rPr>
              <w:t xml:space="preserve"> Analizë e risqeve të mospajtueshmërisë në sektorin e turizmit</w:t>
            </w:r>
          </w:p>
          <w:p w14:paraId="25F5D230" w14:textId="2D97E20E" w:rsidR="00EA1C5E" w:rsidRPr="00CC11D5" w:rsidRDefault="00EA1C5E" w:rsidP="00EA1C5E">
            <w:pPr>
              <w:jc w:val="center"/>
              <w:rPr>
                <w:rFonts w:ascii="Garamond" w:hAnsi="Garamond"/>
                <w:sz w:val="12"/>
                <w:szCs w:val="12"/>
              </w:rPr>
            </w:pPr>
            <w:r w:rsidRPr="00CC11D5">
              <w:rPr>
                <w:rFonts w:ascii="Garamond" w:hAnsi="Garamond"/>
                <w:sz w:val="12"/>
                <w:szCs w:val="12"/>
              </w:rPr>
              <w:t>Aktiviteti 2.1.2.2</w:t>
            </w:r>
            <w:r w:rsidR="00A72159" w:rsidRPr="00CC11D5">
              <w:rPr>
                <w:rFonts w:ascii="Garamond" w:hAnsi="Garamond"/>
                <w:sz w:val="12"/>
                <w:szCs w:val="12"/>
              </w:rPr>
              <w:t>:</w:t>
            </w:r>
            <w:r w:rsidRPr="00CC11D5">
              <w:rPr>
                <w:rFonts w:ascii="Garamond" w:hAnsi="Garamond"/>
                <w:sz w:val="12"/>
                <w:szCs w:val="12"/>
              </w:rPr>
              <w:t xml:space="preserve"> Hartimi dhe zbatimi i planeve vjetore sektoriale të Turizmit.</w:t>
            </w:r>
          </w:p>
        </w:tc>
        <w:tc>
          <w:tcPr>
            <w:tcW w:w="1086" w:type="dxa"/>
          </w:tcPr>
          <w:p w14:paraId="628D4B02" w14:textId="77777777" w:rsidR="00EA1C5E" w:rsidRPr="00CC11D5" w:rsidRDefault="00EA1C5E" w:rsidP="00EA1C5E">
            <w:pPr>
              <w:jc w:val="center"/>
              <w:rPr>
                <w:rFonts w:ascii="Garamond" w:hAnsi="Garamond"/>
                <w:sz w:val="12"/>
                <w:szCs w:val="12"/>
              </w:rPr>
            </w:pPr>
            <w:r w:rsidRPr="00CC11D5">
              <w:rPr>
                <w:rFonts w:ascii="Garamond" w:hAnsi="Garamond"/>
                <w:sz w:val="12"/>
                <w:szCs w:val="12"/>
              </w:rPr>
              <w:t>2024</w:t>
            </w:r>
          </w:p>
        </w:tc>
        <w:tc>
          <w:tcPr>
            <w:tcW w:w="1266" w:type="dxa"/>
          </w:tcPr>
          <w:p w14:paraId="6183882E" w14:textId="77777777" w:rsidR="00EA1C5E" w:rsidRPr="00CC11D5" w:rsidRDefault="00EA1C5E" w:rsidP="00EA1C5E">
            <w:pPr>
              <w:jc w:val="center"/>
              <w:rPr>
                <w:rFonts w:ascii="Garamond" w:hAnsi="Garamond"/>
                <w:sz w:val="12"/>
                <w:szCs w:val="12"/>
              </w:rPr>
            </w:pPr>
            <w:r w:rsidRPr="00CC11D5">
              <w:rPr>
                <w:rFonts w:ascii="Garamond" w:hAnsi="Garamond"/>
                <w:sz w:val="12"/>
                <w:szCs w:val="12"/>
              </w:rPr>
              <w:t>2027</w:t>
            </w:r>
          </w:p>
        </w:tc>
        <w:tc>
          <w:tcPr>
            <w:tcW w:w="1736" w:type="dxa"/>
          </w:tcPr>
          <w:p w14:paraId="0E0C419A" w14:textId="77777777" w:rsidR="00EA1C5E" w:rsidRPr="00CC11D5" w:rsidRDefault="00EA1C5E" w:rsidP="00EA1C5E">
            <w:pPr>
              <w:jc w:val="center"/>
              <w:rPr>
                <w:rFonts w:ascii="Garamond" w:hAnsi="Garamond"/>
                <w:sz w:val="12"/>
                <w:szCs w:val="12"/>
              </w:rPr>
            </w:pPr>
            <w:r w:rsidRPr="00CC11D5">
              <w:rPr>
                <w:rFonts w:ascii="Garamond" w:hAnsi="Garamond"/>
                <w:sz w:val="12"/>
                <w:szCs w:val="12"/>
              </w:rPr>
              <w:t>DPT në bashkëpunim me Ministrinë e Turizimit, Shoqata e turizimit</w:t>
            </w:r>
          </w:p>
        </w:tc>
      </w:tr>
      <w:tr w:rsidR="00EA1C5E" w:rsidRPr="00CC11D5" w14:paraId="1E5774E3" w14:textId="77777777" w:rsidTr="00EA1C5E">
        <w:trPr>
          <w:trHeight w:val="20"/>
        </w:trPr>
        <w:tc>
          <w:tcPr>
            <w:tcW w:w="1894" w:type="dxa"/>
          </w:tcPr>
          <w:p w14:paraId="5B533D1C" w14:textId="12DABA75" w:rsidR="00EA1C5E" w:rsidRPr="00CC11D5" w:rsidRDefault="00EA1C5E" w:rsidP="00EA1C5E">
            <w:pPr>
              <w:jc w:val="center"/>
              <w:rPr>
                <w:rFonts w:ascii="Garamond" w:hAnsi="Garamond"/>
                <w:sz w:val="12"/>
                <w:szCs w:val="12"/>
              </w:rPr>
            </w:pPr>
            <w:r w:rsidRPr="00CC11D5">
              <w:rPr>
                <w:rFonts w:ascii="Garamond" w:hAnsi="Garamond"/>
                <w:sz w:val="12"/>
                <w:szCs w:val="12"/>
              </w:rPr>
              <w:t>Masa 2.1.3. Identifikimi i aktivite</w:t>
            </w:r>
            <w:r w:rsidR="00D22EA5" w:rsidRPr="00CC11D5">
              <w:rPr>
                <w:rFonts w:ascii="Garamond" w:hAnsi="Garamond"/>
                <w:sz w:val="12"/>
                <w:szCs w:val="12"/>
              </w:rPr>
              <w:t>te</w:t>
            </w:r>
            <w:r w:rsidRPr="00CC11D5">
              <w:rPr>
                <w:rFonts w:ascii="Garamond" w:hAnsi="Garamond"/>
                <w:sz w:val="12"/>
                <w:szCs w:val="12"/>
              </w:rPr>
              <w:t>ve digjitale/elektronike në të gjithë sektorët e ekonomisë</w:t>
            </w:r>
          </w:p>
          <w:p w14:paraId="235C3D8E" w14:textId="77777777" w:rsidR="00EA1C5E" w:rsidRPr="00CC11D5" w:rsidRDefault="00EA1C5E" w:rsidP="00EA1C5E">
            <w:pPr>
              <w:jc w:val="center"/>
              <w:rPr>
                <w:rFonts w:ascii="Garamond" w:hAnsi="Garamond"/>
                <w:sz w:val="12"/>
                <w:szCs w:val="12"/>
              </w:rPr>
            </w:pPr>
          </w:p>
        </w:tc>
        <w:tc>
          <w:tcPr>
            <w:tcW w:w="3034" w:type="dxa"/>
          </w:tcPr>
          <w:p w14:paraId="24B23705" w14:textId="6405BF45" w:rsidR="00EA1C5E" w:rsidRPr="00CC11D5" w:rsidRDefault="00EA1C5E" w:rsidP="00EA1C5E">
            <w:pPr>
              <w:jc w:val="center"/>
              <w:rPr>
                <w:rFonts w:ascii="Garamond" w:hAnsi="Garamond"/>
                <w:sz w:val="12"/>
                <w:szCs w:val="12"/>
              </w:rPr>
            </w:pPr>
            <w:r w:rsidRPr="00CC11D5">
              <w:rPr>
                <w:rFonts w:ascii="Garamond" w:hAnsi="Garamond"/>
                <w:sz w:val="12"/>
                <w:szCs w:val="12"/>
              </w:rPr>
              <w:t>Aktiviteti: 2.1.3.1</w:t>
            </w:r>
            <w:r w:rsidR="00A72159" w:rsidRPr="00CC11D5">
              <w:rPr>
                <w:rFonts w:ascii="Garamond" w:hAnsi="Garamond"/>
                <w:sz w:val="12"/>
                <w:szCs w:val="12"/>
              </w:rPr>
              <w:t xml:space="preserve">: </w:t>
            </w:r>
            <w:r w:rsidRPr="00CC11D5">
              <w:rPr>
                <w:rFonts w:ascii="Garamond" w:hAnsi="Garamond"/>
                <w:sz w:val="12"/>
                <w:szCs w:val="12"/>
              </w:rPr>
              <w:t>Analizë e risqeve të mospajtueshmërisë</w:t>
            </w:r>
          </w:p>
          <w:p w14:paraId="63F58AC3" w14:textId="77777777" w:rsidR="00EA1C5E" w:rsidRPr="00CC11D5" w:rsidRDefault="00EA1C5E" w:rsidP="00EA1C5E">
            <w:pPr>
              <w:jc w:val="center"/>
              <w:rPr>
                <w:rFonts w:ascii="Garamond" w:hAnsi="Garamond"/>
                <w:sz w:val="12"/>
                <w:szCs w:val="12"/>
              </w:rPr>
            </w:pPr>
            <w:r w:rsidRPr="00CC11D5">
              <w:rPr>
                <w:rFonts w:ascii="Garamond" w:hAnsi="Garamond"/>
                <w:sz w:val="12"/>
                <w:szCs w:val="12"/>
              </w:rPr>
              <w:t>në sektorin e shërbimeve/tregtisë digjitale.</w:t>
            </w:r>
          </w:p>
          <w:p w14:paraId="5DD953C6" w14:textId="77777777" w:rsidR="00EA1C5E" w:rsidRPr="00CC11D5" w:rsidRDefault="00EA1C5E" w:rsidP="00EA1C5E">
            <w:pPr>
              <w:jc w:val="center"/>
              <w:rPr>
                <w:rFonts w:ascii="Garamond" w:hAnsi="Garamond"/>
                <w:sz w:val="12"/>
                <w:szCs w:val="12"/>
              </w:rPr>
            </w:pPr>
            <w:r w:rsidRPr="00CC11D5">
              <w:rPr>
                <w:rFonts w:ascii="Garamond" w:hAnsi="Garamond"/>
                <w:sz w:val="12"/>
                <w:szCs w:val="12"/>
              </w:rPr>
              <w:t>Aktiviteti 2.1.3.2. Hartimi dhe zbatimi i planit Sektorial të Tregtisë elektronike</w:t>
            </w:r>
          </w:p>
        </w:tc>
        <w:tc>
          <w:tcPr>
            <w:tcW w:w="1086" w:type="dxa"/>
          </w:tcPr>
          <w:p w14:paraId="756FB336" w14:textId="77777777" w:rsidR="00EA1C5E" w:rsidRPr="00CC11D5" w:rsidRDefault="00EA1C5E" w:rsidP="00EA1C5E">
            <w:pPr>
              <w:jc w:val="center"/>
              <w:rPr>
                <w:rFonts w:ascii="Garamond" w:hAnsi="Garamond"/>
                <w:sz w:val="12"/>
                <w:szCs w:val="12"/>
              </w:rPr>
            </w:pPr>
            <w:r w:rsidRPr="00CC11D5">
              <w:rPr>
                <w:rFonts w:ascii="Garamond" w:hAnsi="Garamond"/>
                <w:sz w:val="12"/>
                <w:szCs w:val="12"/>
              </w:rPr>
              <w:t>2026</w:t>
            </w:r>
          </w:p>
        </w:tc>
        <w:tc>
          <w:tcPr>
            <w:tcW w:w="1266" w:type="dxa"/>
          </w:tcPr>
          <w:p w14:paraId="593B081D" w14:textId="77777777" w:rsidR="00EA1C5E" w:rsidRPr="00CC11D5" w:rsidRDefault="00EA1C5E" w:rsidP="00EA1C5E">
            <w:pPr>
              <w:jc w:val="center"/>
              <w:rPr>
                <w:rFonts w:ascii="Garamond" w:hAnsi="Garamond"/>
                <w:sz w:val="12"/>
                <w:szCs w:val="12"/>
              </w:rPr>
            </w:pPr>
            <w:r w:rsidRPr="00CC11D5">
              <w:rPr>
                <w:rFonts w:ascii="Garamond" w:hAnsi="Garamond"/>
                <w:sz w:val="12"/>
                <w:szCs w:val="12"/>
              </w:rPr>
              <w:t>2027</w:t>
            </w:r>
          </w:p>
        </w:tc>
        <w:tc>
          <w:tcPr>
            <w:tcW w:w="1736" w:type="dxa"/>
          </w:tcPr>
          <w:p w14:paraId="48B33725" w14:textId="77777777" w:rsidR="00EA1C5E" w:rsidRPr="00CC11D5" w:rsidRDefault="00EA1C5E" w:rsidP="00EA1C5E">
            <w:pPr>
              <w:jc w:val="center"/>
              <w:rPr>
                <w:rFonts w:ascii="Garamond" w:hAnsi="Garamond"/>
                <w:sz w:val="12"/>
                <w:szCs w:val="12"/>
              </w:rPr>
            </w:pPr>
            <w:r w:rsidRPr="00CC11D5">
              <w:rPr>
                <w:rFonts w:ascii="Garamond" w:hAnsi="Garamond"/>
                <w:sz w:val="12"/>
                <w:szCs w:val="12"/>
              </w:rPr>
              <w:t>DPT/AKEP/MF</w:t>
            </w:r>
          </w:p>
        </w:tc>
      </w:tr>
      <w:tr w:rsidR="00EA1C5E" w:rsidRPr="00CC11D5" w14:paraId="53696D4F" w14:textId="77777777" w:rsidTr="00EA1C5E">
        <w:trPr>
          <w:trHeight w:val="20"/>
        </w:trPr>
        <w:tc>
          <w:tcPr>
            <w:tcW w:w="1894" w:type="dxa"/>
          </w:tcPr>
          <w:p w14:paraId="1C2BF844" w14:textId="77777777" w:rsidR="00EA1C5E" w:rsidRPr="00CC11D5" w:rsidRDefault="00EA1C5E" w:rsidP="00EA1C5E">
            <w:pPr>
              <w:autoSpaceDE w:val="0"/>
              <w:autoSpaceDN w:val="0"/>
              <w:adjustRightInd w:val="0"/>
              <w:jc w:val="center"/>
              <w:rPr>
                <w:rFonts w:ascii="Garamond" w:hAnsi="Garamond"/>
                <w:sz w:val="12"/>
                <w:szCs w:val="12"/>
              </w:rPr>
            </w:pPr>
            <w:r w:rsidRPr="00CC11D5">
              <w:rPr>
                <w:rFonts w:ascii="Garamond" w:hAnsi="Garamond"/>
                <w:sz w:val="12"/>
                <w:szCs w:val="12"/>
              </w:rPr>
              <w:t>Masa 2.1.4. Trajtimi i sektorëve të tjerë të identifikuar me risk nëpërmjet metodave moderne të menaxhimit të riskut për të rritur pajtueshmërinë vullnetare</w:t>
            </w:r>
          </w:p>
          <w:p w14:paraId="5DE00D56" w14:textId="77777777" w:rsidR="00EA1C5E" w:rsidRPr="00CC11D5" w:rsidRDefault="00EA1C5E" w:rsidP="00EA1C5E">
            <w:pPr>
              <w:autoSpaceDE w:val="0"/>
              <w:autoSpaceDN w:val="0"/>
              <w:adjustRightInd w:val="0"/>
              <w:jc w:val="center"/>
              <w:rPr>
                <w:rFonts w:ascii="Garamond" w:hAnsi="Garamond"/>
                <w:sz w:val="12"/>
                <w:szCs w:val="12"/>
              </w:rPr>
            </w:pPr>
          </w:p>
        </w:tc>
        <w:tc>
          <w:tcPr>
            <w:tcW w:w="3034" w:type="dxa"/>
          </w:tcPr>
          <w:p w14:paraId="776C84C4" w14:textId="1D449F54" w:rsidR="00EA1C5E" w:rsidRPr="00CC11D5" w:rsidRDefault="00EA1C5E" w:rsidP="00EA1C5E">
            <w:pPr>
              <w:jc w:val="center"/>
              <w:rPr>
                <w:rFonts w:ascii="Garamond" w:hAnsi="Garamond"/>
                <w:sz w:val="12"/>
                <w:szCs w:val="12"/>
              </w:rPr>
            </w:pPr>
            <w:r w:rsidRPr="00CC11D5">
              <w:rPr>
                <w:rFonts w:ascii="Garamond" w:hAnsi="Garamond"/>
                <w:sz w:val="12"/>
                <w:szCs w:val="12"/>
              </w:rPr>
              <w:t>Aktiviteti 2.1.4.1</w:t>
            </w:r>
            <w:r w:rsidR="00A72159" w:rsidRPr="00CC11D5">
              <w:rPr>
                <w:rFonts w:ascii="Garamond" w:hAnsi="Garamond"/>
                <w:sz w:val="12"/>
                <w:szCs w:val="12"/>
              </w:rPr>
              <w:t>:</w:t>
            </w:r>
            <w:r w:rsidRPr="00CC11D5">
              <w:rPr>
                <w:rFonts w:ascii="Garamond" w:hAnsi="Garamond"/>
                <w:sz w:val="12"/>
                <w:szCs w:val="12"/>
              </w:rPr>
              <w:t xml:space="preserve"> Analizë e risqeve të mospajtueshmërisë</w:t>
            </w:r>
          </w:p>
          <w:p w14:paraId="192E3BF5" w14:textId="77777777" w:rsidR="00EA1C5E" w:rsidRPr="00CC11D5" w:rsidRDefault="00EA1C5E" w:rsidP="00EA1C5E">
            <w:pPr>
              <w:jc w:val="center"/>
              <w:rPr>
                <w:rFonts w:ascii="Garamond" w:hAnsi="Garamond"/>
                <w:sz w:val="12"/>
                <w:szCs w:val="12"/>
              </w:rPr>
            </w:pPr>
            <w:r w:rsidRPr="00CC11D5">
              <w:rPr>
                <w:rFonts w:ascii="Garamond" w:hAnsi="Garamond"/>
                <w:sz w:val="12"/>
                <w:szCs w:val="12"/>
              </w:rPr>
              <w:t>në sektorët e tjerë.</w:t>
            </w:r>
          </w:p>
          <w:p w14:paraId="1DBED716" w14:textId="22B16FEB" w:rsidR="00EA1C5E" w:rsidRPr="00CC11D5" w:rsidRDefault="00EA1C5E" w:rsidP="00EA1C5E">
            <w:pPr>
              <w:jc w:val="center"/>
              <w:rPr>
                <w:rFonts w:ascii="Garamond" w:hAnsi="Garamond"/>
                <w:sz w:val="12"/>
                <w:szCs w:val="12"/>
              </w:rPr>
            </w:pPr>
            <w:r w:rsidRPr="00CC11D5">
              <w:rPr>
                <w:rFonts w:ascii="Garamond" w:hAnsi="Garamond"/>
                <w:sz w:val="12"/>
                <w:szCs w:val="12"/>
              </w:rPr>
              <w:t>Aktiviteti 2.1.4.2</w:t>
            </w:r>
            <w:r w:rsidR="00A72159" w:rsidRPr="00CC11D5">
              <w:rPr>
                <w:rFonts w:ascii="Garamond" w:hAnsi="Garamond"/>
                <w:sz w:val="12"/>
                <w:szCs w:val="12"/>
              </w:rPr>
              <w:t xml:space="preserve">: </w:t>
            </w:r>
            <w:r w:rsidRPr="00CC11D5">
              <w:rPr>
                <w:rFonts w:ascii="Garamond" w:hAnsi="Garamond"/>
                <w:sz w:val="12"/>
                <w:szCs w:val="12"/>
              </w:rPr>
              <w:t>Hartimi i Planeve sektoriale të pajtueshmërisë në sektorët e evidentuar me risk.</w:t>
            </w:r>
          </w:p>
        </w:tc>
        <w:tc>
          <w:tcPr>
            <w:tcW w:w="1086" w:type="dxa"/>
          </w:tcPr>
          <w:p w14:paraId="3D4E197F" w14:textId="77777777" w:rsidR="00EA1C5E" w:rsidRPr="00CC11D5" w:rsidRDefault="00EA1C5E" w:rsidP="00EA1C5E">
            <w:pPr>
              <w:jc w:val="center"/>
              <w:rPr>
                <w:rFonts w:ascii="Garamond" w:hAnsi="Garamond"/>
                <w:sz w:val="12"/>
                <w:szCs w:val="12"/>
              </w:rPr>
            </w:pPr>
            <w:r w:rsidRPr="00CC11D5">
              <w:rPr>
                <w:rFonts w:ascii="Garamond" w:hAnsi="Garamond"/>
                <w:sz w:val="12"/>
                <w:szCs w:val="12"/>
              </w:rPr>
              <w:t>2024</w:t>
            </w:r>
          </w:p>
        </w:tc>
        <w:tc>
          <w:tcPr>
            <w:tcW w:w="1266" w:type="dxa"/>
          </w:tcPr>
          <w:p w14:paraId="7834E0F2" w14:textId="77777777" w:rsidR="00EA1C5E" w:rsidRPr="00CC11D5" w:rsidRDefault="00EA1C5E" w:rsidP="00EA1C5E">
            <w:pPr>
              <w:jc w:val="center"/>
              <w:rPr>
                <w:rFonts w:ascii="Garamond" w:hAnsi="Garamond"/>
                <w:sz w:val="12"/>
                <w:szCs w:val="12"/>
              </w:rPr>
            </w:pPr>
            <w:r w:rsidRPr="00CC11D5">
              <w:rPr>
                <w:rFonts w:ascii="Garamond" w:hAnsi="Garamond"/>
                <w:sz w:val="12"/>
                <w:szCs w:val="12"/>
              </w:rPr>
              <w:t>2027</w:t>
            </w:r>
          </w:p>
        </w:tc>
        <w:tc>
          <w:tcPr>
            <w:tcW w:w="1736" w:type="dxa"/>
          </w:tcPr>
          <w:p w14:paraId="1FA68C84" w14:textId="77777777" w:rsidR="00EA1C5E" w:rsidRPr="00CC11D5" w:rsidRDefault="00EA1C5E" w:rsidP="00EA1C5E">
            <w:pPr>
              <w:jc w:val="center"/>
              <w:rPr>
                <w:rFonts w:ascii="Garamond" w:hAnsi="Garamond"/>
                <w:sz w:val="12"/>
                <w:szCs w:val="12"/>
              </w:rPr>
            </w:pPr>
            <w:r w:rsidRPr="00CC11D5">
              <w:rPr>
                <w:rFonts w:ascii="Garamond" w:hAnsi="Garamond"/>
                <w:sz w:val="12"/>
                <w:szCs w:val="12"/>
              </w:rPr>
              <w:t>DPT/Shoqatat e Biznesit</w:t>
            </w:r>
          </w:p>
        </w:tc>
      </w:tr>
      <w:tr w:rsidR="00EA1C5E" w:rsidRPr="00CC11D5" w14:paraId="267088FA" w14:textId="77777777" w:rsidTr="00EA1C5E">
        <w:trPr>
          <w:trHeight w:val="20"/>
        </w:trPr>
        <w:tc>
          <w:tcPr>
            <w:tcW w:w="1894" w:type="dxa"/>
            <w:vMerge w:val="restart"/>
          </w:tcPr>
          <w:p w14:paraId="0E9342DF" w14:textId="232C1AAA" w:rsidR="00EA1C5E" w:rsidRPr="00CC11D5" w:rsidRDefault="00EA1C5E" w:rsidP="00EA1C5E">
            <w:pPr>
              <w:jc w:val="center"/>
              <w:rPr>
                <w:rFonts w:ascii="Garamond" w:hAnsi="Garamond"/>
                <w:sz w:val="12"/>
                <w:szCs w:val="12"/>
              </w:rPr>
            </w:pPr>
            <w:r w:rsidRPr="00CC11D5">
              <w:rPr>
                <w:rFonts w:ascii="Garamond" w:hAnsi="Garamond"/>
                <w:sz w:val="12"/>
                <w:szCs w:val="12"/>
              </w:rPr>
              <w:t>Masa 2.1.5: Zgjerimi i bazës së tatueshme me rritjen e numrit të tatimpaguesve të përfshirë në përgjegjësinë e</w:t>
            </w:r>
            <w:r w:rsidR="00DE65FB" w:rsidRPr="00CC11D5">
              <w:rPr>
                <w:rFonts w:ascii="Garamond" w:hAnsi="Garamond"/>
                <w:sz w:val="12"/>
                <w:szCs w:val="12"/>
              </w:rPr>
              <w:t xml:space="preserve"> TVSh</w:t>
            </w:r>
            <w:r w:rsidRPr="00CC11D5">
              <w:rPr>
                <w:rFonts w:ascii="Garamond" w:hAnsi="Garamond"/>
                <w:sz w:val="12"/>
                <w:szCs w:val="12"/>
              </w:rPr>
              <w:t>-së</w:t>
            </w:r>
          </w:p>
          <w:p w14:paraId="42793051" w14:textId="77777777" w:rsidR="00EA1C5E" w:rsidRPr="00CC11D5" w:rsidRDefault="00EA1C5E" w:rsidP="00EA1C5E">
            <w:pPr>
              <w:jc w:val="center"/>
              <w:rPr>
                <w:rFonts w:ascii="Garamond" w:hAnsi="Garamond"/>
                <w:sz w:val="12"/>
                <w:szCs w:val="12"/>
              </w:rPr>
            </w:pPr>
          </w:p>
        </w:tc>
        <w:tc>
          <w:tcPr>
            <w:tcW w:w="3034" w:type="dxa"/>
          </w:tcPr>
          <w:p w14:paraId="3E3F5BF5" w14:textId="2A6B67C4" w:rsidR="00EA1C5E" w:rsidRPr="00CC11D5" w:rsidRDefault="00EA1C5E" w:rsidP="00EA1C5E">
            <w:pPr>
              <w:jc w:val="center"/>
              <w:rPr>
                <w:rFonts w:ascii="Garamond" w:hAnsi="Garamond"/>
                <w:sz w:val="12"/>
                <w:szCs w:val="12"/>
              </w:rPr>
            </w:pPr>
            <w:r w:rsidRPr="00CC11D5">
              <w:rPr>
                <w:rFonts w:ascii="Garamond" w:hAnsi="Garamond"/>
                <w:sz w:val="12"/>
                <w:szCs w:val="12"/>
              </w:rPr>
              <w:t>Aktiviteti 2.1.5.1</w:t>
            </w:r>
            <w:r w:rsidR="00A72159" w:rsidRPr="00CC11D5">
              <w:rPr>
                <w:rFonts w:ascii="Garamond" w:hAnsi="Garamond"/>
                <w:sz w:val="12"/>
                <w:szCs w:val="12"/>
              </w:rPr>
              <w:t>:</w:t>
            </w:r>
            <w:r w:rsidRPr="00CC11D5">
              <w:rPr>
                <w:rFonts w:ascii="Garamond" w:hAnsi="Garamond"/>
                <w:sz w:val="12"/>
                <w:szCs w:val="12"/>
              </w:rPr>
              <w:t xml:space="preserve"> Krijimi i kritereve të reja</w:t>
            </w:r>
            <w:r w:rsidR="00D22EA5" w:rsidRPr="00CC11D5">
              <w:rPr>
                <w:rFonts w:ascii="Garamond" w:hAnsi="Garamond"/>
                <w:sz w:val="12"/>
                <w:szCs w:val="12"/>
              </w:rPr>
              <w:t xml:space="preserve"> </w:t>
            </w:r>
            <w:r w:rsidRPr="00CC11D5">
              <w:rPr>
                <w:rFonts w:ascii="Garamond" w:hAnsi="Garamond"/>
                <w:sz w:val="12"/>
                <w:szCs w:val="12"/>
              </w:rPr>
              <w:t>të riskut me qëllim evidentimin e tatimpaguesve me riskun e shmangies së</w:t>
            </w:r>
            <w:r w:rsidR="00DE65FB" w:rsidRPr="00CC11D5">
              <w:rPr>
                <w:rFonts w:ascii="Garamond" w:hAnsi="Garamond"/>
                <w:sz w:val="12"/>
                <w:szCs w:val="12"/>
              </w:rPr>
              <w:t xml:space="preserve"> TVSh</w:t>
            </w:r>
            <w:r w:rsidRPr="00CC11D5">
              <w:rPr>
                <w:rFonts w:ascii="Garamond" w:hAnsi="Garamond"/>
                <w:sz w:val="12"/>
                <w:szCs w:val="12"/>
              </w:rPr>
              <w:t>-së.</w:t>
            </w:r>
          </w:p>
        </w:tc>
        <w:tc>
          <w:tcPr>
            <w:tcW w:w="1086" w:type="dxa"/>
          </w:tcPr>
          <w:p w14:paraId="1FB79940" w14:textId="77777777" w:rsidR="00EA1C5E" w:rsidRPr="00CC11D5" w:rsidRDefault="00EA1C5E" w:rsidP="00EA1C5E">
            <w:pPr>
              <w:jc w:val="center"/>
              <w:rPr>
                <w:rFonts w:ascii="Garamond" w:hAnsi="Garamond"/>
                <w:sz w:val="12"/>
                <w:szCs w:val="12"/>
              </w:rPr>
            </w:pPr>
            <w:r w:rsidRPr="00CC11D5">
              <w:rPr>
                <w:rFonts w:ascii="Garamond" w:hAnsi="Garamond"/>
                <w:sz w:val="12"/>
                <w:szCs w:val="12"/>
              </w:rPr>
              <w:t>2024</w:t>
            </w:r>
          </w:p>
        </w:tc>
        <w:tc>
          <w:tcPr>
            <w:tcW w:w="1266" w:type="dxa"/>
          </w:tcPr>
          <w:p w14:paraId="617EFE85" w14:textId="77777777" w:rsidR="00EA1C5E" w:rsidRPr="00CC11D5" w:rsidRDefault="00EA1C5E" w:rsidP="00EA1C5E">
            <w:pPr>
              <w:jc w:val="center"/>
              <w:rPr>
                <w:rFonts w:ascii="Garamond" w:hAnsi="Garamond"/>
                <w:sz w:val="12"/>
                <w:szCs w:val="12"/>
              </w:rPr>
            </w:pPr>
            <w:r w:rsidRPr="00CC11D5">
              <w:rPr>
                <w:rFonts w:ascii="Garamond" w:hAnsi="Garamond"/>
                <w:sz w:val="12"/>
                <w:szCs w:val="12"/>
              </w:rPr>
              <w:t>2027</w:t>
            </w:r>
          </w:p>
        </w:tc>
        <w:tc>
          <w:tcPr>
            <w:tcW w:w="1736" w:type="dxa"/>
          </w:tcPr>
          <w:p w14:paraId="5FF71F16" w14:textId="77777777" w:rsidR="00EA1C5E" w:rsidRPr="00CC11D5" w:rsidRDefault="00EA1C5E" w:rsidP="00EA1C5E">
            <w:pPr>
              <w:jc w:val="center"/>
              <w:rPr>
                <w:rFonts w:ascii="Garamond" w:hAnsi="Garamond"/>
                <w:sz w:val="12"/>
                <w:szCs w:val="12"/>
              </w:rPr>
            </w:pPr>
            <w:r w:rsidRPr="00CC11D5">
              <w:rPr>
                <w:rFonts w:ascii="Garamond" w:hAnsi="Garamond"/>
                <w:sz w:val="12"/>
                <w:szCs w:val="12"/>
              </w:rPr>
              <w:t>DPT</w:t>
            </w:r>
          </w:p>
        </w:tc>
      </w:tr>
      <w:tr w:rsidR="00EA1C5E" w:rsidRPr="00CC11D5" w14:paraId="3669574F" w14:textId="77777777" w:rsidTr="00EA1C5E">
        <w:trPr>
          <w:trHeight w:val="20"/>
        </w:trPr>
        <w:tc>
          <w:tcPr>
            <w:tcW w:w="1894" w:type="dxa"/>
            <w:vMerge/>
          </w:tcPr>
          <w:p w14:paraId="4643AD92" w14:textId="77777777" w:rsidR="00EA1C5E" w:rsidRPr="00CC11D5" w:rsidRDefault="00EA1C5E" w:rsidP="00EA1C5E">
            <w:pPr>
              <w:jc w:val="center"/>
              <w:rPr>
                <w:rFonts w:ascii="Garamond" w:hAnsi="Garamond"/>
                <w:sz w:val="12"/>
                <w:szCs w:val="12"/>
              </w:rPr>
            </w:pPr>
          </w:p>
        </w:tc>
        <w:tc>
          <w:tcPr>
            <w:tcW w:w="3034" w:type="dxa"/>
          </w:tcPr>
          <w:p w14:paraId="2D669035" w14:textId="75789820" w:rsidR="00EA1C5E" w:rsidRPr="00CC11D5" w:rsidRDefault="00EA1C5E" w:rsidP="00EA1C5E">
            <w:pPr>
              <w:jc w:val="center"/>
              <w:rPr>
                <w:rFonts w:ascii="Garamond" w:hAnsi="Garamond"/>
                <w:sz w:val="12"/>
                <w:szCs w:val="12"/>
              </w:rPr>
            </w:pPr>
            <w:r w:rsidRPr="00CC11D5">
              <w:rPr>
                <w:rFonts w:ascii="Garamond" w:hAnsi="Garamond"/>
                <w:sz w:val="12"/>
                <w:szCs w:val="12"/>
              </w:rPr>
              <w:t>Aktiviteti 2.1.5.2</w:t>
            </w:r>
            <w:r w:rsidR="00A72159" w:rsidRPr="00CC11D5">
              <w:rPr>
                <w:rFonts w:ascii="Garamond" w:hAnsi="Garamond"/>
                <w:sz w:val="12"/>
                <w:szCs w:val="12"/>
              </w:rPr>
              <w:t>:</w:t>
            </w:r>
            <w:r w:rsidRPr="00CC11D5">
              <w:rPr>
                <w:rFonts w:ascii="Garamond" w:hAnsi="Garamond"/>
                <w:sz w:val="12"/>
                <w:szCs w:val="12"/>
              </w:rPr>
              <w:t xml:space="preserve"> Finalizim i parambushjes së deklaratës së</w:t>
            </w:r>
            <w:r w:rsidR="00DE65FB" w:rsidRPr="00CC11D5">
              <w:rPr>
                <w:rFonts w:ascii="Garamond" w:hAnsi="Garamond"/>
                <w:sz w:val="12"/>
                <w:szCs w:val="12"/>
              </w:rPr>
              <w:t xml:space="preserve"> TVSh</w:t>
            </w:r>
          </w:p>
        </w:tc>
        <w:tc>
          <w:tcPr>
            <w:tcW w:w="1086" w:type="dxa"/>
          </w:tcPr>
          <w:p w14:paraId="52B716BF" w14:textId="77777777" w:rsidR="00EA1C5E" w:rsidRPr="00CC11D5" w:rsidRDefault="00EA1C5E" w:rsidP="00EA1C5E">
            <w:pPr>
              <w:jc w:val="center"/>
              <w:rPr>
                <w:rFonts w:ascii="Garamond" w:hAnsi="Garamond"/>
                <w:sz w:val="12"/>
                <w:szCs w:val="12"/>
              </w:rPr>
            </w:pPr>
            <w:r w:rsidRPr="00CC11D5">
              <w:rPr>
                <w:rFonts w:ascii="Garamond" w:hAnsi="Garamond"/>
                <w:sz w:val="12"/>
                <w:szCs w:val="12"/>
              </w:rPr>
              <w:t>2025</w:t>
            </w:r>
          </w:p>
        </w:tc>
        <w:tc>
          <w:tcPr>
            <w:tcW w:w="1266" w:type="dxa"/>
          </w:tcPr>
          <w:p w14:paraId="54F080E4" w14:textId="77777777" w:rsidR="00EA1C5E" w:rsidRPr="00CC11D5" w:rsidRDefault="00EA1C5E" w:rsidP="00EA1C5E">
            <w:pPr>
              <w:jc w:val="center"/>
              <w:rPr>
                <w:rFonts w:ascii="Garamond" w:hAnsi="Garamond"/>
                <w:sz w:val="12"/>
                <w:szCs w:val="12"/>
              </w:rPr>
            </w:pPr>
            <w:r w:rsidRPr="00CC11D5">
              <w:rPr>
                <w:rFonts w:ascii="Garamond" w:hAnsi="Garamond"/>
                <w:sz w:val="12"/>
                <w:szCs w:val="12"/>
              </w:rPr>
              <w:t>2026</w:t>
            </w:r>
          </w:p>
        </w:tc>
        <w:tc>
          <w:tcPr>
            <w:tcW w:w="1736" w:type="dxa"/>
          </w:tcPr>
          <w:p w14:paraId="298D8D10" w14:textId="77777777" w:rsidR="00EA1C5E" w:rsidRPr="00CC11D5" w:rsidRDefault="00EA1C5E" w:rsidP="00EA1C5E">
            <w:pPr>
              <w:jc w:val="center"/>
              <w:rPr>
                <w:rFonts w:ascii="Garamond" w:hAnsi="Garamond"/>
                <w:sz w:val="12"/>
                <w:szCs w:val="12"/>
              </w:rPr>
            </w:pPr>
            <w:r w:rsidRPr="00CC11D5">
              <w:rPr>
                <w:rFonts w:ascii="Garamond" w:hAnsi="Garamond"/>
                <w:sz w:val="12"/>
                <w:szCs w:val="12"/>
              </w:rPr>
              <w:t>DPT</w:t>
            </w:r>
          </w:p>
        </w:tc>
      </w:tr>
    </w:tbl>
    <w:p w14:paraId="024749E5" w14:textId="77777777" w:rsidR="00EA1C5E" w:rsidRPr="00830F4C" w:rsidRDefault="00EA1C5E" w:rsidP="00EA1C5E">
      <w:pPr>
        <w:jc w:val="both"/>
        <w:rPr>
          <w:rFonts w:ascii="Garamond" w:hAnsi="Garamond"/>
          <w:b/>
          <w:sz w:val="16"/>
          <w:szCs w:val="16"/>
        </w:rPr>
      </w:pPr>
    </w:p>
    <w:p w14:paraId="03EA81A7" w14:textId="77777777" w:rsidR="00EA1C5E" w:rsidRPr="00830F4C" w:rsidRDefault="00EA1C5E" w:rsidP="00EA1C5E">
      <w:pPr>
        <w:jc w:val="both"/>
        <w:rPr>
          <w:rFonts w:ascii="Garamond" w:hAnsi="Garamond"/>
          <w:b/>
        </w:rPr>
      </w:pPr>
      <w:r w:rsidRPr="00830F4C">
        <w:rPr>
          <w:rFonts w:ascii="Garamond" w:hAnsi="Garamond"/>
          <w:b/>
        </w:rPr>
        <w:t>Treguesit e performancës dhe vlerat e synuara</w:t>
      </w:r>
    </w:p>
    <w:tbl>
      <w:tblPr>
        <w:tblStyle w:val="TableGrid"/>
        <w:tblW w:w="10068" w:type="dxa"/>
        <w:tblLook w:val="04A0" w:firstRow="1" w:lastRow="0" w:firstColumn="1" w:lastColumn="0" w:noHBand="0" w:noVBand="1"/>
      </w:tblPr>
      <w:tblGrid>
        <w:gridCol w:w="1736"/>
        <w:gridCol w:w="1859"/>
        <w:gridCol w:w="1377"/>
        <w:gridCol w:w="1732"/>
        <w:gridCol w:w="1732"/>
        <w:gridCol w:w="1632"/>
      </w:tblGrid>
      <w:tr w:rsidR="00EA1C5E" w:rsidRPr="00CC11D5" w14:paraId="2E7F9711" w14:textId="77777777" w:rsidTr="00CC11D5">
        <w:trPr>
          <w:trHeight w:val="20"/>
        </w:trPr>
        <w:tc>
          <w:tcPr>
            <w:tcW w:w="1736" w:type="dxa"/>
            <w:vMerge w:val="restart"/>
            <w:vAlign w:val="center"/>
          </w:tcPr>
          <w:p w14:paraId="567CA4A2" w14:textId="77777777" w:rsidR="00EA1C5E" w:rsidRPr="00CC11D5" w:rsidRDefault="00EA1C5E" w:rsidP="00CC11D5">
            <w:pPr>
              <w:jc w:val="center"/>
              <w:rPr>
                <w:rFonts w:ascii="Garamond" w:hAnsi="Garamond"/>
                <w:b/>
                <w:sz w:val="12"/>
                <w:szCs w:val="12"/>
              </w:rPr>
            </w:pPr>
            <w:r w:rsidRPr="00CC11D5">
              <w:rPr>
                <w:rFonts w:ascii="Garamond" w:hAnsi="Garamond"/>
                <w:b/>
                <w:sz w:val="12"/>
                <w:szCs w:val="12"/>
              </w:rPr>
              <w:t>Treguesi</w:t>
            </w:r>
          </w:p>
        </w:tc>
        <w:tc>
          <w:tcPr>
            <w:tcW w:w="1859" w:type="dxa"/>
            <w:vMerge w:val="restart"/>
            <w:vAlign w:val="center"/>
          </w:tcPr>
          <w:p w14:paraId="06C4B7D5" w14:textId="7E18D4BC" w:rsidR="00EA1C5E" w:rsidRPr="00CC11D5" w:rsidRDefault="00EA1C5E" w:rsidP="00CC11D5">
            <w:pPr>
              <w:jc w:val="center"/>
              <w:rPr>
                <w:rFonts w:ascii="Garamond" w:hAnsi="Garamond"/>
                <w:b/>
                <w:sz w:val="12"/>
                <w:szCs w:val="12"/>
              </w:rPr>
            </w:pPr>
            <w:r w:rsidRPr="00CC11D5">
              <w:rPr>
                <w:rFonts w:ascii="Garamond" w:hAnsi="Garamond"/>
                <w:b/>
                <w:sz w:val="12"/>
                <w:szCs w:val="12"/>
              </w:rPr>
              <w:t xml:space="preserve">Vlera </w:t>
            </w:r>
            <w:r w:rsidR="00CC11D5" w:rsidRPr="00CC11D5">
              <w:rPr>
                <w:rFonts w:ascii="Garamond" w:hAnsi="Garamond"/>
                <w:b/>
                <w:sz w:val="12"/>
                <w:szCs w:val="12"/>
              </w:rPr>
              <w:t>b</w:t>
            </w:r>
            <w:r w:rsidRPr="00CC11D5">
              <w:rPr>
                <w:rFonts w:ascii="Garamond" w:hAnsi="Garamond"/>
                <w:b/>
                <w:sz w:val="12"/>
                <w:szCs w:val="12"/>
              </w:rPr>
              <w:t>azë (viti 2023)</w:t>
            </w:r>
          </w:p>
        </w:tc>
        <w:tc>
          <w:tcPr>
            <w:tcW w:w="6473" w:type="dxa"/>
            <w:gridSpan w:val="4"/>
            <w:vAlign w:val="center"/>
          </w:tcPr>
          <w:p w14:paraId="43CD1A87" w14:textId="77777777" w:rsidR="00EA1C5E" w:rsidRPr="00CC11D5" w:rsidRDefault="00EA1C5E" w:rsidP="00CC11D5">
            <w:pPr>
              <w:jc w:val="center"/>
              <w:rPr>
                <w:rFonts w:ascii="Garamond" w:hAnsi="Garamond"/>
                <w:b/>
                <w:sz w:val="12"/>
                <w:szCs w:val="12"/>
              </w:rPr>
            </w:pPr>
            <w:r w:rsidRPr="00CC11D5">
              <w:rPr>
                <w:rFonts w:ascii="Garamond" w:hAnsi="Garamond"/>
                <w:b/>
                <w:sz w:val="12"/>
                <w:szCs w:val="12"/>
              </w:rPr>
              <w:t>Vlera e synuar</w:t>
            </w:r>
          </w:p>
        </w:tc>
      </w:tr>
      <w:tr w:rsidR="00EA1C5E" w:rsidRPr="00CC11D5" w14:paraId="03E39A94" w14:textId="77777777" w:rsidTr="00CC11D5">
        <w:trPr>
          <w:trHeight w:val="20"/>
        </w:trPr>
        <w:tc>
          <w:tcPr>
            <w:tcW w:w="1736" w:type="dxa"/>
            <w:vMerge/>
            <w:vAlign w:val="center"/>
          </w:tcPr>
          <w:p w14:paraId="6FD341D6" w14:textId="77777777" w:rsidR="00EA1C5E" w:rsidRPr="00CC11D5" w:rsidRDefault="00EA1C5E" w:rsidP="00CC11D5">
            <w:pPr>
              <w:jc w:val="center"/>
              <w:rPr>
                <w:rFonts w:ascii="Garamond" w:hAnsi="Garamond"/>
                <w:b/>
                <w:sz w:val="12"/>
                <w:szCs w:val="12"/>
              </w:rPr>
            </w:pPr>
          </w:p>
        </w:tc>
        <w:tc>
          <w:tcPr>
            <w:tcW w:w="1859" w:type="dxa"/>
            <w:vMerge/>
            <w:vAlign w:val="center"/>
          </w:tcPr>
          <w:p w14:paraId="1691A6B5" w14:textId="77777777" w:rsidR="00EA1C5E" w:rsidRPr="00CC11D5" w:rsidRDefault="00EA1C5E" w:rsidP="00CC11D5">
            <w:pPr>
              <w:jc w:val="center"/>
              <w:rPr>
                <w:rFonts w:ascii="Garamond" w:hAnsi="Garamond"/>
                <w:b/>
                <w:sz w:val="12"/>
                <w:szCs w:val="12"/>
              </w:rPr>
            </w:pPr>
          </w:p>
        </w:tc>
        <w:tc>
          <w:tcPr>
            <w:tcW w:w="1377" w:type="dxa"/>
            <w:vAlign w:val="center"/>
          </w:tcPr>
          <w:p w14:paraId="6CB519E2" w14:textId="77777777" w:rsidR="00EA1C5E" w:rsidRPr="00CC11D5" w:rsidRDefault="00EA1C5E" w:rsidP="00CC11D5">
            <w:pPr>
              <w:jc w:val="center"/>
              <w:rPr>
                <w:rFonts w:ascii="Garamond" w:hAnsi="Garamond"/>
                <w:b/>
                <w:sz w:val="12"/>
                <w:szCs w:val="12"/>
              </w:rPr>
            </w:pPr>
            <w:r w:rsidRPr="00CC11D5">
              <w:rPr>
                <w:rFonts w:ascii="Garamond" w:hAnsi="Garamond"/>
                <w:b/>
                <w:sz w:val="12"/>
                <w:szCs w:val="12"/>
              </w:rPr>
              <w:t>2024</w:t>
            </w:r>
          </w:p>
        </w:tc>
        <w:tc>
          <w:tcPr>
            <w:tcW w:w="1732" w:type="dxa"/>
            <w:vAlign w:val="center"/>
          </w:tcPr>
          <w:p w14:paraId="7AAEF2C7" w14:textId="77777777" w:rsidR="00EA1C5E" w:rsidRPr="00CC11D5" w:rsidRDefault="00EA1C5E" w:rsidP="00CC11D5">
            <w:pPr>
              <w:jc w:val="center"/>
              <w:rPr>
                <w:rFonts w:ascii="Garamond" w:hAnsi="Garamond"/>
                <w:b/>
                <w:sz w:val="12"/>
                <w:szCs w:val="12"/>
              </w:rPr>
            </w:pPr>
            <w:r w:rsidRPr="00CC11D5">
              <w:rPr>
                <w:rFonts w:ascii="Garamond" w:hAnsi="Garamond"/>
                <w:b/>
                <w:sz w:val="12"/>
                <w:szCs w:val="12"/>
              </w:rPr>
              <w:t>2025</w:t>
            </w:r>
          </w:p>
        </w:tc>
        <w:tc>
          <w:tcPr>
            <w:tcW w:w="1732" w:type="dxa"/>
            <w:vAlign w:val="center"/>
          </w:tcPr>
          <w:p w14:paraId="24A4A9EA" w14:textId="77777777" w:rsidR="00EA1C5E" w:rsidRPr="00CC11D5" w:rsidRDefault="00EA1C5E" w:rsidP="00CC11D5">
            <w:pPr>
              <w:jc w:val="center"/>
              <w:rPr>
                <w:rFonts w:ascii="Garamond" w:hAnsi="Garamond"/>
                <w:b/>
                <w:sz w:val="12"/>
                <w:szCs w:val="12"/>
              </w:rPr>
            </w:pPr>
            <w:r w:rsidRPr="00CC11D5">
              <w:rPr>
                <w:rFonts w:ascii="Garamond" w:hAnsi="Garamond"/>
                <w:b/>
                <w:sz w:val="12"/>
                <w:szCs w:val="12"/>
              </w:rPr>
              <w:t>2026</w:t>
            </w:r>
          </w:p>
        </w:tc>
        <w:tc>
          <w:tcPr>
            <w:tcW w:w="1632" w:type="dxa"/>
            <w:vAlign w:val="center"/>
          </w:tcPr>
          <w:p w14:paraId="5C1745F4" w14:textId="77777777" w:rsidR="00EA1C5E" w:rsidRPr="00CC11D5" w:rsidRDefault="00EA1C5E" w:rsidP="00CC11D5">
            <w:pPr>
              <w:jc w:val="center"/>
              <w:rPr>
                <w:rFonts w:ascii="Garamond" w:hAnsi="Garamond"/>
                <w:b/>
                <w:sz w:val="12"/>
                <w:szCs w:val="12"/>
              </w:rPr>
            </w:pPr>
            <w:r w:rsidRPr="00CC11D5">
              <w:rPr>
                <w:rFonts w:ascii="Garamond" w:hAnsi="Garamond"/>
                <w:b/>
                <w:sz w:val="12"/>
                <w:szCs w:val="12"/>
              </w:rPr>
              <w:t>2027</w:t>
            </w:r>
          </w:p>
        </w:tc>
      </w:tr>
      <w:tr w:rsidR="00EA1C5E" w:rsidRPr="00CC11D5" w14:paraId="7D9D9695" w14:textId="77777777" w:rsidTr="00EA1C5E">
        <w:trPr>
          <w:trHeight w:val="20"/>
        </w:trPr>
        <w:tc>
          <w:tcPr>
            <w:tcW w:w="1736" w:type="dxa"/>
          </w:tcPr>
          <w:p w14:paraId="4DADD9AF" w14:textId="4D466BCC" w:rsidR="00EA1C5E" w:rsidRPr="00CC11D5" w:rsidRDefault="00EA1C5E" w:rsidP="00EA1C5E">
            <w:pPr>
              <w:jc w:val="center"/>
              <w:rPr>
                <w:rFonts w:ascii="Garamond" w:hAnsi="Garamond"/>
                <w:sz w:val="12"/>
                <w:szCs w:val="12"/>
              </w:rPr>
            </w:pPr>
            <w:r w:rsidRPr="00CC11D5">
              <w:rPr>
                <w:rFonts w:ascii="Garamond" w:hAnsi="Garamond"/>
                <w:sz w:val="12"/>
                <w:szCs w:val="12"/>
              </w:rPr>
              <w:t>Rritje e të ardhurave nga</w:t>
            </w:r>
            <w:r w:rsidR="00DE65FB" w:rsidRPr="00CC11D5">
              <w:rPr>
                <w:rFonts w:ascii="Garamond" w:hAnsi="Garamond"/>
                <w:sz w:val="12"/>
                <w:szCs w:val="12"/>
              </w:rPr>
              <w:t xml:space="preserve"> TVSh</w:t>
            </w:r>
            <w:r w:rsidRPr="00CC11D5">
              <w:rPr>
                <w:rFonts w:ascii="Garamond" w:hAnsi="Garamond"/>
                <w:sz w:val="12"/>
                <w:szCs w:val="12"/>
              </w:rPr>
              <w:t xml:space="preserve"> me</w:t>
            </w:r>
            <w:r w:rsidR="00D22EA5" w:rsidRPr="00CC11D5">
              <w:rPr>
                <w:rFonts w:ascii="Garamond" w:hAnsi="Garamond"/>
                <w:sz w:val="12"/>
                <w:szCs w:val="12"/>
              </w:rPr>
              <w:t xml:space="preserve"> </w:t>
            </w:r>
            <w:r w:rsidRPr="00CC11D5">
              <w:rPr>
                <w:rFonts w:ascii="Garamond" w:hAnsi="Garamond"/>
                <w:sz w:val="12"/>
                <w:szCs w:val="12"/>
              </w:rPr>
              <w:t>0.92% e PBB</w:t>
            </w:r>
            <w:r w:rsidR="00236281" w:rsidRPr="00CC11D5">
              <w:rPr>
                <w:rFonts w:ascii="Garamond" w:hAnsi="Garamond"/>
                <w:sz w:val="12"/>
                <w:szCs w:val="12"/>
              </w:rPr>
              <w:t>-së</w:t>
            </w:r>
            <w:r w:rsidRPr="00CC11D5">
              <w:rPr>
                <w:rFonts w:ascii="Garamond" w:hAnsi="Garamond"/>
                <w:sz w:val="12"/>
                <w:szCs w:val="12"/>
              </w:rPr>
              <w:t>, brenda 2027</w:t>
            </w:r>
          </w:p>
        </w:tc>
        <w:tc>
          <w:tcPr>
            <w:tcW w:w="1859" w:type="dxa"/>
          </w:tcPr>
          <w:p w14:paraId="2184F813" w14:textId="6A671AD8" w:rsidR="00EA1C5E" w:rsidRPr="00CC11D5" w:rsidRDefault="00EA1C5E" w:rsidP="00EA1C5E">
            <w:pPr>
              <w:jc w:val="center"/>
              <w:rPr>
                <w:rFonts w:ascii="Garamond" w:hAnsi="Garamond"/>
                <w:sz w:val="12"/>
                <w:szCs w:val="12"/>
              </w:rPr>
            </w:pPr>
            <w:r w:rsidRPr="00CC11D5">
              <w:rPr>
                <w:rFonts w:ascii="Garamond" w:hAnsi="Garamond"/>
                <w:sz w:val="12"/>
                <w:szCs w:val="12"/>
              </w:rPr>
              <w:t>Të ardhura nga</w:t>
            </w:r>
            <w:r w:rsidR="00DE65FB" w:rsidRPr="00CC11D5">
              <w:rPr>
                <w:rFonts w:ascii="Garamond" w:hAnsi="Garamond"/>
                <w:sz w:val="12"/>
                <w:szCs w:val="12"/>
              </w:rPr>
              <w:t xml:space="preserve"> TVSh</w:t>
            </w:r>
            <w:r w:rsidRPr="00CC11D5">
              <w:rPr>
                <w:rFonts w:ascii="Garamond" w:hAnsi="Garamond"/>
                <w:sz w:val="12"/>
                <w:szCs w:val="12"/>
              </w:rPr>
              <w:t xml:space="preserve"> e brendshme, 1,98% e PBB</w:t>
            </w:r>
            <w:r w:rsidR="00236281" w:rsidRPr="00CC11D5">
              <w:rPr>
                <w:rFonts w:ascii="Garamond" w:hAnsi="Garamond"/>
                <w:sz w:val="12"/>
                <w:szCs w:val="12"/>
              </w:rPr>
              <w:t>-së</w:t>
            </w:r>
          </w:p>
        </w:tc>
        <w:tc>
          <w:tcPr>
            <w:tcW w:w="1377" w:type="dxa"/>
          </w:tcPr>
          <w:p w14:paraId="052DC128" w14:textId="1C3CEE08" w:rsidR="00EA1C5E" w:rsidRPr="00CC11D5" w:rsidRDefault="00EA1C5E" w:rsidP="00EA1C5E">
            <w:pPr>
              <w:jc w:val="center"/>
              <w:rPr>
                <w:rFonts w:ascii="Garamond" w:hAnsi="Garamond"/>
                <w:sz w:val="12"/>
                <w:szCs w:val="12"/>
              </w:rPr>
            </w:pPr>
            <w:r w:rsidRPr="00CC11D5">
              <w:rPr>
                <w:rFonts w:ascii="Garamond" w:hAnsi="Garamond"/>
                <w:sz w:val="12"/>
                <w:szCs w:val="12"/>
              </w:rPr>
              <w:t>0.42% e PBB</w:t>
            </w:r>
            <w:r w:rsidR="00236281" w:rsidRPr="00CC11D5">
              <w:rPr>
                <w:rFonts w:ascii="Garamond" w:hAnsi="Garamond"/>
                <w:sz w:val="12"/>
                <w:szCs w:val="12"/>
              </w:rPr>
              <w:t>-së</w:t>
            </w:r>
          </w:p>
        </w:tc>
        <w:tc>
          <w:tcPr>
            <w:tcW w:w="1732" w:type="dxa"/>
          </w:tcPr>
          <w:p w14:paraId="4757BD40" w14:textId="68846991" w:rsidR="00EA1C5E" w:rsidRPr="00CC11D5" w:rsidRDefault="00EA1C5E" w:rsidP="00EA1C5E">
            <w:pPr>
              <w:jc w:val="center"/>
              <w:rPr>
                <w:rFonts w:ascii="Garamond" w:hAnsi="Garamond"/>
                <w:sz w:val="12"/>
                <w:szCs w:val="12"/>
              </w:rPr>
            </w:pPr>
            <w:r w:rsidRPr="00CC11D5">
              <w:rPr>
                <w:rFonts w:ascii="Garamond" w:hAnsi="Garamond"/>
                <w:sz w:val="12"/>
                <w:szCs w:val="12"/>
              </w:rPr>
              <w:t>0.21% e PBB</w:t>
            </w:r>
            <w:r w:rsidR="00236281" w:rsidRPr="00CC11D5">
              <w:rPr>
                <w:rFonts w:ascii="Garamond" w:hAnsi="Garamond"/>
                <w:sz w:val="12"/>
                <w:szCs w:val="12"/>
              </w:rPr>
              <w:t>-së</w:t>
            </w:r>
          </w:p>
        </w:tc>
        <w:tc>
          <w:tcPr>
            <w:tcW w:w="1732" w:type="dxa"/>
          </w:tcPr>
          <w:p w14:paraId="0C04100D" w14:textId="3AD2D683" w:rsidR="00EA1C5E" w:rsidRPr="00CC11D5" w:rsidRDefault="00EA1C5E" w:rsidP="00EA1C5E">
            <w:pPr>
              <w:jc w:val="center"/>
              <w:rPr>
                <w:rFonts w:ascii="Garamond" w:hAnsi="Garamond"/>
                <w:sz w:val="12"/>
                <w:szCs w:val="12"/>
              </w:rPr>
            </w:pPr>
            <w:r w:rsidRPr="00CC11D5">
              <w:rPr>
                <w:rFonts w:ascii="Garamond" w:hAnsi="Garamond"/>
                <w:sz w:val="12"/>
                <w:szCs w:val="12"/>
              </w:rPr>
              <w:t>0.15% e PBB</w:t>
            </w:r>
            <w:r w:rsidR="00236281" w:rsidRPr="00CC11D5">
              <w:rPr>
                <w:rFonts w:ascii="Garamond" w:hAnsi="Garamond"/>
                <w:sz w:val="12"/>
                <w:szCs w:val="12"/>
              </w:rPr>
              <w:t>-së</w:t>
            </w:r>
          </w:p>
        </w:tc>
        <w:tc>
          <w:tcPr>
            <w:tcW w:w="1632" w:type="dxa"/>
          </w:tcPr>
          <w:p w14:paraId="12E8875C" w14:textId="457C3C93" w:rsidR="00EA1C5E" w:rsidRPr="00CC11D5" w:rsidRDefault="00EA1C5E" w:rsidP="00EA1C5E">
            <w:pPr>
              <w:jc w:val="center"/>
              <w:rPr>
                <w:rFonts w:ascii="Garamond" w:hAnsi="Garamond"/>
                <w:sz w:val="12"/>
                <w:szCs w:val="12"/>
              </w:rPr>
            </w:pPr>
            <w:r w:rsidRPr="00CC11D5">
              <w:rPr>
                <w:rFonts w:ascii="Garamond" w:hAnsi="Garamond"/>
                <w:sz w:val="12"/>
                <w:szCs w:val="12"/>
              </w:rPr>
              <w:t>0.14% e PBB</w:t>
            </w:r>
            <w:r w:rsidR="00236281" w:rsidRPr="00CC11D5">
              <w:rPr>
                <w:rFonts w:ascii="Garamond" w:hAnsi="Garamond"/>
                <w:sz w:val="12"/>
                <w:szCs w:val="12"/>
              </w:rPr>
              <w:t>-së</w:t>
            </w:r>
          </w:p>
        </w:tc>
      </w:tr>
      <w:tr w:rsidR="00EA1C5E" w:rsidRPr="00CC11D5" w14:paraId="16993804" w14:textId="77777777" w:rsidTr="00EA1C5E">
        <w:trPr>
          <w:trHeight w:val="20"/>
        </w:trPr>
        <w:tc>
          <w:tcPr>
            <w:tcW w:w="1736" w:type="dxa"/>
          </w:tcPr>
          <w:p w14:paraId="21A6BAE1" w14:textId="42570F36" w:rsidR="00EA1C5E" w:rsidRPr="00CC11D5" w:rsidRDefault="00EA1C5E" w:rsidP="00EA1C5E">
            <w:pPr>
              <w:jc w:val="center"/>
              <w:rPr>
                <w:rFonts w:ascii="Garamond" w:hAnsi="Garamond"/>
                <w:sz w:val="12"/>
                <w:szCs w:val="12"/>
              </w:rPr>
            </w:pPr>
            <w:r w:rsidRPr="00CC11D5">
              <w:rPr>
                <w:rFonts w:ascii="Garamond" w:hAnsi="Garamond"/>
                <w:sz w:val="12"/>
                <w:szCs w:val="12"/>
              </w:rPr>
              <w:t>Rritja e numrit të tatimpaguesve deklarues</w:t>
            </w:r>
            <w:r w:rsidR="00DE65FB" w:rsidRPr="00CC11D5">
              <w:rPr>
                <w:rFonts w:ascii="Garamond" w:hAnsi="Garamond"/>
                <w:sz w:val="12"/>
                <w:szCs w:val="12"/>
              </w:rPr>
              <w:t xml:space="preserve"> TVSh</w:t>
            </w:r>
            <w:r w:rsidRPr="00CC11D5">
              <w:rPr>
                <w:rFonts w:ascii="Garamond" w:hAnsi="Garamond"/>
                <w:sz w:val="12"/>
                <w:szCs w:val="12"/>
              </w:rPr>
              <w:t>-je në sektorin e ndërtimit</w:t>
            </w:r>
          </w:p>
        </w:tc>
        <w:tc>
          <w:tcPr>
            <w:tcW w:w="1859" w:type="dxa"/>
          </w:tcPr>
          <w:p w14:paraId="145C212F" w14:textId="1D6611BA" w:rsidR="00EA1C5E" w:rsidRPr="00CC11D5" w:rsidRDefault="00EA1C5E" w:rsidP="00EA1C5E">
            <w:pPr>
              <w:jc w:val="center"/>
              <w:rPr>
                <w:rFonts w:ascii="Garamond" w:hAnsi="Garamond"/>
                <w:sz w:val="12"/>
                <w:szCs w:val="12"/>
              </w:rPr>
            </w:pPr>
            <w:r w:rsidRPr="00CC11D5">
              <w:rPr>
                <w:rFonts w:ascii="Garamond" w:hAnsi="Garamond"/>
                <w:sz w:val="12"/>
                <w:szCs w:val="12"/>
              </w:rPr>
              <w:t>13.3% e tatimpaguesve</w:t>
            </w:r>
            <w:r w:rsidR="00D22EA5" w:rsidRPr="00CC11D5">
              <w:rPr>
                <w:rFonts w:ascii="Garamond" w:hAnsi="Garamond"/>
                <w:sz w:val="12"/>
                <w:szCs w:val="12"/>
              </w:rPr>
              <w:t xml:space="preserve"> </w:t>
            </w:r>
            <w:r w:rsidRPr="00CC11D5">
              <w:rPr>
                <w:rFonts w:ascii="Garamond" w:hAnsi="Garamond"/>
                <w:sz w:val="12"/>
                <w:szCs w:val="12"/>
              </w:rPr>
              <w:t>deklarues</w:t>
            </w:r>
            <w:r w:rsidR="00DE65FB" w:rsidRPr="00CC11D5">
              <w:rPr>
                <w:rFonts w:ascii="Garamond" w:hAnsi="Garamond"/>
                <w:sz w:val="12"/>
                <w:szCs w:val="12"/>
              </w:rPr>
              <w:t xml:space="preserve"> TVSh</w:t>
            </w:r>
          </w:p>
        </w:tc>
        <w:tc>
          <w:tcPr>
            <w:tcW w:w="1377" w:type="dxa"/>
          </w:tcPr>
          <w:p w14:paraId="2D71BA94" w14:textId="77777777" w:rsidR="00EA1C5E" w:rsidRPr="00CC11D5" w:rsidRDefault="00EA1C5E" w:rsidP="00EA1C5E">
            <w:pPr>
              <w:jc w:val="center"/>
              <w:rPr>
                <w:rFonts w:ascii="Garamond" w:hAnsi="Garamond"/>
                <w:sz w:val="12"/>
                <w:szCs w:val="12"/>
              </w:rPr>
            </w:pPr>
            <w:r w:rsidRPr="00CC11D5">
              <w:rPr>
                <w:rFonts w:ascii="Garamond" w:hAnsi="Garamond"/>
                <w:sz w:val="12"/>
                <w:szCs w:val="12"/>
              </w:rPr>
              <w:t>10% rritje nr. i tatimpaguesve</w:t>
            </w:r>
          </w:p>
        </w:tc>
        <w:tc>
          <w:tcPr>
            <w:tcW w:w="1732" w:type="dxa"/>
          </w:tcPr>
          <w:p w14:paraId="7F0F8392" w14:textId="77777777" w:rsidR="00EA1C5E" w:rsidRPr="00CC11D5" w:rsidRDefault="00EA1C5E" w:rsidP="00EA1C5E">
            <w:pPr>
              <w:jc w:val="center"/>
              <w:rPr>
                <w:rFonts w:ascii="Garamond" w:hAnsi="Garamond"/>
                <w:sz w:val="12"/>
                <w:szCs w:val="12"/>
              </w:rPr>
            </w:pPr>
            <w:r w:rsidRPr="00CC11D5">
              <w:rPr>
                <w:rFonts w:ascii="Garamond" w:hAnsi="Garamond"/>
                <w:sz w:val="12"/>
                <w:szCs w:val="12"/>
              </w:rPr>
              <w:t>5% rritje nr. i tatimpaguesve</w:t>
            </w:r>
          </w:p>
        </w:tc>
        <w:tc>
          <w:tcPr>
            <w:tcW w:w="1732" w:type="dxa"/>
          </w:tcPr>
          <w:p w14:paraId="11378701" w14:textId="77777777" w:rsidR="00EA1C5E" w:rsidRPr="00CC11D5" w:rsidRDefault="00EA1C5E" w:rsidP="00EA1C5E">
            <w:pPr>
              <w:jc w:val="center"/>
              <w:rPr>
                <w:rFonts w:ascii="Garamond" w:hAnsi="Garamond"/>
                <w:sz w:val="12"/>
                <w:szCs w:val="12"/>
              </w:rPr>
            </w:pPr>
            <w:r w:rsidRPr="00CC11D5">
              <w:rPr>
                <w:rFonts w:ascii="Garamond" w:hAnsi="Garamond"/>
                <w:sz w:val="12"/>
                <w:szCs w:val="12"/>
              </w:rPr>
              <w:t>5% rritje nr. i tatimpaguesve</w:t>
            </w:r>
          </w:p>
        </w:tc>
        <w:tc>
          <w:tcPr>
            <w:tcW w:w="1632" w:type="dxa"/>
          </w:tcPr>
          <w:p w14:paraId="1A42FAB9" w14:textId="77777777" w:rsidR="00EA1C5E" w:rsidRPr="00CC11D5" w:rsidRDefault="00EA1C5E" w:rsidP="00EA1C5E">
            <w:pPr>
              <w:jc w:val="center"/>
              <w:rPr>
                <w:rFonts w:ascii="Garamond" w:hAnsi="Garamond"/>
                <w:sz w:val="12"/>
                <w:szCs w:val="12"/>
              </w:rPr>
            </w:pPr>
            <w:r w:rsidRPr="00CC11D5">
              <w:rPr>
                <w:rFonts w:ascii="Garamond" w:hAnsi="Garamond"/>
                <w:sz w:val="12"/>
                <w:szCs w:val="12"/>
              </w:rPr>
              <w:t>5% rritje nr. i tatimpaguesve</w:t>
            </w:r>
          </w:p>
        </w:tc>
      </w:tr>
      <w:tr w:rsidR="00EA1C5E" w:rsidRPr="00CC11D5" w14:paraId="44E74B9C" w14:textId="77777777" w:rsidTr="00EA1C5E">
        <w:trPr>
          <w:trHeight w:val="20"/>
        </w:trPr>
        <w:tc>
          <w:tcPr>
            <w:tcW w:w="1736" w:type="dxa"/>
          </w:tcPr>
          <w:p w14:paraId="0F06BCC2" w14:textId="1F59867F" w:rsidR="00EA1C5E" w:rsidRPr="00CC11D5" w:rsidRDefault="00EA1C5E" w:rsidP="00EA1C5E">
            <w:pPr>
              <w:jc w:val="center"/>
              <w:rPr>
                <w:rFonts w:ascii="Garamond" w:hAnsi="Garamond"/>
                <w:sz w:val="12"/>
                <w:szCs w:val="12"/>
              </w:rPr>
            </w:pPr>
            <w:r w:rsidRPr="00CC11D5">
              <w:rPr>
                <w:rFonts w:ascii="Garamond" w:hAnsi="Garamond"/>
                <w:sz w:val="12"/>
                <w:szCs w:val="12"/>
              </w:rPr>
              <w:t>Rritja e</w:t>
            </w:r>
            <w:r w:rsidR="00DE65FB" w:rsidRPr="00CC11D5">
              <w:rPr>
                <w:rFonts w:ascii="Garamond" w:hAnsi="Garamond"/>
                <w:sz w:val="12"/>
                <w:szCs w:val="12"/>
              </w:rPr>
              <w:t xml:space="preserve"> TVSh</w:t>
            </w:r>
            <w:r w:rsidRPr="00CC11D5">
              <w:rPr>
                <w:rFonts w:ascii="Garamond" w:hAnsi="Garamond"/>
                <w:sz w:val="12"/>
                <w:szCs w:val="12"/>
              </w:rPr>
              <w:t xml:space="preserve"> së paguar në sektorin e ndërtimit</w:t>
            </w:r>
          </w:p>
        </w:tc>
        <w:tc>
          <w:tcPr>
            <w:tcW w:w="1859" w:type="dxa"/>
          </w:tcPr>
          <w:p w14:paraId="10842703" w14:textId="77777777" w:rsidR="00EA1C5E" w:rsidRPr="00CC11D5" w:rsidRDefault="00EA1C5E" w:rsidP="00EA1C5E">
            <w:pPr>
              <w:jc w:val="center"/>
              <w:rPr>
                <w:rFonts w:ascii="Garamond" w:hAnsi="Garamond"/>
                <w:sz w:val="12"/>
                <w:szCs w:val="12"/>
              </w:rPr>
            </w:pPr>
          </w:p>
        </w:tc>
        <w:tc>
          <w:tcPr>
            <w:tcW w:w="1377" w:type="dxa"/>
          </w:tcPr>
          <w:p w14:paraId="38D94AF9" w14:textId="77777777" w:rsidR="00EA1C5E" w:rsidRPr="00CC11D5" w:rsidRDefault="00EA1C5E" w:rsidP="00EA1C5E">
            <w:pPr>
              <w:jc w:val="center"/>
              <w:rPr>
                <w:rFonts w:ascii="Garamond" w:hAnsi="Garamond"/>
                <w:sz w:val="12"/>
                <w:szCs w:val="12"/>
              </w:rPr>
            </w:pPr>
            <w:r w:rsidRPr="00CC11D5">
              <w:rPr>
                <w:rFonts w:ascii="Garamond" w:hAnsi="Garamond"/>
                <w:sz w:val="12"/>
                <w:szCs w:val="12"/>
              </w:rPr>
              <w:t>19% rritje e të ardhurave</w:t>
            </w:r>
          </w:p>
        </w:tc>
        <w:tc>
          <w:tcPr>
            <w:tcW w:w="1732" w:type="dxa"/>
          </w:tcPr>
          <w:p w14:paraId="031E04BB" w14:textId="77777777" w:rsidR="00EA1C5E" w:rsidRPr="00CC11D5" w:rsidRDefault="00EA1C5E" w:rsidP="00EA1C5E">
            <w:pPr>
              <w:jc w:val="center"/>
              <w:rPr>
                <w:rFonts w:ascii="Garamond" w:hAnsi="Garamond"/>
                <w:sz w:val="12"/>
                <w:szCs w:val="12"/>
              </w:rPr>
            </w:pPr>
            <w:r w:rsidRPr="00CC11D5">
              <w:rPr>
                <w:rFonts w:ascii="Garamond" w:hAnsi="Garamond"/>
                <w:sz w:val="12"/>
                <w:szCs w:val="12"/>
              </w:rPr>
              <w:t>20% rritje e të ardhurave</w:t>
            </w:r>
          </w:p>
        </w:tc>
        <w:tc>
          <w:tcPr>
            <w:tcW w:w="1732" w:type="dxa"/>
          </w:tcPr>
          <w:p w14:paraId="31A83E58" w14:textId="77777777" w:rsidR="00EA1C5E" w:rsidRPr="00CC11D5" w:rsidRDefault="00EA1C5E" w:rsidP="00EA1C5E">
            <w:pPr>
              <w:jc w:val="center"/>
              <w:rPr>
                <w:rFonts w:ascii="Garamond" w:hAnsi="Garamond"/>
                <w:sz w:val="12"/>
                <w:szCs w:val="12"/>
              </w:rPr>
            </w:pPr>
            <w:r w:rsidRPr="00CC11D5">
              <w:rPr>
                <w:rFonts w:ascii="Garamond" w:hAnsi="Garamond"/>
                <w:sz w:val="12"/>
                <w:szCs w:val="12"/>
              </w:rPr>
              <w:t>12% rritje e të ardhurave</w:t>
            </w:r>
          </w:p>
        </w:tc>
        <w:tc>
          <w:tcPr>
            <w:tcW w:w="1632" w:type="dxa"/>
          </w:tcPr>
          <w:p w14:paraId="1E6C8998" w14:textId="77777777" w:rsidR="00EA1C5E" w:rsidRPr="00CC11D5" w:rsidRDefault="00EA1C5E" w:rsidP="00EA1C5E">
            <w:pPr>
              <w:jc w:val="center"/>
              <w:rPr>
                <w:rFonts w:ascii="Garamond" w:hAnsi="Garamond"/>
                <w:sz w:val="12"/>
                <w:szCs w:val="12"/>
              </w:rPr>
            </w:pPr>
            <w:r w:rsidRPr="00CC11D5">
              <w:rPr>
                <w:rFonts w:ascii="Garamond" w:hAnsi="Garamond"/>
                <w:sz w:val="12"/>
                <w:szCs w:val="12"/>
              </w:rPr>
              <w:t>8% rritje e të ardhurave</w:t>
            </w:r>
          </w:p>
        </w:tc>
      </w:tr>
      <w:tr w:rsidR="00EA1C5E" w:rsidRPr="00CC11D5" w14:paraId="0986A8D3" w14:textId="77777777" w:rsidTr="00EA1C5E">
        <w:trPr>
          <w:trHeight w:val="20"/>
        </w:trPr>
        <w:tc>
          <w:tcPr>
            <w:tcW w:w="1736" w:type="dxa"/>
          </w:tcPr>
          <w:p w14:paraId="784C6CC5" w14:textId="5D2960BD" w:rsidR="00EA1C5E" w:rsidRPr="00CC11D5" w:rsidRDefault="00EA1C5E" w:rsidP="00EA1C5E">
            <w:pPr>
              <w:jc w:val="center"/>
              <w:rPr>
                <w:rFonts w:ascii="Garamond" w:hAnsi="Garamond"/>
                <w:sz w:val="12"/>
                <w:szCs w:val="12"/>
              </w:rPr>
            </w:pPr>
            <w:r w:rsidRPr="00CC11D5">
              <w:rPr>
                <w:rFonts w:ascii="Garamond" w:hAnsi="Garamond"/>
                <w:sz w:val="12"/>
                <w:szCs w:val="12"/>
              </w:rPr>
              <w:t>Rritje në numrin e tatimpaguesve deklarues</w:t>
            </w:r>
            <w:r w:rsidR="00DE65FB" w:rsidRPr="00CC11D5">
              <w:rPr>
                <w:rFonts w:ascii="Garamond" w:hAnsi="Garamond"/>
                <w:sz w:val="12"/>
                <w:szCs w:val="12"/>
              </w:rPr>
              <w:t xml:space="preserve"> TVSh</w:t>
            </w:r>
            <w:r w:rsidRPr="00CC11D5">
              <w:rPr>
                <w:rFonts w:ascii="Garamond" w:hAnsi="Garamond"/>
                <w:sz w:val="12"/>
                <w:szCs w:val="12"/>
              </w:rPr>
              <w:t xml:space="preserve"> në sektorin e akomodimit me normë tatimore 6%</w:t>
            </w:r>
          </w:p>
        </w:tc>
        <w:tc>
          <w:tcPr>
            <w:tcW w:w="1859" w:type="dxa"/>
          </w:tcPr>
          <w:p w14:paraId="26F5BE40" w14:textId="668C2116" w:rsidR="00EA1C5E" w:rsidRPr="00CC11D5" w:rsidRDefault="00EA1C5E" w:rsidP="00EA1C5E">
            <w:pPr>
              <w:jc w:val="center"/>
              <w:rPr>
                <w:rFonts w:ascii="Garamond" w:hAnsi="Garamond"/>
                <w:sz w:val="12"/>
                <w:szCs w:val="12"/>
              </w:rPr>
            </w:pPr>
            <w:r w:rsidRPr="00CC11D5">
              <w:rPr>
                <w:rFonts w:ascii="Garamond" w:hAnsi="Garamond"/>
                <w:sz w:val="12"/>
                <w:szCs w:val="12"/>
              </w:rPr>
              <w:t>1,9% e tatimpaguesve</w:t>
            </w:r>
            <w:r w:rsidR="00D22EA5" w:rsidRPr="00CC11D5">
              <w:rPr>
                <w:rFonts w:ascii="Garamond" w:hAnsi="Garamond"/>
                <w:sz w:val="12"/>
                <w:szCs w:val="12"/>
              </w:rPr>
              <w:t xml:space="preserve"> </w:t>
            </w:r>
            <w:r w:rsidRPr="00CC11D5">
              <w:rPr>
                <w:rFonts w:ascii="Garamond" w:hAnsi="Garamond"/>
                <w:sz w:val="12"/>
                <w:szCs w:val="12"/>
              </w:rPr>
              <w:t>deklarues</w:t>
            </w:r>
            <w:r w:rsidR="00DE65FB" w:rsidRPr="00CC11D5">
              <w:rPr>
                <w:rFonts w:ascii="Garamond" w:hAnsi="Garamond"/>
                <w:sz w:val="12"/>
                <w:szCs w:val="12"/>
              </w:rPr>
              <w:t xml:space="preserve"> TVSh</w:t>
            </w:r>
          </w:p>
          <w:p w14:paraId="3C905A51" w14:textId="77777777" w:rsidR="00EA1C5E" w:rsidRPr="00CC11D5" w:rsidRDefault="00EA1C5E" w:rsidP="00EA1C5E">
            <w:pPr>
              <w:jc w:val="center"/>
              <w:rPr>
                <w:rFonts w:ascii="Garamond" w:hAnsi="Garamond"/>
                <w:sz w:val="12"/>
                <w:szCs w:val="12"/>
              </w:rPr>
            </w:pPr>
          </w:p>
          <w:p w14:paraId="08E5B0B1" w14:textId="77777777" w:rsidR="00EA1C5E" w:rsidRPr="00CC11D5" w:rsidRDefault="00EA1C5E" w:rsidP="00EA1C5E">
            <w:pPr>
              <w:jc w:val="center"/>
              <w:rPr>
                <w:rFonts w:ascii="Garamond" w:hAnsi="Garamond"/>
                <w:b/>
                <w:i/>
                <w:sz w:val="12"/>
                <w:szCs w:val="12"/>
              </w:rPr>
            </w:pPr>
          </w:p>
          <w:p w14:paraId="6EB832EA" w14:textId="77777777" w:rsidR="00EA1C5E" w:rsidRPr="00CC11D5" w:rsidRDefault="00EA1C5E" w:rsidP="00EA1C5E">
            <w:pPr>
              <w:jc w:val="center"/>
              <w:rPr>
                <w:rFonts w:ascii="Garamond" w:hAnsi="Garamond"/>
                <w:sz w:val="12"/>
                <w:szCs w:val="12"/>
              </w:rPr>
            </w:pPr>
          </w:p>
        </w:tc>
        <w:tc>
          <w:tcPr>
            <w:tcW w:w="1377" w:type="dxa"/>
          </w:tcPr>
          <w:p w14:paraId="2B863930" w14:textId="77777777" w:rsidR="00EA1C5E" w:rsidRPr="00CC11D5" w:rsidRDefault="00EA1C5E" w:rsidP="00EA1C5E">
            <w:pPr>
              <w:jc w:val="center"/>
              <w:rPr>
                <w:rFonts w:ascii="Garamond" w:hAnsi="Garamond"/>
                <w:sz w:val="12"/>
                <w:szCs w:val="12"/>
              </w:rPr>
            </w:pPr>
            <w:r w:rsidRPr="00CC11D5">
              <w:rPr>
                <w:rFonts w:ascii="Garamond" w:hAnsi="Garamond"/>
                <w:sz w:val="12"/>
                <w:szCs w:val="12"/>
              </w:rPr>
              <w:t>20% rritje nr. i tatimpaguesve</w:t>
            </w:r>
          </w:p>
        </w:tc>
        <w:tc>
          <w:tcPr>
            <w:tcW w:w="1732" w:type="dxa"/>
          </w:tcPr>
          <w:p w14:paraId="574CBBC8" w14:textId="77777777" w:rsidR="00EA1C5E" w:rsidRPr="00CC11D5" w:rsidRDefault="00EA1C5E" w:rsidP="00EA1C5E">
            <w:pPr>
              <w:jc w:val="center"/>
              <w:rPr>
                <w:rFonts w:ascii="Garamond" w:hAnsi="Garamond"/>
                <w:sz w:val="12"/>
                <w:szCs w:val="12"/>
              </w:rPr>
            </w:pPr>
            <w:r w:rsidRPr="00CC11D5">
              <w:rPr>
                <w:rFonts w:ascii="Garamond" w:hAnsi="Garamond"/>
                <w:sz w:val="12"/>
                <w:szCs w:val="12"/>
              </w:rPr>
              <w:t>20% rritje nr. i tatimpaguesve</w:t>
            </w:r>
          </w:p>
        </w:tc>
        <w:tc>
          <w:tcPr>
            <w:tcW w:w="1732" w:type="dxa"/>
          </w:tcPr>
          <w:p w14:paraId="35CCBD3A" w14:textId="77777777" w:rsidR="00EA1C5E" w:rsidRPr="00CC11D5" w:rsidRDefault="00EA1C5E" w:rsidP="00EA1C5E">
            <w:pPr>
              <w:jc w:val="center"/>
              <w:rPr>
                <w:rFonts w:ascii="Garamond" w:hAnsi="Garamond"/>
                <w:sz w:val="12"/>
                <w:szCs w:val="12"/>
              </w:rPr>
            </w:pPr>
            <w:r w:rsidRPr="00CC11D5">
              <w:rPr>
                <w:rFonts w:ascii="Garamond" w:hAnsi="Garamond"/>
                <w:sz w:val="12"/>
                <w:szCs w:val="12"/>
              </w:rPr>
              <w:t>20% rritje nr. i tatimpaguesve</w:t>
            </w:r>
          </w:p>
        </w:tc>
        <w:tc>
          <w:tcPr>
            <w:tcW w:w="1632" w:type="dxa"/>
          </w:tcPr>
          <w:p w14:paraId="0A841E2F" w14:textId="77777777" w:rsidR="00EA1C5E" w:rsidRPr="00CC11D5" w:rsidRDefault="00EA1C5E" w:rsidP="00EA1C5E">
            <w:pPr>
              <w:jc w:val="center"/>
              <w:rPr>
                <w:rFonts w:ascii="Garamond" w:hAnsi="Garamond"/>
                <w:sz w:val="12"/>
                <w:szCs w:val="12"/>
              </w:rPr>
            </w:pPr>
            <w:r w:rsidRPr="00CC11D5">
              <w:rPr>
                <w:rFonts w:ascii="Garamond" w:hAnsi="Garamond"/>
                <w:sz w:val="12"/>
                <w:szCs w:val="12"/>
              </w:rPr>
              <w:t>20% rritje nr. i tatimpaguesve</w:t>
            </w:r>
          </w:p>
        </w:tc>
      </w:tr>
      <w:tr w:rsidR="00EA1C5E" w:rsidRPr="00CC11D5" w14:paraId="40C0B097" w14:textId="77777777" w:rsidTr="00EA1C5E">
        <w:trPr>
          <w:trHeight w:val="20"/>
        </w:trPr>
        <w:tc>
          <w:tcPr>
            <w:tcW w:w="1736" w:type="dxa"/>
          </w:tcPr>
          <w:p w14:paraId="0E075F87" w14:textId="6D529264" w:rsidR="00EA1C5E" w:rsidRPr="00CC11D5" w:rsidRDefault="00EA1C5E" w:rsidP="00EA1C5E">
            <w:pPr>
              <w:jc w:val="center"/>
              <w:rPr>
                <w:rFonts w:ascii="Garamond" w:hAnsi="Garamond"/>
                <w:sz w:val="12"/>
                <w:szCs w:val="12"/>
              </w:rPr>
            </w:pPr>
            <w:r w:rsidRPr="00CC11D5">
              <w:rPr>
                <w:rFonts w:ascii="Garamond" w:hAnsi="Garamond"/>
                <w:sz w:val="12"/>
                <w:szCs w:val="12"/>
              </w:rPr>
              <w:t>Rritje e</w:t>
            </w:r>
            <w:r w:rsidR="00DE65FB" w:rsidRPr="00CC11D5">
              <w:rPr>
                <w:rFonts w:ascii="Garamond" w:hAnsi="Garamond"/>
                <w:sz w:val="12"/>
                <w:szCs w:val="12"/>
              </w:rPr>
              <w:t xml:space="preserve"> TVSh</w:t>
            </w:r>
            <w:r w:rsidRPr="00CC11D5">
              <w:rPr>
                <w:rFonts w:ascii="Garamond" w:hAnsi="Garamond"/>
                <w:sz w:val="12"/>
                <w:szCs w:val="12"/>
              </w:rPr>
              <w:t>-së e paguar në sektorin e turizmit *</w:t>
            </w:r>
          </w:p>
        </w:tc>
        <w:tc>
          <w:tcPr>
            <w:tcW w:w="1859" w:type="dxa"/>
          </w:tcPr>
          <w:p w14:paraId="4BE86C59" w14:textId="56049922" w:rsidR="00EA1C5E" w:rsidRPr="00CC11D5" w:rsidRDefault="00EA1C5E" w:rsidP="00EA1C5E">
            <w:pPr>
              <w:jc w:val="center"/>
              <w:rPr>
                <w:rFonts w:ascii="Garamond" w:hAnsi="Garamond"/>
                <w:sz w:val="12"/>
                <w:szCs w:val="12"/>
              </w:rPr>
            </w:pPr>
            <w:r w:rsidRPr="00CC11D5">
              <w:rPr>
                <w:rFonts w:ascii="Garamond" w:hAnsi="Garamond"/>
                <w:sz w:val="12"/>
                <w:szCs w:val="12"/>
              </w:rPr>
              <w:t>5.8% e totalit të</w:t>
            </w:r>
            <w:r w:rsidR="00DE65FB" w:rsidRPr="00CC11D5">
              <w:rPr>
                <w:rFonts w:ascii="Garamond" w:hAnsi="Garamond"/>
                <w:sz w:val="12"/>
                <w:szCs w:val="12"/>
              </w:rPr>
              <w:t xml:space="preserve"> TVSh</w:t>
            </w:r>
            <w:r w:rsidRPr="00CC11D5">
              <w:rPr>
                <w:rFonts w:ascii="Garamond" w:hAnsi="Garamond"/>
                <w:sz w:val="12"/>
                <w:szCs w:val="12"/>
              </w:rPr>
              <w:t>-së së brendshme</w:t>
            </w:r>
          </w:p>
        </w:tc>
        <w:tc>
          <w:tcPr>
            <w:tcW w:w="1377" w:type="dxa"/>
          </w:tcPr>
          <w:p w14:paraId="2E9175EA" w14:textId="77777777" w:rsidR="00EA1C5E" w:rsidRPr="00CC11D5" w:rsidRDefault="00EA1C5E" w:rsidP="00EA1C5E">
            <w:pPr>
              <w:jc w:val="center"/>
              <w:rPr>
                <w:rFonts w:ascii="Garamond" w:hAnsi="Garamond"/>
                <w:sz w:val="12"/>
                <w:szCs w:val="12"/>
              </w:rPr>
            </w:pPr>
            <w:r w:rsidRPr="00CC11D5">
              <w:rPr>
                <w:rFonts w:ascii="Garamond" w:hAnsi="Garamond"/>
                <w:sz w:val="12"/>
                <w:szCs w:val="12"/>
              </w:rPr>
              <w:t>20% rritje e të ardhurave nga sektori i turizmit</w:t>
            </w:r>
          </w:p>
        </w:tc>
        <w:tc>
          <w:tcPr>
            <w:tcW w:w="1732" w:type="dxa"/>
          </w:tcPr>
          <w:p w14:paraId="1D6554D9" w14:textId="77777777" w:rsidR="00EA1C5E" w:rsidRPr="00CC11D5" w:rsidRDefault="00EA1C5E" w:rsidP="00EA1C5E">
            <w:pPr>
              <w:jc w:val="center"/>
              <w:rPr>
                <w:rFonts w:ascii="Garamond" w:hAnsi="Garamond"/>
                <w:sz w:val="12"/>
                <w:szCs w:val="12"/>
              </w:rPr>
            </w:pPr>
            <w:r w:rsidRPr="00CC11D5">
              <w:rPr>
                <w:rFonts w:ascii="Garamond" w:hAnsi="Garamond"/>
                <w:sz w:val="12"/>
                <w:szCs w:val="12"/>
              </w:rPr>
              <w:t>20% rritje e të ardhurave nga sektori i turizmit</w:t>
            </w:r>
          </w:p>
        </w:tc>
        <w:tc>
          <w:tcPr>
            <w:tcW w:w="1732" w:type="dxa"/>
          </w:tcPr>
          <w:p w14:paraId="5374BD35" w14:textId="77777777" w:rsidR="00EA1C5E" w:rsidRPr="00CC11D5" w:rsidRDefault="00EA1C5E" w:rsidP="00EA1C5E">
            <w:pPr>
              <w:jc w:val="center"/>
              <w:rPr>
                <w:rFonts w:ascii="Garamond" w:hAnsi="Garamond"/>
                <w:sz w:val="12"/>
                <w:szCs w:val="12"/>
              </w:rPr>
            </w:pPr>
            <w:r w:rsidRPr="00CC11D5">
              <w:rPr>
                <w:rFonts w:ascii="Garamond" w:hAnsi="Garamond"/>
                <w:sz w:val="12"/>
                <w:szCs w:val="12"/>
              </w:rPr>
              <w:t>20% rritje e të ardhurave nga sektori i turizmit</w:t>
            </w:r>
          </w:p>
        </w:tc>
        <w:tc>
          <w:tcPr>
            <w:tcW w:w="1632" w:type="dxa"/>
          </w:tcPr>
          <w:p w14:paraId="408B72D2" w14:textId="77777777" w:rsidR="00EA1C5E" w:rsidRPr="00CC11D5" w:rsidRDefault="00EA1C5E" w:rsidP="00EA1C5E">
            <w:pPr>
              <w:jc w:val="center"/>
              <w:rPr>
                <w:rFonts w:ascii="Garamond" w:hAnsi="Garamond"/>
                <w:sz w:val="12"/>
                <w:szCs w:val="12"/>
              </w:rPr>
            </w:pPr>
            <w:r w:rsidRPr="00CC11D5">
              <w:rPr>
                <w:rFonts w:ascii="Garamond" w:hAnsi="Garamond"/>
                <w:sz w:val="12"/>
                <w:szCs w:val="12"/>
              </w:rPr>
              <w:t>20% rritje e të ardhurave nga sektori i turizmit</w:t>
            </w:r>
          </w:p>
        </w:tc>
      </w:tr>
      <w:tr w:rsidR="00EA1C5E" w:rsidRPr="00CC11D5" w14:paraId="0493B051" w14:textId="77777777" w:rsidTr="00EA1C5E">
        <w:trPr>
          <w:trHeight w:val="20"/>
        </w:trPr>
        <w:tc>
          <w:tcPr>
            <w:tcW w:w="1736" w:type="dxa"/>
          </w:tcPr>
          <w:p w14:paraId="3B436394" w14:textId="5D3DEC7A" w:rsidR="00EA1C5E" w:rsidRPr="00CC11D5" w:rsidRDefault="00EA1C5E" w:rsidP="00EA1C5E">
            <w:pPr>
              <w:jc w:val="center"/>
              <w:rPr>
                <w:rFonts w:ascii="Garamond" w:hAnsi="Garamond"/>
                <w:sz w:val="12"/>
                <w:szCs w:val="12"/>
              </w:rPr>
            </w:pPr>
            <w:r w:rsidRPr="00CC11D5">
              <w:rPr>
                <w:rFonts w:ascii="Garamond" w:hAnsi="Garamond"/>
                <w:sz w:val="12"/>
                <w:szCs w:val="12"/>
              </w:rPr>
              <w:t>Rritje në numrin e tatimpaguesve deklarues</w:t>
            </w:r>
            <w:r w:rsidR="00DE65FB" w:rsidRPr="00CC11D5">
              <w:rPr>
                <w:rFonts w:ascii="Garamond" w:hAnsi="Garamond"/>
                <w:sz w:val="12"/>
                <w:szCs w:val="12"/>
              </w:rPr>
              <w:t xml:space="preserve"> TVSh</w:t>
            </w:r>
            <w:r w:rsidRPr="00CC11D5">
              <w:rPr>
                <w:rFonts w:ascii="Garamond" w:hAnsi="Garamond"/>
                <w:sz w:val="12"/>
                <w:szCs w:val="12"/>
              </w:rPr>
              <w:t xml:space="preserve"> në sektorin e turizmit (Akomodim, Bar-restorante) që kanë normë standar</w:t>
            </w:r>
            <w:r w:rsidR="00D22EA5" w:rsidRPr="00CC11D5">
              <w:rPr>
                <w:rFonts w:ascii="Garamond" w:hAnsi="Garamond"/>
                <w:sz w:val="12"/>
                <w:szCs w:val="12"/>
              </w:rPr>
              <w:t>d</w:t>
            </w:r>
            <w:r w:rsidRPr="00CC11D5">
              <w:rPr>
                <w:rFonts w:ascii="Garamond" w:hAnsi="Garamond"/>
                <w:sz w:val="12"/>
                <w:szCs w:val="12"/>
              </w:rPr>
              <w:t>e</w:t>
            </w:r>
            <w:r w:rsidR="00DE65FB" w:rsidRPr="00CC11D5">
              <w:rPr>
                <w:rFonts w:ascii="Garamond" w:hAnsi="Garamond"/>
                <w:sz w:val="12"/>
                <w:szCs w:val="12"/>
              </w:rPr>
              <w:t xml:space="preserve"> TVSh</w:t>
            </w:r>
            <w:r w:rsidRPr="00CC11D5">
              <w:rPr>
                <w:rFonts w:ascii="Garamond" w:hAnsi="Garamond"/>
                <w:sz w:val="12"/>
                <w:szCs w:val="12"/>
              </w:rPr>
              <w:t>-je</w:t>
            </w:r>
          </w:p>
        </w:tc>
        <w:tc>
          <w:tcPr>
            <w:tcW w:w="1859" w:type="dxa"/>
          </w:tcPr>
          <w:p w14:paraId="234FECA0" w14:textId="19284FF4" w:rsidR="00EA1C5E" w:rsidRPr="00CC11D5" w:rsidRDefault="00EA1C5E" w:rsidP="00EA1C5E">
            <w:pPr>
              <w:jc w:val="center"/>
              <w:rPr>
                <w:rFonts w:ascii="Garamond" w:hAnsi="Garamond"/>
                <w:sz w:val="12"/>
                <w:szCs w:val="12"/>
              </w:rPr>
            </w:pPr>
            <w:r w:rsidRPr="00CC11D5">
              <w:rPr>
                <w:rFonts w:ascii="Garamond" w:hAnsi="Garamond"/>
                <w:sz w:val="12"/>
                <w:szCs w:val="12"/>
              </w:rPr>
              <w:t>8% e tatimpaguesve deklarues</w:t>
            </w:r>
            <w:r w:rsidR="00DE65FB" w:rsidRPr="00CC11D5">
              <w:rPr>
                <w:rFonts w:ascii="Garamond" w:hAnsi="Garamond"/>
                <w:sz w:val="12"/>
                <w:szCs w:val="12"/>
              </w:rPr>
              <w:t xml:space="preserve"> TVSh</w:t>
            </w:r>
          </w:p>
          <w:p w14:paraId="4C357105" w14:textId="77777777" w:rsidR="00EA1C5E" w:rsidRPr="00CC11D5" w:rsidRDefault="00EA1C5E" w:rsidP="00EA1C5E">
            <w:pPr>
              <w:jc w:val="center"/>
              <w:rPr>
                <w:rFonts w:ascii="Garamond" w:hAnsi="Garamond"/>
                <w:sz w:val="12"/>
                <w:szCs w:val="12"/>
              </w:rPr>
            </w:pPr>
          </w:p>
        </w:tc>
        <w:tc>
          <w:tcPr>
            <w:tcW w:w="1377" w:type="dxa"/>
          </w:tcPr>
          <w:p w14:paraId="393D9DD1" w14:textId="77777777" w:rsidR="00EA1C5E" w:rsidRPr="00CC11D5" w:rsidRDefault="00EA1C5E" w:rsidP="00EA1C5E">
            <w:pPr>
              <w:jc w:val="center"/>
              <w:rPr>
                <w:rFonts w:ascii="Garamond" w:hAnsi="Garamond"/>
                <w:sz w:val="12"/>
                <w:szCs w:val="12"/>
              </w:rPr>
            </w:pPr>
            <w:r w:rsidRPr="00CC11D5">
              <w:rPr>
                <w:rFonts w:ascii="Garamond" w:hAnsi="Garamond"/>
                <w:sz w:val="12"/>
                <w:szCs w:val="12"/>
              </w:rPr>
              <w:t>10% rritje nr. i tatimpaguesve</w:t>
            </w:r>
          </w:p>
        </w:tc>
        <w:tc>
          <w:tcPr>
            <w:tcW w:w="1732" w:type="dxa"/>
          </w:tcPr>
          <w:p w14:paraId="0BDC1BF8" w14:textId="77777777" w:rsidR="00EA1C5E" w:rsidRPr="00CC11D5" w:rsidRDefault="00EA1C5E" w:rsidP="00EA1C5E">
            <w:pPr>
              <w:jc w:val="center"/>
              <w:rPr>
                <w:rFonts w:ascii="Garamond" w:hAnsi="Garamond"/>
                <w:sz w:val="12"/>
                <w:szCs w:val="12"/>
              </w:rPr>
            </w:pPr>
            <w:r w:rsidRPr="00CC11D5">
              <w:rPr>
                <w:rFonts w:ascii="Garamond" w:hAnsi="Garamond"/>
                <w:sz w:val="12"/>
                <w:szCs w:val="12"/>
              </w:rPr>
              <w:t>20% rritje nr. i tatimpaguesve</w:t>
            </w:r>
          </w:p>
        </w:tc>
        <w:tc>
          <w:tcPr>
            <w:tcW w:w="1732" w:type="dxa"/>
          </w:tcPr>
          <w:p w14:paraId="16299FAF" w14:textId="77777777" w:rsidR="00EA1C5E" w:rsidRPr="00CC11D5" w:rsidRDefault="00EA1C5E" w:rsidP="00EA1C5E">
            <w:pPr>
              <w:jc w:val="center"/>
              <w:rPr>
                <w:rFonts w:ascii="Garamond" w:hAnsi="Garamond"/>
                <w:sz w:val="12"/>
                <w:szCs w:val="12"/>
              </w:rPr>
            </w:pPr>
            <w:r w:rsidRPr="00CC11D5">
              <w:rPr>
                <w:rFonts w:ascii="Garamond" w:hAnsi="Garamond"/>
                <w:sz w:val="12"/>
                <w:szCs w:val="12"/>
              </w:rPr>
              <w:t>20% rritje nr. i tatimpaguesve</w:t>
            </w:r>
          </w:p>
        </w:tc>
        <w:tc>
          <w:tcPr>
            <w:tcW w:w="1632" w:type="dxa"/>
          </w:tcPr>
          <w:p w14:paraId="55DFC4F4" w14:textId="77777777" w:rsidR="00EA1C5E" w:rsidRPr="00CC11D5" w:rsidRDefault="00EA1C5E" w:rsidP="00EA1C5E">
            <w:pPr>
              <w:jc w:val="center"/>
              <w:rPr>
                <w:rFonts w:ascii="Garamond" w:hAnsi="Garamond"/>
                <w:sz w:val="12"/>
                <w:szCs w:val="12"/>
              </w:rPr>
            </w:pPr>
            <w:r w:rsidRPr="00CC11D5">
              <w:rPr>
                <w:rFonts w:ascii="Garamond" w:hAnsi="Garamond"/>
                <w:sz w:val="12"/>
                <w:szCs w:val="12"/>
              </w:rPr>
              <w:t>20% rritje nr. i tatimpaguesve</w:t>
            </w:r>
          </w:p>
        </w:tc>
      </w:tr>
      <w:tr w:rsidR="00EA1C5E" w:rsidRPr="00CC11D5" w14:paraId="0106F40F" w14:textId="77777777" w:rsidTr="00EA1C5E">
        <w:trPr>
          <w:trHeight w:val="20"/>
        </w:trPr>
        <w:tc>
          <w:tcPr>
            <w:tcW w:w="1736" w:type="dxa"/>
          </w:tcPr>
          <w:p w14:paraId="30DFC794" w14:textId="3F9DB05B" w:rsidR="00EA1C5E" w:rsidRPr="00CC11D5" w:rsidRDefault="00EA1C5E" w:rsidP="00EA1C5E">
            <w:pPr>
              <w:jc w:val="center"/>
              <w:rPr>
                <w:rFonts w:ascii="Garamond" w:hAnsi="Garamond"/>
                <w:sz w:val="12"/>
                <w:szCs w:val="12"/>
              </w:rPr>
            </w:pPr>
            <w:bookmarkStart w:id="40" w:name="_Hlk170462331"/>
            <w:r w:rsidRPr="00CC11D5">
              <w:rPr>
                <w:rFonts w:ascii="Garamond" w:hAnsi="Garamond"/>
                <w:sz w:val="12"/>
                <w:szCs w:val="12"/>
              </w:rPr>
              <w:t>Rritje e numrit tatimpaguesve me përgjegjësi tatimore me</w:t>
            </w:r>
            <w:r w:rsidR="00DE65FB" w:rsidRPr="00CC11D5">
              <w:rPr>
                <w:rFonts w:ascii="Garamond" w:hAnsi="Garamond"/>
                <w:sz w:val="12"/>
                <w:szCs w:val="12"/>
              </w:rPr>
              <w:t xml:space="preserve"> TVSh</w:t>
            </w:r>
            <w:r w:rsidRPr="00CC11D5">
              <w:rPr>
                <w:rFonts w:ascii="Garamond" w:hAnsi="Garamond"/>
                <w:sz w:val="12"/>
                <w:szCs w:val="12"/>
              </w:rPr>
              <w:t xml:space="preserve"> për të gjithë sektorët, 14% më shumë, në fund të 2027</w:t>
            </w:r>
          </w:p>
        </w:tc>
        <w:tc>
          <w:tcPr>
            <w:tcW w:w="1859" w:type="dxa"/>
          </w:tcPr>
          <w:p w14:paraId="13F83C6E" w14:textId="0FBEE7B0" w:rsidR="00EA1C5E" w:rsidRPr="00CC11D5" w:rsidRDefault="00EA1C5E" w:rsidP="00EA1C5E">
            <w:pPr>
              <w:jc w:val="center"/>
              <w:rPr>
                <w:rFonts w:ascii="Garamond" w:hAnsi="Garamond"/>
                <w:sz w:val="12"/>
                <w:szCs w:val="12"/>
              </w:rPr>
            </w:pPr>
            <w:r w:rsidRPr="00CC11D5">
              <w:rPr>
                <w:rFonts w:ascii="Garamond" w:hAnsi="Garamond"/>
                <w:sz w:val="12"/>
                <w:szCs w:val="12"/>
              </w:rPr>
              <w:t>26% tatimpagues deklarues</w:t>
            </w:r>
            <w:r w:rsidR="00DE65FB" w:rsidRPr="00CC11D5">
              <w:rPr>
                <w:rFonts w:ascii="Garamond" w:hAnsi="Garamond"/>
                <w:sz w:val="12"/>
                <w:szCs w:val="12"/>
              </w:rPr>
              <w:t xml:space="preserve"> TVSh</w:t>
            </w:r>
          </w:p>
        </w:tc>
        <w:tc>
          <w:tcPr>
            <w:tcW w:w="1377" w:type="dxa"/>
          </w:tcPr>
          <w:p w14:paraId="3532FC43" w14:textId="77777777" w:rsidR="00EA1C5E" w:rsidRPr="00CC11D5" w:rsidRDefault="00EA1C5E" w:rsidP="00EA1C5E">
            <w:pPr>
              <w:jc w:val="center"/>
              <w:rPr>
                <w:rFonts w:ascii="Garamond" w:hAnsi="Garamond"/>
                <w:sz w:val="12"/>
                <w:szCs w:val="12"/>
              </w:rPr>
            </w:pPr>
            <w:r w:rsidRPr="00CC11D5">
              <w:rPr>
                <w:rFonts w:ascii="Garamond" w:hAnsi="Garamond"/>
                <w:sz w:val="12"/>
                <w:szCs w:val="12"/>
              </w:rPr>
              <w:t>4% rritje nr. i tatimpaguesve</w:t>
            </w:r>
          </w:p>
        </w:tc>
        <w:tc>
          <w:tcPr>
            <w:tcW w:w="1732" w:type="dxa"/>
          </w:tcPr>
          <w:p w14:paraId="000467F1" w14:textId="77777777" w:rsidR="00EA1C5E" w:rsidRPr="00CC11D5" w:rsidRDefault="00EA1C5E" w:rsidP="00EA1C5E">
            <w:pPr>
              <w:jc w:val="center"/>
              <w:rPr>
                <w:rFonts w:ascii="Garamond" w:hAnsi="Garamond"/>
                <w:sz w:val="12"/>
                <w:szCs w:val="12"/>
              </w:rPr>
            </w:pPr>
            <w:r w:rsidRPr="00CC11D5">
              <w:rPr>
                <w:rFonts w:ascii="Garamond" w:hAnsi="Garamond"/>
                <w:sz w:val="12"/>
                <w:szCs w:val="12"/>
              </w:rPr>
              <w:t>4% rritje nr. i tatimpaguesve</w:t>
            </w:r>
          </w:p>
        </w:tc>
        <w:tc>
          <w:tcPr>
            <w:tcW w:w="1732" w:type="dxa"/>
          </w:tcPr>
          <w:p w14:paraId="4414349C" w14:textId="77777777" w:rsidR="00EA1C5E" w:rsidRPr="00CC11D5" w:rsidRDefault="00EA1C5E" w:rsidP="00EA1C5E">
            <w:pPr>
              <w:jc w:val="center"/>
              <w:rPr>
                <w:rFonts w:ascii="Garamond" w:hAnsi="Garamond"/>
                <w:sz w:val="12"/>
                <w:szCs w:val="12"/>
              </w:rPr>
            </w:pPr>
            <w:r w:rsidRPr="00CC11D5">
              <w:rPr>
                <w:rFonts w:ascii="Garamond" w:hAnsi="Garamond"/>
                <w:sz w:val="12"/>
                <w:szCs w:val="12"/>
              </w:rPr>
              <w:t>3% rritje nr. i tatimpaguesve</w:t>
            </w:r>
          </w:p>
        </w:tc>
        <w:tc>
          <w:tcPr>
            <w:tcW w:w="1632" w:type="dxa"/>
          </w:tcPr>
          <w:p w14:paraId="56331705" w14:textId="77777777" w:rsidR="00EA1C5E" w:rsidRPr="00CC11D5" w:rsidRDefault="00EA1C5E" w:rsidP="00EA1C5E">
            <w:pPr>
              <w:jc w:val="center"/>
              <w:rPr>
                <w:rFonts w:ascii="Garamond" w:hAnsi="Garamond"/>
                <w:sz w:val="12"/>
                <w:szCs w:val="12"/>
              </w:rPr>
            </w:pPr>
            <w:r w:rsidRPr="00CC11D5">
              <w:rPr>
                <w:rFonts w:ascii="Garamond" w:hAnsi="Garamond"/>
                <w:sz w:val="12"/>
                <w:szCs w:val="12"/>
              </w:rPr>
              <w:t>3% rritje nr. i tatimpaguesve</w:t>
            </w:r>
          </w:p>
        </w:tc>
      </w:tr>
      <w:tr w:rsidR="00EA1C5E" w:rsidRPr="00CC11D5" w14:paraId="464E6FC0" w14:textId="77777777" w:rsidTr="00EA1C5E">
        <w:trPr>
          <w:trHeight w:val="20"/>
        </w:trPr>
        <w:tc>
          <w:tcPr>
            <w:tcW w:w="1736" w:type="dxa"/>
          </w:tcPr>
          <w:p w14:paraId="02CDA3BE" w14:textId="6BBA183D" w:rsidR="00EA1C5E" w:rsidRPr="00CC11D5" w:rsidRDefault="00EA1C5E" w:rsidP="00EA1C5E">
            <w:pPr>
              <w:jc w:val="center"/>
              <w:rPr>
                <w:rFonts w:ascii="Garamond" w:hAnsi="Garamond"/>
                <w:sz w:val="12"/>
                <w:szCs w:val="12"/>
              </w:rPr>
            </w:pPr>
            <w:r w:rsidRPr="00CC11D5">
              <w:rPr>
                <w:rFonts w:ascii="Garamond" w:hAnsi="Garamond"/>
                <w:sz w:val="12"/>
                <w:szCs w:val="12"/>
              </w:rPr>
              <w:t>Parambushja e deklaratës së</w:t>
            </w:r>
            <w:r w:rsidR="00DE65FB" w:rsidRPr="00CC11D5">
              <w:rPr>
                <w:rFonts w:ascii="Garamond" w:hAnsi="Garamond"/>
                <w:sz w:val="12"/>
                <w:szCs w:val="12"/>
              </w:rPr>
              <w:t xml:space="preserve"> TVSh</w:t>
            </w:r>
          </w:p>
        </w:tc>
        <w:tc>
          <w:tcPr>
            <w:tcW w:w="1859" w:type="dxa"/>
          </w:tcPr>
          <w:p w14:paraId="260F5DA8" w14:textId="77777777" w:rsidR="00EA1C5E" w:rsidRPr="00CC11D5" w:rsidRDefault="00EA1C5E" w:rsidP="00EA1C5E">
            <w:pPr>
              <w:autoSpaceDE w:val="0"/>
              <w:autoSpaceDN w:val="0"/>
              <w:adjustRightInd w:val="0"/>
              <w:contextualSpacing/>
              <w:jc w:val="center"/>
              <w:rPr>
                <w:rFonts w:ascii="Garamond" w:hAnsi="Garamond"/>
                <w:sz w:val="12"/>
                <w:szCs w:val="12"/>
              </w:rPr>
            </w:pPr>
          </w:p>
        </w:tc>
        <w:tc>
          <w:tcPr>
            <w:tcW w:w="1377" w:type="dxa"/>
          </w:tcPr>
          <w:p w14:paraId="3688CCC2" w14:textId="77777777" w:rsidR="00EA1C5E" w:rsidRPr="00CC11D5" w:rsidRDefault="00EA1C5E" w:rsidP="00EA1C5E">
            <w:pPr>
              <w:jc w:val="center"/>
              <w:rPr>
                <w:rFonts w:ascii="Garamond" w:hAnsi="Garamond"/>
                <w:sz w:val="12"/>
                <w:szCs w:val="12"/>
              </w:rPr>
            </w:pPr>
          </w:p>
        </w:tc>
        <w:tc>
          <w:tcPr>
            <w:tcW w:w="1732" w:type="dxa"/>
          </w:tcPr>
          <w:p w14:paraId="39240E0C" w14:textId="77777777" w:rsidR="00EA1C5E" w:rsidRPr="00CC11D5" w:rsidRDefault="00EA1C5E" w:rsidP="00EA1C5E">
            <w:pPr>
              <w:jc w:val="center"/>
              <w:rPr>
                <w:rFonts w:ascii="Garamond" w:hAnsi="Garamond"/>
                <w:sz w:val="12"/>
                <w:szCs w:val="12"/>
              </w:rPr>
            </w:pPr>
          </w:p>
        </w:tc>
        <w:tc>
          <w:tcPr>
            <w:tcW w:w="1732" w:type="dxa"/>
          </w:tcPr>
          <w:p w14:paraId="373BC32B" w14:textId="77777777" w:rsidR="00EA1C5E" w:rsidRPr="00CC11D5" w:rsidRDefault="00EA1C5E" w:rsidP="00EA1C5E">
            <w:pPr>
              <w:jc w:val="center"/>
              <w:rPr>
                <w:rFonts w:ascii="Garamond" w:hAnsi="Garamond"/>
                <w:sz w:val="12"/>
                <w:szCs w:val="12"/>
              </w:rPr>
            </w:pPr>
            <w:r w:rsidRPr="00CC11D5">
              <w:rPr>
                <w:rFonts w:ascii="Garamond" w:hAnsi="Garamond"/>
                <w:sz w:val="12"/>
                <w:szCs w:val="12"/>
              </w:rPr>
              <w:t>100%</w:t>
            </w:r>
          </w:p>
        </w:tc>
        <w:tc>
          <w:tcPr>
            <w:tcW w:w="1632" w:type="dxa"/>
          </w:tcPr>
          <w:p w14:paraId="0ABB162D" w14:textId="77777777" w:rsidR="00EA1C5E" w:rsidRPr="00CC11D5" w:rsidRDefault="00EA1C5E" w:rsidP="00EA1C5E">
            <w:pPr>
              <w:jc w:val="center"/>
              <w:rPr>
                <w:rFonts w:ascii="Garamond" w:hAnsi="Garamond"/>
                <w:sz w:val="12"/>
                <w:szCs w:val="12"/>
              </w:rPr>
            </w:pPr>
          </w:p>
        </w:tc>
      </w:tr>
    </w:tbl>
    <w:bookmarkEnd w:id="40"/>
    <w:p w14:paraId="4A21E374" w14:textId="1BA199E9" w:rsidR="00EA1C5E" w:rsidRPr="00830F4C" w:rsidRDefault="00EA1C5E" w:rsidP="00EA1C5E">
      <w:pPr>
        <w:ind w:firstLine="284"/>
        <w:jc w:val="both"/>
        <w:rPr>
          <w:rFonts w:ascii="Garamond" w:hAnsi="Garamond"/>
          <w:b/>
          <w:i/>
          <w:iCs/>
        </w:rPr>
      </w:pPr>
      <w:r w:rsidRPr="00830F4C">
        <w:rPr>
          <w:rFonts w:ascii="Garamond" w:hAnsi="Garamond"/>
          <w:b/>
          <w:i/>
          <w:iCs/>
        </w:rPr>
        <w:t>*</w:t>
      </w:r>
      <w:r w:rsidRPr="00830F4C">
        <w:rPr>
          <w:rFonts w:ascii="Garamond" w:hAnsi="Garamond"/>
          <w:bCs/>
          <w:i/>
          <w:iCs/>
        </w:rPr>
        <w:t>Shënim</w:t>
      </w:r>
      <w:r w:rsidR="00D22EA5" w:rsidRPr="00830F4C">
        <w:rPr>
          <w:rFonts w:ascii="Garamond" w:hAnsi="Garamond"/>
          <w:bCs/>
          <w:i/>
          <w:iCs/>
        </w:rPr>
        <w:t>.</w:t>
      </w:r>
      <w:r w:rsidRPr="00830F4C">
        <w:rPr>
          <w:rFonts w:ascii="Garamond" w:hAnsi="Garamond"/>
          <w:bCs/>
          <w:i/>
          <w:iCs/>
        </w:rPr>
        <w:t xml:space="preserve"> Sektori i turizmit përfshin: Hotele dhe struktura të </w:t>
      </w:r>
      <w:r w:rsidR="00D22EA5" w:rsidRPr="00830F4C">
        <w:rPr>
          <w:rFonts w:ascii="Garamond" w:hAnsi="Garamond"/>
          <w:bCs/>
          <w:i/>
          <w:iCs/>
        </w:rPr>
        <w:t>ngjashme</w:t>
      </w:r>
      <w:r w:rsidRPr="00830F4C">
        <w:rPr>
          <w:rFonts w:ascii="Garamond" w:hAnsi="Garamond"/>
          <w:bCs/>
          <w:i/>
          <w:iCs/>
        </w:rPr>
        <w:t>, Akomodime për pushime dhe të tjera akomodime kolektive, Hapësirat për kampinge dhe për parqe, për çadra ose rulota argëtimi, Akomodime të tjera, Restorante dhe shërbim ushqimor i lëvizshëm, Aktivitete të shërbimit të pijeve, Dhënia me qira dhe hua e mjeteve të transportit dhe Dhënia me qira dhe hua e pajisjeve të transportit të ujit.</w:t>
      </w:r>
    </w:p>
    <w:p w14:paraId="111FB6A8" w14:textId="19A632E6" w:rsidR="00EA1C5E" w:rsidRPr="00830F4C" w:rsidRDefault="00EA1C5E" w:rsidP="00EA1C5E">
      <w:pPr>
        <w:autoSpaceDE w:val="0"/>
        <w:autoSpaceDN w:val="0"/>
        <w:adjustRightInd w:val="0"/>
        <w:ind w:firstLine="284"/>
        <w:jc w:val="both"/>
        <w:rPr>
          <w:rFonts w:ascii="Garamond" w:eastAsiaTheme="minorHAnsi" w:hAnsi="Garamond"/>
          <w:b/>
        </w:rPr>
      </w:pPr>
      <w:r w:rsidRPr="00830F4C">
        <w:rPr>
          <w:rFonts w:ascii="Garamond" w:eastAsiaTheme="minorHAnsi" w:hAnsi="Garamond"/>
          <w:b/>
        </w:rPr>
        <w:t>Masa 2.1.1 Trajtimi i sektorit të ndërtimit dhe parandalimi i humbjeve tatimore në zinxhirin e furnizimit të nënkontraktorëve.</w:t>
      </w:r>
    </w:p>
    <w:p w14:paraId="08AEF286" w14:textId="77777777" w:rsidR="00EA1C5E" w:rsidRPr="00830F4C" w:rsidRDefault="00EA1C5E" w:rsidP="00EA1C5E">
      <w:pPr>
        <w:autoSpaceDE w:val="0"/>
        <w:autoSpaceDN w:val="0"/>
        <w:adjustRightInd w:val="0"/>
        <w:ind w:firstLine="284"/>
        <w:jc w:val="both"/>
        <w:rPr>
          <w:rFonts w:ascii="Garamond" w:eastAsiaTheme="minorHAnsi" w:hAnsi="Garamond"/>
        </w:rPr>
      </w:pPr>
      <w:r w:rsidRPr="00830F4C">
        <w:rPr>
          <w:rFonts w:ascii="Garamond" w:eastAsiaTheme="minorHAnsi" w:hAnsi="Garamond"/>
        </w:rPr>
        <w:t>Sektori i ndërtimit përfshin tatimpaguesit që operojnë në tre nënsektore dhe konkretisht:</w:t>
      </w:r>
    </w:p>
    <w:p w14:paraId="3A9AA797" w14:textId="467FAD97" w:rsidR="00EA1C5E" w:rsidRPr="00830F4C" w:rsidRDefault="00EA1C5E" w:rsidP="00EA1C5E">
      <w:pPr>
        <w:autoSpaceDE w:val="0"/>
        <w:autoSpaceDN w:val="0"/>
        <w:adjustRightInd w:val="0"/>
        <w:ind w:firstLine="284"/>
        <w:jc w:val="both"/>
        <w:rPr>
          <w:rFonts w:ascii="Garamond" w:eastAsiaTheme="minorHAnsi" w:hAnsi="Garamond"/>
        </w:rPr>
      </w:pPr>
      <w:r w:rsidRPr="00830F4C">
        <w:rPr>
          <w:rFonts w:ascii="Garamond" w:eastAsiaTheme="minorHAnsi" w:hAnsi="Garamond"/>
        </w:rPr>
        <w:t>1</w:t>
      </w:r>
      <w:r w:rsidR="00D22EA5" w:rsidRPr="00830F4C">
        <w:rPr>
          <w:rFonts w:ascii="Garamond" w:eastAsiaTheme="minorHAnsi" w:hAnsi="Garamond"/>
        </w:rPr>
        <w:t>.</w:t>
      </w:r>
      <w:r w:rsidRPr="00830F4C">
        <w:rPr>
          <w:rFonts w:ascii="Garamond" w:eastAsiaTheme="minorHAnsi" w:hAnsi="Garamond"/>
        </w:rPr>
        <w:t xml:space="preserve"> Ndërtimi i ndërtesave</w:t>
      </w:r>
      <w:r w:rsidR="00D22EA5" w:rsidRPr="00830F4C">
        <w:rPr>
          <w:rFonts w:ascii="Garamond" w:eastAsiaTheme="minorHAnsi" w:hAnsi="Garamond"/>
        </w:rPr>
        <w:t>;</w:t>
      </w:r>
      <w:r w:rsidRPr="00830F4C">
        <w:rPr>
          <w:rFonts w:ascii="Garamond" w:eastAsiaTheme="minorHAnsi" w:hAnsi="Garamond"/>
        </w:rPr>
        <w:t xml:space="preserve"> </w:t>
      </w:r>
    </w:p>
    <w:p w14:paraId="5A1C2C70" w14:textId="6C12E6F5" w:rsidR="00EA1C5E" w:rsidRPr="00830F4C" w:rsidRDefault="00EA1C5E" w:rsidP="00EA1C5E">
      <w:pPr>
        <w:autoSpaceDE w:val="0"/>
        <w:autoSpaceDN w:val="0"/>
        <w:adjustRightInd w:val="0"/>
        <w:ind w:firstLine="284"/>
        <w:jc w:val="both"/>
        <w:rPr>
          <w:rFonts w:ascii="Garamond" w:eastAsiaTheme="minorHAnsi" w:hAnsi="Garamond"/>
        </w:rPr>
      </w:pPr>
      <w:r w:rsidRPr="00830F4C">
        <w:rPr>
          <w:rFonts w:ascii="Garamond" w:eastAsiaTheme="minorHAnsi" w:hAnsi="Garamond"/>
        </w:rPr>
        <w:t>2</w:t>
      </w:r>
      <w:r w:rsidR="00D22EA5" w:rsidRPr="00830F4C">
        <w:rPr>
          <w:rFonts w:ascii="Garamond" w:eastAsiaTheme="minorHAnsi" w:hAnsi="Garamond"/>
        </w:rPr>
        <w:t>.</w:t>
      </w:r>
      <w:r w:rsidRPr="00830F4C">
        <w:rPr>
          <w:rFonts w:ascii="Garamond" w:eastAsiaTheme="minorHAnsi" w:hAnsi="Garamond"/>
        </w:rPr>
        <w:t xml:space="preserve"> Inxhinieria civile</w:t>
      </w:r>
      <w:r w:rsidR="00D22EA5" w:rsidRPr="00830F4C">
        <w:rPr>
          <w:rFonts w:ascii="Garamond" w:eastAsiaTheme="minorHAnsi" w:hAnsi="Garamond"/>
        </w:rPr>
        <w:t>;</w:t>
      </w:r>
      <w:r w:rsidRPr="00830F4C">
        <w:rPr>
          <w:rFonts w:ascii="Garamond" w:eastAsiaTheme="minorHAnsi" w:hAnsi="Garamond"/>
        </w:rPr>
        <w:t xml:space="preserve"> dhe </w:t>
      </w:r>
    </w:p>
    <w:p w14:paraId="05E1A3B3" w14:textId="0D40052A" w:rsidR="00EA1C5E" w:rsidRPr="00830F4C" w:rsidRDefault="00EA1C5E" w:rsidP="00EA1C5E">
      <w:pPr>
        <w:autoSpaceDE w:val="0"/>
        <w:autoSpaceDN w:val="0"/>
        <w:adjustRightInd w:val="0"/>
        <w:ind w:firstLine="284"/>
        <w:jc w:val="both"/>
        <w:rPr>
          <w:rFonts w:ascii="Garamond" w:eastAsiaTheme="minorHAnsi" w:hAnsi="Garamond"/>
        </w:rPr>
      </w:pPr>
      <w:r w:rsidRPr="00830F4C">
        <w:rPr>
          <w:rFonts w:ascii="Garamond" w:eastAsiaTheme="minorHAnsi" w:hAnsi="Garamond"/>
        </w:rPr>
        <w:t>3</w:t>
      </w:r>
      <w:r w:rsidR="00D22EA5" w:rsidRPr="00830F4C">
        <w:rPr>
          <w:rFonts w:ascii="Garamond" w:eastAsiaTheme="minorHAnsi" w:hAnsi="Garamond"/>
        </w:rPr>
        <w:t>.</w:t>
      </w:r>
      <w:r w:rsidRPr="00830F4C">
        <w:rPr>
          <w:rFonts w:ascii="Garamond" w:eastAsiaTheme="minorHAnsi" w:hAnsi="Garamond"/>
        </w:rPr>
        <w:t xml:space="preserve"> Veprimtari të specializuara të ndërtimit. </w:t>
      </w:r>
    </w:p>
    <w:p w14:paraId="3C51C9CB" w14:textId="4A2CBD33" w:rsidR="00EA1C5E" w:rsidRPr="00830F4C" w:rsidRDefault="00EA1C5E" w:rsidP="00EA1C5E">
      <w:pPr>
        <w:autoSpaceDE w:val="0"/>
        <w:autoSpaceDN w:val="0"/>
        <w:adjustRightInd w:val="0"/>
        <w:ind w:firstLine="284"/>
        <w:jc w:val="both"/>
        <w:rPr>
          <w:rFonts w:ascii="Garamond" w:eastAsiaTheme="minorHAnsi" w:hAnsi="Garamond"/>
        </w:rPr>
      </w:pPr>
      <w:r w:rsidRPr="00830F4C">
        <w:rPr>
          <w:rFonts w:ascii="Garamond" w:eastAsiaTheme="minorHAnsi" w:hAnsi="Garamond"/>
        </w:rPr>
        <w:t>Sektori i ndërtimit përbën një ndër sektorët kryesorë në kontributin e të ardhurave nga administrata tatimore, me 11.2% të totalit të të ardhurave. Të ardhurat e arkëtuara nga sektori i ndërtimit përbëjnë 0.39% të PBB</w:t>
      </w:r>
      <w:r w:rsidR="00236281" w:rsidRPr="00830F4C">
        <w:rPr>
          <w:rFonts w:ascii="Garamond" w:hAnsi="Garamond"/>
        </w:rPr>
        <w:t>-së</w:t>
      </w:r>
      <w:r w:rsidRPr="00830F4C">
        <w:rPr>
          <w:rFonts w:ascii="Garamond" w:eastAsiaTheme="minorHAnsi" w:hAnsi="Garamond"/>
        </w:rPr>
        <w:t xml:space="preserve">. </w:t>
      </w:r>
    </w:p>
    <w:p w14:paraId="28B73A54" w14:textId="0F3A7992" w:rsidR="00EA1C5E" w:rsidRPr="00830F4C" w:rsidRDefault="00EA1C5E" w:rsidP="00EA1C5E">
      <w:pPr>
        <w:autoSpaceDE w:val="0"/>
        <w:autoSpaceDN w:val="0"/>
        <w:adjustRightInd w:val="0"/>
        <w:ind w:firstLine="284"/>
        <w:jc w:val="both"/>
        <w:rPr>
          <w:rFonts w:ascii="Garamond" w:eastAsiaTheme="minorHAnsi" w:hAnsi="Garamond"/>
        </w:rPr>
      </w:pPr>
      <w:r w:rsidRPr="00830F4C">
        <w:rPr>
          <w:rFonts w:ascii="Garamond" w:eastAsiaTheme="minorHAnsi" w:hAnsi="Garamond"/>
        </w:rPr>
        <w:t>Çdo masë e marrë në mirëadministrimin e</w:t>
      </w:r>
      <w:r w:rsidR="00DE65FB">
        <w:rPr>
          <w:rFonts w:ascii="Garamond" w:eastAsiaTheme="minorHAnsi" w:hAnsi="Garamond"/>
        </w:rPr>
        <w:t xml:space="preserve"> TVSh</w:t>
      </w:r>
      <w:r w:rsidRPr="00830F4C">
        <w:rPr>
          <w:rFonts w:ascii="Garamond" w:eastAsiaTheme="minorHAnsi" w:hAnsi="Garamond"/>
        </w:rPr>
        <w:t xml:space="preserve"> së këtij sektori sjell të </w:t>
      </w:r>
      <w:r w:rsidR="00D22EA5" w:rsidRPr="00830F4C">
        <w:rPr>
          <w:rFonts w:ascii="Garamond" w:eastAsiaTheme="minorHAnsi" w:hAnsi="Garamond"/>
        </w:rPr>
        <w:t>ardhura</w:t>
      </w:r>
      <w:r w:rsidRPr="00830F4C">
        <w:rPr>
          <w:rFonts w:ascii="Garamond" w:eastAsiaTheme="minorHAnsi" w:hAnsi="Garamond"/>
        </w:rPr>
        <w:t xml:space="preserve"> shtesë edhe në llojet e tatimeve të tjera si tatimi mbi </w:t>
      </w:r>
      <w:r w:rsidR="00D22EA5" w:rsidRPr="00830F4C">
        <w:rPr>
          <w:rFonts w:ascii="Garamond" w:eastAsiaTheme="minorHAnsi" w:hAnsi="Garamond"/>
        </w:rPr>
        <w:t>fitimin</w:t>
      </w:r>
      <w:r w:rsidRPr="00830F4C">
        <w:rPr>
          <w:rFonts w:ascii="Garamond" w:eastAsiaTheme="minorHAnsi" w:hAnsi="Garamond"/>
        </w:rPr>
        <w:t xml:space="preserve"> korporativ, tatimi mbi të ardhurat e personave fizikë, etj. Pesha e</w:t>
      </w:r>
      <w:r w:rsidR="00DE65FB">
        <w:rPr>
          <w:rFonts w:ascii="Garamond" w:eastAsiaTheme="minorHAnsi" w:hAnsi="Garamond"/>
        </w:rPr>
        <w:t xml:space="preserve"> TVSh</w:t>
      </w:r>
      <w:r w:rsidRPr="00830F4C">
        <w:rPr>
          <w:rFonts w:ascii="Garamond" w:eastAsiaTheme="minorHAnsi" w:hAnsi="Garamond"/>
        </w:rPr>
        <w:t xml:space="preserve">-së së paguar në sektorin e </w:t>
      </w:r>
      <w:r w:rsidR="00D22EA5" w:rsidRPr="00830F4C">
        <w:rPr>
          <w:rFonts w:ascii="Garamond" w:eastAsiaTheme="minorHAnsi" w:hAnsi="Garamond"/>
        </w:rPr>
        <w:t>“</w:t>
      </w:r>
      <w:r w:rsidRPr="00830F4C">
        <w:rPr>
          <w:rFonts w:ascii="Garamond" w:eastAsiaTheme="minorHAnsi" w:hAnsi="Garamond"/>
        </w:rPr>
        <w:t>Ndërtimit</w:t>
      </w:r>
      <w:r w:rsidR="00D22EA5" w:rsidRPr="00830F4C">
        <w:rPr>
          <w:rFonts w:ascii="Garamond" w:eastAsiaTheme="minorHAnsi" w:hAnsi="Garamond"/>
        </w:rPr>
        <w:t>”</w:t>
      </w:r>
      <w:r w:rsidRPr="00830F4C">
        <w:rPr>
          <w:rFonts w:ascii="Garamond" w:eastAsiaTheme="minorHAnsi" w:hAnsi="Garamond"/>
        </w:rPr>
        <w:t xml:space="preserve"> në raport me deklarimin dhe pagesën e</w:t>
      </w:r>
      <w:r w:rsidR="00DE65FB">
        <w:rPr>
          <w:rFonts w:ascii="Garamond" w:eastAsiaTheme="minorHAnsi" w:hAnsi="Garamond"/>
        </w:rPr>
        <w:t xml:space="preserve"> TVSh</w:t>
      </w:r>
      <w:r w:rsidRPr="00830F4C">
        <w:rPr>
          <w:rFonts w:ascii="Garamond" w:eastAsiaTheme="minorHAnsi" w:hAnsi="Garamond"/>
        </w:rPr>
        <w:t>-së së të gjithë sektorëve ekonomikë në vitet 2021-2023, rezulton të jetë 14% - 15 % e totalit të</w:t>
      </w:r>
      <w:r w:rsidR="00DE65FB">
        <w:rPr>
          <w:rFonts w:ascii="Garamond" w:eastAsiaTheme="minorHAnsi" w:hAnsi="Garamond"/>
        </w:rPr>
        <w:t xml:space="preserve"> TVSh</w:t>
      </w:r>
      <w:r w:rsidRPr="00830F4C">
        <w:rPr>
          <w:rFonts w:ascii="Garamond" w:eastAsiaTheme="minorHAnsi" w:hAnsi="Garamond"/>
        </w:rPr>
        <w:t xml:space="preserve">-së së brendshme. </w:t>
      </w:r>
    </w:p>
    <w:p w14:paraId="18456A3B" w14:textId="10434991" w:rsidR="00EA1C5E" w:rsidRPr="00830F4C" w:rsidRDefault="00EA1C5E" w:rsidP="00EA1C5E">
      <w:pPr>
        <w:autoSpaceDE w:val="0"/>
        <w:autoSpaceDN w:val="0"/>
        <w:adjustRightInd w:val="0"/>
        <w:ind w:firstLine="284"/>
        <w:jc w:val="both"/>
        <w:rPr>
          <w:rFonts w:ascii="Garamond" w:eastAsiaTheme="minorHAnsi" w:hAnsi="Garamond"/>
        </w:rPr>
      </w:pPr>
      <w:r w:rsidRPr="00830F4C">
        <w:rPr>
          <w:rFonts w:ascii="Garamond" w:eastAsiaTheme="minorHAnsi" w:hAnsi="Garamond"/>
        </w:rPr>
        <w:t>Në saj të masave të marra ndër vite, për subjektet deklarues me deklaratë</w:t>
      </w:r>
      <w:r w:rsidR="00DE65FB">
        <w:rPr>
          <w:rFonts w:ascii="Garamond" w:eastAsiaTheme="minorHAnsi" w:hAnsi="Garamond"/>
        </w:rPr>
        <w:t xml:space="preserve"> TVSh</w:t>
      </w:r>
      <w:r w:rsidRPr="00830F4C">
        <w:rPr>
          <w:rFonts w:ascii="Garamond" w:eastAsiaTheme="minorHAnsi" w:hAnsi="Garamond"/>
        </w:rPr>
        <w:t xml:space="preserve">-je që përfshihen në sektorin </w:t>
      </w:r>
      <w:r w:rsidR="00D22EA5" w:rsidRPr="00830F4C">
        <w:rPr>
          <w:rFonts w:ascii="Garamond" w:eastAsiaTheme="minorHAnsi" w:hAnsi="Garamond"/>
        </w:rPr>
        <w:t>“</w:t>
      </w:r>
      <w:r w:rsidRPr="00830F4C">
        <w:rPr>
          <w:rFonts w:ascii="Garamond" w:eastAsiaTheme="minorHAnsi" w:hAnsi="Garamond"/>
        </w:rPr>
        <w:t>Ndërtimi</w:t>
      </w:r>
      <w:r w:rsidR="00D22EA5" w:rsidRPr="00830F4C">
        <w:rPr>
          <w:rFonts w:ascii="Garamond" w:eastAsiaTheme="minorHAnsi" w:hAnsi="Garamond"/>
        </w:rPr>
        <w:t>”</w:t>
      </w:r>
      <w:r w:rsidRPr="00830F4C">
        <w:rPr>
          <w:rFonts w:ascii="Garamond" w:eastAsiaTheme="minorHAnsi" w:hAnsi="Garamond"/>
        </w:rPr>
        <w:t>, rezulton rritje në numrin e tatimpaguesve deklarues të</w:t>
      </w:r>
      <w:r w:rsidR="00DE65FB">
        <w:rPr>
          <w:rFonts w:ascii="Garamond" w:eastAsiaTheme="minorHAnsi" w:hAnsi="Garamond"/>
        </w:rPr>
        <w:t xml:space="preserve"> TVSh</w:t>
      </w:r>
      <w:r w:rsidRPr="00830F4C">
        <w:rPr>
          <w:rFonts w:ascii="Garamond" w:eastAsiaTheme="minorHAnsi" w:hAnsi="Garamond"/>
        </w:rPr>
        <w:t>-së ndër vite, rritje kjo me +10% në vitin 2022 në krahasim me vitin 2021, dhe po me 10% në 2023 krahasuar me vitin 2022. Në fund të vitit 2023 rezultojnë 4.431 tatimpagues deklarues</w:t>
      </w:r>
      <w:r w:rsidR="00DE65FB">
        <w:rPr>
          <w:rFonts w:ascii="Garamond" w:eastAsiaTheme="minorHAnsi" w:hAnsi="Garamond"/>
        </w:rPr>
        <w:t xml:space="preserve"> TVSh</w:t>
      </w:r>
      <w:r w:rsidRPr="00830F4C">
        <w:rPr>
          <w:rFonts w:ascii="Garamond" w:eastAsiaTheme="minorHAnsi" w:hAnsi="Garamond"/>
        </w:rPr>
        <w:t xml:space="preserve">-je në këtë sektor, nga 7649 tatimpagues po në këtë sektor, të cilët janë deklarues në tatimin mbi fitimin ose tatimin e thjeshtuar mbi fitimin. </w:t>
      </w:r>
    </w:p>
    <w:p w14:paraId="3A091860" w14:textId="3EEC1FBD" w:rsidR="00EA1C5E" w:rsidRPr="00830F4C" w:rsidRDefault="00EA1C5E" w:rsidP="00EA1C5E">
      <w:pPr>
        <w:autoSpaceDE w:val="0"/>
        <w:autoSpaceDN w:val="0"/>
        <w:adjustRightInd w:val="0"/>
        <w:ind w:firstLine="284"/>
        <w:jc w:val="both"/>
        <w:rPr>
          <w:rFonts w:ascii="Garamond" w:eastAsiaTheme="minorHAnsi" w:hAnsi="Garamond"/>
        </w:rPr>
      </w:pPr>
      <w:r w:rsidRPr="00830F4C">
        <w:rPr>
          <w:rFonts w:ascii="Garamond" w:eastAsiaTheme="minorHAnsi" w:hAnsi="Garamond"/>
        </w:rPr>
        <w:t>Pra 58 % e tatimpaguesve të këtij grupi, janë subjekt i</w:t>
      </w:r>
      <w:r w:rsidR="00DE65FB">
        <w:rPr>
          <w:rFonts w:ascii="Garamond" w:eastAsiaTheme="minorHAnsi" w:hAnsi="Garamond"/>
        </w:rPr>
        <w:t xml:space="preserve"> TVSh</w:t>
      </w:r>
      <w:r w:rsidRPr="00830F4C">
        <w:rPr>
          <w:rFonts w:ascii="Garamond" w:eastAsiaTheme="minorHAnsi" w:hAnsi="Garamond"/>
        </w:rPr>
        <w:t>-së. Lidhur me</w:t>
      </w:r>
      <w:r w:rsidR="00DE65FB">
        <w:rPr>
          <w:rFonts w:ascii="Garamond" w:eastAsiaTheme="minorHAnsi" w:hAnsi="Garamond"/>
        </w:rPr>
        <w:t xml:space="preserve"> TVSh</w:t>
      </w:r>
      <w:r w:rsidRPr="00830F4C">
        <w:rPr>
          <w:rFonts w:ascii="Garamond" w:eastAsiaTheme="minorHAnsi" w:hAnsi="Garamond"/>
        </w:rPr>
        <w:t xml:space="preserve">-në e paguar ndër vite, rezulton rritje me 25% në 2023 krahasuar me vitin 2022 ose rreth 2.07 </w:t>
      </w:r>
      <w:r w:rsidR="00D22EA5" w:rsidRPr="00830F4C">
        <w:rPr>
          <w:rFonts w:ascii="Garamond" w:eastAsiaTheme="minorHAnsi" w:hAnsi="Garamond"/>
        </w:rPr>
        <w:t xml:space="preserve">miliardë </w:t>
      </w:r>
      <w:r w:rsidRPr="00830F4C">
        <w:rPr>
          <w:rFonts w:ascii="Garamond" w:eastAsiaTheme="minorHAnsi" w:hAnsi="Garamond"/>
        </w:rPr>
        <w:t xml:space="preserve">lek më shumë. </w:t>
      </w:r>
    </w:p>
    <w:p w14:paraId="2C63FE17" w14:textId="2A6B02DC" w:rsidR="00EA1C5E" w:rsidRPr="00CC11D5" w:rsidRDefault="00D22EA5" w:rsidP="00CC11D5">
      <w:pPr>
        <w:autoSpaceDE w:val="0"/>
        <w:autoSpaceDN w:val="0"/>
        <w:adjustRightInd w:val="0"/>
        <w:ind w:firstLine="284"/>
        <w:jc w:val="both"/>
        <w:rPr>
          <w:rFonts w:ascii="Garamond" w:eastAsiaTheme="minorHAnsi" w:hAnsi="Garamond"/>
        </w:rPr>
      </w:pPr>
      <w:r w:rsidRPr="00830F4C">
        <w:rPr>
          <w:rFonts w:ascii="Garamond" w:eastAsiaTheme="minorHAnsi" w:hAnsi="Garamond"/>
        </w:rPr>
        <w:t>Pavarësisht</w:t>
      </w:r>
      <w:r w:rsidR="00EA1C5E" w:rsidRPr="00830F4C">
        <w:rPr>
          <w:rFonts w:ascii="Garamond" w:eastAsiaTheme="minorHAnsi" w:hAnsi="Garamond"/>
        </w:rPr>
        <w:t xml:space="preserve"> nga kjo rritje, vlerësohet se sektori i ndërtimeve dallon si një sektor veçanërisht problematik lidhur me</w:t>
      </w:r>
      <w:r w:rsidR="00DE65FB">
        <w:rPr>
          <w:rFonts w:ascii="Garamond" w:eastAsiaTheme="minorHAnsi" w:hAnsi="Garamond"/>
        </w:rPr>
        <w:t xml:space="preserve"> TVSh</w:t>
      </w:r>
      <w:r w:rsidR="00EA1C5E" w:rsidRPr="00830F4C">
        <w:rPr>
          <w:rFonts w:ascii="Garamond" w:eastAsiaTheme="minorHAnsi" w:hAnsi="Garamond"/>
        </w:rPr>
        <w:t>-në e nëndeklaruar. Pjesa më e madhe e pagesave të</w:t>
      </w:r>
      <w:r w:rsidR="00DE65FB">
        <w:rPr>
          <w:rFonts w:ascii="Garamond" w:eastAsiaTheme="minorHAnsi" w:hAnsi="Garamond"/>
        </w:rPr>
        <w:t xml:space="preserve"> TVSh</w:t>
      </w:r>
      <w:r w:rsidR="00EA1C5E" w:rsidRPr="00830F4C">
        <w:rPr>
          <w:rFonts w:ascii="Garamond" w:eastAsiaTheme="minorHAnsi" w:hAnsi="Garamond"/>
        </w:rPr>
        <w:t xml:space="preserve">-së bëhen nga tatimpaguesit me xhiro mbi 50 milionë </w:t>
      </w:r>
      <w:r w:rsidRPr="00830F4C">
        <w:rPr>
          <w:rFonts w:ascii="Garamond" w:eastAsiaTheme="minorHAnsi" w:hAnsi="Garamond"/>
        </w:rPr>
        <w:t>l</w:t>
      </w:r>
      <w:r w:rsidR="00EA1C5E" w:rsidRPr="00830F4C">
        <w:rPr>
          <w:rFonts w:ascii="Garamond" w:eastAsiaTheme="minorHAnsi" w:hAnsi="Garamond"/>
        </w:rPr>
        <w:t>ek</w:t>
      </w:r>
      <w:r w:rsidRPr="00830F4C">
        <w:rPr>
          <w:rFonts w:ascii="Garamond" w:eastAsiaTheme="minorHAnsi" w:hAnsi="Garamond"/>
        </w:rPr>
        <w:t>ë</w:t>
      </w:r>
      <w:r w:rsidR="00EA1C5E" w:rsidRPr="00830F4C">
        <w:rPr>
          <w:rFonts w:ascii="Garamond" w:eastAsiaTheme="minorHAnsi" w:hAnsi="Garamond"/>
        </w:rPr>
        <w:t xml:space="preserve">, të cilët përbëjnë edhe 85% të totalit. </w:t>
      </w:r>
    </w:p>
    <w:p w14:paraId="1317732D" w14:textId="1F8144F6" w:rsidR="00EA1C5E" w:rsidRPr="00830F4C" w:rsidRDefault="00EA1C5E" w:rsidP="00EA1C5E">
      <w:pPr>
        <w:pStyle w:val="Caption"/>
        <w:rPr>
          <w:rFonts w:ascii="Garamond" w:hAnsi="Garamond" w:cs="Times New Roman"/>
          <w:color w:val="auto"/>
          <w:sz w:val="20"/>
          <w:szCs w:val="20"/>
        </w:rPr>
      </w:pPr>
      <w:bookmarkStart w:id="41" w:name="_Toc185235123"/>
      <w:r w:rsidRPr="00830F4C">
        <w:rPr>
          <w:rFonts w:ascii="Garamond" w:hAnsi="Garamond"/>
          <w:color w:val="auto"/>
          <w:sz w:val="20"/>
          <w:szCs w:val="20"/>
        </w:rPr>
        <w:t xml:space="preserve">Grafik </w:t>
      </w:r>
      <w:r w:rsidRPr="00830F4C">
        <w:rPr>
          <w:rFonts w:ascii="Garamond" w:hAnsi="Garamond"/>
          <w:color w:val="auto"/>
          <w:sz w:val="20"/>
          <w:szCs w:val="20"/>
        </w:rPr>
        <w:fldChar w:fldCharType="begin"/>
      </w:r>
      <w:r w:rsidRPr="00830F4C">
        <w:rPr>
          <w:rFonts w:ascii="Garamond" w:hAnsi="Garamond"/>
          <w:color w:val="auto"/>
          <w:sz w:val="20"/>
          <w:szCs w:val="20"/>
        </w:rPr>
        <w:instrText xml:space="preserve"> SEQ Grafik \* ARABIC </w:instrText>
      </w:r>
      <w:r w:rsidRPr="00830F4C">
        <w:rPr>
          <w:rFonts w:ascii="Garamond" w:hAnsi="Garamond"/>
          <w:color w:val="auto"/>
          <w:sz w:val="20"/>
          <w:szCs w:val="20"/>
        </w:rPr>
        <w:fldChar w:fldCharType="separate"/>
      </w:r>
      <w:r w:rsidRPr="00830F4C">
        <w:rPr>
          <w:rFonts w:ascii="Garamond" w:hAnsi="Garamond"/>
          <w:color w:val="auto"/>
          <w:sz w:val="20"/>
          <w:szCs w:val="20"/>
        </w:rPr>
        <w:t>7</w:t>
      </w:r>
      <w:r w:rsidRPr="00830F4C">
        <w:rPr>
          <w:rFonts w:ascii="Garamond" w:hAnsi="Garamond"/>
          <w:color w:val="auto"/>
          <w:sz w:val="20"/>
          <w:szCs w:val="20"/>
        </w:rPr>
        <w:fldChar w:fldCharType="end"/>
      </w:r>
      <w:r w:rsidRPr="00830F4C">
        <w:rPr>
          <w:rFonts w:ascii="Garamond" w:hAnsi="Garamond" w:cs="Times New Roman"/>
          <w:color w:val="auto"/>
          <w:sz w:val="20"/>
          <w:szCs w:val="20"/>
        </w:rPr>
        <w:t>: Pagesat e</w:t>
      </w:r>
      <w:r w:rsidR="00DE65FB">
        <w:rPr>
          <w:rFonts w:ascii="Garamond" w:hAnsi="Garamond" w:cs="Times New Roman"/>
          <w:color w:val="auto"/>
          <w:sz w:val="20"/>
          <w:szCs w:val="20"/>
        </w:rPr>
        <w:t xml:space="preserve"> TVSh</w:t>
      </w:r>
      <w:r w:rsidRPr="00830F4C">
        <w:rPr>
          <w:rFonts w:ascii="Garamond" w:hAnsi="Garamond" w:cs="Times New Roman"/>
          <w:color w:val="auto"/>
          <w:sz w:val="20"/>
          <w:szCs w:val="20"/>
        </w:rPr>
        <w:t>-së sipas qarkullimit të bizneseve në sektorin e ndërtimit</w:t>
      </w:r>
      <w:bookmarkEnd w:id="41"/>
    </w:p>
    <w:p w14:paraId="05AA4F61" w14:textId="77777777" w:rsidR="00EA1C5E" w:rsidRPr="00830F4C" w:rsidRDefault="00EA1C5E" w:rsidP="00EA1C5E">
      <w:pPr>
        <w:jc w:val="both"/>
        <w:rPr>
          <w:rFonts w:ascii="Garamond" w:hAnsi="Garamond"/>
          <w:i/>
          <w:sz w:val="20"/>
          <w:szCs w:val="20"/>
        </w:rPr>
      </w:pPr>
      <w:r w:rsidRPr="00830F4C">
        <w:rPr>
          <w:noProof/>
          <w:lang w:val="en-US"/>
        </w:rPr>
        <w:drawing>
          <wp:inline distT="0" distB="0" distL="0" distR="0" wp14:anchorId="2FD23ABD" wp14:editId="26F1EF03">
            <wp:extent cx="5657850" cy="1823190"/>
            <wp:effectExtent l="0" t="0" r="0" b="5715"/>
            <wp:docPr id="1859409390" name="Chart 1859409390">
              <a:extLst xmlns:a="http://schemas.openxmlformats.org/drawingml/2006/main">
                <a:ext uri="{FF2B5EF4-FFF2-40B4-BE49-F238E27FC236}">
                  <a16:creationId xmlns:a16="http://schemas.microsoft.com/office/drawing/2014/main" id="{7C4D7443-F49B-4082-9301-4F3E4E8D28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Pr="00830F4C">
        <w:rPr>
          <w:i/>
        </w:rPr>
        <w:t xml:space="preserve"> </w:t>
      </w:r>
      <w:r w:rsidRPr="00830F4C">
        <w:rPr>
          <w:rFonts w:ascii="Garamond" w:hAnsi="Garamond"/>
          <w:i/>
          <w:sz w:val="20"/>
          <w:szCs w:val="20"/>
        </w:rPr>
        <w:t>Burimi: Drejtoria e Përgjithshme e Tatimeve</w:t>
      </w:r>
    </w:p>
    <w:p w14:paraId="71B40165" w14:textId="351E14F7" w:rsidR="00EA1C5E" w:rsidRPr="00830F4C" w:rsidRDefault="00EA1C5E" w:rsidP="00EA1C5E">
      <w:pPr>
        <w:pStyle w:val="NormalWeb"/>
        <w:spacing w:before="0" w:beforeAutospacing="0" w:after="0" w:afterAutospacing="0"/>
        <w:ind w:firstLine="284"/>
        <w:jc w:val="both"/>
        <w:rPr>
          <w:rFonts w:ascii="Garamond" w:hAnsi="Garamond"/>
          <w:lang w:val="sq-AL"/>
        </w:rPr>
      </w:pPr>
      <w:r w:rsidRPr="00830F4C">
        <w:rPr>
          <w:rFonts w:ascii="Garamond" w:hAnsi="Garamond"/>
          <w:bCs/>
          <w:lang w:val="sq-AL"/>
        </w:rPr>
        <w:t>Në formulimin e strategjisë afatmesme dhe planeve të veprimit, Administrata Tatimore do</w:t>
      </w:r>
      <w:r w:rsidR="0052377F" w:rsidRPr="00830F4C">
        <w:rPr>
          <w:rFonts w:ascii="Garamond" w:hAnsi="Garamond"/>
          <w:bCs/>
          <w:lang w:val="sq-AL"/>
        </w:rPr>
        <w:t xml:space="preserve"> </w:t>
      </w:r>
      <w:r w:rsidR="006A23E9" w:rsidRPr="00830F4C">
        <w:rPr>
          <w:rFonts w:ascii="Garamond" w:hAnsi="Garamond"/>
          <w:bCs/>
          <w:lang w:val="sq-AL"/>
        </w:rPr>
        <w:t>t’i</w:t>
      </w:r>
      <w:r w:rsidR="0052377F" w:rsidRPr="00830F4C">
        <w:rPr>
          <w:rFonts w:ascii="Garamond" w:hAnsi="Garamond"/>
          <w:bCs/>
          <w:lang w:val="sq-AL"/>
        </w:rPr>
        <w:t xml:space="preserve"> </w:t>
      </w:r>
      <w:r w:rsidRPr="00830F4C">
        <w:rPr>
          <w:rFonts w:ascii="Garamond" w:hAnsi="Garamond"/>
          <w:bCs/>
          <w:lang w:val="sq-AL"/>
        </w:rPr>
        <w:t>japë përparësi zhvillimit të një programi të përmirësimit të pajtueshmërisë, posaçërisht për sektorin e ndërtimit dhe krejt zinxhirit furnizues të tij, për të zvogëluar humbjet tatimore në këtë sektor.</w:t>
      </w:r>
    </w:p>
    <w:p w14:paraId="21A672A2" w14:textId="228CC1AF" w:rsidR="00EA1C5E" w:rsidRPr="00830F4C" w:rsidRDefault="00EA1C5E" w:rsidP="00EA1C5E">
      <w:pPr>
        <w:pStyle w:val="NormalWeb"/>
        <w:spacing w:before="0" w:beforeAutospacing="0" w:after="0" w:afterAutospacing="0"/>
        <w:ind w:firstLine="284"/>
        <w:jc w:val="both"/>
        <w:rPr>
          <w:rFonts w:ascii="Garamond" w:hAnsi="Garamond"/>
          <w:bCs/>
          <w:lang w:val="sq-AL"/>
        </w:rPr>
      </w:pPr>
      <w:r w:rsidRPr="00830F4C">
        <w:rPr>
          <w:rFonts w:ascii="Garamond" w:hAnsi="Garamond"/>
          <w:bCs/>
          <w:lang w:val="sq-AL"/>
        </w:rPr>
        <w:t>Ndër të tjera, synimi i kësaj mase është eliminimi i skemave të mashtrimit të</w:t>
      </w:r>
      <w:r w:rsidR="00DE65FB">
        <w:rPr>
          <w:rFonts w:ascii="Garamond" w:hAnsi="Garamond"/>
          <w:bCs/>
          <w:lang w:val="sq-AL"/>
        </w:rPr>
        <w:t xml:space="preserve"> TVSh</w:t>
      </w:r>
      <w:r w:rsidRPr="00830F4C">
        <w:rPr>
          <w:rFonts w:ascii="Garamond" w:hAnsi="Garamond"/>
          <w:bCs/>
          <w:lang w:val="sq-AL"/>
        </w:rPr>
        <w:t>-së në ndërtim, duke synuar rritje të</w:t>
      </w:r>
      <w:r w:rsidR="00DE65FB">
        <w:rPr>
          <w:rFonts w:ascii="Garamond" w:hAnsi="Garamond"/>
          <w:bCs/>
          <w:lang w:val="sq-AL"/>
        </w:rPr>
        <w:t xml:space="preserve"> TVSh</w:t>
      </w:r>
      <w:r w:rsidRPr="00830F4C">
        <w:rPr>
          <w:rFonts w:ascii="Garamond" w:hAnsi="Garamond"/>
          <w:bCs/>
          <w:lang w:val="sq-AL"/>
        </w:rPr>
        <w:t>-së së pagueshme. Edhe përvoja ndërkombëtare tregon se ndërtimi është një sektor shumë i ndjeshëm ndaj mashtrimit të</w:t>
      </w:r>
      <w:r w:rsidR="00DE65FB">
        <w:rPr>
          <w:rFonts w:ascii="Garamond" w:hAnsi="Garamond"/>
          <w:bCs/>
          <w:lang w:val="sq-AL"/>
        </w:rPr>
        <w:t xml:space="preserve"> TVSh</w:t>
      </w:r>
      <w:r w:rsidRPr="00830F4C">
        <w:rPr>
          <w:rFonts w:ascii="Garamond" w:hAnsi="Garamond"/>
          <w:bCs/>
          <w:lang w:val="sq-AL"/>
        </w:rPr>
        <w:t>-së përgjatë zinxhirit të furnizimit të nënkontraktuesve.</w:t>
      </w:r>
    </w:p>
    <w:p w14:paraId="09887CE8" w14:textId="2E71003B" w:rsidR="00EA1C5E" w:rsidRPr="00A72159" w:rsidRDefault="00EA1C5E" w:rsidP="00EA1C5E">
      <w:pPr>
        <w:ind w:firstLine="284"/>
        <w:rPr>
          <w:rFonts w:ascii="Garamond" w:hAnsi="Garamond"/>
          <w:b/>
          <w:bCs/>
        </w:rPr>
      </w:pPr>
      <w:r w:rsidRPr="00A72159">
        <w:rPr>
          <w:rFonts w:ascii="Garamond" w:hAnsi="Garamond"/>
          <w:b/>
          <w:bCs/>
        </w:rPr>
        <w:t>Aktiviteti 2.1.1.1</w:t>
      </w:r>
      <w:r w:rsidR="00A72159" w:rsidRPr="00A72159">
        <w:rPr>
          <w:rFonts w:ascii="Garamond" w:hAnsi="Garamond"/>
          <w:b/>
          <w:bCs/>
        </w:rPr>
        <w:t>:</w:t>
      </w:r>
      <w:r w:rsidRPr="00A72159">
        <w:rPr>
          <w:rFonts w:ascii="Garamond" w:hAnsi="Garamond"/>
          <w:b/>
          <w:bCs/>
        </w:rPr>
        <w:t xml:space="preserve"> Kryerja e një analize të detajuar të fenomeneve të sektorit të ndërtimit, analizë e zinxhirit të</w:t>
      </w:r>
      <w:r w:rsidR="00DE65FB" w:rsidRPr="00A72159">
        <w:rPr>
          <w:rFonts w:ascii="Garamond" w:hAnsi="Garamond"/>
          <w:b/>
          <w:bCs/>
        </w:rPr>
        <w:t xml:space="preserve"> TVSh</w:t>
      </w:r>
      <w:r w:rsidRPr="00A72159">
        <w:rPr>
          <w:rFonts w:ascii="Garamond" w:hAnsi="Garamond"/>
          <w:b/>
          <w:bCs/>
        </w:rPr>
        <w:t>-së së nënkontraktorëve</w:t>
      </w:r>
    </w:p>
    <w:p w14:paraId="542C91C5" w14:textId="326EA3BC" w:rsidR="00EA1C5E" w:rsidRPr="00830F4C" w:rsidRDefault="00EA1C5E" w:rsidP="00EA1C5E">
      <w:pPr>
        <w:ind w:firstLine="284"/>
        <w:jc w:val="both"/>
        <w:rPr>
          <w:rFonts w:ascii="Garamond" w:hAnsi="Garamond"/>
          <w:bCs/>
        </w:rPr>
      </w:pPr>
      <w:r w:rsidRPr="00830F4C">
        <w:rPr>
          <w:rFonts w:ascii="Garamond" w:hAnsi="Garamond"/>
          <w:bCs/>
        </w:rPr>
        <w:t>Në trajtimin e performancës së sektorit të ndërtimit, është shumë e rëndësishme trajtimi dhe monitorimi i të gjithë zinxhirit fu</w:t>
      </w:r>
      <w:r w:rsidR="008C0C0F" w:rsidRPr="00830F4C">
        <w:rPr>
          <w:rFonts w:ascii="Garamond" w:hAnsi="Garamond"/>
          <w:bCs/>
        </w:rPr>
        <w:t>r</w:t>
      </w:r>
      <w:r w:rsidRPr="00830F4C">
        <w:rPr>
          <w:rFonts w:ascii="Garamond" w:hAnsi="Garamond"/>
          <w:bCs/>
        </w:rPr>
        <w:t>nizues së këtij sektori për të evidentuar të gjitha hallkat ku konstatohet rrjedhje e</w:t>
      </w:r>
      <w:r w:rsidR="00DE65FB">
        <w:rPr>
          <w:rFonts w:ascii="Garamond" w:hAnsi="Garamond"/>
          <w:bCs/>
        </w:rPr>
        <w:t xml:space="preserve"> TVSh</w:t>
      </w:r>
      <w:r w:rsidRPr="00830F4C">
        <w:rPr>
          <w:rFonts w:ascii="Garamond" w:hAnsi="Garamond"/>
          <w:bCs/>
        </w:rPr>
        <w:t xml:space="preserve">-së. </w:t>
      </w:r>
      <w:r w:rsidRPr="00830F4C">
        <w:rPr>
          <w:rFonts w:ascii="Garamond" w:hAnsi="Garamond"/>
        </w:rPr>
        <w:t xml:space="preserve">Analiza do të përfshijë të gjithë tatimpaguesit që operojnë në sektorin e ndërtimit dhe nënkontraktorët e tyre duke filluar nga importi/prodhimi i lëndëve të para për sektorin e ndërtimit deri në analizën e kostove, sasisë dhe </w:t>
      </w:r>
      <w:r w:rsidR="00D22EA5" w:rsidRPr="00830F4C">
        <w:rPr>
          <w:rFonts w:ascii="Garamond" w:hAnsi="Garamond"/>
        </w:rPr>
        <w:t>çmimeve</w:t>
      </w:r>
      <w:r w:rsidRPr="00830F4C">
        <w:rPr>
          <w:rFonts w:ascii="Garamond" w:hAnsi="Garamond"/>
        </w:rPr>
        <w:t xml:space="preserve"> te </w:t>
      </w:r>
      <w:r w:rsidR="00D22EA5" w:rsidRPr="00830F4C">
        <w:rPr>
          <w:rFonts w:ascii="Garamond" w:hAnsi="Garamond"/>
        </w:rPr>
        <w:t>kantieret</w:t>
      </w:r>
      <w:r w:rsidRPr="00830F4C">
        <w:rPr>
          <w:rFonts w:ascii="Garamond" w:hAnsi="Garamond"/>
        </w:rPr>
        <w:t xml:space="preserve"> e ndërtimit.</w:t>
      </w:r>
      <w:r w:rsidRPr="00830F4C">
        <w:rPr>
          <w:rFonts w:ascii="Garamond" w:hAnsi="Garamond"/>
          <w:bCs/>
        </w:rPr>
        <w:t xml:space="preserve"> </w:t>
      </w:r>
    </w:p>
    <w:p w14:paraId="4CE102F7" w14:textId="77777777" w:rsidR="00EA1C5E" w:rsidRPr="00830F4C" w:rsidRDefault="00EA1C5E" w:rsidP="00EA1C5E">
      <w:pPr>
        <w:ind w:firstLine="284"/>
        <w:jc w:val="both"/>
        <w:rPr>
          <w:rFonts w:ascii="Garamond" w:hAnsi="Garamond"/>
          <w:bCs/>
        </w:rPr>
      </w:pPr>
      <w:r w:rsidRPr="00830F4C">
        <w:rPr>
          <w:rFonts w:ascii="Garamond" w:hAnsi="Garamond"/>
          <w:bCs/>
        </w:rPr>
        <w:t>Në kuadër të analizës së të dhënave dhe risqeve të sektorit të ndërtimit</w:t>
      </w:r>
      <w:r w:rsidRPr="00830F4C">
        <w:rPr>
          <w:rFonts w:ascii="Garamond" w:hAnsi="Garamond"/>
        </w:rPr>
        <w:t>, administrata tatimore do të bashkëpunojë dhe bashkërendojë me institucione të tjera të tilla: si Agjencinë e Zhvillimit të Territorit, Agjencinë Kombëtare të Planifikimit të Territorit, AKBN në rastet e ndërtimit të HEC-eve apo me të dhënat e regjistrit të Lejeve të Ndërtimit nga Bashkitë.</w:t>
      </w:r>
    </w:p>
    <w:p w14:paraId="6F3B93BF" w14:textId="4022B3F8" w:rsidR="00EA1C5E" w:rsidRPr="00A72159" w:rsidRDefault="00EA1C5E" w:rsidP="00EA1C5E">
      <w:pPr>
        <w:ind w:firstLine="284"/>
        <w:jc w:val="both"/>
        <w:rPr>
          <w:rFonts w:ascii="Garamond" w:hAnsi="Garamond"/>
          <w:b/>
          <w:bCs/>
        </w:rPr>
      </w:pPr>
      <w:r w:rsidRPr="00A72159">
        <w:rPr>
          <w:rFonts w:ascii="Garamond" w:hAnsi="Garamond"/>
          <w:b/>
          <w:bCs/>
        </w:rPr>
        <w:t>Aktiviteti 2.1.1.2</w:t>
      </w:r>
      <w:r w:rsidR="00A72159" w:rsidRPr="00A72159">
        <w:rPr>
          <w:rFonts w:ascii="Garamond" w:hAnsi="Garamond"/>
          <w:b/>
          <w:bCs/>
        </w:rPr>
        <w:t>:</w:t>
      </w:r>
      <w:r w:rsidRPr="00A72159">
        <w:rPr>
          <w:rFonts w:ascii="Garamond" w:hAnsi="Garamond"/>
          <w:b/>
          <w:bCs/>
        </w:rPr>
        <w:t xml:space="preserve"> Hartimi dhe zbatimi i planit sektorial të ndërtimit</w:t>
      </w:r>
    </w:p>
    <w:p w14:paraId="5B9FF44E" w14:textId="74D2D0B8" w:rsidR="00EA1C5E" w:rsidRPr="00830F4C" w:rsidRDefault="00EA1C5E" w:rsidP="00EA1C5E">
      <w:pPr>
        <w:ind w:firstLine="284"/>
        <w:jc w:val="both"/>
        <w:rPr>
          <w:rFonts w:ascii="Garamond" w:hAnsi="Garamond"/>
        </w:rPr>
      </w:pPr>
      <w:r w:rsidRPr="00830F4C">
        <w:rPr>
          <w:rFonts w:ascii="Garamond" w:hAnsi="Garamond"/>
        </w:rPr>
        <w:t>Bazuar në analizat e mësipërme, administrata tatimore do të hartojë një Plan sektorial të dedikuar vetëm për sektorin e ndërtimit dhe zinxhirin furnizues të tij. Fokusi kryesor i tij do të jetë</w:t>
      </w:r>
      <w:r w:rsidR="00DE65FB">
        <w:rPr>
          <w:rFonts w:ascii="Garamond" w:hAnsi="Garamond"/>
        </w:rPr>
        <w:t xml:space="preserve"> TVSh</w:t>
      </w:r>
      <w:r w:rsidRPr="00830F4C">
        <w:rPr>
          <w:rFonts w:ascii="Garamond" w:hAnsi="Garamond"/>
        </w:rPr>
        <w:t xml:space="preserve">-ja por pa anashkaluar tatim mbi fitimin dhe problematikat që kanë të bëjnë me deklarimin e punonjësve. </w:t>
      </w:r>
    </w:p>
    <w:p w14:paraId="226C4029" w14:textId="77777777" w:rsidR="00EA1C5E" w:rsidRPr="00830F4C" w:rsidRDefault="00EA1C5E" w:rsidP="00EA1C5E">
      <w:pPr>
        <w:autoSpaceDE w:val="0"/>
        <w:autoSpaceDN w:val="0"/>
        <w:adjustRightInd w:val="0"/>
        <w:ind w:firstLine="284"/>
        <w:rPr>
          <w:rFonts w:ascii="Garamond" w:hAnsi="Garamond"/>
          <w:b/>
          <w:bCs/>
        </w:rPr>
      </w:pPr>
      <w:r w:rsidRPr="00830F4C">
        <w:rPr>
          <w:rFonts w:ascii="Garamond" w:hAnsi="Garamond"/>
          <w:b/>
        </w:rPr>
        <w:t xml:space="preserve">Masa 2.1.2 </w:t>
      </w:r>
      <w:r w:rsidRPr="00830F4C">
        <w:rPr>
          <w:rFonts w:ascii="Garamond" w:hAnsi="Garamond"/>
          <w:b/>
          <w:bCs/>
        </w:rPr>
        <w:t>Vlerësimi i performancës së sektorit të turizmit dhe hartimi i planit të dedikuar sektorial</w:t>
      </w:r>
      <w:r w:rsidRPr="00830F4C" w:rsidDel="00D22265">
        <w:rPr>
          <w:rFonts w:ascii="Garamond" w:hAnsi="Garamond"/>
          <w:b/>
          <w:bCs/>
        </w:rPr>
        <w:t xml:space="preserve"> </w:t>
      </w:r>
    </w:p>
    <w:p w14:paraId="2DE626FC" w14:textId="3F57BADA" w:rsidR="00EA1C5E" w:rsidRPr="00830F4C" w:rsidRDefault="00EA1C5E" w:rsidP="00EA1C5E">
      <w:pPr>
        <w:autoSpaceDE w:val="0"/>
        <w:autoSpaceDN w:val="0"/>
        <w:adjustRightInd w:val="0"/>
        <w:ind w:firstLine="284"/>
        <w:jc w:val="both"/>
        <w:rPr>
          <w:rFonts w:ascii="Garamond" w:eastAsiaTheme="minorHAnsi" w:hAnsi="Garamond"/>
        </w:rPr>
      </w:pPr>
      <w:r w:rsidRPr="00830F4C">
        <w:rPr>
          <w:rFonts w:ascii="Garamond" w:eastAsiaTheme="minorHAnsi" w:hAnsi="Garamond"/>
        </w:rPr>
        <w:t>Sektori i turizmit përbën një ndër sektorët me rritje të ndjeshme vitet e fundit si dhe një sektor për të cilin janë dhënë dhe zbatohen incentiva tatimore, si përjashtime ose norma të reduktuara taksash. Me këtë sektor, përveç hotelerisë, janë të lidhur shumë tatimpagues që operojnë në sektorë të ndryshëm si sektori i transportit, agjen</w:t>
      </w:r>
      <w:r w:rsidR="00D22EA5" w:rsidRPr="00830F4C">
        <w:rPr>
          <w:rFonts w:ascii="Garamond" w:eastAsiaTheme="minorHAnsi" w:hAnsi="Garamond"/>
        </w:rPr>
        <w:t>c</w:t>
      </w:r>
      <w:r w:rsidRPr="00830F4C">
        <w:rPr>
          <w:rFonts w:ascii="Garamond" w:eastAsiaTheme="minorHAnsi" w:hAnsi="Garamond"/>
        </w:rPr>
        <w:t xml:space="preserve">itë turistike, sektori i tregtisë, me shumicë e pakicë, etj. </w:t>
      </w:r>
    </w:p>
    <w:p w14:paraId="71724CF6" w14:textId="4AE94020" w:rsidR="00EA1C5E" w:rsidRPr="00830F4C" w:rsidRDefault="00EA1C5E" w:rsidP="00EA1C5E">
      <w:pPr>
        <w:autoSpaceDE w:val="0"/>
        <w:autoSpaceDN w:val="0"/>
        <w:adjustRightInd w:val="0"/>
        <w:ind w:firstLine="284"/>
        <w:jc w:val="both"/>
        <w:rPr>
          <w:rFonts w:ascii="Garamond" w:hAnsi="Garamond"/>
        </w:rPr>
      </w:pPr>
      <w:r w:rsidRPr="00830F4C">
        <w:rPr>
          <w:rFonts w:ascii="Garamond" w:hAnsi="Garamond"/>
        </w:rPr>
        <w:t>Në bazë të të dhënave rezulton se për subjektet deklarues deklaratë</w:t>
      </w:r>
      <w:r w:rsidR="00DE65FB">
        <w:rPr>
          <w:rFonts w:ascii="Garamond" w:hAnsi="Garamond"/>
        </w:rPr>
        <w:t xml:space="preserve"> TVSh</w:t>
      </w:r>
      <w:r w:rsidRPr="00830F4C">
        <w:rPr>
          <w:rFonts w:ascii="Garamond" w:hAnsi="Garamond"/>
        </w:rPr>
        <w:t xml:space="preserve"> që janë në sektorët </w:t>
      </w:r>
      <w:r w:rsidR="00D22EA5" w:rsidRPr="00830F4C">
        <w:rPr>
          <w:rFonts w:ascii="Garamond" w:hAnsi="Garamond"/>
        </w:rPr>
        <w:t>“</w:t>
      </w:r>
      <w:r w:rsidRPr="00830F4C">
        <w:rPr>
          <w:rFonts w:ascii="Garamond" w:hAnsi="Garamond"/>
        </w:rPr>
        <w:t>Akomodim</w:t>
      </w:r>
      <w:r w:rsidR="00D22EA5" w:rsidRPr="00830F4C">
        <w:rPr>
          <w:rFonts w:ascii="Garamond" w:hAnsi="Garamond"/>
        </w:rPr>
        <w:t>”</w:t>
      </w:r>
      <w:r w:rsidRPr="00830F4C">
        <w:rPr>
          <w:rFonts w:ascii="Garamond" w:hAnsi="Garamond"/>
        </w:rPr>
        <w:t xml:space="preserve"> dhe </w:t>
      </w:r>
      <w:r w:rsidR="00D22EA5" w:rsidRPr="00830F4C">
        <w:rPr>
          <w:rFonts w:ascii="Garamond" w:hAnsi="Garamond"/>
        </w:rPr>
        <w:t>“</w:t>
      </w:r>
      <w:r w:rsidRPr="00830F4C">
        <w:rPr>
          <w:rFonts w:ascii="Garamond" w:hAnsi="Garamond"/>
        </w:rPr>
        <w:t>Aktivitetet e shërbimit të ushqimit dhe pijeve</w:t>
      </w:r>
      <w:r w:rsidR="00D22EA5" w:rsidRPr="00830F4C">
        <w:rPr>
          <w:rFonts w:ascii="Garamond" w:hAnsi="Garamond"/>
        </w:rPr>
        <w:t>”</w:t>
      </w:r>
      <w:r w:rsidRPr="00830F4C">
        <w:rPr>
          <w:rFonts w:ascii="Garamond" w:hAnsi="Garamond"/>
        </w:rPr>
        <w:t>, të cilët kanë më shumë se 100.000 lekë shitje të tatueshme me 6 %, rezulton të ketë rritje në numrin e tatimpaguesve deklarues</w:t>
      </w:r>
      <w:r w:rsidR="00DE65FB">
        <w:rPr>
          <w:rFonts w:ascii="Garamond" w:hAnsi="Garamond"/>
        </w:rPr>
        <w:t xml:space="preserve"> TVSh</w:t>
      </w:r>
      <w:r w:rsidRPr="00830F4C">
        <w:rPr>
          <w:rFonts w:ascii="Garamond" w:hAnsi="Garamond"/>
        </w:rPr>
        <w:t>-je në këto fasha ndër vite, rritje me 8% në vitin 2022 në krahasim me vitin 2021, dhe me 17% në 2023 krahasuar me vitin 2022. Gjithashtu, rezulton me rritje edhe</w:t>
      </w:r>
      <w:r w:rsidR="00DE65FB">
        <w:rPr>
          <w:rFonts w:ascii="Garamond" w:hAnsi="Garamond"/>
        </w:rPr>
        <w:t xml:space="preserve"> TVSh</w:t>
      </w:r>
      <w:r w:rsidRPr="00830F4C">
        <w:rPr>
          <w:rFonts w:ascii="Garamond" w:hAnsi="Garamond"/>
        </w:rPr>
        <w:t>-ja e paguar ndër vite, 40% rritje në 2022 krahasuar me 2021, dhe 40% rritje në 2023 krahasuar me vitin 2022.</w:t>
      </w:r>
      <w:r w:rsidR="00D22EA5" w:rsidRPr="00830F4C">
        <w:rPr>
          <w:rFonts w:ascii="Garamond" w:hAnsi="Garamond"/>
        </w:rPr>
        <w:t xml:space="preserve"> </w:t>
      </w:r>
      <w:r w:rsidRPr="00830F4C">
        <w:rPr>
          <w:rFonts w:ascii="Garamond" w:hAnsi="Garamond"/>
        </w:rPr>
        <w:t>Në bazë të analizave, ka potencial për të rritur përputhshmërinë në këtë sektor.</w:t>
      </w:r>
    </w:p>
    <w:p w14:paraId="48FF7B25" w14:textId="542C7A9E" w:rsidR="00EA1C5E" w:rsidRPr="00830F4C" w:rsidRDefault="00EA1C5E" w:rsidP="00EA1C5E">
      <w:pPr>
        <w:pStyle w:val="Caption"/>
        <w:keepNext/>
        <w:spacing w:after="0"/>
        <w:ind w:firstLine="284"/>
        <w:rPr>
          <w:rFonts w:ascii="Garamond" w:hAnsi="Garamond"/>
          <w:color w:val="auto"/>
          <w:sz w:val="20"/>
          <w:szCs w:val="20"/>
        </w:rPr>
      </w:pPr>
      <w:bookmarkStart w:id="42" w:name="_Toc185235137"/>
      <w:bookmarkStart w:id="43" w:name="_Toc172043343"/>
      <w:r w:rsidRPr="00830F4C">
        <w:rPr>
          <w:rFonts w:ascii="Garamond" w:hAnsi="Garamond"/>
          <w:color w:val="auto"/>
          <w:sz w:val="20"/>
          <w:szCs w:val="20"/>
        </w:rPr>
        <w:t xml:space="preserve">Tabela </w:t>
      </w:r>
      <w:r w:rsidRPr="00830F4C">
        <w:rPr>
          <w:rFonts w:ascii="Garamond" w:hAnsi="Garamond"/>
          <w:color w:val="auto"/>
          <w:sz w:val="20"/>
          <w:szCs w:val="20"/>
        </w:rPr>
        <w:fldChar w:fldCharType="begin"/>
      </w:r>
      <w:r w:rsidRPr="00830F4C">
        <w:rPr>
          <w:rFonts w:ascii="Garamond" w:hAnsi="Garamond"/>
          <w:color w:val="auto"/>
          <w:sz w:val="20"/>
          <w:szCs w:val="20"/>
        </w:rPr>
        <w:instrText xml:space="preserve"> SEQ Tabela \* ARABIC </w:instrText>
      </w:r>
      <w:r w:rsidRPr="00830F4C">
        <w:rPr>
          <w:rFonts w:ascii="Garamond" w:hAnsi="Garamond"/>
          <w:color w:val="auto"/>
          <w:sz w:val="20"/>
          <w:szCs w:val="20"/>
        </w:rPr>
        <w:fldChar w:fldCharType="separate"/>
      </w:r>
      <w:r w:rsidRPr="00830F4C">
        <w:rPr>
          <w:rFonts w:ascii="Garamond" w:hAnsi="Garamond"/>
          <w:color w:val="auto"/>
          <w:sz w:val="20"/>
          <w:szCs w:val="20"/>
        </w:rPr>
        <w:t>12</w:t>
      </w:r>
      <w:r w:rsidRPr="00830F4C">
        <w:rPr>
          <w:rFonts w:ascii="Garamond" w:hAnsi="Garamond"/>
          <w:color w:val="auto"/>
          <w:sz w:val="20"/>
          <w:szCs w:val="20"/>
        </w:rPr>
        <w:fldChar w:fldCharType="end"/>
      </w:r>
      <w:r w:rsidRPr="00830F4C">
        <w:rPr>
          <w:rFonts w:ascii="Garamond" w:hAnsi="Garamond" w:cs="Times New Roman"/>
          <w:color w:val="auto"/>
          <w:sz w:val="20"/>
          <w:szCs w:val="20"/>
        </w:rPr>
        <w:t>:</w:t>
      </w:r>
      <w:r w:rsidR="00D22EA5" w:rsidRPr="00830F4C">
        <w:rPr>
          <w:rFonts w:ascii="Garamond" w:hAnsi="Garamond" w:cs="Times New Roman"/>
          <w:color w:val="auto"/>
          <w:sz w:val="20"/>
          <w:szCs w:val="20"/>
        </w:rPr>
        <w:t xml:space="preserve"> </w:t>
      </w:r>
      <w:r w:rsidRPr="00830F4C">
        <w:rPr>
          <w:rFonts w:ascii="Garamond" w:hAnsi="Garamond" w:cs="Times New Roman"/>
          <w:color w:val="auto"/>
          <w:sz w:val="20"/>
          <w:szCs w:val="20"/>
        </w:rPr>
        <w:t>Të ardhurat nga</w:t>
      </w:r>
      <w:r w:rsidR="00DE65FB">
        <w:rPr>
          <w:rFonts w:ascii="Garamond" w:hAnsi="Garamond" w:cs="Times New Roman"/>
          <w:color w:val="auto"/>
          <w:sz w:val="20"/>
          <w:szCs w:val="20"/>
        </w:rPr>
        <w:t xml:space="preserve"> TVSh</w:t>
      </w:r>
      <w:r w:rsidRPr="00830F4C">
        <w:rPr>
          <w:rFonts w:ascii="Garamond" w:hAnsi="Garamond" w:cs="Times New Roman"/>
          <w:color w:val="auto"/>
          <w:sz w:val="20"/>
          <w:szCs w:val="20"/>
        </w:rPr>
        <w:t xml:space="preserve"> në % të PBB</w:t>
      </w:r>
      <w:r w:rsidR="00236281" w:rsidRPr="00830F4C">
        <w:rPr>
          <w:rFonts w:ascii="Garamond" w:hAnsi="Garamond"/>
          <w:sz w:val="20"/>
          <w:szCs w:val="20"/>
        </w:rPr>
        <w:t>-së</w:t>
      </w:r>
      <w:r w:rsidRPr="00830F4C">
        <w:rPr>
          <w:rFonts w:ascii="Garamond" w:hAnsi="Garamond" w:cs="Times New Roman"/>
          <w:color w:val="auto"/>
          <w:sz w:val="20"/>
          <w:szCs w:val="20"/>
        </w:rPr>
        <w:t xml:space="preserve"> dhe numri i subjekteve në sektorin </w:t>
      </w:r>
      <w:r w:rsidR="00D22EA5" w:rsidRPr="00830F4C">
        <w:rPr>
          <w:rFonts w:ascii="Garamond" w:hAnsi="Garamond" w:cs="Times New Roman"/>
          <w:color w:val="auto"/>
          <w:sz w:val="20"/>
          <w:szCs w:val="20"/>
        </w:rPr>
        <w:t>“</w:t>
      </w:r>
      <w:r w:rsidRPr="00830F4C">
        <w:rPr>
          <w:rFonts w:ascii="Garamond" w:hAnsi="Garamond" w:cs="Times New Roman"/>
          <w:color w:val="auto"/>
          <w:sz w:val="20"/>
          <w:szCs w:val="20"/>
        </w:rPr>
        <w:t>Akomodim</w:t>
      </w:r>
      <w:r w:rsidR="00D22EA5" w:rsidRPr="00830F4C">
        <w:rPr>
          <w:rFonts w:ascii="Garamond" w:hAnsi="Garamond" w:cs="Times New Roman"/>
          <w:color w:val="auto"/>
          <w:sz w:val="20"/>
          <w:szCs w:val="20"/>
        </w:rPr>
        <w:t>”</w:t>
      </w:r>
      <w:r w:rsidRPr="00830F4C">
        <w:rPr>
          <w:rFonts w:ascii="Garamond" w:hAnsi="Garamond" w:cs="Times New Roman"/>
          <w:color w:val="auto"/>
          <w:sz w:val="20"/>
          <w:szCs w:val="20"/>
        </w:rPr>
        <w:t xml:space="preserve"> dhe </w:t>
      </w:r>
      <w:r w:rsidR="00D22EA5" w:rsidRPr="00830F4C">
        <w:rPr>
          <w:rFonts w:ascii="Garamond" w:hAnsi="Garamond" w:cs="Times New Roman"/>
          <w:color w:val="auto"/>
          <w:sz w:val="20"/>
          <w:szCs w:val="20"/>
        </w:rPr>
        <w:t>“</w:t>
      </w:r>
      <w:r w:rsidRPr="00830F4C">
        <w:rPr>
          <w:rFonts w:ascii="Garamond" w:hAnsi="Garamond" w:cs="Times New Roman"/>
          <w:color w:val="auto"/>
          <w:sz w:val="20"/>
          <w:szCs w:val="20"/>
        </w:rPr>
        <w:t>Aktivitetet e shërbimit të ushqimit dhe pijeve</w:t>
      </w:r>
      <w:r w:rsidR="00D22EA5" w:rsidRPr="00830F4C">
        <w:rPr>
          <w:rFonts w:ascii="Garamond" w:hAnsi="Garamond" w:cs="Times New Roman"/>
          <w:color w:val="auto"/>
          <w:sz w:val="20"/>
          <w:szCs w:val="20"/>
        </w:rPr>
        <w:t>”</w:t>
      </w:r>
      <w:r w:rsidRPr="00830F4C">
        <w:rPr>
          <w:rFonts w:ascii="Garamond" w:hAnsi="Garamond" w:cs="Times New Roman"/>
          <w:color w:val="auto"/>
          <w:sz w:val="20"/>
          <w:szCs w:val="20"/>
        </w:rPr>
        <w:t>, me më shumë se 100.000 lekë shitje të tatueshme me 6 %</w:t>
      </w:r>
      <w:bookmarkEnd w:id="42"/>
      <w:bookmarkEnd w:id="43"/>
    </w:p>
    <w:tbl>
      <w:tblPr>
        <w:tblStyle w:val="GridTable1Light-Accent211"/>
        <w:tblW w:w="8745" w:type="dxa"/>
        <w:tblLook w:val="04A0" w:firstRow="1" w:lastRow="0" w:firstColumn="1" w:lastColumn="0" w:noHBand="0" w:noVBand="1"/>
      </w:tblPr>
      <w:tblGrid>
        <w:gridCol w:w="1705"/>
        <w:gridCol w:w="1350"/>
        <w:gridCol w:w="1710"/>
        <w:gridCol w:w="1316"/>
        <w:gridCol w:w="997"/>
        <w:gridCol w:w="964"/>
        <w:gridCol w:w="703"/>
      </w:tblGrid>
      <w:tr w:rsidR="00EA1C5E" w:rsidRPr="00830F4C" w14:paraId="3941F7A5" w14:textId="77777777" w:rsidTr="009153DB">
        <w:trPr>
          <w:cnfStyle w:val="100000000000" w:firstRow="1" w:lastRow="0" w:firstColumn="0" w:lastColumn="0" w:oddVBand="0" w:evenVBand="0" w:oddHBand="0"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1705" w:type="dxa"/>
            <w:noWrap/>
            <w:hideMark/>
          </w:tcPr>
          <w:p w14:paraId="0C240500" w14:textId="77777777" w:rsidR="00EA1C5E" w:rsidRPr="00830F4C" w:rsidRDefault="00EA1C5E" w:rsidP="00EA1C5E">
            <w:pPr>
              <w:rPr>
                <w:rFonts w:ascii="Garamond" w:eastAsiaTheme="minorHAnsi" w:hAnsi="Garamond"/>
                <w:sz w:val="16"/>
                <w:szCs w:val="16"/>
              </w:rPr>
            </w:pPr>
          </w:p>
        </w:tc>
        <w:tc>
          <w:tcPr>
            <w:tcW w:w="4376" w:type="dxa"/>
            <w:gridSpan w:val="3"/>
            <w:noWrap/>
            <w:hideMark/>
          </w:tcPr>
          <w:p w14:paraId="5CE07A36" w14:textId="77777777" w:rsidR="00EA1C5E" w:rsidRPr="00830F4C" w:rsidRDefault="00EA1C5E" w:rsidP="00EA1C5E">
            <w:pPr>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rPr>
            </w:pPr>
            <w:r w:rsidRPr="00830F4C">
              <w:rPr>
                <w:rFonts w:ascii="Garamond" w:hAnsi="Garamond"/>
                <w:sz w:val="16"/>
                <w:szCs w:val="16"/>
              </w:rPr>
              <w:t>TVSH paguar</w:t>
            </w:r>
          </w:p>
        </w:tc>
        <w:tc>
          <w:tcPr>
            <w:tcW w:w="2664" w:type="dxa"/>
            <w:gridSpan w:val="3"/>
            <w:noWrap/>
            <w:hideMark/>
          </w:tcPr>
          <w:p w14:paraId="2ABD3FB6" w14:textId="77777777" w:rsidR="00EA1C5E" w:rsidRPr="00830F4C" w:rsidRDefault="00EA1C5E" w:rsidP="00EA1C5E">
            <w:pPr>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rPr>
            </w:pPr>
            <w:r w:rsidRPr="00830F4C">
              <w:rPr>
                <w:rFonts w:ascii="Garamond" w:hAnsi="Garamond"/>
                <w:sz w:val="16"/>
                <w:szCs w:val="16"/>
              </w:rPr>
              <w:t>Numri i tatimpaguseve</w:t>
            </w:r>
          </w:p>
        </w:tc>
      </w:tr>
      <w:tr w:rsidR="00EA1C5E" w:rsidRPr="00830F4C" w14:paraId="6524EDBF" w14:textId="77777777" w:rsidTr="009153DB">
        <w:trPr>
          <w:trHeight w:val="267"/>
        </w:trPr>
        <w:tc>
          <w:tcPr>
            <w:cnfStyle w:val="001000000000" w:firstRow="0" w:lastRow="0" w:firstColumn="1" w:lastColumn="0" w:oddVBand="0" w:evenVBand="0" w:oddHBand="0" w:evenHBand="0" w:firstRowFirstColumn="0" w:firstRowLastColumn="0" w:lastRowFirstColumn="0" w:lastRowLastColumn="0"/>
            <w:tcW w:w="1705" w:type="dxa"/>
            <w:hideMark/>
          </w:tcPr>
          <w:p w14:paraId="32C63635" w14:textId="77777777" w:rsidR="00EA1C5E" w:rsidRPr="00830F4C" w:rsidRDefault="00EA1C5E" w:rsidP="00EA1C5E">
            <w:pPr>
              <w:rPr>
                <w:rFonts w:ascii="Garamond" w:hAnsi="Garamond"/>
                <w:sz w:val="16"/>
                <w:szCs w:val="16"/>
              </w:rPr>
            </w:pPr>
            <w:r w:rsidRPr="00830F4C">
              <w:rPr>
                <w:rFonts w:ascii="Garamond" w:hAnsi="Garamond"/>
                <w:sz w:val="16"/>
                <w:szCs w:val="16"/>
              </w:rPr>
              <w:t>Sektori</w:t>
            </w:r>
          </w:p>
        </w:tc>
        <w:tc>
          <w:tcPr>
            <w:tcW w:w="1350" w:type="dxa"/>
            <w:hideMark/>
          </w:tcPr>
          <w:p w14:paraId="791A4ABE" w14:textId="77777777" w:rsidR="00EA1C5E" w:rsidRPr="00830F4C" w:rsidRDefault="00EA1C5E" w:rsidP="00EA1C5E">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szCs w:val="16"/>
              </w:rPr>
            </w:pPr>
            <w:r w:rsidRPr="00830F4C">
              <w:rPr>
                <w:rFonts w:ascii="Garamond" w:hAnsi="Garamond"/>
                <w:b/>
                <w:sz w:val="16"/>
                <w:szCs w:val="16"/>
              </w:rPr>
              <w:t>2021</w:t>
            </w:r>
          </w:p>
        </w:tc>
        <w:tc>
          <w:tcPr>
            <w:tcW w:w="1710" w:type="dxa"/>
            <w:hideMark/>
          </w:tcPr>
          <w:p w14:paraId="00B263C6" w14:textId="77777777" w:rsidR="00EA1C5E" w:rsidRPr="00830F4C" w:rsidRDefault="00EA1C5E" w:rsidP="00EA1C5E">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szCs w:val="16"/>
              </w:rPr>
            </w:pPr>
            <w:r w:rsidRPr="00830F4C">
              <w:rPr>
                <w:rFonts w:ascii="Garamond" w:hAnsi="Garamond"/>
                <w:b/>
                <w:sz w:val="16"/>
                <w:szCs w:val="16"/>
              </w:rPr>
              <w:t>2022</w:t>
            </w:r>
          </w:p>
        </w:tc>
        <w:tc>
          <w:tcPr>
            <w:tcW w:w="1316" w:type="dxa"/>
            <w:hideMark/>
          </w:tcPr>
          <w:p w14:paraId="56AA4313" w14:textId="77777777" w:rsidR="00EA1C5E" w:rsidRPr="00830F4C" w:rsidRDefault="00EA1C5E" w:rsidP="00EA1C5E">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szCs w:val="16"/>
              </w:rPr>
            </w:pPr>
            <w:r w:rsidRPr="00830F4C">
              <w:rPr>
                <w:rFonts w:ascii="Garamond" w:hAnsi="Garamond"/>
                <w:b/>
                <w:sz w:val="16"/>
                <w:szCs w:val="16"/>
              </w:rPr>
              <w:t>2023</w:t>
            </w:r>
          </w:p>
        </w:tc>
        <w:tc>
          <w:tcPr>
            <w:tcW w:w="997" w:type="dxa"/>
            <w:hideMark/>
          </w:tcPr>
          <w:p w14:paraId="5CDC06D2" w14:textId="77777777" w:rsidR="00EA1C5E" w:rsidRPr="00830F4C" w:rsidRDefault="00EA1C5E" w:rsidP="00EA1C5E">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szCs w:val="16"/>
              </w:rPr>
            </w:pPr>
            <w:r w:rsidRPr="00830F4C">
              <w:rPr>
                <w:rFonts w:ascii="Garamond" w:hAnsi="Garamond"/>
                <w:b/>
                <w:sz w:val="16"/>
                <w:szCs w:val="16"/>
              </w:rPr>
              <w:t>2021</w:t>
            </w:r>
          </w:p>
        </w:tc>
        <w:tc>
          <w:tcPr>
            <w:tcW w:w="964" w:type="dxa"/>
            <w:hideMark/>
          </w:tcPr>
          <w:p w14:paraId="7FFE8033" w14:textId="77777777" w:rsidR="00EA1C5E" w:rsidRPr="00830F4C" w:rsidRDefault="00EA1C5E" w:rsidP="00EA1C5E">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szCs w:val="16"/>
              </w:rPr>
            </w:pPr>
            <w:r w:rsidRPr="00830F4C">
              <w:rPr>
                <w:rFonts w:ascii="Garamond" w:hAnsi="Garamond"/>
                <w:b/>
                <w:sz w:val="16"/>
                <w:szCs w:val="16"/>
              </w:rPr>
              <w:t>2022</w:t>
            </w:r>
          </w:p>
        </w:tc>
        <w:tc>
          <w:tcPr>
            <w:tcW w:w="703" w:type="dxa"/>
            <w:hideMark/>
          </w:tcPr>
          <w:p w14:paraId="61892387" w14:textId="77777777" w:rsidR="00EA1C5E" w:rsidRPr="00830F4C" w:rsidRDefault="00EA1C5E" w:rsidP="00EA1C5E">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szCs w:val="16"/>
              </w:rPr>
            </w:pPr>
            <w:r w:rsidRPr="00830F4C">
              <w:rPr>
                <w:rFonts w:ascii="Garamond" w:hAnsi="Garamond"/>
                <w:b/>
                <w:sz w:val="16"/>
                <w:szCs w:val="16"/>
              </w:rPr>
              <w:t>2023</w:t>
            </w:r>
          </w:p>
        </w:tc>
      </w:tr>
      <w:tr w:rsidR="00EA1C5E" w:rsidRPr="00830F4C" w14:paraId="59CD6A2D" w14:textId="77777777" w:rsidTr="009153DB">
        <w:trPr>
          <w:trHeight w:val="267"/>
        </w:trPr>
        <w:tc>
          <w:tcPr>
            <w:cnfStyle w:val="001000000000" w:firstRow="0" w:lastRow="0" w:firstColumn="1" w:lastColumn="0" w:oddVBand="0" w:evenVBand="0" w:oddHBand="0" w:evenHBand="0" w:firstRowFirstColumn="0" w:firstRowLastColumn="0" w:lastRowFirstColumn="0" w:lastRowLastColumn="0"/>
            <w:tcW w:w="1705" w:type="dxa"/>
            <w:hideMark/>
          </w:tcPr>
          <w:p w14:paraId="54C1B451" w14:textId="77777777" w:rsidR="00EA1C5E" w:rsidRPr="00830F4C" w:rsidRDefault="00EA1C5E" w:rsidP="00EA1C5E">
            <w:pPr>
              <w:rPr>
                <w:rFonts w:ascii="Garamond" w:hAnsi="Garamond"/>
                <w:b w:val="0"/>
                <w:sz w:val="16"/>
                <w:szCs w:val="16"/>
              </w:rPr>
            </w:pPr>
            <w:r w:rsidRPr="00830F4C">
              <w:rPr>
                <w:rFonts w:ascii="Garamond" w:hAnsi="Garamond"/>
                <w:b w:val="0"/>
                <w:sz w:val="16"/>
                <w:szCs w:val="16"/>
              </w:rPr>
              <w:t>Akomodimi</w:t>
            </w:r>
          </w:p>
        </w:tc>
        <w:tc>
          <w:tcPr>
            <w:tcW w:w="1350" w:type="dxa"/>
            <w:noWrap/>
            <w:vAlign w:val="center"/>
            <w:hideMark/>
          </w:tcPr>
          <w:p w14:paraId="262F71E7" w14:textId="77777777" w:rsidR="00EA1C5E" w:rsidRPr="00830F4C" w:rsidRDefault="00EA1C5E" w:rsidP="00EA1C5E">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rPr>
            </w:pPr>
            <w:r w:rsidRPr="00830F4C">
              <w:rPr>
                <w:rFonts w:ascii="Garamond" w:hAnsi="Garamond"/>
                <w:sz w:val="16"/>
                <w:szCs w:val="16"/>
              </w:rPr>
              <w:t>0.010%</w:t>
            </w:r>
          </w:p>
        </w:tc>
        <w:tc>
          <w:tcPr>
            <w:tcW w:w="1710" w:type="dxa"/>
            <w:noWrap/>
            <w:vAlign w:val="center"/>
            <w:hideMark/>
          </w:tcPr>
          <w:p w14:paraId="053162AB" w14:textId="77777777" w:rsidR="00EA1C5E" w:rsidRPr="00830F4C" w:rsidRDefault="00EA1C5E" w:rsidP="00EA1C5E">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rPr>
            </w:pPr>
            <w:r w:rsidRPr="00830F4C">
              <w:rPr>
                <w:rFonts w:ascii="Garamond" w:hAnsi="Garamond"/>
                <w:sz w:val="16"/>
                <w:szCs w:val="16"/>
              </w:rPr>
              <w:t>0.013%</w:t>
            </w:r>
          </w:p>
        </w:tc>
        <w:tc>
          <w:tcPr>
            <w:tcW w:w="1316" w:type="dxa"/>
            <w:noWrap/>
            <w:vAlign w:val="center"/>
            <w:hideMark/>
          </w:tcPr>
          <w:p w14:paraId="52A2F2FE" w14:textId="77777777" w:rsidR="00EA1C5E" w:rsidRPr="00830F4C" w:rsidRDefault="00EA1C5E" w:rsidP="00EA1C5E">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rPr>
            </w:pPr>
            <w:r w:rsidRPr="00830F4C">
              <w:rPr>
                <w:rFonts w:ascii="Garamond" w:hAnsi="Garamond"/>
                <w:sz w:val="16"/>
                <w:szCs w:val="16"/>
              </w:rPr>
              <w:t>0.014%</w:t>
            </w:r>
          </w:p>
        </w:tc>
        <w:tc>
          <w:tcPr>
            <w:tcW w:w="997" w:type="dxa"/>
            <w:noWrap/>
            <w:hideMark/>
          </w:tcPr>
          <w:p w14:paraId="5050CEF1" w14:textId="77777777" w:rsidR="00EA1C5E" w:rsidRPr="00830F4C" w:rsidRDefault="00EA1C5E" w:rsidP="00EA1C5E">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rPr>
            </w:pPr>
            <w:r w:rsidRPr="00830F4C">
              <w:rPr>
                <w:rFonts w:ascii="Garamond" w:hAnsi="Garamond"/>
                <w:sz w:val="16"/>
                <w:szCs w:val="16"/>
              </w:rPr>
              <w:t>497</w:t>
            </w:r>
          </w:p>
        </w:tc>
        <w:tc>
          <w:tcPr>
            <w:tcW w:w="964" w:type="dxa"/>
            <w:noWrap/>
            <w:hideMark/>
          </w:tcPr>
          <w:p w14:paraId="471FD721" w14:textId="77777777" w:rsidR="00EA1C5E" w:rsidRPr="00830F4C" w:rsidRDefault="00EA1C5E" w:rsidP="00EA1C5E">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rPr>
            </w:pPr>
            <w:r w:rsidRPr="00830F4C">
              <w:rPr>
                <w:rFonts w:ascii="Garamond" w:hAnsi="Garamond"/>
                <w:sz w:val="16"/>
                <w:szCs w:val="16"/>
              </w:rPr>
              <w:t>537</w:t>
            </w:r>
          </w:p>
        </w:tc>
        <w:tc>
          <w:tcPr>
            <w:tcW w:w="703" w:type="dxa"/>
            <w:noWrap/>
            <w:hideMark/>
          </w:tcPr>
          <w:p w14:paraId="2B8CF630" w14:textId="77777777" w:rsidR="00EA1C5E" w:rsidRPr="00830F4C" w:rsidRDefault="00EA1C5E" w:rsidP="00EA1C5E">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rPr>
            </w:pPr>
            <w:r w:rsidRPr="00830F4C">
              <w:rPr>
                <w:rFonts w:ascii="Garamond" w:hAnsi="Garamond"/>
                <w:sz w:val="16"/>
                <w:szCs w:val="16"/>
              </w:rPr>
              <w:t>632</w:t>
            </w:r>
          </w:p>
        </w:tc>
      </w:tr>
      <w:tr w:rsidR="00EA1C5E" w:rsidRPr="00830F4C" w14:paraId="46620A08" w14:textId="77777777" w:rsidTr="009153DB">
        <w:trPr>
          <w:trHeight w:val="534"/>
        </w:trPr>
        <w:tc>
          <w:tcPr>
            <w:cnfStyle w:val="001000000000" w:firstRow="0" w:lastRow="0" w:firstColumn="1" w:lastColumn="0" w:oddVBand="0" w:evenVBand="0" w:oddHBand="0" w:evenHBand="0" w:firstRowFirstColumn="0" w:firstRowLastColumn="0" w:lastRowFirstColumn="0" w:lastRowLastColumn="0"/>
            <w:tcW w:w="1705" w:type="dxa"/>
            <w:hideMark/>
          </w:tcPr>
          <w:p w14:paraId="386F18EA" w14:textId="77777777" w:rsidR="00EA1C5E" w:rsidRPr="00830F4C" w:rsidRDefault="00EA1C5E" w:rsidP="00EA1C5E">
            <w:pPr>
              <w:rPr>
                <w:rFonts w:ascii="Garamond" w:hAnsi="Garamond"/>
                <w:b w:val="0"/>
                <w:sz w:val="16"/>
                <w:szCs w:val="16"/>
              </w:rPr>
            </w:pPr>
            <w:r w:rsidRPr="00830F4C">
              <w:rPr>
                <w:rFonts w:ascii="Garamond" w:hAnsi="Garamond"/>
                <w:b w:val="0"/>
                <w:sz w:val="16"/>
                <w:szCs w:val="16"/>
              </w:rPr>
              <w:t>Aktivitetet e shërbimit të ushqimit dhe pijeve</w:t>
            </w:r>
          </w:p>
        </w:tc>
        <w:tc>
          <w:tcPr>
            <w:tcW w:w="1350" w:type="dxa"/>
            <w:noWrap/>
            <w:vAlign w:val="center"/>
            <w:hideMark/>
          </w:tcPr>
          <w:p w14:paraId="191B9750" w14:textId="77777777" w:rsidR="00EA1C5E" w:rsidRPr="00830F4C" w:rsidRDefault="00EA1C5E" w:rsidP="00EA1C5E">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rPr>
            </w:pPr>
            <w:r w:rsidRPr="00830F4C">
              <w:rPr>
                <w:rFonts w:ascii="Garamond" w:hAnsi="Garamond"/>
                <w:sz w:val="16"/>
                <w:szCs w:val="16"/>
              </w:rPr>
              <w:t>0.005%</w:t>
            </w:r>
          </w:p>
        </w:tc>
        <w:tc>
          <w:tcPr>
            <w:tcW w:w="1710" w:type="dxa"/>
            <w:noWrap/>
            <w:vAlign w:val="center"/>
            <w:hideMark/>
          </w:tcPr>
          <w:p w14:paraId="5288846B" w14:textId="77777777" w:rsidR="00EA1C5E" w:rsidRPr="00830F4C" w:rsidRDefault="00EA1C5E" w:rsidP="00EA1C5E">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rPr>
            </w:pPr>
            <w:r w:rsidRPr="00830F4C">
              <w:rPr>
                <w:rFonts w:ascii="Garamond" w:hAnsi="Garamond"/>
                <w:sz w:val="16"/>
                <w:szCs w:val="16"/>
              </w:rPr>
              <w:t>0.006%</w:t>
            </w:r>
          </w:p>
        </w:tc>
        <w:tc>
          <w:tcPr>
            <w:tcW w:w="1316" w:type="dxa"/>
            <w:noWrap/>
            <w:vAlign w:val="center"/>
            <w:hideMark/>
          </w:tcPr>
          <w:p w14:paraId="5A4CEB17" w14:textId="77777777" w:rsidR="00EA1C5E" w:rsidRPr="00830F4C" w:rsidRDefault="00EA1C5E" w:rsidP="00EA1C5E">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rPr>
            </w:pPr>
            <w:r w:rsidRPr="00830F4C">
              <w:rPr>
                <w:rFonts w:ascii="Garamond" w:hAnsi="Garamond"/>
                <w:sz w:val="16"/>
                <w:szCs w:val="16"/>
              </w:rPr>
              <w:t>0.010%</w:t>
            </w:r>
          </w:p>
        </w:tc>
        <w:tc>
          <w:tcPr>
            <w:tcW w:w="997" w:type="dxa"/>
            <w:noWrap/>
            <w:hideMark/>
          </w:tcPr>
          <w:p w14:paraId="53E3B29D" w14:textId="77777777" w:rsidR="00EA1C5E" w:rsidRPr="00830F4C" w:rsidRDefault="00EA1C5E" w:rsidP="00EA1C5E">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rPr>
            </w:pPr>
          </w:p>
          <w:p w14:paraId="61480208" w14:textId="77777777" w:rsidR="00EA1C5E" w:rsidRPr="00830F4C" w:rsidRDefault="00EA1C5E" w:rsidP="00EA1C5E">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rPr>
            </w:pPr>
            <w:r w:rsidRPr="00830F4C">
              <w:rPr>
                <w:rFonts w:ascii="Garamond" w:hAnsi="Garamond"/>
                <w:sz w:val="16"/>
                <w:szCs w:val="16"/>
              </w:rPr>
              <w:t>132</w:t>
            </w:r>
          </w:p>
        </w:tc>
        <w:tc>
          <w:tcPr>
            <w:tcW w:w="964" w:type="dxa"/>
            <w:noWrap/>
            <w:hideMark/>
          </w:tcPr>
          <w:p w14:paraId="2282D44F" w14:textId="77777777" w:rsidR="00EA1C5E" w:rsidRPr="00830F4C" w:rsidRDefault="00EA1C5E" w:rsidP="00EA1C5E">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rPr>
            </w:pPr>
          </w:p>
          <w:p w14:paraId="1017A7A7" w14:textId="77777777" w:rsidR="00EA1C5E" w:rsidRPr="00830F4C" w:rsidRDefault="00EA1C5E" w:rsidP="00EA1C5E">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rPr>
            </w:pPr>
            <w:r w:rsidRPr="00830F4C">
              <w:rPr>
                <w:rFonts w:ascii="Garamond" w:hAnsi="Garamond"/>
                <w:sz w:val="16"/>
                <w:szCs w:val="16"/>
              </w:rPr>
              <w:t>145</w:t>
            </w:r>
          </w:p>
        </w:tc>
        <w:tc>
          <w:tcPr>
            <w:tcW w:w="703" w:type="dxa"/>
            <w:noWrap/>
            <w:hideMark/>
          </w:tcPr>
          <w:p w14:paraId="76877A0C" w14:textId="77777777" w:rsidR="00EA1C5E" w:rsidRPr="00830F4C" w:rsidRDefault="00EA1C5E" w:rsidP="00EA1C5E">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rPr>
            </w:pPr>
            <w:r w:rsidRPr="00830F4C">
              <w:rPr>
                <w:rFonts w:ascii="Garamond" w:hAnsi="Garamond"/>
                <w:sz w:val="16"/>
                <w:szCs w:val="16"/>
              </w:rPr>
              <w:t>168</w:t>
            </w:r>
          </w:p>
        </w:tc>
      </w:tr>
      <w:tr w:rsidR="00EA1C5E" w:rsidRPr="00830F4C" w14:paraId="433B3561" w14:textId="77777777" w:rsidTr="009153DB">
        <w:trPr>
          <w:trHeight w:val="267"/>
        </w:trPr>
        <w:tc>
          <w:tcPr>
            <w:cnfStyle w:val="001000000000" w:firstRow="0" w:lastRow="0" w:firstColumn="1" w:lastColumn="0" w:oddVBand="0" w:evenVBand="0" w:oddHBand="0" w:evenHBand="0" w:firstRowFirstColumn="0" w:firstRowLastColumn="0" w:lastRowFirstColumn="0" w:lastRowLastColumn="0"/>
            <w:tcW w:w="1705" w:type="dxa"/>
            <w:hideMark/>
          </w:tcPr>
          <w:p w14:paraId="3A27AF7F" w14:textId="77777777" w:rsidR="00EA1C5E" w:rsidRPr="00830F4C" w:rsidRDefault="00EA1C5E" w:rsidP="00EA1C5E">
            <w:pPr>
              <w:rPr>
                <w:rFonts w:ascii="Garamond" w:hAnsi="Garamond"/>
                <w:sz w:val="16"/>
                <w:szCs w:val="16"/>
              </w:rPr>
            </w:pPr>
            <w:r w:rsidRPr="00830F4C">
              <w:rPr>
                <w:rFonts w:ascii="Garamond" w:hAnsi="Garamond"/>
                <w:sz w:val="16"/>
                <w:szCs w:val="16"/>
              </w:rPr>
              <w:t>Total Turizëm</w:t>
            </w:r>
          </w:p>
        </w:tc>
        <w:tc>
          <w:tcPr>
            <w:tcW w:w="1350" w:type="dxa"/>
            <w:noWrap/>
            <w:vAlign w:val="center"/>
            <w:hideMark/>
          </w:tcPr>
          <w:p w14:paraId="1F8465C5" w14:textId="77777777" w:rsidR="00EA1C5E" w:rsidRPr="00830F4C" w:rsidRDefault="00EA1C5E" w:rsidP="00EA1C5E">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szCs w:val="16"/>
              </w:rPr>
            </w:pPr>
            <w:r w:rsidRPr="00830F4C">
              <w:rPr>
                <w:rFonts w:ascii="Garamond" w:hAnsi="Garamond"/>
                <w:b/>
                <w:sz w:val="16"/>
                <w:szCs w:val="16"/>
              </w:rPr>
              <w:t>0.015%</w:t>
            </w:r>
          </w:p>
        </w:tc>
        <w:tc>
          <w:tcPr>
            <w:tcW w:w="1710" w:type="dxa"/>
            <w:noWrap/>
            <w:vAlign w:val="center"/>
            <w:hideMark/>
          </w:tcPr>
          <w:p w14:paraId="3540E6BF" w14:textId="77777777" w:rsidR="00EA1C5E" w:rsidRPr="00830F4C" w:rsidRDefault="00EA1C5E" w:rsidP="00EA1C5E">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szCs w:val="16"/>
              </w:rPr>
            </w:pPr>
            <w:r w:rsidRPr="00830F4C">
              <w:rPr>
                <w:rFonts w:ascii="Garamond" w:hAnsi="Garamond"/>
                <w:b/>
                <w:sz w:val="16"/>
                <w:szCs w:val="16"/>
              </w:rPr>
              <w:t>0.018%</w:t>
            </w:r>
          </w:p>
        </w:tc>
        <w:tc>
          <w:tcPr>
            <w:tcW w:w="1316" w:type="dxa"/>
            <w:noWrap/>
            <w:vAlign w:val="center"/>
            <w:hideMark/>
          </w:tcPr>
          <w:p w14:paraId="15E0FF5C" w14:textId="77777777" w:rsidR="00EA1C5E" w:rsidRPr="00830F4C" w:rsidRDefault="00EA1C5E" w:rsidP="00EA1C5E">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szCs w:val="16"/>
              </w:rPr>
            </w:pPr>
            <w:r w:rsidRPr="00830F4C">
              <w:rPr>
                <w:rFonts w:ascii="Garamond" w:hAnsi="Garamond"/>
                <w:b/>
                <w:sz w:val="16"/>
                <w:szCs w:val="16"/>
              </w:rPr>
              <w:t>0.024%</w:t>
            </w:r>
          </w:p>
        </w:tc>
        <w:tc>
          <w:tcPr>
            <w:tcW w:w="997" w:type="dxa"/>
            <w:noWrap/>
            <w:hideMark/>
          </w:tcPr>
          <w:p w14:paraId="73B13B52" w14:textId="77777777" w:rsidR="00EA1C5E" w:rsidRPr="00830F4C" w:rsidRDefault="00EA1C5E" w:rsidP="00EA1C5E">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szCs w:val="16"/>
              </w:rPr>
            </w:pPr>
            <w:r w:rsidRPr="00830F4C">
              <w:rPr>
                <w:rFonts w:ascii="Garamond" w:hAnsi="Garamond"/>
                <w:b/>
                <w:sz w:val="16"/>
                <w:szCs w:val="16"/>
              </w:rPr>
              <w:t>629</w:t>
            </w:r>
          </w:p>
        </w:tc>
        <w:tc>
          <w:tcPr>
            <w:tcW w:w="964" w:type="dxa"/>
            <w:noWrap/>
            <w:hideMark/>
          </w:tcPr>
          <w:p w14:paraId="713D9CE4" w14:textId="77777777" w:rsidR="00EA1C5E" w:rsidRPr="00830F4C" w:rsidRDefault="00EA1C5E" w:rsidP="00EA1C5E">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szCs w:val="16"/>
              </w:rPr>
            </w:pPr>
            <w:r w:rsidRPr="00830F4C">
              <w:rPr>
                <w:rFonts w:ascii="Garamond" w:hAnsi="Garamond"/>
                <w:b/>
                <w:sz w:val="16"/>
                <w:szCs w:val="16"/>
              </w:rPr>
              <w:t>682</w:t>
            </w:r>
          </w:p>
        </w:tc>
        <w:tc>
          <w:tcPr>
            <w:tcW w:w="703" w:type="dxa"/>
            <w:noWrap/>
            <w:hideMark/>
          </w:tcPr>
          <w:p w14:paraId="63B8CA71" w14:textId="77777777" w:rsidR="00EA1C5E" w:rsidRPr="00830F4C" w:rsidRDefault="00EA1C5E" w:rsidP="00EA1C5E">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6"/>
                <w:szCs w:val="16"/>
              </w:rPr>
            </w:pPr>
            <w:r w:rsidRPr="00830F4C">
              <w:rPr>
                <w:rFonts w:ascii="Garamond" w:hAnsi="Garamond"/>
                <w:b/>
                <w:sz w:val="16"/>
                <w:szCs w:val="16"/>
              </w:rPr>
              <w:t>800</w:t>
            </w:r>
          </w:p>
        </w:tc>
      </w:tr>
    </w:tbl>
    <w:p w14:paraId="517BAC65" w14:textId="77777777" w:rsidR="00B160C4" w:rsidRPr="00830F4C" w:rsidRDefault="00B160C4" w:rsidP="00EA1C5E">
      <w:pPr>
        <w:ind w:firstLine="284"/>
        <w:jc w:val="both"/>
        <w:rPr>
          <w:rFonts w:ascii="Garamond" w:hAnsi="Garamond"/>
          <w:b/>
          <w:sz w:val="20"/>
          <w:szCs w:val="20"/>
        </w:rPr>
      </w:pPr>
    </w:p>
    <w:p w14:paraId="10917696" w14:textId="11D5A22C" w:rsidR="00EA1C5E" w:rsidRPr="00A72159" w:rsidRDefault="00EA1C5E" w:rsidP="00EA1C5E">
      <w:pPr>
        <w:autoSpaceDE w:val="0"/>
        <w:autoSpaceDN w:val="0"/>
        <w:adjustRightInd w:val="0"/>
        <w:ind w:firstLine="284"/>
        <w:rPr>
          <w:rFonts w:ascii="Garamond" w:eastAsiaTheme="minorHAnsi" w:hAnsi="Garamond"/>
          <w:b/>
        </w:rPr>
      </w:pPr>
      <w:r w:rsidRPr="00A72159">
        <w:rPr>
          <w:rFonts w:ascii="Garamond" w:eastAsiaTheme="minorHAnsi" w:hAnsi="Garamond"/>
          <w:b/>
        </w:rPr>
        <w:t>Aktivite</w:t>
      </w:r>
      <w:r w:rsidR="00A72159" w:rsidRPr="00A72159">
        <w:rPr>
          <w:rFonts w:ascii="Garamond" w:eastAsiaTheme="minorHAnsi" w:hAnsi="Garamond"/>
          <w:b/>
        </w:rPr>
        <w:t>ti</w:t>
      </w:r>
      <w:r w:rsidRPr="00A72159">
        <w:rPr>
          <w:rFonts w:ascii="Garamond" w:eastAsiaTheme="minorHAnsi" w:hAnsi="Garamond"/>
          <w:b/>
        </w:rPr>
        <w:t xml:space="preserve"> 2.1.2.1</w:t>
      </w:r>
      <w:r w:rsidR="00A72159" w:rsidRPr="00A72159">
        <w:rPr>
          <w:rFonts w:ascii="Garamond" w:eastAsiaTheme="minorHAnsi" w:hAnsi="Garamond"/>
          <w:b/>
        </w:rPr>
        <w:t>:</w:t>
      </w:r>
      <w:r w:rsidRPr="00A72159">
        <w:rPr>
          <w:rFonts w:ascii="Garamond" w:eastAsiaTheme="minorHAnsi" w:hAnsi="Garamond"/>
          <w:b/>
        </w:rPr>
        <w:t xml:space="preserve"> Analizë e performancës së Sektorit të Turizmit dhe vlerësimi i risqeve</w:t>
      </w:r>
    </w:p>
    <w:p w14:paraId="377F0E71" w14:textId="7E755237" w:rsidR="00EA1C5E" w:rsidRPr="00830F4C" w:rsidRDefault="00EA1C5E" w:rsidP="00EA1C5E">
      <w:pPr>
        <w:autoSpaceDE w:val="0"/>
        <w:autoSpaceDN w:val="0"/>
        <w:adjustRightInd w:val="0"/>
        <w:ind w:firstLine="284"/>
        <w:jc w:val="both"/>
        <w:rPr>
          <w:rFonts w:ascii="Garamond" w:eastAsiaTheme="minorHAnsi" w:hAnsi="Garamond"/>
        </w:rPr>
      </w:pPr>
      <w:r w:rsidRPr="00830F4C">
        <w:rPr>
          <w:rFonts w:ascii="Garamond" w:eastAsiaTheme="minorHAnsi" w:hAnsi="Garamond"/>
        </w:rPr>
        <w:t xml:space="preserve">Kjo analizë do të synojë në identifikimin dhe vlerësimin e risqeve, prioritizimi i tyre, përcaktimi i shkaqeve të mospajtueshmërisë në sektorin e turizmit. Në analizë, përpos tatimpaguesve që operojnë në </w:t>
      </w:r>
      <w:r w:rsidR="00D22EA5" w:rsidRPr="00830F4C">
        <w:rPr>
          <w:rFonts w:ascii="Garamond" w:eastAsiaTheme="minorHAnsi" w:hAnsi="Garamond"/>
        </w:rPr>
        <w:t>“</w:t>
      </w:r>
      <w:r w:rsidRPr="00830F4C">
        <w:rPr>
          <w:rFonts w:ascii="Garamond" w:eastAsiaTheme="minorHAnsi" w:hAnsi="Garamond"/>
        </w:rPr>
        <w:t>Akomodim/Shërbimi ushqimor</w:t>
      </w:r>
      <w:r w:rsidR="00D22EA5" w:rsidRPr="00830F4C">
        <w:rPr>
          <w:rFonts w:ascii="Garamond" w:eastAsiaTheme="minorHAnsi" w:hAnsi="Garamond"/>
        </w:rPr>
        <w:t>”</w:t>
      </w:r>
      <w:r w:rsidRPr="00830F4C">
        <w:rPr>
          <w:rFonts w:ascii="Garamond" w:eastAsiaTheme="minorHAnsi" w:hAnsi="Garamond"/>
        </w:rPr>
        <w:t xml:space="preserve"> do të përfshihen edhe tatimpaguesit që operojnë në sektorin, shërbime plazhi, transporti qytetas e ndërqytetas, dhënia me q</w:t>
      </w:r>
      <w:r w:rsidR="00D22EA5" w:rsidRPr="00830F4C">
        <w:rPr>
          <w:rFonts w:ascii="Garamond" w:eastAsiaTheme="minorHAnsi" w:hAnsi="Garamond"/>
        </w:rPr>
        <w:t>i</w:t>
      </w:r>
      <w:r w:rsidRPr="00830F4C">
        <w:rPr>
          <w:rFonts w:ascii="Garamond" w:eastAsiaTheme="minorHAnsi" w:hAnsi="Garamond"/>
        </w:rPr>
        <w:t>ra e makinave/mjeteve ujore, shërbime turistike, etj.</w:t>
      </w:r>
    </w:p>
    <w:p w14:paraId="2059D680" w14:textId="5F9C89CB" w:rsidR="00EA1C5E" w:rsidRPr="00830F4C" w:rsidRDefault="00EA1C5E" w:rsidP="00D22EA5">
      <w:pPr>
        <w:autoSpaceDE w:val="0"/>
        <w:autoSpaceDN w:val="0"/>
        <w:adjustRightInd w:val="0"/>
        <w:ind w:firstLine="284"/>
        <w:jc w:val="both"/>
        <w:rPr>
          <w:rFonts w:ascii="Garamond" w:eastAsiaTheme="minorHAnsi" w:hAnsi="Garamond"/>
        </w:rPr>
      </w:pPr>
      <w:r w:rsidRPr="00830F4C">
        <w:rPr>
          <w:rFonts w:ascii="Garamond" w:eastAsiaTheme="minorHAnsi" w:hAnsi="Garamond"/>
        </w:rPr>
        <w:t xml:space="preserve">Gjithashtu, në fokus do të jetë monitorimi i zbatimit të ligjit të ri </w:t>
      </w:r>
      <w:r w:rsidR="00D22EA5" w:rsidRPr="00830F4C">
        <w:rPr>
          <w:rFonts w:ascii="Garamond" w:eastAsiaTheme="minorHAnsi" w:hAnsi="Garamond"/>
        </w:rPr>
        <w:t>“</w:t>
      </w:r>
      <w:r w:rsidRPr="00830F4C">
        <w:rPr>
          <w:rFonts w:ascii="Garamond" w:eastAsiaTheme="minorHAnsi" w:hAnsi="Garamond"/>
        </w:rPr>
        <w:t>Për Turizmin</w:t>
      </w:r>
      <w:r w:rsidR="00D22EA5" w:rsidRPr="00830F4C">
        <w:rPr>
          <w:rFonts w:ascii="Garamond" w:eastAsiaTheme="minorHAnsi" w:hAnsi="Garamond"/>
        </w:rPr>
        <w:t>”</w:t>
      </w:r>
      <w:r w:rsidRPr="00830F4C">
        <w:rPr>
          <w:rFonts w:ascii="Garamond" w:eastAsiaTheme="minorHAnsi" w:hAnsi="Garamond"/>
        </w:rPr>
        <w:t xml:space="preserve"> kryesisht për çështje që kanë të bëjnë me regjistrimin pranë institucionit përgjegjës për sektorin e turizmit</w:t>
      </w:r>
      <w:r w:rsidR="00D22EA5" w:rsidRPr="00830F4C">
        <w:rPr>
          <w:rFonts w:ascii="Garamond" w:eastAsiaTheme="minorHAnsi" w:hAnsi="Garamond"/>
        </w:rPr>
        <w:t xml:space="preserve"> </w:t>
      </w:r>
      <w:r w:rsidRPr="00830F4C">
        <w:rPr>
          <w:rFonts w:ascii="Garamond" w:eastAsiaTheme="minorHAnsi" w:hAnsi="Garamond"/>
        </w:rPr>
        <w:t xml:space="preserve">dhe ato që kanë të </w:t>
      </w:r>
      <w:r w:rsidR="00D22EA5" w:rsidRPr="00830F4C">
        <w:rPr>
          <w:rFonts w:ascii="Garamond" w:eastAsiaTheme="minorHAnsi" w:hAnsi="Garamond"/>
        </w:rPr>
        <w:t>bëjnë</w:t>
      </w:r>
      <w:r w:rsidRPr="00830F4C">
        <w:rPr>
          <w:rFonts w:ascii="Garamond" w:eastAsiaTheme="minorHAnsi" w:hAnsi="Garamond"/>
        </w:rPr>
        <w:t xml:space="preserve"> me mënyrën e deklarimit të të ardhurave të këtij sektori. </w:t>
      </w:r>
    </w:p>
    <w:p w14:paraId="3186B0FC" w14:textId="05150DC1" w:rsidR="00EA1C5E" w:rsidRPr="00830F4C" w:rsidRDefault="00EA1C5E" w:rsidP="00D22EA5">
      <w:pPr>
        <w:autoSpaceDE w:val="0"/>
        <w:autoSpaceDN w:val="0"/>
        <w:adjustRightInd w:val="0"/>
        <w:ind w:firstLine="284"/>
        <w:jc w:val="both"/>
        <w:rPr>
          <w:rFonts w:ascii="Garamond" w:eastAsiaTheme="minorHAnsi" w:hAnsi="Garamond"/>
        </w:rPr>
      </w:pPr>
      <w:r w:rsidRPr="00830F4C">
        <w:rPr>
          <w:rFonts w:ascii="Garamond" w:eastAsiaTheme="minorHAnsi" w:hAnsi="Garamond"/>
        </w:rPr>
        <w:t>Bashkërendimi i nismave me institucione të tjera të angazhuara në mbarëvajtjen e sektorit turistik, si Agjencia Kombëtare e Bregdetit (AKB), Bashkitë në zonat turistike, etj</w:t>
      </w:r>
      <w:r w:rsidR="00D22EA5" w:rsidRPr="00830F4C">
        <w:rPr>
          <w:rFonts w:ascii="Garamond" w:eastAsiaTheme="minorHAnsi" w:hAnsi="Garamond"/>
        </w:rPr>
        <w:t>.</w:t>
      </w:r>
      <w:r w:rsidRPr="00830F4C">
        <w:rPr>
          <w:rFonts w:ascii="Garamond" w:eastAsiaTheme="minorHAnsi" w:hAnsi="Garamond"/>
        </w:rPr>
        <w:t>, do të jetë një tjetër fokus i administratës tatimore.</w:t>
      </w:r>
    </w:p>
    <w:p w14:paraId="17408E23" w14:textId="4BBB34F8" w:rsidR="00EA1C5E" w:rsidRPr="00A72159" w:rsidRDefault="00EA1C5E" w:rsidP="00D22EA5">
      <w:pPr>
        <w:autoSpaceDE w:val="0"/>
        <w:autoSpaceDN w:val="0"/>
        <w:adjustRightInd w:val="0"/>
        <w:ind w:firstLine="284"/>
        <w:jc w:val="both"/>
        <w:rPr>
          <w:rFonts w:ascii="Garamond" w:eastAsiaTheme="minorHAnsi" w:hAnsi="Garamond"/>
          <w:b/>
        </w:rPr>
      </w:pPr>
      <w:r w:rsidRPr="00A72159">
        <w:rPr>
          <w:rFonts w:ascii="Garamond" w:eastAsiaTheme="minorHAnsi" w:hAnsi="Garamond"/>
          <w:b/>
        </w:rPr>
        <w:t>Aktiviteti 2.1.2.2</w:t>
      </w:r>
      <w:r w:rsidR="00A72159" w:rsidRPr="00A72159">
        <w:rPr>
          <w:rFonts w:ascii="Garamond" w:eastAsiaTheme="minorHAnsi" w:hAnsi="Garamond"/>
          <w:b/>
        </w:rPr>
        <w:t>:</w:t>
      </w:r>
      <w:r w:rsidRPr="00A72159">
        <w:rPr>
          <w:rFonts w:ascii="Garamond" w:eastAsiaTheme="minorHAnsi" w:hAnsi="Garamond"/>
          <w:b/>
        </w:rPr>
        <w:t xml:space="preserve"> Finalizimi dhe zbatimi i Planit Sektorial të Turizmit </w:t>
      </w:r>
    </w:p>
    <w:p w14:paraId="22999F58" w14:textId="57CCFA89" w:rsidR="00EA1C5E" w:rsidRPr="00830F4C" w:rsidRDefault="00EA1C5E" w:rsidP="00D22EA5">
      <w:pPr>
        <w:autoSpaceDE w:val="0"/>
        <w:autoSpaceDN w:val="0"/>
        <w:adjustRightInd w:val="0"/>
        <w:ind w:firstLine="284"/>
        <w:jc w:val="both"/>
        <w:rPr>
          <w:rFonts w:ascii="Garamond" w:eastAsiaTheme="minorHAnsi" w:hAnsi="Garamond"/>
        </w:rPr>
      </w:pPr>
      <w:r w:rsidRPr="00830F4C">
        <w:rPr>
          <w:rFonts w:ascii="Garamond" w:eastAsiaTheme="minorHAnsi" w:hAnsi="Garamond"/>
        </w:rPr>
        <w:t>Bazuar në analizat e mësipërme, administrata tatimore do të hartojë plane sektoriale vjetore të dedikuar vetëm për sektorin e</w:t>
      </w:r>
      <w:r w:rsidRPr="00830F4C">
        <w:rPr>
          <w:rFonts w:ascii="Garamond" w:eastAsiaTheme="minorHAnsi" w:hAnsi="Garamond"/>
          <w:b/>
        </w:rPr>
        <w:t xml:space="preserve"> </w:t>
      </w:r>
      <w:r w:rsidRPr="00830F4C">
        <w:rPr>
          <w:rFonts w:ascii="Garamond" w:eastAsiaTheme="minorHAnsi" w:hAnsi="Garamond"/>
        </w:rPr>
        <w:t>turizmit (struktura akomoduese, bar-restorante, agroturizëm, shërbime plazhi, transporti qytetas e ndërqytetas, dhënia me q</w:t>
      </w:r>
      <w:r w:rsidR="00D22EA5" w:rsidRPr="00830F4C">
        <w:rPr>
          <w:rFonts w:ascii="Garamond" w:eastAsiaTheme="minorHAnsi" w:hAnsi="Garamond"/>
        </w:rPr>
        <w:t>i</w:t>
      </w:r>
      <w:r w:rsidRPr="00830F4C">
        <w:rPr>
          <w:rFonts w:ascii="Garamond" w:eastAsiaTheme="minorHAnsi" w:hAnsi="Garamond"/>
        </w:rPr>
        <w:t>ra e makinave/</w:t>
      </w:r>
      <w:r w:rsidR="00D22EA5" w:rsidRPr="00830F4C">
        <w:rPr>
          <w:rFonts w:ascii="Garamond" w:eastAsiaTheme="minorHAnsi" w:hAnsi="Garamond"/>
        </w:rPr>
        <w:t>ambienteve</w:t>
      </w:r>
      <w:r w:rsidRPr="00830F4C">
        <w:rPr>
          <w:rFonts w:ascii="Garamond" w:eastAsiaTheme="minorHAnsi" w:hAnsi="Garamond"/>
        </w:rPr>
        <w:t xml:space="preserve"> etj</w:t>
      </w:r>
      <w:r w:rsidR="00D22EA5" w:rsidRPr="00830F4C">
        <w:rPr>
          <w:rFonts w:ascii="Garamond" w:eastAsiaTheme="minorHAnsi" w:hAnsi="Garamond"/>
        </w:rPr>
        <w:t>.</w:t>
      </w:r>
      <w:r w:rsidRPr="00830F4C">
        <w:rPr>
          <w:rFonts w:ascii="Garamond" w:eastAsiaTheme="minorHAnsi" w:hAnsi="Garamond"/>
        </w:rPr>
        <w:t>). Fokusi kryesor i tij do të jetë</w:t>
      </w:r>
      <w:r w:rsidR="00DE65FB">
        <w:rPr>
          <w:rFonts w:ascii="Garamond" w:eastAsiaTheme="minorHAnsi" w:hAnsi="Garamond"/>
        </w:rPr>
        <w:t xml:space="preserve"> TVSh</w:t>
      </w:r>
      <w:r w:rsidRPr="00830F4C">
        <w:rPr>
          <w:rFonts w:ascii="Garamond" w:eastAsiaTheme="minorHAnsi" w:hAnsi="Garamond"/>
        </w:rPr>
        <w:t xml:space="preserve">-ja, ndjekur nga tatimin mbi fitimin dhe tatimin mbi të ardhurat biznesore, si dhe problematikat që kanë të bëjnë me deklarimin e punonjësve. </w:t>
      </w:r>
    </w:p>
    <w:p w14:paraId="7A82C982" w14:textId="050AAA44" w:rsidR="00EA1C5E" w:rsidRPr="00830F4C" w:rsidRDefault="00EA1C5E" w:rsidP="00D22EA5">
      <w:pPr>
        <w:autoSpaceDE w:val="0"/>
        <w:autoSpaceDN w:val="0"/>
        <w:adjustRightInd w:val="0"/>
        <w:ind w:firstLine="284"/>
        <w:jc w:val="both"/>
        <w:rPr>
          <w:rFonts w:ascii="Garamond" w:eastAsiaTheme="minorHAnsi" w:hAnsi="Garamond"/>
        </w:rPr>
      </w:pPr>
      <w:r w:rsidRPr="00830F4C">
        <w:rPr>
          <w:rFonts w:ascii="Garamond" w:eastAsiaTheme="minorHAnsi" w:hAnsi="Garamond"/>
        </w:rPr>
        <w:t>Burimet e të dhënave që gjenerohen tashmë në kohë reale nga sistemi i fiskalizimit, do përdoren për të evidentuar tatimpaguesit mospërmbushës si dhe përdorimi i çdo të dhëne nga palë të treta ose burime të jashtme publike (</w:t>
      </w:r>
      <w:r w:rsidRPr="00830F4C">
        <w:rPr>
          <w:rFonts w:ascii="Garamond" w:eastAsiaTheme="minorHAnsi" w:hAnsi="Garamond"/>
          <w:i/>
        </w:rPr>
        <w:t>web</w:t>
      </w:r>
      <w:r w:rsidRPr="00830F4C">
        <w:rPr>
          <w:rFonts w:ascii="Garamond" w:eastAsiaTheme="minorHAnsi" w:hAnsi="Garamond"/>
        </w:rPr>
        <w:t>, media vizive e sociale etj</w:t>
      </w:r>
      <w:r w:rsidR="00D22EA5" w:rsidRPr="00830F4C">
        <w:rPr>
          <w:rFonts w:ascii="Garamond" w:eastAsiaTheme="minorHAnsi" w:hAnsi="Garamond"/>
        </w:rPr>
        <w:t>.</w:t>
      </w:r>
      <w:r w:rsidRPr="00830F4C">
        <w:rPr>
          <w:rFonts w:ascii="Garamond" w:eastAsiaTheme="minorHAnsi" w:hAnsi="Garamond"/>
        </w:rPr>
        <w:t xml:space="preserve">) të cilat ndihmojnë administratën tatimore në realizimin e misionit të saj. </w:t>
      </w:r>
    </w:p>
    <w:p w14:paraId="06797891" w14:textId="67EBF6C4" w:rsidR="00EA1C5E" w:rsidRPr="00830F4C" w:rsidRDefault="00EA1C5E" w:rsidP="00D22EA5">
      <w:pPr>
        <w:autoSpaceDE w:val="0"/>
        <w:autoSpaceDN w:val="0"/>
        <w:adjustRightInd w:val="0"/>
        <w:ind w:firstLine="284"/>
        <w:jc w:val="both"/>
        <w:rPr>
          <w:rFonts w:ascii="Garamond" w:eastAsiaTheme="minorHAnsi" w:hAnsi="Garamond"/>
          <w:b/>
        </w:rPr>
      </w:pPr>
      <w:r w:rsidRPr="00830F4C">
        <w:rPr>
          <w:rFonts w:ascii="Garamond" w:eastAsiaTheme="minorHAnsi" w:hAnsi="Garamond"/>
          <w:b/>
        </w:rPr>
        <w:t>Masa 2.1.3 Identifikimi i aktivite</w:t>
      </w:r>
      <w:r w:rsidR="00936CBD" w:rsidRPr="00830F4C">
        <w:rPr>
          <w:rFonts w:ascii="Garamond" w:eastAsiaTheme="minorHAnsi" w:hAnsi="Garamond"/>
          <w:b/>
        </w:rPr>
        <w:t>te</w:t>
      </w:r>
      <w:r w:rsidRPr="00830F4C">
        <w:rPr>
          <w:rFonts w:ascii="Garamond" w:eastAsiaTheme="minorHAnsi" w:hAnsi="Garamond"/>
          <w:b/>
        </w:rPr>
        <w:t>ve digjitale/elektronike në të gjithë sektorët e</w:t>
      </w:r>
      <w:r w:rsidR="00D22EA5" w:rsidRPr="00830F4C">
        <w:rPr>
          <w:rFonts w:ascii="Garamond" w:eastAsiaTheme="minorHAnsi" w:hAnsi="Garamond"/>
          <w:b/>
        </w:rPr>
        <w:t xml:space="preserve"> </w:t>
      </w:r>
      <w:r w:rsidRPr="00830F4C">
        <w:rPr>
          <w:rFonts w:ascii="Garamond" w:eastAsiaTheme="minorHAnsi" w:hAnsi="Garamond"/>
          <w:b/>
        </w:rPr>
        <w:t>ekonomisë</w:t>
      </w:r>
    </w:p>
    <w:p w14:paraId="7D12FB5C" w14:textId="77777777" w:rsidR="00EA1C5E" w:rsidRPr="00830F4C" w:rsidRDefault="00EA1C5E" w:rsidP="00D22EA5">
      <w:pPr>
        <w:autoSpaceDE w:val="0"/>
        <w:autoSpaceDN w:val="0"/>
        <w:adjustRightInd w:val="0"/>
        <w:ind w:firstLine="284"/>
        <w:jc w:val="both"/>
        <w:rPr>
          <w:rFonts w:ascii="Garamond" w:eastAsiaTheme="minorHAnsi" w:hAnsi="Garamond"/>
        </w:rPr>
      </w:pPr>
      <w:r w:rsidRPr="00830F4C">
        <w:rPr>
          <w:rFonts w:ascii="Garamond" w:eastAsiaTheme="minorHAnsi" w:hAnsi="Garamond"/>
        </w:rPr>
        <w:t xml:space="preserve">Tregjet </w:t>
      </w:r>
      <w:r w:rsidRPr="00830F4C">
        <w:rPr>
          <w:rFonts w:ascii="Garamond" w:eastAsiaTheme="minorHAnsi" w:hAnsi="Garamond"/>
          <w:i/>
        </w:rPr>
        <w:t>online</w:t>
      </w:r>
      <w:r w:rsidRPr="00830F4C">
        <w:rPr>
          <w:rFonts w:ascii="Garamond" w:eastAsiaTheme="minorHAnsi" w:hAnsi="Garamond"/>
        </w:rPr>
        <w:t xml:space="preserve"> në Shqipëri karakterizohen nga shitjet e brendshme nëpërmjet rrjeteve sociale dhe dyqaneve lokale, përmes pagesave </w:t>
      </w:r>
      <w:r w:rsidRPr="00830F4C">
        <w:rPr>
          <w:rFonts w:ascii="Garamond" w:eastAsiaTheme="minorHAnsi" w:hAnsi="Garamond"/>
          <w:i/>
        </w:rPr>
        <w:t>cash</w:t>
      </w:r>
      <w:r w:rsidRPr="00830F4C">
        <w:rPr>
          <w:rFonts w:ascii="Garamond" w:eastAsiaTheme="minorHAnsi" w:hAnsi="Garamond"/>
        </w:rPr>
        <w:t xml:space="preserve"> dhe blerjeve elektronike në platformat ndërkombëtare të tregtisë elektronike përmes pagesave me karta elektronike. Sipas një studimi të Bankës Botëror</w:t>
      </w:r>
      <w:r w:rsidRPr="00830F4C">
        <w:rPr>
          <w:rStyle w:val="FootnoteReference"/>
          <w:rFonts w:ascii="Garamond" w:eastAsiaTheme="minorHAnsi" w:hAnsi="Garamond"/>
        </w:rPr>
        <w:footnoteReference w:id="6"/>
      </w:r>
      <w:r w:rsidRPr="00830F4C">
        <w:rPr>
          <w:rFonts w:ascii="Garamond" w:eastAsiaTheme="minorHAnsi" w:hAnsi="Garamond"/>
        </w:rPr>
        <w:t xml:space="preserve">e, nga të anketuarit shqiptarë që bëjnë blerje </w:t>
      </w:r>
      <w:r w:rsidRPr="00830F4C">
        <w:rPr>
          <w:rFonts w:ascii="Garamond" w:eastAsiaTheme="minorHAnsi" w:hAnsi="Garamond"/>
          <w:i/>
        </w:rPr>
        <w:t>online</w:t>
      </w:r>
      <w:r w:rsidRPr="00830F4C">
        <w:rPr>
          <w:rFonts w:ascii="Garamond" w:eastAsiaTheme="minorHAnsi" w:hAnsi="Garamond"/>
        </w:rPr>
        <w:t>, 67% theksojnë se përdorin rrjetet sociale për të blerë nga dyqanet vendase, ndërsa 61% deklarojnë se blejnë nga tregjet ndërkombëtare.</w:t>
      </w:r>
    </w:p>
    <w:p w14:paraId="5C41EA76" w14:textId="4C358807" w:rsidR="00EA1C5E" w:rsidRPr="00830F4C" w:rsidRDefault="00EA1C5E" w:rsidP="00D22EA5">
      <w:pPr>
        <w:autoSpaceDE w:val="0"/>
        <w:autoSpaceDN w:val="0"/>
        <w:adjustRightInd w:val="0"/>
        <w:ind w:firstLine="284"/>
        <w:jc w:val="both"/>
        <w:rPr>
          <w:rFonts w:ascii="Garamond" w:eastAsiaTheme="minorHAnsi" w:hAnsi="Garamond"/>
        </w:rPr>
      </w:pPr>
      <w:r w:rsidRPr="00830F4C">
        <w:rPr>
          <w:rFonts w:ascii="Garamond" w:eastAsiaTheme="minorHAnsi" w:hAnsi="Garamond"/>
        </w:rPr>
        <w:t xml:space="preserve">Shërbimet, që kërkohen më tepër nga kompanitë e shitjeve </w:t>
      </w:r>
      <w:r w:rsidRPr="00830F4C">
        <w:rPr>
          <w:rFonts w:ascii="Garamond" w:eastAsiaTheme="minorHAnsi" w:hAnsi="Garamond"/>
          <w:i/>
        </w:rPr>
        <w:t>online</w:t>
      </w:r>
      <w:r w:rsidRPr="00830F4C">
        <w:rPr>
          <w:rFonts w:ascii="Garamond" w:eastAsiaTheme="minorHAnsi" w:hAnsi="Garamond"/>
        </w:rPr>
        <w:t xml:space="preserve"> në Shqipëri, të </w:t>
      </w:r>
      <w:r w:rsidR="00936CBD" w:rsidRPr="00830F4C">
        <w:rPr>
          <w:rFonts w:ascii="Garamond" w:eastAsiaTheme="minorHAnsi" w:hAnsi="Garamond"/>
        </w:rPr>
        <w:t>përqendruara</w:t>
      </w:r>
      <w:r w:rsidRPr="00830F4C">
        <w:rPr>
          <w:rFonts w:ascii="Garamond" w:eastAsiaTheme="minorHAnsi" w:hAnsi="Garamond"/>
        </w:rPr>
        <w:t xml:space="preserve"> më së shumti në Tiranë janë: tërheqja me korrier, dorëzimi në adresë dhe pagesa në momentin e dorëzimit. Sipas vëzhgimeve të kryera për këtë lloj tregtie në Shqipëri, problematikat kryesore t</w:t>
      </w:r>
      <w:r w:rsidR="008C0C0F" w:rsidRPr="00830F4C">
        <w:rPr>
          <w:rFonts w:ascii="Garamond" w:eastAsiaTheme="minorHAnsi" w:hAnsi="Garamond"/>
        </w:rPr>
        <w:t>ë</w:t>
      </w:r>
      <w:r w:rsidRPr="00830F4C">
        <w:rPr>
          <w:rFonts w:ascii="Garamond" w:eastAsiaTheme="minorHAnsi" w:hAnsi="Garamond"/>
        </w:rPr>
        <w:t xml:space="preserve"> hasura janë si me poshtë:</w:t>
      </w:r>
    </w:p>
    <w:p w14:paraId="67CC9C63" w14:textId="77777777" w:rsidR="00EA1C5E" w:rsidRPr="00830F4C" w:rsidRDefault="00EA1C5E" w:rsidP="00D22EA5">
      <w:pPr>
        <w:autoSpaceDE w:val="0"/>
        <w:autoSpaceDN w:val="0"/>
        <w:adjustRightInd w:val="0"/>
        <w:ind w:firstLine="284"/>
        <w:jc w:val="both"/>
        <w:rPr>
          <w:rFonts w:ascii="Garamond" w:eastAsiaTheme="minorHAnsi" w:hAnsi="Garamond"/>
        </w:rPr>
      </w:pPr>
      <w:r w:rsidRPr="00830F4C">
        <w:rPr>
          <w:rFonts w:ascii="Garamond" w:eastAsiaTheme="minorHAnsi" w:hAnsi="Garamond"/>
        </w:rPr>
        <w:t xml:space="preserve">Informaliteti, i cili pengon pasqyrimin e realitetit të shitjeve </w:t>
      </w:r>
      <w:r w:rsidRPr="00830F4C">
        <w:rPr>
          <w:rFonts w:ascii="Garamond" w:eastAsiaTheme="minorHAnsi" w:hAnsi="Garamond"/>
          <w:i/>
        </w:rPr>
        <w:t>online</w:t>
      </w:r>
      <w:r w:rsidRPr="00830F4C">
        <w:rPr>
          <w:rFonts w:ascii="Garamond" w:eastAsiaTheme="minorHAnsi" w:hAnsi="Garamond"/>
        </w:rPr>
        <w:t xml:space="preserve"> në vend.</w:t>
      </w:r>
    </w:p>
    <w:p w14:paraId="2F9874E8" w14:textId="34C74A62" w:rsidR="00EA1C5E" w:rsidRPr="00830F4C" w:rsidRDefault="00EA1C5E" w:rsidP="00D22EA5">
      <w:pPr>
        <w:autoSpaceDE w:val="0"/>
        <w:autoSpaceDN w:val="0"/>
        <w:adjustRightInd w:val="0"/>
        <w:ind w:firstLine="284"/>
        <w:jc w:val="both"/>
        <w:rPr>
          <w:rFonts w:ascii="Garamond" w:eastAsiaTheme="minorHAnsi" w:hAnsi="Garamond"/>
        </w:rPr>
      </w:pPr>
      <w:r w:rsidRPr="00830F4C">
        <w:rPr>
          <w:rFonts w:ascii="Garamond" w:eastAsiaTheme="minorHAnsi" w:hAnsi="Garamond"/>
        </w:rPr>
        <w:t>-</w:t>
      </w:r>
      <w:r w:rsidR="00D22EA5" w:rsidRPr="00830F4C">
        <w:rPr>
          <w:rFonts w:ascii="Garamond" w:eastAsiaTheme="minorHAnsi" w:hAnsi="Garamond"/>
        </w:rPr>
        <w:t xml:space="preserve"> </w:t>
      </w:r>
      <w:r w:rsidRPr="00830F4C">
        <w:rPr>
          <w:rFonts w:ascii="Garamond" w:eastAsiaTheme="minorHAnsi" w:hAnsi="Garamond"/>
        </w:rPr>
        <w:t>Sektori i shërbimeve postare. E njëjta situatë shfaqet edhe në këto sektorë ku pjesa më e madhe e bizneseve për dërgesat punësojnë individë të palicencuar për këto shërbime.</w:t>
      </w:r>
    </w:p>
    <w:p w14:paraId="06C9B430" w14:textId="083B8AB3" w:rsidR="00EA1C5E" w:rsidRPr="00830F4C" w:rsidRDefault="00EA1C5E" w:rsidP="00D22EA5">
      <w:pPr>
        <w:autoSpaceDE w:val="0"/>
        <w:autoSpaceDN w:val="0"/>
        <w:adjustRightInd w:val="0"/>
        <w:ind w:firstLine="284"/>
        <w:jc w:val="both"/>
        <w:rPr>
          <w:rFonts w:ascii="Garamond" w:eastAsiaTheme="minorHAnsi" w:hAnsi="Garamond"/>
        </w:rPr>
      </w:pPr>
      <w:r w:rsidRPr="00830F4C">
        <w:rPr>
          <w:rFonts w:ascii="Garamond" w:eastAsiaTheme="minorHAnsi" w:hAnsi="Garamond"/>
        </w:rPr>
        <w:t>-</w:t>
      </w:r>
      <w:r w:rsidR="00D22EA5" w:rsidRPr="00830F4C">
        <w:rPr>
          <w:rFonts w:ascii="Garamond" w:eastAsiaTheme="minorHAnsi" w:hAnsi="Garamond"/>
        </w:rPr>
        <w:t xml:space="preserve"> </w:t>
      </w:r>
      <w:r w:rsidRPr="00830F4C">
        <w:rPr>
          <w:rFonts w:ascii="Garamond" w:eastAsiaTheme="minorHAnsi" w:hAnsi="Garamond"/>
        </w:rPr>
        <w:t xml:space="preserve">Operatorët e shitjeve </w:t>
      </w:r>
      <w:r w:rsidRPr="00830F4C">
        <w:rPr>
          <w:rFonts w:ascii="Garamond" w:eastAsiaTheme="minorHAnsi" w:hAnsi="Garamond"/>
          <w:i/>
        </w:rPr>
        <w:t>online</w:t>
      </w:r>
      <w:r w:rsidRPr="00830F4C">
        <w:rPr>
          <w:rFonts w:ascii="Garamond" w:eastAsiaTheme="minorHAnsi" w:hAnsi="Garamond"/>
        </w:rPr>
        <w:t xml:space="preserve">, të cilët shprehen se për shkak të mundësive që krijon operimi </w:t>
      </w:r>
      <w:r w:rsidRPr="00830F4C">
        <w:rPr>
          <w:rFonts w:ascii="Garamond" w:eastAsiaTheme="minorHAnsi" w:hAnsi="Garamond"/>
          <w:i/>
        </w:rPr>
        <w:t>online</w:t>
      </w:r>
      <w:r w:rsidRPr="00830F4C">
        <w:rPr>
          <w:rFonts w:ascii="Garamond" w:eastAsiaTheme="minorHAnsi" w:hAnsi="Garamond"/>
        </w:rPr>
        <w:t xml:space="preserve">, shumë individë u shmangen detyrimeve fiskale ku </w:t>
      </w:r>
      <w:r w:rsidR="00936CBD" w:rsidRPr="00830F4C">
        <w:rPr>
          <w:rFonts w:ascii="Garamond" w:eastAsiaTheme="minorHAnsi" w:hAnsi="Garamond"/>
        </w:rPr>
        <w:t>një</w:t>
      </w:r>
      <w:r w:rsidRPr="00830F4C">
        <w:rPr>
          <w:rFonts w:ascii="Garamond" w:eastAsiaTheme="minorHAnsi" w:hAnsi="Garamond"/>
        </w:rPr>
        <w:t xml:space="preserve"> ndër to është dhe moslëshimi i faturës. </w:t>
      </w:r>
    </w:p>
    <w:p w14:paraId="031248FE" w14:textId="6CF0EB99" w:rsidR="00EA1C5E" w:rsidRPr="00830F4C" w:rsidRDefault="00EA1C5E" w:rsidP="00D22EA5">
      <w:pPr>
        <w:autoSpaceDE w:val="0"/>
        <w:autoSpaceDN w:val="0"/>
        <w:adjustRightInd w:val="0"/>
        <w:ind w:firstLine="284"/>
        <w:jc w:val="both"/>
        <w:rPr>
          <w:rFonts w:ascii="Garamond" w:eastAsiaTheme="minorHAnsi" w:hAnsi="Garamond"/>
        </w:rPr>
      </w:pPr>
      <w:r w:rsidRPr="00830F4C">
        <w:rPr>
          <w:rFonts w:ascii="Garamond" w:eastAsiaTheme="minorHAnsi" w:hAnsi="Garamond"/>
        </w:rPr>
        <w:t>-</w:t>
      </w:r>
      <w:r w:rsidR="00D22EA5" w:rsidRPr="00830F4C">
        <w:rPr>
          <w:rFonts w:ascii="Garamond" w:eastAsiaTheme="minorHAnsi" w:hAnsi="Garamond"/>
        </w:rPr>
        <w:t xml:space="preserve"> </w:t>
      </w:r>
      <w:r w:rsidRPr="00830F4C">
        <w:rPr>
          <w:rFonts w:ascii="Garamond" w:eastAsiaTheme="minorHAnsi" w:hAnsi="Garamond"/>
        </w:rPr>
        <w:t xml:space="preserve">Thuajse mbi 90% e shitjeve </w:t>
      </w:r>
      <w:r w:rsidRPr="00830F4C">
        <w:rPr>
          <w:rFonts w:ascii="Garamond" w:eastAsiaTheme="minorHAnsi" w:hAnsi="Garamond"/>
          <w:i/>
        </w:rPr>
        <w:t>online</w:t>
      </w:r>
      <w:r w:rsidRPr="00830F4C">
        <w:rPr>
          <w:rFonts w:ascii="Garamond" w:eastAsiaTheme="minorHAnsi" w:hAnsi="Garamond"/>
        </w:rPr>
        <w:t xml:space="preserve"> bëhen me para në dorë (</w:t>
      </w:r>
      <w:r w:rsidRPr="00830F4C">
        <w:rPr>
          <w:rFonts w:ascii="Garamond" w:eastAsiaTheme="minorHAnsi" w:hAnsi="Garamond"/>
          <w:i/>
        </w:rPr>
        <w:t>cash-on-delivery</w:t>
      </w:r>
      <w:r w:rsidRPr="00830F4C">
        <w:rPr>
          <w:rFonts w:ascii="Garamond" w:eastAsiaTheme="minorHAnsi" w:hAnsi="Garamond"/>
        </w:rPr>
        <w:t xml:space="preserve">). Arsyeja kryesore, është mosbesimi i konsumatorëve ndaj </w:t>
      </w:r>
      <w:r w:rsidR="00936CBD" w:rsidRPr="00830F4C">
        <w:rPr>
          <w:rFonts w:ascii="Garamond" w:eastAsiaTheme="minorHAnsi" w:hAnsi="Garamond"/>
        </w:rPr>
        <w:t>cilësisë</w:t>
      </w:r>
      <w:r w:rsidRPr="00830F4C">
        <w:rPr>
          <w:rFonts w:ascii="Garamond" w:eastAsiaTheme="minorHAnsi" w:hAnsi="Garamond"/>
        </w:rPr>
        <w:t xml:space="preserve"> së mallit që do marrin në dorëzim.</w:t>
      </w:r>
    </w:p>
    <w:p w14:paraId="6F86EA8C" w14:textId="7AB711E1" w:rsidR="00EA1C5E" w:rsidRPr="00830F4C" w:rsidRDefault="00EA1C5E" w:rsidP="00D22EA5">
      <w:pPr>
        <w:autoSpaceDE w:val="0"/>
        <w:autoSpaceDN w:val="0"/>
        <w:adjustRightInd w:val="0"/>
        <w:ind w:firstLine="284"/>
        <w:jc w:val="both"/>
        <w:rPr>
          <w:rFonts w:ascii="Garamond" w:eastAsiaTheme="minorHAnsi" w:hAnsi="Garamond"/>
        </w:rPr>
      </w:pPr>
      <w:r w:rsidRPr="00830F4C">
        <w:rPr>
          <w:rFonts w:ascii="Garamond" w:eastAsiaTheme="minorHAnsi" w:hAnsi="Garamond"/>
        </w:rPr>
        <w:t>-</w:t>
      </w:r>
      <w:r w:rsidR="00D22EA5" w:rsidRPr="00830F4C">
        <w:rPr>
          <w:rFonts w:ascii="Garamond" w:eastAsiaTheme="minorHAnsi" w:hAnsi="Garamond"/>
        </w:rPr>
        <w:t xml:space="preserve"> </w:t>
      </w:r>
      <w:r w:rsidRPr="00830F4C">
        <w:rPr>
          <w:rFonts w:ascii="Garamond" w:eastAsiaTheme="minorHAnsi" w:hAnsi="Garamond"/>
        </w:rPr>
        <w:t xml:space="preserve">Problematika lidhur me kthimin e mallrave/porosive. </w:t>
      </w:r>
    </w:p>
    <w:p w14:paraId="25E0F87F" w14:textId="4A2EFFF3" w:rsidR="00EA1C5E" w:rsidRPr="00A72159" w:rsidRDefault="00EA1C5E" w:rsidP="00D22EA5">
      <w:pPr>
        <w:autoSpaceDE w:val="0"/>
        <w:autoSpaceDN w:val="0"/>
        <w:adjustRightInd w:val="0"/>
        <w:ind w:firstLine="284"/>
        <w:jc w:val="both"/>
        <w:rPr>
          <w:rFonts w:ascii="Garamond" w:eastAsiaTheme="minorHAnsi" w:hAnsi="Garamond"/>
          <w:b/>
        </w:rPr>
      </w:pPr>
      <w:r w:rsidRPr="00A72159">
        <w:rPr>
          <w:rFonts w:ascii="Garamond" w:eastAsiaTheme="minorHAnsi" w:hAnsi="Garamond"/>
          <w:b/>
        </w:rPr>
        <w:t>Aktiviteti 2.1.3.1</w:t>
      </w:r>
      <w:r w:rsidR="00A72159" w:rsidRPr="00A72159">
        <w:rPr>
          <w:rFonts w:ascii="Garamond" w:eastAsiaTheme="minorHAnsi" w:hAnsi="Garamond"/>
          <w:b/>
        </w:rPr>
        <w:t>:</w:t>
      </w:r>
      <w:r w:rsidRPr="00A72159">
        <w:rPr>
          <w:rFonts w:ascii="Garamond" w:eastAsiaTheme="minorHAnsi" w:hAnsi="Garamond"/>
          <w:b/>
        </w:rPr>
        <w:t xml:space="preserve"> Analizë e arsyeve dhe risqeve të mospajtueshmërisë në sektorin e shërbimeve/tregtisë digjitale</w:t>
      </w:r>
    </w:p>
    <w:p w14:paraId="42A9DF74" w14:textId="1B8B58A4" w:rsidR="00EA1C5E" w:rsidRPr="00830F4C" w:rsidRDefault="00EA1C5E" w:rsidP="00D22EA5">
      <w:pPr>
        <w:autoSpaceDE w:val="0"/>
        <w:autoSpaceDN w:val="0"/>
        <w:adjustRightInd w:val="0"/>
        <w:ind w:firstLine="284"/>
        <w:jc w:val="both"/>
        <w:rPr>
          <w:rFonts w:ascii="Garamond" w:eastAsiaTheme="minorHAnsi" w:hAnsi="Garamond"/>
          <w:b/>
        </w:rPr>
      </w:pPr>
      <w:r w:rsidRPr="00830F4C">
        <w:rPr>
          <w:rFonts w:ascii="Garamond" w:eastAsiaTheme="minorHAnsi" w:hAnsi="Garamond"/>
        </w:rPr>
        <w:t>Administrata Tatimore do të kryejë një analizë të detajuar të identifikimit dhe vlerësimit të</w:t>
      </w:r>
      <w:r w:rsidR="00D22EA5" w:rsidRPr="00830F4C">
        <w:rPr>
          <w:rFonts w:ascii="Garamond" w:eastAsiaTheme="minorHAnsi" w:hAnsi="Garamond"/>
        </w:rPr>
        <w:t xml:space="preserve"> </w:t>
      </w:r>
      <w:r w:rsidRPr="00830F4C">
        <w:rPr>
          <w:rFonts w:ascii="Garamond" w:eastAsiaTheme="minorHAnsi" w:hAnsi="Garamond"/>
        </w:rPr>
        <w:t xml:space="preserve">risqeve, prioritizimi i tyre, përcaktimi i shkaqeve të mospajtueshmërisë në sektorin shërbimeve/tregtisë digjitale. </w:t>
      </w:r>
    </w:p>
    <w:p w14:paraId="09EE2B47" w14:textId="3A9C1088" w:rsidR="00EA1C5E" w:rsidRPr="00830F4C" w:rsidRDefault="00EA1C5E" w:rsidP="00D22EA5">
      <w:pPr>
        <w:autoSpaceDE w:val="0"/>
        <w:autoSpaceDN w:val="0"/>
        <w:adjustRightInd w:val="0"/>
        <w:ind w:firstLine="284"/>
        <w:jc w:val="both"/>
        <w:rPr>
          <w:rFonts w:ascii="Garamond" w:eastAsiaTheme="minorHAnsi" w:hAnsi="Garamond"/>
        </w:rPr>
      </w:pPr>
      <w:r w:rsidRPr="00830F4C">
        <w:rPr>
          <w:rFonts w:ascii="Garamond" w:eastAsiaTheme="minorHAnsi" w:hAnsi="Garamond"/>
        </w:rPr>
        <w:t xml:space="preserve">Fokus të </w:t>
      </w:r>
      <w:r w:rsidR="00936CBD" w:rsidRPr="00830F4C">
        <w:rPr>
          <w:rFonts w:ascii="Garamond" w:eastAsiaTheme="minorHAnsi" w:hAnsi="Garamond"/>
        </w:rPr>
        <w:t>veçantë</w:t>
      </w:r>
      <w:r w:rsidRPr="00830F4C">
        <w:rPr>
          <w:rFonts w:ascii="Garamond" w:eastAsiaTheme="minorHAnsi" w:hAnsi="Garamond"/>
        </w:rPr>
        <w:t xml:space="preserve"> do të kenë tatimpaguesit që operojnë në sektorin e </w:t>
      </w:r>
      <w:r w:rsidR="00D22EA5" w:rsidRPr="00830F4C">
        <w:rPr>
          <w:rFonts w:ascii="Garamond" w:eastAsiaTheme="minorHAnsi" w:hAnsi="Garamond"/>
        </w:rPr>
        <w:t>“</w:t>
      </w:r>
      <w:r w:rsidRPr="00830F4C">
        <w:rPr>
          <w:rFonts w:ascii="Garamond" w:eastAsiaTheme="minorHAnsi" w:hAnsi="Garamond"/>
        </w:rPr>
        <w:t>Aktiviteteve postare dhe ndërlidhëse</w:t>
      </w:r>
      <w:r w:rsidR="00D22EA5" w:rsidRPr="00830F4C">
        <w:rPr>
          <w:rFonts w:ascii="Garamond" w:eastAsiaTheme="minorHAnsi" w:hAnsi="Garamond"/>
        </w:rPr>
        <w:t>”</w:t>
      </w:r>
      <w:r w:rsidRPr="00830F4C">
        <w:rPr>
          <w:rFonts w:ascii="Garamond" w:eastAsiaTheme="minorHAnsi" w:hAnsi="Garamond"/>
        </w:rPr>
        <w:t xml:space="preserve"> në bashkëpunim me AKEP. Numri i tatimpaguesve që ushtrojnë aktivitet në këtë sektor është rritur ndjeshëm me rritjen e tregtisë elektronike në vend. Aktualisht, janë 82 operatorë që operojnë në këtë treg. </w:t>
      </w:r>
    </w:p>
    <w:p w14:paraId="10FEF6DF" w14:textId="003DA44C" w:rsidR="00EA1C5E" w:rsidRPr="00A72159" w:rsidRDefault="00EA1C5E" w:rsidP="00EA1C5E">
      <w:pPr>
        <w:autoSpaceDE w:val="0"/>
        <w:autoSpaceDN w:val="0"/>
        <w:adjustRightInd w:val="0"/>
        <w:ind w:firstLine="284"/>
        <w:jc w:val="both"/>
        <w:rPr>
          <w:rFonts w:ascii="Garamond" w:eastAsiaTheme="minorHAnsi" w:hAnsi="Garamond"/>
          <w:b/>
        </w:rPr>
      </w:pPr>
      <w:r w:rsidRPr="00A72159">
        <w:rPr>
          <w:rFonts w:ascii="Garamond" w:eastAsiaTheme="minorHAnsi" w:hAnsi="Garamond"/>
          <w:b/>
        </w:rPr>
        <w:t>Aktiviteti 2.1.3.2</w:t>
      </w:r>
      <w:r w:rsidR="00A72159">
        <w:rPr>
          <w:rFonts w:ascii="Garamond" w:eastAsiaTheme="minorHAnsi" w:hAnsi="Garamond"/>
          <w:b/>
        </w:rPr>
        <w:t>:</w:t>
      </w:r>
      <w:r w:rsidRPr="00A72159">
        <w:rPr>
          <w:rFonts w:ascii="Garamond" w:eastAsiaTheme="minorHAnsi" w:hAnsi="Garamond"/>
          <w:b/>
        </w:rPr>
        <w:t xml:space="preserve"> Hartimi dhe zbatimi i Planit Sektorial të tregtisë elektronike</w:t>
      </w:r>
    </w:p>
    <w:p w14:paraId="205185B5" w14:textId="37C79B57" w:rsidR="00EA1C5E" w:rsidRPr="00830F4C" w:rsidRDefault="00EA1C5E" w:rsidP="00EA1C5E">
      <w:pPr>
        <w:autoSpaceDE w:val="0"/>
        <w:autoSpaceDN w:val="0"/>
        <w:adjustRightInd w:val="0"/>
        <w:ind w:firstLine="284"/>
        <w:jc w:val="both"/>
        <w:rPr>
          <w:rFonts w:ascii="Garamond" w:eastAsiaTheme="minorHAnsi" w:hAnsi="Garamond"/>
        </w:rPr>
      </w:pPr>
      <w:r w:rsidRPr="00830F4C">
        <w:rPr>
          <w:rFonts w:ascii="Garamond" w:eastAsiaTheme="minorHAnsi" w:hAnsi="Garamond"/>
        </w:rPr>
        <w:t>Bazuar në analizat e mësipërme, administrata tatimore do të hartojë plane sektorial të dedikuar vetëm për sektorin e</w:t>
      </w:r>
      <w:r w:rsidRPr="00830F4C">
        <w:rPr>
          <w:rFonts w:ascii="Garamond" w:eastAsiaTheme="minorHAnsi" w:hAnsi="Garamond"/>
          <w:b/>
        </w:rPr>
        <w:t xml:space="preserve"> </w:t>
      </w:r>
      <w:r w:rsidRPr="00830F4C">
        <w:rPr>
          <w:rFonts w:ascii="Garamond" w:eastAsiaTheme="minorHAnsi" w:hAnsi="Garamond"/>
        </w:rPr>
        <w:t>tregtisë elektronike. Vëmendja kryesore e këtij plani do të jetë, qarkullimi real i deklaruar nga tatimpaguesit që kryejnë këtë aktivitet me fokus te</w:t>
      </w:r>
      <w:r w:rsidR="00DE65FB">
        <w:rPr>
          <w:rFonts w:ascii="Garamond" w:eastAsiaTheme="minorHAnsi" w:hAnsi="Garamond"/>
        </w:rPr>
        <w:t xml:space="preserve"> TVSh</w:t>
      </w:r>
      <w:r w:rsidRPr="00830F4C">
        <w:rPr>
          <w:rFonts w:ascii="Garamond" w:eastAsiaTheme="minorHAnsi" w:hAnsi="Garamond"/>
        </w:rPr>
        <w:t xml:space="preserve">-ja, por pa anashkaluar tatimin mbi fitimin dhe tatimin mbi të ardhurat e personave fizike, si dhe problematikat që kanë të bëjnë me deklarimin e punonjësve. Marrëdhënia ndërmjet shoqërive të transportit (ndërmjetësve) dhe klientëve e furnitorëve të produkteve do trajtohet gjithashtu. Analiza do përfshijë të gjithë tatimpaguesit që operojnë në këtë sektor. </w:t>
      </w:r>
      <w:r w:rsidR="00936CBD" w:rsidRPr="00830F4C">
        <w:rPr>
          <w:rFonts w:ascii="Garamond" w:eastAsiaTheme="minorHAnsi" w:hAnsi="Garamond"/>
        </w:rPr>
        <w:t>Përveç</w:t>
      </w:r>
      <w:r w:rsidRPr="00830F4C">
        <w:rPr>
          <w:rFonts w:ascii="Garamond" w:eastAsiaTheme="minorHAnsi" w:hAnsi="Garamond"/>
        </w:rPr>
        <w:t xml:space="preserve"> kompanive vendore që ofrojnë tregti/shërbime elektronike, në fokus do të jenë edhe kompanitë ndërkombëtare.</w:t>
      </w:r>
    </w:p>
    <w:p w14:paraId="7283292C" w14:textId="34D227C4" w:rsidR="00EA1C5E" w:rsidRPr="00830F4C" w:rsidRDefault="00EA1C5E" w:rsidP="00EA1C5E">
      <w:pPr>
        <w:autoSpaceDE w:val="0"/>
        <w:autoSpaceDN w:val="0"/>
        <w:adjustRightInd w:val="0"/>
        <w:ind w:firstLine="284"/>
        <w:rPr>
          <w:rFonts w:ascii="Garamond" w:eastAsiaTheme="minorHAnsi" w:hAnsi="Garamond"/>
          <w:b/>
        </w:rPr>
      </w:pPr>
      <w:r w:rsidRPr="00830F4C">
        <w:rPr>
          <w:rFonts w:ascii="Garamond" w:eastAsiaTheme="minorHAnsi" w:hAnsi="Garamond"/>
          <w:b/>
        </w:rPr>
        <w:t>Masa 2.1.4</w:t>
      </w:r>
      <w:r w:rsidR="00CC11D5">
        <w:rPr>
          <w:rFonts w:ascii="Garamond" w:eastAsiaTheme="minorHAnsi" w:hAnsi="Garamond"/>
          <w:b/>
        </w:rPr>
        <w:t xml:space="preserve"> </w:t>
      </w:r>
      <w:r w:rsidRPr="00830F4C">
        <w:rPr>
          <w:rFonts w:ascii="Garamond" w:eastAsiaTheme="minorHAnsi" w:hAnsi="Garamond"/>
          <w:b/>
        </w:rPr>
        <w:t>Trajtimi i sektorëve të tjerë të identifikuar me risk nëpërmjet metodave moderne të menaxhimit të riskut për të rritur pajtueshmërinë vullnetare</w:t>
      </w:r>
    </w:p>
    <w:p w14:paraId="2CCF7492" w14:textId="19C68C6F" w:rsidR="00EA1C5E" w:rsidRPr="00830F4C" w:rsidRDefault="00EA1C5E" w:rsidP="00EA1C5E">
      <w:pPr>
        <w:autoSpaceDE w:val="0"/>
        <w:autoSpaceDN w:val="0"/>
        <w:adjustRightInd w:val="0"/>
        <w:ind w:firstLine="284"/>
        <w:jc w:val="both"/>
        <w:rPr>
          <w:rFonts w:ascii="Garamond" w:eastAsiaTheme="minorHAnsi" w:hAnsi="Garamond"/>
        </w:rPr>
      </w:pPr>
      <w:r w:rsidRPr="00830F4C">
        <w:rPr>
          <w:rFonts w:ascii="Garamond" w:eastAsiaTheme="minorHAnsi" w:hAnsi="Garamond"/>
        </w:rPr>
        <w:t>Synimi i kësaj mase është rritja e përputhshmërisë së sektorëve me risk. Zhvillimi i planeve me fokus përmirësimin e pajtueshmërisë do të ketë nevojë për ndihmë të mëtejshme për zhvillimin e kapaciteteve, si për teknikat e analizës së të dhënave (për të identifikuar më mirë grupimet e riskut brenda vlerësimit të hendekut të</w:t>
      </w:r>
      <w:r w:rsidR="00DE65FB">
        <w:rPr>
          <w:rFonts w:ascii="Garamond" w:eastAsiaTheme="minorHAnsi" w:hAnsi="Garamond"/>
        </w:rPr>
        <w:t xml:space="preserve"> TVSh</w:t>
      </w:r>
      <w:r w:rsidRPr="00830F4C">
        <w:rPr>
          <w:rFonts w:ascii="Garamond" w:eastAsiaTheme="minorHAnsi" w:hAnsi="Garamond"/>
        </w:rPr>
        <w:t xml:space="preserve">-së), ashtu edhe për hartimin e planit sektorial. </w:t>
      </w:r>
    </w:p>
    <w:p w14:paraId="2DB7DAFC" w14:textId="2B130AF6" w:rsidR="00EA1C5E" w:rsidRPr="00830F4C" w:rsidRDefault="00EA1C5E" w:rsidP="00EA1C5E">
      <w:pPr>
        <w:autoSpaceDE w:val="0"/>
        <w:autoSpaceDN w:val="0"/>
        <w:adjustRightInd w:val="0"/>
        <w:ind w:firstLine="284"/>
        <w:jc w:val="both"/>
        <w:rPr>
          <w:rFonts w:ascii="Garamond" w:eastAsiaTheme="minorHAnsi" w:hAnsi="Garamond"/>
        </w:rPr>
      </w:pPr>
      <w:r w:rsidRPr="00830F4C">
        <w:rPr>
          <w:rFonts w:ascii="Garamond" w:eastAsiaTheme="minorHAnsi" w:hAnsi="Garamond"/>
        </w:rPr>
        <w:t xml:space="preserve">Për të pasur ndikim të qëndrueshëm, administrata tatimore do të hartojë një plan të përmirësimit të përputhshmërisë sektoriale në mënyrë gjithëpërfshirëse. Për periudhën </w:t>
      </w:r>
      <w:r w:rsidR="00936CBD" w:rsidRPr="00830F4C">
        <w:rPr>
          <w:rFonts w:ascii="Garamond" w:eastAsiaTheme="minorHAnsi" w:hAnsi="Garamond"/>
        </w:rPr>
        <w:t>katërvjeçare</w:t>
      </w:r>
      <w:r w:rsidRPr="00830F4C">
        <w:rPr>
          <w:rFonts w:ascii="Garamond" w:eastAsiaTheme="minorHAnsi" w:hAnsi="Garamond"/>
        </w:rPr>
        <w:t>, fokusi i punës së administratës tatimore përpos sektorit të ndërtimit /turizmit /tregtisë elektronike do të jenë edhe sektorët e tjerë të evidentuar si sektorë me risk të tillë si: sektori i tregtisë, shërbimeve të ndryshme, prodhimit etj.</w:t>
      </w:r>
      <w:r w:rsidR="00D22EA5" w:rsidRPr="00830F4C">
        <w:rPr>
          <w:rFonts w:ascii="Garamond" w:eastAsiaTheme="minorHAnsi" w:hAnsi="Garamond"/>
        </w:rPr>
        <w:t xml:space="preserve"> </w:t>
      </w:r>
      <w:r w:rsidRPr="00830F4C">
        <w:rPr>
          <w:rFonts w:ascii="Garamond" w:eastAsiaTheme="minorHAnsi" w:hAnsi="Garamond"/>
        </w:rPr>
        <w:t>Për secilin nga këta sektorë, administrata tatimore do të hartojë Planet Operacionale Sektoriale specifike vjetore.</w:t>
      </w:r>
    </w:p>
    <w:p w14:paraId="0158B624" w14:textId="57D49DBF" w:rsidR="00EA1C5E" w:rsidRPr="00A72159" w:rsidRDefault="00EA1C5E" w:rsidP="00EA1C5E">
      <w:pPr>
        <w:autoSpaceDE w:val="0"/>
        <w:autoSpaceDN w:val="0"/>
        <w:adjustRightInd w:val="0"/>
        <w:ind w:firstLine="284"/>
        <w:jc w:val="both"/>
        <w:rPr>
          <w:rFonts w:ascii="Garamond" w:eastAsiaTheme="minorHAnsi" w:hAnsi="Garamond"/>
          <w:b/>
        </w:rPr>
      </w:pPr>
      <w:r w:rsidRPr="00A72159">
        <w:rPr>
          <w:rFonts w:ascii="Garamond" w:eastAsiaTheme="minorHAnsi" w:hAnsi="Garamond"/>
          <w:b/>
        </w:rPr>
        <w:t>Aktiviteti 2.1.4.1</w:t>
      </w:r>
      <w:r w:rsidR="00A72159">
        <w:rPr>
          <w:rFonts w:ascii="Garamond" w:eastAsiaTheme="minorHAnsi" w:hAnsi="Garamond"/>
          <w:b/>
        </w:rPr>
        <w:t>:</w:t>
      </w:r>
      <w:r w:rsidRPr="00A72159">
        <w:rPr>
          <w:rFonts w:ascii="Garamond" w:eastAsiaTheme="minorHAnsi" w:hAnsi="Garamond"/>
          <w:b/>
        </w:rPr>
        <w:t xml:space="preserve"> Përcaktimi i metodologjisë së teknikave të analizës së të dhënave</w:t>
      </w:r>
    </w:p>
    <w:p w14:paraId="43502638" w14:textId="77777777" w:rsidR="00EA1C5E" w:rsidRPr="00830F4C" w:rsidRDefault="00EA1C5E" w:rsidP="00EA1C5E">
      <w:pPr>
        <w:autoSpaceDE w:val="0"/>
        <w:autoSpaceDN w:val="0"/>
        <w:adjustRightInd w:val="0"/>
        <w:ind w:firstLine="284"/>
        <w:jc w:val="both"/>
        <w:rPr>
          <w:rFonts w:ascii="Garamond" w:eastAsiaTheme="minorHAnsi" w:hAnsi="Garamond"/>
        </w:rPr>
      </w:pPr>
      <w:r w:rsidRPr="00830F4C">
        <w:rPr>
          <w:rFonts w:ascii="Garamond" w:eastAsiaTheme="minorHAnsi" w:hAnsi="Garamond"/>
        </w:rPr>
        <w:t>Monitorim më i mirë i deklarimeve tatimore, duke ndërthurur dhe kryqëzuar informacion mes strukturave të ndryshme të administratës tatimore dhe institucioneve të tjera. Përmirësimi i cilësisë së kontrolleve tatimore nëpërmjet standardizimit të procedurave të kontrollit si dhe automatizimit dhe zbatimit në sistemin C@TS të raport-kontrollit.</w:t>
      </w:r>
    </w:p>
    <w:p w14:paraId="74D71373" w14:textId="77777777" w:rsidR="00EA1C5E" w:rsidRPr="00830F4C" w:rsidRDefault="00EA1C5E" w:rsidP="00EA1C5E">
      <w:pPr>
        <w:autoSpaceDE w:val="0"/>
        <w:autoSpaceDN w:val="0"/>
        <w:adjustRightInd w:val="0"/>
        <w:ind w:firstLine="284"/>
        <w:jc w:val="both"/>
        <w:rPr>
          <w:rFonts w:ascii="Garamond" w:eastAsiaTheme="minorHAnsi" w:hAnsi="Garamond"/>
        </w:rPr>
      </w:pPr>
      <w:r w:rsidRPr="00830F4C">
        <w:rPr>
          <w:rFonts w:ascii="Garamond" w:eastAsiaTheme="minorHAnsi" w:hAnsi="Garamond"/>
        </w:rPr>
        <w:t>Përmirësimi i kapaciteteve dhe i procedurave të kontrollit nga zyra, metodologjisë dhe analizimit të risqeve. Fokusimi i administratës tatimore në këtë lloj kontrolli, i cili ul kostot administrative është më efektiv, më i shpejtë dhe më transparent.</w:t>
      </w:r>
    </w:p>
    <w:p w14:paraId="7A1217AA" w14:textId="12B493B0" w:rsidR="00EA1C5E" w:rsidRPr="00A72159" w:rsidRDefault="00EA1C5E" w:rsidP="00EA1C5E">
      <w:pPr>
        <w:autoSpaceDE w:val="0"/>
        <w:autoSpaceDN w:val="0"/>
        <w:adjustRightInd w:val="0"/>
        <w:ind w:firstLine="284"/>
        <w:jc w:val="both"/>
        <w:rPr>
          <w:rFonts w:ascii="Garamond" w:eastAsiaTheme="minorHAnsi" w:hAnsi="Garamond"/>
          <w:b/>
        </w:rPr>
      </w:pPr>
      <w:r w:rsidRPr="00A72159">
        <w:rPr>
          <w:rFonts w:ascii="Garamond" w:eastAsiaTheme="minorHAnsi" w:hAnsi="Garamond"/>
          <w:b/>
        </w:rPr>
        <w:t>Aktiviteti 2.1.4.2</w:t>
      </w:r>
      <w:r w:rsidR="00A72159">
        <w:rPr>
          <w:rFonts w:ascii="Garamond" w:eastAsiaTheme="minorHAnsi" w:hAnsi="Garamond"/>
          <w:b/>
        </w:rPr>
        <w:t>:</w:t>
      </w:r>
      <w:r w:rsidRPr="00A72159">
        <w:rPr>
          <w:rFonts w:ascii="Garamond" w:eastAsiaTheme="minorHAnsi" w:hAnsi="Garamond"/>
          <w:b/>
        </w:rPr>
        <w:t xml:space="preserve"> Hartimi i Planeve sektoriale të pajtueshmërisë në sektorët e evidentuar me risk</w:t>
      </w:r>
    </w:p>
    <w:p w14:paraId="2322BC63" w14:textId="16694EDF" w:rsidR="00EA1C5E" w:rsidRPr="00830F4C" w:rsidRDefault="00EA1C5E" w:rsidP="00EA1C5E">
      <w:pPr>
        <w:autoSpaceDE w:val="0"/>
        <w:autoSpaceDN w:val="0"/>
        <w:adjustRightInd w:val="0"/>
        <w:ind w:firstLine="284"/>
        <w:jc w:val="both"/>
        <w:rPr>
          <w:rFonts w:ascii="Garamond" w:eastAsiaTheme="minorHAnsi" w:hAnsi="Garamond"/>
        </w:rPr>
      </w:pPr>
      <w:r w:rsidRPr="00830F4C">
        <w:rPr>
          <w:rFonts w:ascii="Garamond" w:eastAsiaTheme="minorHAnsi" w:hAnsi="Garamond"/>
        </w:rPr>
        <w:t>Bazuar në planet vjetore të pajtueshmërisë së administratës tatimore do të realizohen plane specifike sektoriale në ata sektorë ekonomik, të cilët identifikohen dhe vlerësohen me riskun e shmangies së</w:t>
      </w:r>
      <w:r w:rsidR="00DE65FB">
        <w:rPr>
          <w:rFonts w:ascii="Garamond" w:eastAsiaTheme="minorHAnsi" w:hAnsi="Garamond"/>
        </w:rPr>
        <w:t xml:space="preserve"> TVSh</w:t>
      </w:r>
      <w:r w:rsidRPr="00830F4C">
        <w:rPr>
          <w:rFonts w:ascii="Garamond" w:eastAsiaTheme="minorHAnsi" w:hAnsi="Garamond"/>
        </w:rPr>
        <w:t>-së. Do trajtohen me vëmendje fenomenet me risk për kategori të ndryshme tatimpaguesish, tatimesh dhe shtrirje gjeografike.</w:t>
      </w:r>
    </w:p>
    <w:p w14:paraId="06A1DD89" w14:textId="7D4C5F8B" w:rsidR="00EA1C5E" w:rsidRPr="00830F4C" w:rsidRDefault="00EA1C5E" w:rsidP="00CC11D5">
      <w:pPr>
        <w:autoSpaceDE w:val="0"/>
        <w:autoSpaceDN w:val="0"/>
        <w:adjustRightInd w:val="0"/>
        <w:ind w:firstLine="284"/>
        <w:jc w:val="both"/>
        <w:rPr>
          <w:rFonts w:ascii="Garamond" w:eastAsiaTheme="minorHAnsi" w:hAnsi="Garamond"/>
          <w:b/>
        </w:rPr>
      </w:pPr>
      <w:r w:rsidRPr="00830F4C">
        <w:rPr>
          <w:rFonts w:ascii="Garamond" w:eastAsiaTheme="minorHAnsi" w:hAnsi="Garamond"/>
          <w:b/>
        </w:rPr>
        <w:t>Masa 2.1.5 Zgjerimi i bazës se tatueshme me rritjen e numrit të tatimpaguesve të përfshirë në përgjegjësinë e</w:t>
      </w:r>
      <w:r w:rsidR="00DE65FB">
        <w:rPr>
          <w:rFonts w:ascii="Garamond" w:eastAsiaTheme="minorHAnsi" w:hAnsi="Garamond"/>
          <w:b/>
        </w:rPr>
        <w:t xml:space="preserve"> TVSh</w:t>
      </w:r>
      <w:r w:rsidRPr="00830F4C">
        <w:rPr>
          <w:rFonts w:ascii="Garamond" w:eastAsiaTheme="minorHAnsi" w:hAnsi="Garamond"/>
          <w:b/>
        </w:rPr>
        <w:t>-së</w:t>
      </w:r>
    </w:p>
    <w:p w14:paraId="0ABC93C2" w14:textId="77777777" w:rsidR="00EA1C5E" w:rsidRPr="00830F4C" w:rsidRDefault="00EA1C5E" w:rsidP="00EA1C5E">
      <w:pPr>
        <w:autoSpaceDE w:val="0"/>
        <w:autoSpaceDN w:val="0"/>
        <w:adjustRightInd w:val="0"/>
        <w:ind w:firstLine="284"/>
        <w:rPr>
          <w:rFonts w:ascii="Garamond" w:eastAsiaTheme="minorHAnsi" w:hAnsi="Garamond"/>
        </w:rPr>
      </w:pPr>
      <w:r w:rsidRPr="00830F4C">
        <w:rPr>
          <w:rFonts w:ascii="Garamond" w:eastAsiaTheme="minorHAnsi" w:hAnsi="Garamond"/>
        </w:rPr>
        <w:t>Zgjerimi i bazës tatimore për Tatimin mbi Vlerën e Shtuar (TVSH) në Shqipëri është i rëndësishëm pasi synon:</w:t>
      </w:r>
    </w:p>
    <w:p w14:paraId="7F7D3BC9" w14:textId="1329F636" w:rsidR="00EA1C5E" w:rsidRPr="00830F4C" w:rsidRDefault="00EA1C5E" w:rsidP="00EA1C5E">
      <w:pPr>
        <w:autoSpaceDE w:val="0"/>
        <w:autoSpaceDN w:val="0"/>
        <w:adjustRightInd w:val="0"/>
        <w:ind w:firstLine="284"/>
        <w:jc w:val="both"/>
        <w:rPr>
          <w:rFonts w:ascii="Garamond" w:eastAsiaTheme="minorHAnsi" w:hAnsi="Garamond"/>
        </w:rPr>
      </w:pPr>
      <w:r w:rsidRPr="00830F4C">
        <w:rPr>
          <w:rFonts w:ascii="Garamond" w:eastAsiaTheme="minorHAnsi" w:hAnsi="Garamond"/>
        </w:rPr>
        <w:t>1</w:t>
      </w:r>
      <w:r w:rsidR="006B61C6" w:rsidRPr="00830F4C">
        <w:rPr>
          <w:rFonts w:ascii="Garamond" w:eastAsiaTheme="minorHAnsi" w:hAnsi="Garamond"/>
        </w:rPr>
        <w:t>.</w:t>
      </w:r>
      <w:r w:rsidR="00D22EA5" w:rsidRPr="00830F4C">
        <w:rPr>
          <w:rFonts w:ascii="Garamond" w:eastAsiaTheme="minorHAnsi" w:hAnsi="Garamond"/>
        </w:rPr>
        <w:t xml:space="preserve"> </w:t>
      </w:r>
      <w:r w:rsidRPr="00830F4C">
        <w:rPr>
          <w:rFonts w:ascii="Garamond" w:eastAsiaTheme="minorHAnsi" w:hAnsi="Garamond"/>
        </w:rPr>
        <w:t>Rritje të të ardhurave buxhetore: Një bazë më e gjerë tatimore për</w:t>
      </w:r>
      <w:r w:rsidR="00DE65FB">
        <w:rPr>
          <w:rFonts w:ascii="Garamond" w:eastAsiaTheme="minorHAnsi" w:hAnsi="Garamond"/>
        </w:rPr>
        <w:t xml:space="preserve"> TVSh</w:t>
      </w:r>
      <w:r w:rsidRPr="00830F4C">
        <w:rPr>
          <w:rFonts w:ascii="Garamond" w:eastAsiaTheme="minorHAnsi" w:hAnsi="Garamond"/>
        </w:rPr>
        <w:t xml:space="preserve">-në do të thotë më shumë subjekte tatimore që paguajnë këtë tatim. Kjo do të rezultonte në më shumë të ardhura për buxhetin e shtetit, </w:t>
      </w:r>
    </w:p>
    <w:p w14:paraId="026B84B6" w14:textId="1908471E" w:rsidR="00EA1C5E" w:rsidRPr="00830F4C" w:rsidRDefault="00EA1C5E" w:rsidP="00EA1C5E">
      <w:pPr>
        <w:autoSpaceDE w:val="0"/>
        <w:autoSpaceDN w:val="0"/>
        <w:adjustRightInd w:val="0"/>
        <w:ind w:firstLine="284"/>
        <w:jc w:val="both"/>
        <w:rPr>
          <w:rFonts w:ascii="Garamond" w:eastAsiaTheme="minorHAnsi" w:hAnsi="Garamond"/>
        </w:rPr>
      </w:pPr>
      <w:r w:rsidRPr="00830F4C">
        <w:rPr>
          <w:rFonts w:ascii="Garamond" w:eastAsiaTheme="minorHAnsi" w:hAnsi="Garamond"/>
        </w:rPr>
        <w:t>2</w:t>
      </w:r>
      <w:r w:rsidR="006B61C6" w:rsidRPr="00830F4C">
        <w:rPr>
          <w:rFonts w:ascii="Garamond" w:eastAsiaTheme="minorHAnsi" w:hAnsi="Garamond"/>
        </w:rPr>
        <w:t>.</w:t>
      </w:r>
      <w:r w:rsidR="00D22EA5" w:rsidRPr="00830F4C">
        <w:rPr>
          <w:rFonts w:ascii="Garamond" w:eastAsiaTheme="minorHAnsi" w:hAnsi="Garamond"/>
        </w:rPr>
        <w:t xml:space="preserve"> </w:t>
      </w:r>
      <w:r w:rsidRPr="00830F4C">
        <w:rPr>
          <w:rFonts w:ascii="Garamond" w:eastAsiaTheme="minorHAnsi" w:hAnsi="Garamond"/>
        </w:rPr>
        <w:t>Barazi dhe drejtësi tatimore: Zgjerimi i bazës tatimore për</w:t>
      </w:r>
      <w:r w:rsidR="00DE65FB">
        <w:rPr>
          <w:rFonts w:ascii="Garamond" w:eastAsiaTheme="minorHAnsi" w:hAnsi="Garamond"/>
        </w:rPr>
        <w:t xml:space="preserve"> TVSh</w:t>
      </w:r>
      <w:r w:rsidRPr="00830F4C">
        <w:rPr>
          <w:rFonts w:ascii="Garamond" w:eastAsiaTheme="minorHAnsi" w:hAnsi="Garamond"/>
        </w:rPr>
        <w:t xml:space="preserve">-në nënkupton përfshirjen e më shumë subjekteve që kryejnë aktivitete ekonomike. Kjo do të ndihmonte në uljen e informalitetit dhe do të siguronte një </w:t>
      </w:r>
      <w:r w:rsidR="00936CBD" w:rsidRPr="00830F4C">
        <w:rPr>
          <w:rFonts w:ascii="Garamond" w:eastAsiaTheme="minorHAnsi" w:hAnsi="Garamond"/>
        </w:rPr>
        <w:t>konkurrencë</w:t>
      </w:r>
      <w:r w:rsidRPr="00830F4C">
        <w:rPr>
          <w:rFonts w:ascii="Garamond" w:eastAsiaTheme="minorHAnsi" w:hAnsi="Garamond"/>
        </w:rPr>
        <w:t xml:space="preserve"> të drejtë në të bërit biznes për subjektet tatimore.</w:t>
      </w:r>
    </w:p>
    <w:p w14:paraId="71CEE2CD" w14:textId="3B57D60C" w:rsidR="00EA1C5E" w:rsidRPr="00830F4C" w:rsidRDefault="00EA1C5E" w:rsidP="00EA1C5E">
      <w:pPr>
        <w:autoSpaceDE w:val="0"/>
        <w:autoSpaceDN w:val="0"/>
        <w:adjustRightInd w:val="0"/>
        <w:ind w:firstLine="284"/>
        <w:jc w:val="both"/>
        <w:rPr>
          <w:rFonts w:ascii="Garamond" w:eastAsiaTheme="minorHAnsi" w:hAnsi="Garamond"/>
        </w:rPr>
      </w:pPr>
      <w:r w:rsidRPr="00830F4C">
        <w:rPr>
          <w:rFonts w:ascii="Garamond" w:eastAsiaTheme="minorHAnsi" w:hAnsi="Garamond"/>
        </w:rPr>
        <w:t>3</w:t>
      </w:r>
      <w:r w:rsidR="006B61C6" w:rsidRPr="00830F4C">
        <w:rPr>
          <w:rFonts w:ascii="Garamond" w:eastAsiaTheme="minorHAnsi" w:hAnsi="Garamond"/>
        </w:rPr>
        <w:t>.</w:t>
      </w:r>
      <w:r w:rsidR="00D22EA5" w:rsidRPr="00830F4C">
        <w:rPr>
          <w:rFonts w:ascii="Garamond" w:eastAsiaTheme="minorHAnsi" w:hAnsi="Garamond"/>
        </w:rPr>
        <w:t xml:space="preserve"> </w:t>
      </w:r>
      <w:r w:rsidRPr="00830F4C">
        <w:rPr>
          <w:rFonts w:ascii="Garamond" w:eastAsiaTheme="minorHAnsi" w:hAnsi="Garamond"/>
        </w:rPr>
        <w:t>Efikasitet më i lartë administrativ: Një bazë më e gjerë tatimore do të thotë se më pak subjekte do të iknin nga detyrimi për të paguar</w:t>
      </w:r>
      <w:r w:rsidR="00DE65FB">
        <w:rPr>
          <w:rFonts w:ascii="Garamond" w:eastAsiaTheme="minorHAnsi" w:hAnsi="Garamond"/>
        </w:rPr>
        <w:t xml:space="preserve"> TVSh</w:t>
      </w:r>
      <w:r w:rsidRPr="00830F4C">
        <w:rPr>
          <w:rFonts w:ascii="Garamond" w:eastAsiaTheme="minorHAnsi" w:hAnsi="Garamond"/>
        </w:rPr>
        <w:t>-në. Kjo do të ulë kostot administrative për Administratën Tatimore për të identifikuar dhe ndjekur subjektet joformale.</w:t>
      </w:r>
    </w:p>
    <w:p w14:paraId="28DFC485" w14:textId="359B5A3D" w:rsidR="00EA1C5E" w:rsidRPr="00830F4C" w:rsidRDefault="00EA1C5E" w:rsidP="00EA1C5E">
      <w:pPr>
        <w:autoSpaceDE w:val="0"/>
        <w:autoSpaceDN w:val="0"/>
        <w:adjustRightInd w:val="0"/>
        <w:ind w:firstLine="284"/>
        <w:jc w:val="both"/>
        <w:rPr>
          <w:rFonts w:ascii="Garamond" w:eastAsiaTheme="minorHAnsi" w:hAnsi="Garamond"/>
        </w:rPr>
      </w:pPr>
      <w:r w:rsidRPr="00830F4C">
        <w:rPr>
          <w:rFonts w:ascii="Garamond" w:eastAsiaTheme="minorHAnsi" w:hAnsi="Garamond"/>
        </w:rPr>
        <w:t>4</w:t>
      </w:r>
      <w:r w:rsidR="006B61C6" w:rsidRPr="00830F4C">
        <w:rPr>
          <w:rFonts w:ascii="Garamond" w:eastAsiaTheme="minorHAnsi" w:hAnsi="Garamond"/>
        </w:rPr>
        <w:t>.</w:t>
      </w:r>
      <w:r w:rsidR="00D22EA5" w:rsidRPr="00830F4C">
        <w:rPr>
          <w:rFonts w:ascii="Garamond" w:eastAsiaTheme="minorHAnsi" w:hAnsi="Garamond"/>
        </w:rPr>
        <w:t xml:space="preserve"> </w:t>
      </w:r>
      <w:r w:rsidRPr="00830F4C">
        <w:rPr>
          <w:rFonts w:ascii="Garamond" w:eastAsiaTheme="minorHAnsi" w:hAnsi="Garamond"/>
        </w:rPr>
        <w:t>Luftë kundër evazionit fiskal: Një bazë më e gjerë tatimore ul hapësirat për evazion fiskal dhe shmangien e</w:t>
      </w:r>
      <w:r w:rsidR="00DE65FB">
        <w:rPr>
          <w:rFonts w:ascii="Garamond" w:eastAsiaTheme="minorHAnsi" w:hAnsi="Garamond"/>
        </w:rPr>
        <w:t xml:space="preserve"> TVSh</w:t>
      </w:r>
      <w:r w:rsidRPr="00830F4C">
        <w:rPr>
          <w:rFonts w:ascii="Garamond" w:eastAsiaTheme="minorHAnsi" w:hAnsi="Garamond"/>
        </w:rPr>
        <w:t>-së, duke rritur kështu disiplinën fiskale në vend.</w:t>
      </w:r>
    </w:p>
    <w:p w14:paraId="2B82D80B" w14:textId="20302F75" w:rsidR="00EA1C5E" w:rsidRPr="00830F4C" w:rsidRDefault="00EA1C5E" w:rsidP="00EA1C5E">
      <w:pPr>
        <w:autoSpaceDE w:val="0"/>
        <w:autoSpaceDN w:val="0"/>
        <w:adjustRightInd w:val="0"/>
        <w:ind w:firstLine="284"/>
        <w:rPr>
          <w:rFonts w:ascii="Garamond" w:eastAsiaTheme="minorHAnsi" w:hAnsi="Garamond"/>
        </w:rPr>
      </w:pPr>
      <w:r w:rsidRPr="00830F4C">
        <w:rPr>
          <w:rFonts w:ascii="Garamond" w:eastAsiaTheme="minorHAnsi" w:hAnsi="Garamond"/>
        </w:rPr>
        <w:t>Situata ndër vite e numrit të tatimpaguesve të regjistruar në</w:t>
      </w:r>
      <w:r w:rsidR="00DE65FB">
        <w:rPr>
          <w:rFonts w:ascii="Garamond" w:eastAsiaTheme="minorHAnsi" w:hAnsi="Garamond"/>
        </w:rPr>
        <w:t xml:space="preserve"> TVSh</w:t>
      </w:r>
      <w:r w:rsidRPr="00830F4C">
        <w:rPr>
          <w:rFonts w:ascii="Garamond" w:eastAsiaTheme="minorHAnsi" w:hAnsi="Garamond"/>
        </w:rPr>
        <w:t>, paraqitet si më poshtë:</w:t>
      </w:r>
    </w:p>
    <w:p w14:paraId="55A6DA8A" w14:textId="77777777" w:rsidR="00EA1C5E" w:rsidRPr="00CC11D5" w:rsidRDefault="00EA1C5E" w:rsidP="00EA1C5E">
      <w:pPr>
        <w:autoSpaceDE w:val="0"/>
        <w:autoSpaceDN w:val="0"/>
        <w:adjustRightInd w:val="0"/>
        <w:ind w:firstLine="284"/>
        <w:jc w:val="both"/>
        <w:rPr>
          <w:rFonts w:ascii="Garamond" w:eastAsiaTheme="minorHAnsi" w:hAnsi="Garamond"/>
          <w:b/>
          <w:sz w:val="18"/>
        </w:rPr>
      </w:pPr>
    </w:p>
    <w:p w14:paraId="7D1AB0FA" w14:textId="5B8EC3D2" w:rsidR="009153DB" w:rsidRPr="00830F4C" w:rsidRDefault="009153DB" w:rsidP="009153DB">
      <w:pPr>
        <w:pStyle w:val="Caption"/>
        <w:keepNext/>
        <w:spacing w:after="0"/>
        <w:rPr>
          <w:rFonts w:ascii="Garamond" w:hAnsi="Garamond"/>
          <w:color w:val="auto"/>
          <w:sz w:val="20"/>
          <w:szCs w:val="20"/>
        </w:rPr>
      </w:pPr>
      <w:bookmarkStart w:id="44" w:name="_Toc172043344"/>
      <w:bookmarkStart w:id="45" w:name="_Toc185235138"/>
      <w:r w:rsidRPr="00830F4C">
        <w:rPr>
          <w:rFonts w:ascii="Garamond" w:hAnsi="Garamond"/>
          <w:color w:val="auto"/>
          <w:sz w:val="20"/>
          <w:szCs w:val="20"/>
        </w:rPr>
        <w:t xml:space="preserve">Tabela </w:t>
      </w:r>
      <w:r w:rsidRPr="00830F4C">
        <w:rPr>
          <w:rFonts w:ascii="Garamond" w:hAnsi="Garamond"/>
          <w:color w:val="auto"/>
          <w:sz w:val="20"/>
          <w:szCs w:val="20"/>
        </w:rPr>
        <w:fldChar w:fldCharType="begin"/>
      </w:r>
      <w:r w:rsidRPr="00830F4C">
        <w:rPr>
          <w:rFonts w:ascii="Garamond" w:hAnsi="Garamond"/>
          <w:color w:val="auto"/>
          <w:sz w:val="20"/>
          <w:szCs w:val="20"/>
        </w:rPr>
        <w:instrText xml:space="preserve"> SEQ Tabela \* ARABIC </w:instrText>
      </w:r>
      <w:r w:rsidRPr="00830F4C">
        <w:rPr>
          <w:rFonts w:ascii="Garamond" w:hAnsi="Garamond"/>
          <w:color w:val="auto"/>
          <w:sz w:val="20"/>
          <w:szCs w:val="20"/>
        </w:rPr>
        <w:fldChar w:fldCharType="separate"/>
      </w:r>
      <w:r w:rsidRPr="00830F4C">
        <w:rPr>
          <w:rFonts w:ascii="Garamond" w:hAnsi="Garamond"/>
          <w:color w:val="auto"/>
          <w:sz w:val="20"/>
          <w:szCs w:val="20"/>
        </w:rPr>
        <w:t>13</w:t>
      </w:r>
      <w:r w:rsidRPr="00830F4C">
        <w:rPr>
          <w:rFonts w:ascii="Garamond" w:hAnsi="Garamond"/>
          <w:color w:val="auto"/>
          <w:sz w:val="20"/>
          <w:szCs w:val="20"/>
        </w:rPr>
        <w:fldChar w:fldCharType="end"/>
      </w:r>
      <w:r w:rsidRPr="00830F4C">
        <w:rPr>
          <w:rFonts w:ascii="Garamond" w:hAnsi="Garamond" w:cs="Times New Roman"/>
          <w:color w:val="auto"/>
          <w:sz w:val="20"/>
          <w:szCs w:val="20"/>
        </w:rPr>
        <w:t>:</w:t>
      </w:r>
      <w:r w:rsidR="00936CBD" w:rsidRPr="00830F4C">
        <w:rPr>
          <w:rFonts w:ascii="Garamond" w:hAnsi="Garamond" w:cs="Times New Roman"/>
          <w:color w:val="auto"/>
          <w:sz w:val="20"/>
          <w:szCs w:val="20"/>
        </w:rPr>
        <w:t xml:space="preserve"> </w:t>
      </w:r>
      <w:r w:rsidRPr="00830F4C">
        <w:rPr>
          <w:rFonts w:ascii="Garamond" w:hAnsi="Garamond" w:cs="Times New Roman"/>
          <w:color w:val="auto"/>
          <w:sz w:val="20"/>
          <w:szCs w:val="20"/>
        </w:rPr>
        <w:t>Numri i subjekteve aktive me përgjegjësi</w:t>
      </w:r>
      <w:r w:rsidR="00DE65FB">
        <w:rPr>
          <w:rFonts w:ascii="Garamond" w:hAnsi="Garamond" w:cs="Times New Roman"/>
          <w:color w:val="auto"/>
          <w:sz w:val="20"/>
          <w:szCs w:val="20"/>
        </w:rPr>
        <w:t xml:space="preserve"> TVSh</w:t>
      </w:r>
      <w:r w:rsidRPr="00830F4C">
        <w:rPr>
          <w:rFonts w:ascii="Garamond" w:hAnsi="Garamond" w:cs="Times New Roman"/>
          <w:color w:val="auto"/>
          <w:sz w:val="20"/>
          <w:szCs w:val="20"/>
        </w:rPr>
        <w:t>-je</w:t>
      </w:r>
      <w:bookmarkEnd w:id="44"/>
      <w:bookmarkEnd w:id="45"/>
    </w:p>
    <w:tbl>
      <w:tblPr>
        <w:tblStyle w:val="GridTable1Light-Accent211"/>
        <w:tblW w:w="8060" w:type="dxa"/>
        <w:tblLook w:val="04A0" w:firstRow="1" w:lastRow="0" w:firstColumn="1" w:lastColumn="0" w:noHBand="0" w:noVBand="1"/>
      </w:tblPr>
      <w:tblGrid>
        <w:gridCol w:w="2720"/>
        <w:gridCol w:w="1660"/>
        <w:gridCol w:w="2320"/>
        <w:gridCol w:w="1360"/>
      </w:tblGrid>
      <w:tr w:rsidR="005F54A6" w:rsidRPr="00830F4C" w14:paraId="06944029" w14:textId="77777777" w:rsidTr="005F54A6">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20" w:type="dxa"/>
            <w:noWrap/>
            <w:hideMark/>
          </w:tcPr>
          <w:p w14:paraId="040466A7" w14:textId="77777777" w:rsidR="009153DB" w:rsidRPr="00830F4C" w:rsidRDefault="009153DB" w:rsidP="005F54A6">
            <w:pPr>
              <w:jc w:val="center"/>
              <w:rPr>
                <w:rFonts w:ascii="Garamond" w:hAnsi="Garamond"/>
                <w:sz w:val="20"/>
              </w:rPr>
            </w:pPr>
            <w:r w:rsidRPr="00830F4C">
              <w:rPr>
                <w:rFonts w:ascii="Garamond" w:hAnsi="Garamond"/>
                <w:sz w:val="20"/>
              </w:rPr>
              <w:t>Vitet</w:t>
            </w:r>
          </w:p>
        </w:tc>
        <w:tc>
          <w:tcPr>
            <w:tcW w:w="1660" w:type="dxa"/>
            <w:noWrap/>
            <w:hideMark/>
          </w:tcPr>
          <w:p w14:paraId="37E2C3A6" w14:textId="77777777" w:rsidR="009153DB" w:rsidRPr="00830F4C" w:rsidRDefault="009153DB" w:rsidP="005F54A6">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2021</w:t>
            </w:r>
          </w:p>
        </w:tc>
        <w:tc>
          <w:tcPr>
            <w:tcW w:w="2320" w:type="dxa"/>
            <w:noWrap/>
            <w:hideMark/>
          </w:tcPr>
          <w:p w14:paraId="11788CE0" w14:textId="77777777" w:rsidR="009153DB" w:rsidRPr="00830F4C" w:rsidRDefault="009153DB" w:rsidP="005F54A6">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2022</w:t>
            </w:r>
          </w:p>
        </w:tc>
        <w:tc>
          <w:tcPr>
            <w:tcW w:w="1360" w:type="dxa"/>
            <w:noWrap/>
            <w:hideMark/>
          </w:tcPr>
          <w:p w14:paraId="58C1317C" w14:textId="77777777" w:rsidR="009153DB" w:rsidRPr="00830F4C" w:rsidRDefault="009153DB" w:rsidP="005F54A6">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2023</w:t>
            </w:r>
          </w:p>
        </w:tc>
      </w:tr>
      <w:tr w:rsidR="005F54A6" w:rsidRPr="00830F4C" w14:paraId="485A3BFA" w14:textId="77777777" w:rsidTr="005F54A6">
        <w:trPr>
          <w:trHeight w:val="20"/>
        </w:trPr>
        <w:tc>
          <w:tcPr>
            <w:cnfStyle w:val="001000000000" w:firstRow="0" w:lastRow="0" w:firstColumn="1" w:lastColumn="0" w:oddVBand="0" w:evenVBand="0" w:oddHBand="0" w:evenHBand="0" w:firstRowFirstColumn="0" w:firstRowLastColumn="0" w:lastRowFirstColumn="0" w:lastRowLastColumn="0"/>
            <w:tcW w:w="2720" w:type="dxa"/>
            <w:hideMark/>
          </w:tcPr>
          <w:p w14:paraId="006E1DC5" w14:textId="77777777" w:rsidR="009153DB" w:rsidRPr="00830F4C" w:rsidRDefault="009153DB" w:rsidP="005F54A6">
            <w:pPr>
              <w:jc w:val="center"/>
              <w:rPr>
                <w:rFonts w:ascii="Garamond" w:hAnsi="Garamond"/>
                <w:sz w:val="20"/>
              </w:rPr>
            </w:pPr>
            <w:r w:rsidRPr="00830F4C">
              <w:rPr>
                <w:rFonts w:ascii="Garamond" w:hAnsi="Garamond"/>
                <w:sz w:val="20"/>
              </w:rPr>
              <w:t>Numri i subjekteve</w:t>
            </w:r>
          </w:p>
        </w:tc>
        <w:tc>
          <w:tcPr>
            <w:tcW w:w="1660" w:type="dxa"/>
            <w:noWrap/>
            <w:hideMark/>
          </w:tcPr>
          <w:p w14:paraId="1B78BCE0" w14:textId="77777777" w:rsidR="009153DB" w:rsidRPr="00830F4C" w:rsidRDefault="009153DB" w:rsidP="005F54A6">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27,883</w:t>
            </w:r>
          </w:p>
        </w:tc>
        <w:tc>
          <w:tcPr>
            <w:tcW w:w="2320" w:type="dxa"/>
            <w:noWrap/>
            <w:hideMark/>
          </w:tcPr>
          <w:p w14:paraId="01F29A99" w14:textId="77777777" w:rsidR="009153DB" w:rsidRPr="00830F4C" w:rsidRDefault="009153DB" w:rsidP="005F54A6">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31,215</w:t>
            </w:r>
          </w:p>
        </w:tc>
        <w:tc>
          <w:tcPr>
            <w:tcW w:w="1360" w:type="dxa"/>
            <w:noWrap/>
            <w:hideMark/>
          </w:tcPr>
          <w:p w14:paraId="5321878E" w14:textId="77777777" w:rsidR="009153DB" w:rsidRPr="00830F4C" w:rsidRDefault="009153DB" w:rsidP="005F54A6">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33,283</w:t>
            </w:r>
          </w:p>
        </w:tc>
      </w:tr>
    </w:tbl>
    <w:p w14:paraId="48BBAF66" w14:textId="77777777" w:rsidR="005F54A6" w:rsidRDefault="005F54A6" w:rsidP="009153DB">
      <w:pPr>
        <w:rPr>
          <w:rFonts w:ascii="Garamond" w:hAnsi="Garamond"/>
          <w:b/>
          <w:sz w:val="20"/>
          <w:szCs w:val="20"/>
        </w:rPr>
      </w:pPr>
    </w:p>
    <w:p w14:paraId="66EE77CE" w14:textId="77777777" w:rsidR="00445927" w:rsidRPr="00445927" w:rsidRDefault="00445927" w:rsidP="00445927">
      <w:pPr>
        <w:ind w:firstLine="284"/>
        <w:jc w:val="both"/>
        <w:rPr>
          <w:rFonts w:ascii="Garamond" w:hAnsi="Garamond"/>
          <w:bCs/>
        </w:rPr>
      </w:pPr>
      <w:r w:rsidRPr="00445927">
        <w:rPr>
          <w:rFonts w:ascii="Garamond" w:hAnsi="Garamond"/>
          <w:bCs/>
        </w:rPr>
        <w:t>Aktiviteti 2.1.5.1. Krijimi i kritereve të riskut që evidentojnë tatimpagues me riskun e shmangies së TVSH-së.</w:t>
      </w:r>
    </w:p>
    <w:p w14:paraId="65771338" w14:textId="77777777" w:rsidR="00445927" w:rsidRPr="00445927" w:rsidRDefault="00445927" w:rsidP="00445927">
      <w:pPr>
        <w:ind w:firstLine="284"/>
        <w:jc w:val="both"/>
        <w:rPr>
          <w:rFonts w:ascii="Garamond" w:hAnsi="Garamond"/>
        </w:rPr>
      </w:pPr>
      <w:r w:rsidRPr="00445927">
        <w:rPr>
          <w:rFonts w:ascii="Garamond" w:hAnsi="Garamond"/>
        </w:rPr>
        <w:t xml:space="preserve">Kritere të reja risku të natyrës si: numër i lartë punonjësish, blerje mbi kufirin e TVSH-së, qarkullim të deklaruar në mënyrë të vijueshme në kufi të pragut pa e kaluar atë etj, do aplikohen nga administrata tatimore në sektorë të caktuar. </w:t>
      </w:r>
    </w:p>
    <w:p w14:paraId="5AFFBCAC" w14:textId="77777777" w:rsidR="00445927" w:rsidRPr="00445927" w:rsidRDefault="00445927" w:rsidP="00445927">
      <w:pPr>
        <w:ind w:firstLine="284"/>
        <w:rPr>
          <w:rFonts w:ascii="Garamond" w:hAnsi="Garamond"/>
          <w:bCs/>
        </w:rPr>
      </w:pPr>
      <w:r w:rsidRPr="00445927">
        <w:rPr>
          <w:rFonts w:ascii="Garamond" w:hAnsi="Garamond"/>
          <w:bCs/>
        </w:rPr>
        <w:t>Aktiviteti 2.1.5.2 Parambushja e deklaratës së TVSH brenda vitit 2026</w:t>
      </w:r>
    </w:p>
    <w:p w14:paraId="1FF60B59" w14:textId="77777777" w:rsidR="00445927" w:rsidRPr="00445927" w:rsidRDefault="00445927" w:rsidP="00445927">
      <w:pPr>
        <w:ind w:firstLine="284"/>
        <w:jc w:val="both"/>
        <w:rPr>
          <w:rFonts w:ascii="Garamond" w:hAnsi="Garamond"/>
        </w:rPr>
      </w:pPr>
      <w:r w:rsidRPr="00445927">
        <w:rPr>
          <w:rFonts w:ascii="Garamond" w:hAnsi="Garamond"/>
        </w:rPr>
        <w:t xml:space="preserve">Fiskalizimi si reforma më madhore e implementuar nga administrata tatimore gjatë viteve të fundit ndryshoi rrënjësisht mënyrën e faturimit, duke sjellë faturimin dhe deklarimin pranë AT në kohë reale. Aktualisht, po punohet për konsolidimin e procesit të fiskalizimit, bërjen funksional të një moduli risku vetëm për ketë proces dhe zhvillimin e raporteve </w:t>
      </w:r>
      <w:r w:rsidRPr="00445927">
        <w:rPr>
          <w:rFonts w:ascii="Garamond" w:hAnsi="Garamond"/>
          <w:i/>
          <w:iCs/>
        </w:rPr>
        <w:t>Business Intelligent</w:t>
      </w:r>
      <w:r w:rsidRPr="00445927">
        <w:rPr>
          <w:rFonts w:ascii="Garamond" w:hAnsi="Garamond"/>
        </w:rPr>
        <w:t xml:space="preserve"> që do ndihmojnë në një gjurmim më të lehtë dhe më efikas të subjekteve mospërmbushës. Administrata tatimore ka hedhur hapa përpara dhe ka mundësuar parambushjen dhe deklarimin automatik të librave të shitjes dhe blerjes si dhe në të ardhmen e shpejtë synon parambushjen dhe deklarimin automatik të deklaratës së tvsh-së. </w:t>
      </w:r>
    </w:p>
    <w:p w14:paraId="3D1E0849" w14:textId="77777777" w:rsidR="00445927" w:rsidRPr="00445927" w:rsidRDefault="00445927" w:rsidP="00445927">
      <w:pPr>
        <w:ind w:firstLine="284"/>
        <w:jc w:val="both"/>
        <w:rPr>
          <w:rFonts w:ascii="Garamond" w:hAnsi="Garamond"/>
        </w:rPr>
      </w:pPr>
      <w:r w:rsidRPr="00445927">
        <w:rPr>
          <w:rFonts w:ascii="Garamond" w:hAnsi="Garamond"/>
        </w:rPr>
        <w:t>Parambushja e deklaratës së TVSH do bëhet brenda vitit 2026 dhe me këtë proces mbyllet cikli i deklarimit automatik që nga faturimi deri në deklarimin final të TVSH-së kështu administrata tatimore disponon në kohë reale ecurinë e deklarimit të TVSH-së per cdo tatimpagues.</w:t>
      </w:r>
    </w:p>
    <w:p w14:paraId="1359424E" w14:textId="77777777" w:rsidR="00445927" w:rsidRDefault="00445927" w:rsidP="00445927">
      <w:pPr>
        <w:jc w:val="both"/>
      </w:pPr>
    </w:p>
    <w:p w14:paraId="6344C421" w14:textId="3C7DB25D" w:rsidR="005F54A6" w:rsidRPr="00830F4C" w:rsidRDefault="005F54A6" w:rsidP="005F54A6">
      <w:pPr>
        <w:pStyle w:val="Heading2"/>
        <w:spacing w:before="0"/>
        <w:ind w:firstLine="284"/>
        <w:rPr>
          <w:rFonts w:ascii="Garamond" w:hAnsi="Garamond" w:cs="Times New Roman"/>
          <w:b/>
          <w:color w:val="auto"/>
          <w:sz w:val="24"/>
          <w:szCs w:val="24"/>
        </w:rPr>
      </w:pPr>
      <w:bookmarkStart w:id="46" w:name="_Toc167123152"/>
      <w:bookmarkStart w:id="47" w:name="_Toc168066228"/>
      <w:bookmarkStart w:id="48" w:name="_Toc172271634"/>
      <w:bookmarkStart w:id="49" w:name="_Toc185235094"/>
      <w:r w:rsidRPr="00830F4C">
        <w:rPr>
          <w:rFonts w:ascii="Garamond" w:hAnsi="Garamond" w:cs="Times New Roman"/>
          <w:b/>
          <w:color w:val="auto"/>
          <w:sz w:val="24"/>
          <w:szCs w:val="24"/>
        </w:rPr>
        <w:t>V.3 Komponenti 2.2 Ulja e pagesave me para në dorë në ekonomi</w:t>
      </w:r>
      <w:bookmarkEnd w:id="46"/>
      <w:bookmarkEnd w:id="47"/>
      <w:bookmarkEnd w:id="48"/>
      <w:bookmarkEnd w:id="49"/>
      <w:r w:rsidRPr="00830F4C">
        <w:rPr>
          <w:rFonts w:ascii="Garamond" w:hAnsi="Garamond" w:cs="Times New Roman"/>
          <w:b/>
          <w:color w:val="auto"/>
          <w:sz w:val="24"/>
          <w:szCs w:val="24"/>
        </w:rPr>
        <w:t xml:space="preserve"> </w:t>
      </w:r>
    </w:p>
    <w:p w14:paraId="60250B4A" w14:textId="77777777" w:rsidR="005F54A6" w:rsidRPr="00830F4C" w:rsidRDefault="005F54A6" w:rsidP="005F54A6">
      <w:pPr>
        <w:ind w:firstLine="284"/>
        <w:rPr>
          <w:rFonts w:ascii="Garamond" w:hAnsi="Garamond"/>
          <w:b/>
        </w:rPr>
      </w:pPr>
      <w:r w:rsidRPr="00830F4C">
        <w:rPr>
          <w:rFonts w:ascii="Garamond" w:hAnsi="Garamond"/>
          <w:b/>
        </w:rPr>
        <w:t>Objektivi</w:t>
      </w:r>
    </w:p>
    <w:p w14:paraId="082F05E8" w14:textId="77777777" w:rsidR="005F54A6" w:rsidRPr="00830F4C" w:rsidRDefault="005F54A6" w:rsidP="005F54A6">
      <w:pPr>
        <w:ind w:firstLine="284"/>
        <w:jc w:val="both"/>
        <w:rPr>
          <w:rFonts w:ascii="Garamond" w:hAnsi="Garamond"/>
        </w:rPr>
      </w:pPr>
      <w:r w:rsidRPr="00830F4C">
        <w:rPr>
          <w:rFonts w:ascii="Garamond" w:hAnsi="Garamond"/>
        </w:rPr>
        <w:t>Synimi i këtij komponenti është ulja e qarkullimit të pagesave me para në dorë në ekonomi nëpërmjet masave të administrimit fiskal.</w:t>
      </w:r>
    </w:p>
    <w:p w14:paraId="0F02379A" w14:textId="77777777" w:rsidR="005F54A6" w:rsidRPr="00830F4C" w:rsidRDefault="005F54A6" w:rsidP="005F54A6">
      <w:pPr>
        <w:ind w:firstLine="284"/>
        <w:rPr>
          <w:rFonts w:ascii="Garamond" w:hAnsi="Garamond"/>
          <w:b/>
        </w:rPr>
      </w:pPr>
      <w:r w:rsidRPr="00830F4C">
        <w:rPr>
          <w:rFonts w:ascii="Garamond" w:hAnsi="Garamond"/>
          <w:b/>
        </w:rPr>
        <w:t>Konteksti</w:t>
      </w:r>
    </w:p>
    <w:p w14:paraId="631BC9C3" w14:textId="7DDABE54" w:rsidR="005F54A6" w:rsidRPr="00830F4C" w:rsidRDefault="005F54A6" w:rsidP="005F54A6">
      <w:pPr>
        <w:ind w:firstLine="284"/>
        <w:jc w:val="both"/>
        <w:rPr>
          <w:rFonts w:ascii="Garamond" w:hAnsi="Garamond"/>
        </w:rPr>
      </w:pPr>
      <w:r w:rsidRPr="00830F4C">
        <w:rPr>
          <w:rFonts w:ascii="Garamond" w:hAnsi="Garamond"/>
        </w:rPr>
        <w:t xml:space="preserve">Përdorimi i pagesave me para në dorë në Shqipëri ka qenë dhe mbetet ende i lartë në krahasim me vendet e tjera evropiane. Sipas të dhënave të fundit nga Banka e Shqipërisë, rreth 90% e transaksioneve të konsumit përfundimtar kryheshin me para në dorë në vitin 2022. Raporti i vlerës së kartëmonedhave dhe monedhave në qarkullim ndaj M3 (Agregatit të Gjerë Monetar). Në fund të vitit 2022, ky raport ishte 27.9% në Shqipëri sipas Bankës së Shqipërisë. Kjo është shumë më e lartë se mesatarja e vendeve të Bashkimit Evropian prej 10.7%. Bazuar në të dhënat e </w:t>
      </w:r>
      <w:r w:rsidR="00D22EA5" w:rsidRPr="00830F4C">
        <w:rPr>
          <w:rFonts w:ascii="Garamond" w:hAnsi="Garamond"/>
        </w:rPr>
        <w:t>“</w:t>
      </w:r>
      <w:r w:rsidRPr="00830F4C">
        <w:rPr>
          <w:rFonts w:ascii="Garamond" w:hAnsi="Garamond"/>
        </w:rPr>
        <w:t>Raportit Vjetor 2022 të Bankës së Shqipërisë</w:t>
      </w:r>
      <w:r w:rsidR="00830F4C">
        <w:rPr>
          <w:rFonts w:ascii="Garamond" w:hAnsi="Garamond"/>
        </w:rPr>
        <w:t>”</w:t>
      </w:r>
      <w:r w:rsidRPr="00830F4C">
        <w:rPr>
          <w:rStyle w:val="FootnoteReference"/>
          <w:rFonts w:ascii="Garamond" w:hAnsi="Garamond"/>
        </w:rPr>
        <w:footnoteReference w:id="7"/>
      </w:r>
      <w:r w:rsidRPr="00830F4C">
        <w:rPr>
          <w:rFonts w:ascii="Garamond" w:hAnsi="Garamond"/>
        </w:rPr>
        <w:t xml:space="preserve"> në fund të vitit 2022, infrastruktura e ofruar nga këto banka ka shënuar një rritje të konsiderueshme në numrin e terminaleve POS me 18.1% krahasuar me vitin 2021. Megjithatë, përqendrimi i këtyre terminaleve vijon të jetë i lartë në qarkun e Tiranës me 83.3% të tyre, për shkak të </w:t>
      </w:r>
      <w:r w:rsidR="00830F4C" w:rsidRPr="00830F4C">
        <w:rPr>
          <w:rFonts w:ascii="Garamond" w:hAnsi="Garamond"/>
        </w:rPr>
        <w:t>përqendrimit</w:t>
      </w:r>
      <w:r w:rsidRPr="00830F4C">
        <w:rPr>
          <w:rFonts w:ascii="Garamond" w:hAnsi="Garamond"/>
        </w:rPr>
        <w:t xml:space="preserve"> të madh të sipërmarrësve dhe popullsisë në këtë zonë. Gjithashtu, është vërejtur një shpërndarje më e gjerë e rrjetit të POS-eve në rajonet e tjera të vendit gjatë vitit 2022, me përjashtim të qarkut të Elbasanit. Përdorimi i kartave në pikat POS është rritur me 35.5% krahasuar me vitin 2021.</w:t>
      </w:r>
    </w:p>
    <w:p w14:paraId="3C182E3C" w14:textId="77777777" w:rsidR="005F54A6" w:rsidRPr="00830F4C" w:rsidRDefault="005F54A6" w:rsidP="005F54A6">
      <w:pPr>
        <w:ind w:firstLine="284"/>
        <w:jc w:val="both"/>
        <w:rPr>
          <w:rFonts w:ascii="Garamond" w:hAnsi="Garamond"/>
          <w:i/>
        </w:rPr>
      </w:pPr>
      <w:r w:rsidRPr="00830F4C">
        <w:rPr>
          <w:rFonts w:ascii="Garamond" w:hAnsi="Garamond"/>
          <w:i/>
        </w:rPr>
        <w:t>Rritja e numrit të ATM-ve dhe funksionet e reja</w:t>
      </w:r>
    </w:p>
    <w:p w14:paraId="06B278F6" w14:textId="77777777" w:rsidR="005F54A6" w:rsidRPr="00830F4C" w:rsidRDefault="005F54A6" w:rsidP="005F54A6">
      <w:pPr>
        <w:ind w:firstLine="284"/>
        <w:jc w:val="both"/>
        <w:rPr>
          <w:rFonts w:ascii="Garamond" w:hAnsi="Garamond"/>
        </w:rPr>
      </w:pPr>
      <w:r w:rsidRPr="00830F4C">
        <w:rPr>
          <w:rFonts w:ascii="Garamond" w:hAnsi="Garamond"/>
        </w:rPr>
        <w:t xml:space="preserve">Numri i ATM-ve është rritur me 4.0% krahasuar me vitin 2021. Megjithëse ATM-të përdoren kryesisht për tërheqje </w:t>
      </w:r>
      <w:r w:rsidRPr="00830F4C">
        <w:rPr>
          <w:rFonts w:ascii="Garamond" w:hAnsi="Garamond"/>
          <w:i/>
        </w:rPr>
        <w:t>cash</w:t>
      </w:r>
      <w:r w:rsidRPr="00830F4C">
        <w:rPr>
          <w:rFonts w:ascii="Garamond" w:hAnsi="Garamond"/>
        </w:rPr>
        <w:t>-i, gjatë vitit 2022 ka pasur një zgjerim të funksionit të ATM-ve që lejojnë depozitimet, me përdorim të rritur krahasuar me vitin 2021. Për 100,000 të rritur në Shqipëri, numri i ATM-ve dhe POS-eve ka pësuar një rritje të vazhdueshme gjatë 5 viteve të fundit, duke treguar një rritje të përdorimit të kartave dhe përfshirjes financiare.</w:t>
      </w:r>
    </w:p>
    <w:p w14:paraId="07D71B96" w14:textId="77777777" w:rsidR="005F54A6" w:rsidRPr="00830F4C" w:rsidRDefault="005F54A6" w:rsidP="005F54A6">
      <w:pPr>
        <w:ind w:firstLine="284"/>
        <w:jc w:val="both"/>
        <w:rPr>
          <w:rFonts w:ascii="Garamond" w:hAnsi="Garamond"/>
          <w:i/>
        </w:rPr>
      </w:pPr>
      <w:r w:rsidRPr="00830F4C">
        <w:rPr>
          <w:rFonts w:ascii="Garamond" w:hAnsi="Garamond"/>
          <w:i/>
        </w:rPr>
        <w:t>Reduktimi i transaksioneve me para fizike</w:t>
      </w:r>
    </w:p>
    <w:p w14:paraId="6249EF08" w14:textId="77777777" w:rsidR="005F54A6" w:rsidRPr="00830F4C" w:rsidRDefault="005F54A6" w:rsidP="005F54A6">
      <w:pPr>
        <w:ind w:firstLine="284"/>
        <w:jc w:val="both"/>
        <w:rPr>
          <w:rFonts w:ascii="Garamond" w:hAnsi="Garamond"/>
        </w:rPr>
      </w:pPr>
      <w:r w:rsidRPr="00830F4C">
        <w:rPr>
          <w:rFonts w:ascii="Garamond" w:hAnsi="Garamond"/>
        </w:rPr>
        <w:t>Transaksionet me para fizike në sportelet e bankave kanë shënuar një rënie në numër me 9.2% dhe një rritje të lehtë në vlerë me 1.3% në vitin 2022 krahasuar me një vit më parë. Përdorimi i parasë fizike mbetet ende mbizotërues në ekonominë shqiptare, duke mbartur kosto të larta për aktorët ekonomikë. Për këtë arsye, është thelbësore nxitja e përdorimit të instrumenteve më efikase dhe me kosto të ulëta, që përbën një nga prioritetet e Bankës së Shqipërisë.</w:t>
      </w:r>
    </w:p>
    <w:p w14:paraId="4963DFD2" w14:textId="1DBDCCC8" w:rsidR="005F54A6" w:rsidRPr="00830F4C" w:rsidRDefault="005F54A6" w:rsidP="005F54A6">
      <w:pPr>
        <w:ind w:firstLine="284"/>
        <w:jc w:val="both"/>
        <w:rPr>
          <w:rFonts w:ascii="Garamond" w:hAnsi="Garamond"/>
        </w:rPr>
      </w:pPr>
      <w:r w:rsidRPr="00830F4C">
        <w:rPr>
          <w:rFonts w:ascii="Garamond" w:hAnsi="Garamond"/>
        </w:rPr>
        <w:t>Grafikët në vijim tregojnë trendin e rritjes ndër vite të terminaleve POS dhe ATM</w:t>
      </w:r>
      <w:r w:rsidR="005C7FB7">
        <w:rPr>
          <w:rFonts w:ascii="Garamond" w:hAnsi="Garamond"/>
        </w:rPr>
        <w:t>-eve</w:t>
      </w:r>
      <w:r w:rsidRPr="00830F4C">
        <w:rPr>
          <w:rFonts w:ascii="Garamond" w:hAnsi="Garamond"/>
        </w:rPr>
        <w:t xml:space="preserve"> 2015–2022 (të dhëna të plota) dhe projeksion me të dhëna të </w:t>
      </w:r>
      <w:r w:rsidR="00236281" w:rsidRPr="00830F4C">
        <w:rPr>
          <w:rFonts w:ascii="Garamond" w:hAnsi="Garamond"/>
        </w:rPr>
        <w:t>pjesshme</w:t>
      </w:r>
      <w:r w:rsidRPr="00830F4C">
        <w:rPr>
          <w:rFonts w:ascii="Garamond" w:hAnsi="Garamond"/>
        </w:rPr>
        <w:t xml:space="preserve"> për 2023.</w:t>
      </w:r>
    </w:p>
    <w:p w14:paraId="178E53EF" w14:textId="5778108D" w:rsidR="005F54A6" w:rsidRPr="00830F4C" w:rsidRDefault="005F54A6" w:rsidP="005F54A6">
      <w:pPr>
        <w:pStyle w:val="Caption"/>
        <w:spacing w:after="0"/>
        <w:ind w:firstLine="284"/>
        <w:rPr>
          <w:rFonts w:ascii="Garamond" w:hAnsi="Garamond" w:cs="Times New Roman"/>
          <w:color w:val="auto"/>
          <w:sz w:val="20"/>
          <w:szCs w:val="24"/>
        </w:rPr>
      </w:pPr>
      <w:bookmarkStart w:id="50" w:name="_Toc185235124"/>
      <w:r w:rsidRPr="00830F4C">
        <w:rPr>
          <w:rFonts w:ascii="Garamond" w:hAnsi="Garamond"/>
          <w:color w:val="auto"/>
          <w:sz w:val="20"/>
          <w:szCs w:val="24"/>
        </w:rPr>
        <w:t xml:space="preserve">Grafik </w:t>
      </w:r>
      <w:r w:rsidRPr="00830F4C">
        <w:rPr>
          <w:rFonts w:ascii="Garamond" w:hAnsi="Garamond"/>
          <w:color w:val="auto"/>
          <w:sz w:val="20"/>
          <w:szCs w:val="24"/>
        </w:rPr>
        <w:fldChar w:fldCharType="begin"/>
      </w:r>
      <w:r w:rsidRPr="00830F4C">
        <w:rPr>
          <w:rFonts w:ascii="Garamond" w:hAnsi="Garamond"/>
          <w:color w:val="auto"/>
          <w:sz w:val="20"/>
          <w:szCs w:val="24"/>
        </w:rPr>
        <w:instrText xml:space="preserve"> SEQ Grafik \* ARABIC </w:instrText>
      </w:r>
      <w:r w:rsidRPr="00830F4C">
        <w:rPr>
          <w:rFonts w:ascii="Garamond" w:hAnsi="Garamond"/>
          <w:color w:val="auto"/>
          <w:sz w:val="20"/>
          <w:szCs w:val="24"/>
        </w:rPr>
        <w:fldChar w:fldCharType="separate"/>
      </w:r>
      <w:r w:rsidRPr="00830F4C">
        <w:rPr>
          <w:rFonts w:ascii="Garamond" w:hAnsi="Garamond"/>
          <w:color w:val="auto"/>
          <w:sz w:val="20"/>
          <w:szCs w:val="24"/>
        </w:rPr>
        <w:t>8</w:t>
      </w:r>
      <w:r w:rsidRPr="00830F4C">
        <w:rPr>
          <w:rFonts w:ascii="Garamond" w:hAnsi="Garamond"/>
          <w:color w:val="auto"/>
          <w:sz w:val="20"/>
          <w:szCs w:val="24"/>
        </w:rPr>
        <w:fldChar w:fldCharType="end"/>
      </w:r>
      <w:r w:rsidRPr="00830F4C">
        <w:rPr>
          <w:rFonts w:ascii="Garamond" w:hAnsi="Garamond" w:cs="Times New Roman"/>
          <w:color w:val="auto"/>
          <w:sz w:val="20"/>
          <w:szCs w:val="24"/>
        </w:rPr>
        <w:t>: Terminale POS (Point of Sale) gjatë viteve</w:t>
      </w:r>
      <w:bookmarkEnd w:id="50"/>
    </w:p>
    <w:p w14:paraId="4A36A6BB" w14:textId="77777777" w:rsidR="005F54A6" w:rsidRPr="00830F4C" w:rsidRDefault="005F54A6" w:rsidP="005F54A6">
      <w:pPr>
        <w:jc w:val="both"/>
      </w:pPr>
      <w:r w:rsidRPr="00830F4C">
        <w:rPr>
          <w:noProof/>
          <w:lang w:val="en-US"/>
        </w:rPr>
        <w:drawing>
          <wp:inline distT="0" distB="0" distL="0" distR="0" wp14:anchorId="199BC769" wp14:editId="083DD17A">
            <wp:extent cx="5943600" cy="2085975"/>
            <wp:effectExtent l="0" t="0" r="0" b="9525"/>
            <wp:docPr id="5" name="Picture 5"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 shot of a graph&#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2085975"/>
                    </a:xfrm>
                    <a:prstGeom prst="rect">
                      <a:avLst/>
                    </a:prstGeom>
                  </pic:spPr>
                </pic:pic>
              </a:graphicData>
            </a:graphic>
          </wp:inline>
        </w:drawing>
      </w:r>
    </w:p>
    <w:p w14:paraId="2DA72289" w14:textId="77777777" w:rsidR="005F54A6" w:rsidRPr="00830F4C" w:rsidRDefault="005F54A6" w:rsidP="005F54A6">
      <w:pPr>
        <w:pStyle w:val="Caption"/>
        <w:rPr>
          <w:rFonts w:ascii="Garamond" w:hAnsi="Garamond" w:cs="Times New Roman"/>
          <w:color w:val="auto"/>
          <w:sz w:val="20"/>
        </w:rPr>
      </w:pPr>
      <w:bookmarkStart w:id="51" w:name="_Toc172043334"/>
      <w:bookmarkStart w:id="52" w:name="_Toc185235125"/>
      <w:r w:rsidRPr="00830F4C">
        <w:rPr>
          <w:rFonts w:ascii="Garamond" w:hAnsi="Garamond"/>
          <w:color w:val="auto"/>
          <w:sz w:val="20"/>
        </w:rPr>
        <w:t xml:space="preserve">Grafik </w:t>
      </w:r>
      <w:r w:rsidRPr="00830F4C">
        <w:rPr>
          <w:rFonts w:ascii="Garamond" w:hAnsi="Garamond"/>
          <w:color w:val="auto"/>
          <w:sz w:val="20"/>
        </w:rPr>
        <w:fldChar w:fldCharType="begin"/>
      </w:r>
      <w:r w:rsidRPr="00830F4C">
        <w:rPr>
          <w:rFonts w:ascii="Garamond" w:hAnsi="Garamond"/>
          <w:color w:val="auto"/>
          <w:sz w:val="20"/>
        </w:rPr>
        <w:instrText xml:space="preserve"> SEQ Grafik \* ARABIC </w:instrText>
      </w:r>
      <w:r w:rsidRPr="00830F4C">
        <w:rPr>
          <w:rFonts w:ascii="Garamond" w:hAnsi="Garamond"/>
          <w:color w:val="auto"/>
          <w:sz w:val="20"/>
        </w:rPr>
        <w:fldChar w:fldCharType="separate"/>
      </w:r>
      <w:r w:rsidRPr="00830F4C">
        <w:rPr>
          <w:rFonts w:ascii="Garamond" w:hAnsi="Garamond"/>
          <w:color w:val="auto"/>
          <w:sz w:val="20"/>
        </w:rPr>
        <w:t>9</w:t>
      </w:r>
      <w:r w:rsidRPr="00830F4C">
        <w:rPr>
          <w:rFonts w:ascii="Garamond" w:hAnsi="Garamond"/>
          <w:color w:val="auto"/>
          <w:sz w:val="20"/>
        </w:rPr>
        <w:fldChar w:fldCharType="end"/>
      </w:r>
      <w:r w:rsidRPr="00830F4C">
        <w:rPr>
          <w:rFonts w:ascii="Garamond" w:hAnsi="Garamond" w:cs="Times New Roman"/>
          <w:color w:val="auto"/>
          <w:sz w:val="20"/>
        </w:rPr>
        <w:t>: Indikator Terminale POS për 100.000 banorë</w:t>
      </w:r>
      <w:bookmarkEnd w:id="51"/>
      <w:bookmarkEnd w:id="52"/>
    </w:p>
    <w:p w14:paraId="7FE4A9FF" w14:textId="77777777" w:rsidR="005F54A6" w:rsidRPr="00830F4C" w:rsidRDefault="005F54A6" w:rsidP="005F54A6">
      <w:pPr>
        <w:jc w:val="both"/>
      </w:pPr>
      <w:r w:rsidRPr="00830F4C">
        <w:rPr>
          <w:noProof/>
          <w:lang w:val="en-US"/>
        </w:rPr>
        <w:drawing>
          <wp:inline distT="0" distB="0" distL="0" distR="0" wp14:anchorId="4699EFFD" wp14:editId="1A989F5E">
            <wp:extent cx="5943600" cy="2066925"/>
            <wp:effectExtent l="0" t="0" r="0" b="9525"/>
            <wp:docPr id="9" name="Picture 9"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creenshot of a computer screen&#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2066925"/>
                    </a:xfrm>
                    <a:prstGeom prst="rect">
                      <a:avLst/>
                    </a:prstGeom>
                  </pic:spPr>
                </pic:pic>
              </a:graphicData>
            </a:graphic>
          </wp:inline>
        </w:drawing>
      </w:r>
    </w:p>
    <w:p w14:paraId="025A9FBD" w14:textId="77777777" w:rsidR="005F54A6" w:rsidRPr="00830F4C" w:rsidRDefault="005F54A6" w:rsidP="005F54A6">
      <w:pPr>
        <w:jc w:val="both"/>
        <w:rPr>
          <w:rFonts w:ascii="Garamond" w:hAnsi="Garamond"/>
          <w:i/>
          <w:sz w:val="20"/>
        </w:rPr>
      </w:pPr>
      <w:r w:rsidRPr="00830F4C">
        <w:rPr>
          <w:rFonts w:ascii="Garamond" w:hAnsi="Garamond"/>
          <w:i/>
          <w:sz w:val="20"/>
        </w:rPr>
        <w:t>Burimi: Banka e Shqipërisë</w:t>
      </w:r>
    </w:p>
    <w:p w14:paraId="69AED220" w14:textId="27486D43" w:rsidR="005F54A6" w:rsidRPr="00830F4C" w:rsidRDefault="005F54A6" w:rsidP="00A468BF">
      <w:pPr>
        <w:ind w:firstLine="284"/>
        <w:jc w:val="both"/>
        <w:rPr>
          <w:rFonts w:ascii="Garamond" w:hAnsi="Garamond"/>
        </w:rPr>
      </w:pPr>
      <w:r w:rsidRPr="00830F4C">
        <w:rPr>
          <w:rFonts w:ascii="Garamond" w:hAnsi="Garamond"/>
        </w:rPr>
        <w:t>Këto shifra tregojnë se ekonomia shqiptare vazhdon të jetë e dominuar nga përdorimi i parave fizike, megjithëse</w:t>
      </w:r>
      <w:r w:rsidR="00B14D40">
        <w:rPr>
          <w:rFonts w:ascii="Garamond" w:hAnsi="Garamond"/>
        </w:rPr>
        <w:t>,</w:t>
      </w:r>
      <w:r w:rsidRPr="00830F4C">
        <w:rPr>
          <w:rFonts w:ascii="Garamond" w:hAnsi="Garamond"/>
        </w:rPr>
        <w:t xml:space="preserve"> vitet e fundit ka pa</w:t>
      </w:r>
      <w:r w:rsidR="00B14D40">
        <w:rPr>
          <w:rFonts w:ascii="Garamond" w:hAnsi="Garamond"/>
        </w:rPr>
        <w:t>s</w:t>
      </w:r>
      <w:r w:rsidRPr="00830F4C">
        <w:rPr>
          <w:rFonts w:ascii="Garamond" w:hAnsi="Garamond"/>
        </w:rPr>
        <w:t xml:space="preserve">ur një rritje të lehtë të përdorimit të kartave dhe pagesave elektronike. Raporti i përdorimit të </w:t>
      </w:r>
      <w:r w:rsidRPr="00B14D40">
        <w:rPr>
          <w:rFonts w:ascii="Garamond" w:hAnsi="Garamond"/>
          <w:i/>
        </w:rPr>
        <w:t>cash</w:t>
      </w:r>
      <w:r w:rsidRPr="00830F4C">
        <w:rPr>
          <w:rFonts w:ascii="Garamond" w:hAnsi="Garamond"/>
        </w:rPr>
        <w:t xml:space="preserve">-it ndaj kartave dhe formave të tjera të pagesave </w:t>
      </w:r>
      <w:r w:rsidRPr="00B14D40">
        <w:rPr>
          <w:rFonts w:ascii="Garamond" w:hAnsi="Garamond"/>
          <w:i/>
        </w:rPr>
        <w:t>online</w:t>
      </w:r>
      <w:r w:rsidRPr="00830F4C">
        <w:rPr>
          <w:rFonts w:ascii="Garamond" w:hAnsi="Garamond"/>
        </w:rPr>
        <w:t xml:space="preserve"> është akoma shumë i lartë. Disa nga arsyet kryesore që ndikojnë në këtë fenomen janë:</w:t>
      </w:r>
    </w:p>
    <w:p w14:paraId="72C005DE" w14:textId="77777777" w:rsidR="005F54A6" w:rsidRPr="00830F4C" w:rsidRDefault="005F54A6" w:rsidP="00A468BF">
      <w:pPr>
        <w:autoSpaceDE w:val="0"/>
        <w:autoSpaceDN w:val="0"/>
        <w:adjustRightInd w:val="0"/>
        <w:ind w:firstLine="284"/>
        <w:jc w:val="both"/>
        <w:rPr>
          <w:rFonts w:ascii="Garamond" w:eastAsiaTheme="minorHAnsi" w:hAnsi="Garamond"/>
        </w:rPr>
      </w:pPr>
      <w:r w:rsidRPr="00830F4C">
        <w:rPr>
          <w:rFonts w:ascii="Garamond" w:eastAsiaTheme="minorHAnsi" w:hAnsi="Garamond"/>
        </w:rPr>
        <w:t>1. Kultura jonë e kryerjes së pagesave me para në dorë;</w:t>
      </w:r>
    </w:p>
    <w:p w14:paraId="4BAE0A3D" w14:textId="069E8EE0" w:rsidR="005F54A6" w:rsidRPr="00830F4C" w:rsidRDefault="005F54A6" w:rsidP="00A468BF">
      <w:pPr>
        <w:autoSpaceDE w:val="0"/>
        <w:autoSpaceDN w:val="0"/>
        <w:adjustRightInd w:val="0"/>
        <w:ind w:firstLine="284"/>
        <w:jc w:val="both"/>
        <w:rPr>
          <w:rFonts w:ascii="Garamond" w:eastAsiaTheme="minorHAnsi" w:hAnsi="Garamond"/>
        </w:rPr>
      </w:pPr>
      <w:r w:rsidRPr="00830F4C">
        <w:rPr>
          <w:rFonts w:ascii="Garamond" w:eastAsiaTheme="minorHAnsi" w:hAnsi="Garamond"/>
        </w:rPr>
        <w:t>2.</w:t>
      </w:r>
      <w:r w:rsidR="00D22EA5" w:rsidRPr="00830F4C">
        <w:rPr>
          <w:rFonts w:ascii="Garamond" w:eastAsiaTheme="minorHAnsi" w:hAnsi="Garamond"/>
        </w:rPr>
        <w:t xml:space="preserve"> </w:t>
      </w:r>
      <w:r w:rsidRPr="00830F4C">
        <w:rPr>
          <w:rFonts w:ascii="Garamond" w:eastAsiaTheme="minorHAnsi" w:hAnsi="Garamond"/>
        </w:rPr>
        <w:t>Normë e ulët interesi për depozitat;</w:t>
      </w:r>
    </w:p>
    <w:p w14:paraId="6ECB91E9" w14:textId="0B98B82F" w:rsidR="005F54A6" w:rsidRPr="00830F4C" w:rsidRDefault="005F54A6" w:rsidP="00A468BF">
      <w:pPr>
        <w:autoSpaceDE w:val="0"/>
        <w:autoSpaceDN w:val="0"/>
        <w:adjustRightInd w:val="0"/>
        <w:ind w:firstLine="284"/>
        <w:jc w:val="both"/>
        <w:rPr>
          <w:rFonts w:ascii="Garamond" w:eastAsiaTheme="minorHAnsi" w:hAnsi="Garamond"/>
        </w:rPr>
      </w:pPr>
      <w:r w:rsidRPr="00830F4C">
        <w:rPr>
          <w:rFonts w:ascii="Garamond" w:eastAsiaTheme="minorHAnsi" w:hAnsi="Garamond"/>
        </w:rPr>
        <w:t>3.</w:t>
      </w:r>
      <w:r w:rsidR="00D22EA5" w:rsidRPr="00830F4C">
        <w:rPr>
          <w:rFonts w:ascii="Garamond" w:eastAsiaTheme="minorHAnsi" w:hAnsi="Garamond"/>
        </w:rPr>
        <w:t xml:space="preserve"> </w:t>
      </w:r>
      <w:r w:rsidRPr="00830F4C">
        <w:rPr>
          <w:rFonts w:ascii="Garamond" w:eastAsiaTheme="minorHAnsi" w:hAnsi="Garamond"/>
        </w:rPr>
        <w:t>Mosinstalimi i terminaleve POS në të gjitha pikat e shitjes me pakicë;</w:t>
      </w:r>
    </w:p>
    <w:p w14:paraId="12A989FD" w14:textId="398EC92F" w:rsidR="005F54A6" w:rsidRPr="00830F4C" w:rsidRDefault="005F54A6" w:rsidP="00A468BF">
      <w:pPr>
        <w:autoSpaceDE w:val="0"/>
        <w:autoSpaceDN w:val="0"/>
        <w:adjustRightInd w:val="0"/>
        <w:ind w:firstLine="284"/>
        <w:jc w:val="both"/>
        <w:rPr>
          <w:rFonts w:ascii="Garamond" w:eastAsiaTheme="minorHAnsi" w:hAnsi="Garamond"/>
        </w:rPr>
      </w:pPr>
      <w:r w:rsidRPr="00830F4C">
        <w:rPr>
          <w:rFonts w:ascii="Garamond" w:eastAsiaTheme="minorHAnsi" w:hAnsi="Garamond"/>
        </w:rPr>
        <w:t>4.</w:t>
      </w:r>
      <w:r w:rsidR="00D22EA5" w:rsidRPr="00830F4C">
        <w:rPr>
          <w:rFonts w:ascii="Garamond" w:eastAsiaTheme="minorHAnsi" w:hAnsi="Garamond"/>
        </w:rPr>
        <w:t xml:space="preserve"> </w:t>
      </w:r>
      <w:r w:rsidRPr="00830F4C">
        <w:rPr>
          <w:rFonts w:ascii="Garamond" w:eastAsiaTheme="minorHAnsi" w:hAnsi="Garamond"/>
        </w:rPr>
        <w:t xml:space="preserve">Burimi i parave </w:t>
      </w:r>
      <w:r w:rsidRPr="00B14D40">
        <w:rPr>
          <w:rFonts w:ascii="Garamond" w:eastAsiaTheme="minorHAnsi" w:hAnsi="Garamond"/>
          <w:i/>
        </w:rPr>
        <w:t>cash</w:t>
      </w:r>
      <w:r w:rsidRPr="00B14D40">
        <w:rPr>
          <w:rFonts w:ascii="Garamond" w:eastAsiaTheme="minorHAnsi" w:hAnsi="Garamond"/>
        </w:rPr>
        <w:t>,</w:t>
      </w:r>
      <w:r w:rsidRPr="00830F4C">
        <w:rPr>
          <w:rFonts w:ascii="Garamond" w:eastAsiaTheme="minorHAnsi" w:hAnsi="Garamond"/>
        </w:rPr>
        <w:t xml:space="preserve"> nëse një individ ka një të ardhur 80 mijë lek</w:t>
      </w:r>
      <w:r w:rsidR="00B14D40" w:rsidRPr="00830F4C">
        <w:rPr>
          <w:rFonts w:ascii="Garamond" w:eastAsiaTheme="minorHAnsi" w:hAnsi="Garamond"/>
        </w:rPr>
        <w:t>ë</w:t>
      </w:r>
      <w:r w:rsidRPr="00830F4C">
        <w:rPr>
          <w:rFonts w:ascii="Garamond" w:eastAsiaTheme="minorHAnsi" w:hAnsi="Garamond"/>
        </w:rPr>
        <w:t xml:space="preserve"> në muaj dhe shpenzon 200 mijë lek</w:t>
      </w:r>
      <w:r w:rsidR="00B14D40" w:rsidRPr="00830F4C">
        <w:rPr>
          <w:rFonts w:ascii="Garamond" w:eastAsiaTheme="minorHAnsi" w:hAnsi="Garamond"/>
        </w:rPr>
        <w:t>ë</w:t>
      </w:r>
      <w:r w:rsidRPr="00830F4C">
        <w:rPr>
          <w:rFonts w:ascii="Garamond" w:eastAsiaTheme="minorHAnsi" w:hAnsi="Garamond"/>
        </w:rPr>
        <w:t xml:space="preserve"> në muaj, pra jashtë burimit të ligjshëm, logjikisht që këtë diferencë e ka të krijuar nga burime të paligjshme;</w:t>
      </w:r>
    </w:p>
    <w:p w14:paraId="0D1F6995" w14:textId="29B23B6E" w:rsidR="005F54A6" w:rsidRPr="00830F4C" w:rsidRDefault="005F54A6" w:rsidP="00A468BF">
      <w:pPr>
        <w:autoSpaceDE w:val="0"/>
        <w:autoSpaceDN w:val="0"/>
        <w:adjustRightInd w:val="0"/>
        <w:ind w:firstLine="284"/>
        <w:jc w:val="both"/>
        <w:rPr>
          <w:rFonts w:ascii="Garamond" w:eastAsiaTheme="minorHAnsi" w:hAnsi="Garamond"/>
        </w:rPr>
      </w:pPr>
      <w:r w:rsidRPr="00830F4C">
        <w:rPr>
          <w:rFonts w:ascii="Garamond" w:eastAsiaTheme="minorHAnsi" w:hAnsi="Garamond"/>
        </w:rPr>
        <w:t>5.</w:t>
      </w:r>
      <w:r w:rsidR="00D22EA5" w:rsidRPr="00830F4C">
        <w:rPr>
          <w:rFonts w:ascii="Garamond" w:eastAsiaTheme="minorHAnsi" w:hAnsi="Garamond"/>
        </w:rPr>
        <w:t xml:space="preserve"> </w:t>
      </w:r>
      <w:r w:rsidRPr="00830F4C">
        <w:rPr>
          <w:rFonts w:ascii="Garamond" w:eastAsiaTheme="minorHAnsi" w:hAnsi="Garamond"/>
        </w:rPr>
        <w:t>Niveli i ekonomisë informale/jozyrtare;</w:t>
      </w:r>
    </w:p>
    <w:p w14:paraId="0922353A" w14:textId="67D300F9" w:rsidR="005F54A6" w:rsidRPr="00830F4C" w:rsidRDefault="005F54A6" w:rsidP="00A468BF">
      <w:pPr>
        <w:autoSpaceDE w:val="0"/>
        <w:autoSpaceDN w:val="0"/>
        <w:adjustRightInd w:val="0"/>
        <w:ind w:firstLine="284"/>
        <w:jc w:val="both"/>
        <w:rPr>
          <w:rFonts w:ascii="Garamond" w:eastAsiaTheme="minorHAnsi" w:hAnsi="Garamond"/>
        </w:rPr>
      </w:pPr>
      <w:r w:rsidRPr="00830F4C">
        <w:rPr>
          <w:rFonts w:ascii="Garamond" w:eastAsiaTheme="minorHAnsi" w:hAnsi="Garamond"/>
        </w:rPr>
        <w:t>6.</w:t>
      </w:r>
      <w:r w:rsidR="00D22EA5" w:rsidRPr="00830F4C">
        <w:rPr>
          <w:rFonts w:ascii="Garamond" w:eastAsiaTheme="minorHAnsi" w:hAnsi="Garamond"/>
        </w:rPr>
        <w:t xml:space="preserve"> </w:t>
      </w:r>
      <w:r w:rsidRPr="00830F4C">
        <w:rPr>
          <w:rFonts w:ascii="Garamond" w:eastAsiaTheme="minorHAnsi" w:hAnsi="Garamond"/>
        </w:rPr>
        <w:t>Niveli i ulët i edukimit financiar dhe rezistenca ndaj ndryshimit.</w:t>
      </w:r>
    </w:p>
    <w:p w14:paraId="0060991D" w14:textId="798E72FC" w:rsidR="005F54A6" w:rsidRPr="00830F4C" w:rsidRDefault="005F54A6" w:rsidP="00A468BF">
      <w:pPr>
        <w:ind w:firstLine="284"/>
        <w:jc w:val="both"/>
        <w:rPr>
          <w:rFonts w:ascii="Garamond" w:hAnsi="Garamond"/>
        </w:rPr>
      </w:pPr>
      <w:r w:rsidRPr="00830F4C">
        <w:rPr>
          <w:rFonts w:ascii="Garamond" w:hAnsi="Garamond"/>
        </w:rPr>
        <w:t xml:space="preserve">Megjithatë, qeveria dhe banka </w:t>
      </w:r>
      <w:r w:rsidR="00B14D40" w:rsidRPr="00830F4C">
        <w:rPr>
          <w:rFonts w:ascii="Garamond" w:hAnsi="Garamond"/>
        </w:rPr>
        <w:t>qendrore</w:t>
      </w:r>
      <w:r w:rsidRPr="00830F4C">
        <w:rPr>
          <w:rFonts w:ascii="Garamond" w:hAnsi="Garamond"/>
        </w:rPr>
        <w:t xml:space="preserve"> kanë ndërmarrë disa masa për të nxitur përdorimin e pagesave elektronike, si ulja e komisioneve bankare, promovimi i edukimit financiar, etj. Kjo pritet të ulë gradualisht varësinë nga paraja fizike në vitet e ardhshme.</w:t>
      </w:r>
    </w:p>
    <w:p w14:paraId="14DE9301" w14:textId="77777777" w:rsidR="005F54A6" w:rsidRPr="00830F4C" w:rsidRDefault="005F54A6" w:rsidP="00A468BF">
      <w:pPr>
        <w:ind w:firstLine="284"/>
        <w:jc w:val="both"/>
        <w:rPr>
          <w:rFonts w:ascii="Garamond" w:hAnsi="Garamond"/>
          <w:b/>
        </w:rPr>
      </w:pPr>
      <w:r w:rsidRPr="00830F4C">
        <w:rPr>
          <w:rFonts w:ascii="Garamond" w:hAnsi="Garamond"/>
          <w:b/>
        </w:rPr>
        <w:t>Prioritetet:</w:t>
      </w:r>
    </w:p>
    <w:p w14:paraId="39BA39F3" w14:textId="5A78B166" w:rsidR="005F54A6" w:rsidRPr="00830F4C" w:rsidRDefault="005F54A6" w:rsidP="00A468BF">
      <w:pPr>
        <w:ind w:firstLine="284"/>
        <w:jc w:val="both"/>
        <w:rPr>
          <w:rFonts w:ascii="Garamond" w:hAnsi="Garamond"/>
        </w:rPr>
      </w:pPr>
      <w:r w:rsidRPr="00830F4C">
        <w:rPr>
          <w:rFonts w:ascii="Garamond" w:hAnsi="Garamond"/>
        </w:rPr>
        <w:t>Prioritetet për periudhën</w:t>
      </w:r>
      <w:r w:rsidR="00800B00" w:rsidRPr="00830F4C">
        <w:rPr>
          <w:rFonts w:ascii="Garamond" w:hAnsi="Garamond"/>
        </w:rPr>
        <w:t xml:space="preserve"> </w:t>
      </w:r>
      <w:r w:rsidR="00D22EA5" w:rsidRPr="00830F4C">
        <w:rPr>
          <w:rFonts w:ascii="Garamond" w:hAnsi="Garamond"/>
        </w:rPr>
        <w:t>2024–2027</w:t>
      </w:r>
      <w:r w:rsidRPr="00830F4C">
        <w:rPr>
          <w:rFonts w:ascii="Garamond" w:hAnsi="Garamond"/>
        </w:rPr>
        <w:t xml:space="preserve"> janë:</w:t>
      </w:r>
    </w:p>
    <w:p w14:paraId="384DE40B" w14:textId="2D68BDB1" w:rsidR="005F54A6" w:rsidRPr="00830F4C" w:rsidRDefault="005F54A6" w:rsidP="00A468BF">
      <w:pPr>
        <w:autoSpaceDE w:val="0"/>
        <w:autoSpaceDN w:val="0"/>
        <w:adjustRightInd w:val="0"/>
        <w:ind w:firstLine="284"/>
        <w:rPr>
          <w:rFonts w:ascii="Garamond" w:eastAsiaTheme="minorHAnsi" w:hAnsi="Garamond"/>
        </w:rPr>
      </w:pPr>
      <w:r w:rsidRPr="00830F4C">
        <w:rPr>
          <w:rFonts w:ascii="Garamond" w:eastAsiaTheme="minorHAnsi" w:hAnsi="Garamond"/>
        </w:rPr>
        <w:t>- Ulje e përdorimit të pagesave me para në dorë në ekonomi</w:t>
      </w:r>
      <w:r w:rsidR="00B14D40">
        <w:rPr>
          <w:rFonts w:ascii="Garamond" w:eastAsiaTheme="minorHAnsi" w:hAnsi="Garamond"/>
        </w:rPr>
        <w:t>;</w:t>
      </w:r>
    </w:p>
    <w:p w14:paraId="1F3251F7" w14:textId="4960958F" w:rsidR="005F54A6" w:rsidRPr="00830F4C" w:rsidRDefault="005F54A6" w:rsidP="00A468BF">
      <w:pPr>
        <w:autoSpaceDE w:val="0"/>
        <w:autoSpaceDN w:val="0"/>
        <w:adjustRightInd w:val="0"/>
        <w:ind w:firstLine="284"/>
        <w:rPr>
          <w:rFonts w:ascii="Garamond" w:eastAsiaTheme="minorHAnsi" w:hAnsi="Garamond"/>
        </w:rPr>
      </w:pPr>
      <w:r w:rsidRPr="00830F4C">
        <w:rPr>
          <w:rFonts w:ascii="Garamond" w:eastAsiaTheme="minorHAnsi" w:hAnsi="Garamond"/>
        </w:rPr>
        <w:t>-</w:t>
      </w:r>
      <w:r w:rsidR="00A468BF" w:rsidRPr="00830F4C">
        <w:rPr>
          <w:rFonts w:ascii="Garamond" w:eastAsiaTheme="minorHAnsi" w:hAnsi="Garamond"/>
        </w:rPr>
        <w:t xml:space="preserve"> </w:t>
      </w:r>
      <w:r w:rsidR="00623719" w:rsidRPr="00830F4C">
        <w:rPr>
          <w:rFonts w:ascii="Garamond" w:eastAsiaTheme="minorHAnsi" w:hAnsi="Garamond"/>
        </w:rPr>
        <w:t>Rritj</w:t>
      </w:r>
      <w:r w:rsidRPr="00830F4C">
        <w:rPr>
          <w:rFonts w:ascii="Garamond" w:eastAsiaTheme="minorHAnsi" w:hAnsi="Garamond"/>
        </w:rPr>
        <w:t>e</w:t>
      </w:r>
      <w:r w:rsidR="00A468BF" w:rsidRPr="00830F4C">
        <w:rPr>
          <w:rFonts w:ascii="Garamond" w:eastAsiaTheme="minorHAnsi" w:hAnsi="Garamond"/>
        </w:rPr>
        <w:t xml:space="preserve"> e</w:t>
      </w:r>
      <w:r w:rsidRPr="00830F4C">
        <w:rPr>
          <w:rFonts w:ascii="Garamond" w:eastAsiaTheme="minorHAnsi" w:hAnsi="Garamond"/>
        </w:rPr>
        <w:t xml:space="preserve"> pagesave nëpërmjet </w:t>
      </w:r>
      <w:r w:rsidRPr="00B14D40">
        <w:rPr>
          <w:rFonts w:ascii="Garamond" w:eastAsiaTheme="minorHAnsi" w:hAnsi="Garamond"/>
          <w:i/>
        </w:rPr>
        <w:t>e-banking</w:t>
      </w:r>
      <w:r w:rsidR="00B14D40">
        <w:rPr>
          <w:rFonts w:ascii="Garamond" w:eastAsiaTheme="minorHAnsi" w:hAnsi="Garamond"/>
        </w:rPr>
        <w:t>;</w:t>
      </w:r>
    </w:p>
    <w:p w14:paraId="687F2DA5" w14:textId="23077EAB" w:rsidR="005F54A6" w:rsidRPr="00830F4C" w:rsidRDefault="00623719" w:rsidP="00A468BF">
      <w:pPr>
        <w:autoSpaceDE w:val="0"/>
        <w:autoSpaceDN w:val="0"/>
        <w:adjustRightInd w:val="0"/>
        <w:ind w:firstLine="284"/>
        <w:rPr>
          <w:rFonts w:ascii="Garamond" w:eastAsiaTheme="minorHAnsi" w:hAnsi="Garamond"/>
        </w:rPr>
      </w:pPr>
      <w:r w:rsidRPr="00830F4C">
        <w:rPr>
          <w:rFonts w:ascii="Garamond" w:eastAsiaTheme="minorHAnsi" w:hAnsi="Garamond"/>
        </w:rPr>
        <w:t>-</w:t>
      </w:r>
      <w:r w:rsidR="00A468BF" w:rsidRPr="00830F4C">
        <w:rPr>
          <w:rFonts w:ascii="Garamond" w:eastAsiaTheme="minorHAnsi" w:hAnsi="Garamond"/>
        </w:rPr>
        <w:t xml:space="preserve"> R</w:t>
      </w:r>
      <w:r w:rsidR="005F54A6" w:rsidRPr="00830F4C">
        <w:rPr>
          <w:rFonts w:ascii="Garamond" w:eastAsiaTheme="minorHAnsi" w:hAnsi="Garamond"/>
        </w:rPr>
        <w:t xml:space="preserve">ritja e transaksioneve nëpërmjet faturave </w:t>
      </w:r>
      <w:r w:rsidR="005F54A6" w:rsidRPr="00B14D40">
        <w:rPr>
          <w:rFonts w:ascii="Garamond" w:eastAsiaTheme="minorHAnsi" w:hAnsi="Garamond"/>
          <w:i/>
        </w:rPr>
        <w:t>e-invoice</w:t>
      </w:r>
      <w:r w:rsidR="005F54A6" w:rsidRPr="00830F4C">
        <w:rPr>
          <w:rFonts w:ascii="Garamond" w:eastAsiaTheme="minorHAnsi" w:hAnsi="Garamond"/>
        </w:rPr>
        <w:t xml:space="preserve"> pa para në dorë</w:t>
      </w:r>
      <w:r w:rsidR="00B14D40">
        <w:rPr>
          <w:rFonts w:ascii="Garamond" w:eastAsiaTheme="minorHAnsi" w:hAnsi="Garamond"/>
        </w:rPr>
        <w:t>;</w:t>
      </w:r>
    </w:p>
    <w:p w14:paraId="720706A1" w14:textId="6F9AFF0C" w:rsidR="005F54A6" w:rsidRPr="00830F4C" w:rsidRDefault="00A468BF" w:rsidP="00A468BF">
      <w:pPr>
        <w:autoSpaceDE w:val="0"/>
        <w:autoSpaceDN w:val="0"/>
        <w:adjustRightInd w:val="0"/>
        <w:ind w:firstLine="284"/>
        <w:rPr>
          <w:rFonts w:ascii="Garamond" w:eastAsiaTheme="minorHAnsi" w:hAnsi="Garamond"/>
        </w:rPr>
      </w:pPr>
      <w:r w:rsidRPr="00830F4C">
        <w:rPr>
          <w:rFonts w:ascii="Garamond" w:eastAsiaTheme="minorHAnsi" w:hAnsi="Garamond"/>
        </w:rPr>
        <w:t>-</w:t>
      </w:r>
      <w:r w:rsidR="005F54A6" w:rsidRPr="00830F4C">
        <w:rPr>
          <w:rFonts w:ascii="Garamond" w:eastAsiaTheme="minorHAnsi" w:hAnsi="Garamond"/>
        </w:rPr>
        <w:t xml:space="preserve"> Rritja e numrit të tatimpaguesve që përdorin POS</w:t>
      </w:r>
      <w:r w:rsidR="00B14D40">
        <w:rPr>
          <w:rFonts w:ascii="Garamond" w:eastAsiaTheme="minorHAnsi" w:hAnsi="Garamond"/>
        </w:rPr>
        <w:t>-</w:t>
      </w:r>
      <w:r w:rsidR="005C7FB7">
        <w:rPr>
          <w:rFonts w:ascii="Garamond" w:eastAsiaTheme="minorHAnsi" w:hAnsi="Garamond"/>
        </w:rPr>
        <w:t>et</w:t>
      </w:r>
      <w:r w:rsidR="005F54A6" w:rsidRPr="00830F4C">
        <w:rPr>
          <w:rFonts w:ascii="Garamond" w:eastAsiaTheme="minorHAnsi" w:hAnsi="Garamond"/>
        </w:rPr>
        <w:t xml:space="preserve"> në </w:t>
      </w:r>
      <w:r w:rsidR="00B14D40" w:rsidRPr="00830F4C">
        <w:rPr>
          <w:rFonts w:ascii="Garamond" w:eastAsiaTheme="minorHAnsi" w:hAnsi="Garamond"/>
        </w:rPr>
        <w:t>ambientet</w:t>
      </w:r>
      <w:r w:rsidR="005F54A6" w:rsidRPr="00830F4C">
        <w:rPr>
          <w:rFonts w:ascii="Garamond" w:eastAsiaTheme="minorHAnsi" w:hAnsi="Garamond"/>
        </w:rPr>
        <w:t xml:space="preserve"> e aktivitetit të tyre.</w:t>
      </w:r>
    </w:p>
    <w:p w14:paraId="129639B7" w14:textId="77777777" w:rsidR="00A468BF" w:rsidRPr="00830F4C" w:rsidRDefault="00A468BF" w:rsidP="00A468BF">
      <w:pPr>
        <w:jc w:val="both"/>
        <w:rPr>
          <w:rFonts w:ascii="Garamond" w:hAnsi="Garamond"/>
          <w:b/>
        </w:rPr>
      </w:pPr>
      <w:r w:rsidRPr="00830F4C">
        <w:rPr>
          <w:rFonts w:ascii="Garamond" w:hAnsi="Garamond"/>
          <w:b/>
        </w:rPr>
        <w:t>Masat dhe aktivitetet</w:t>
      </w:r>
    </w:p>
    <w:tbl>
      <w:tblPr>
        <w:tblStyle w:val="TableGrid"/>
        <w:tblW w:w="0" w:type="auto"/>
        <w:tblLook w:val="04A0" w:firstRow="1" w:lastRow="0" w:firstColumn="1" w:lastColumn="0" w:noHBand="0" w:noVBand="1"/>
      </w:tblPr>
      <w:tblGrid>
        <w:gridCol w:w="2340"/>
        <w:gridCol w:w="2785"/>
        <w:gridCol w:w="993"/>
        <w:gridCol w:w="1343"/>
        <w:gridCol w:w="1555"/>
      </w:tblGrid>
      <w:tr w:rsidR="00A468BF" w:rsidRPr="00CC11D5" w14:paraId="22600915" w14:textId="77777777" w:rsidTr="00CC11D5">
        <w:trPr>
          <w:trHeight w:val="283"/>
        </w:trPr>
        <w:tc>
          <w:tcPr>
            <w:tcW w:w="2340" w:type="dxa"/>
            <w:vAlign w:val="center"/>
          </w:tcPr>
          <w:p w14:paraId="2830D243" w14:textId="77777777" w:rsidR="00A468BF" w:rsidRPr="00CC11D5" w:rsidRDefault="00A468BF" w:rsidP="00CC11D5">
            <w:pPr>
              <w:jc w:val="center"/>
              <w:rPr>
                <w:rFonts w:ascii="Garamond" w:hAnsi="Garamond"/>
                <w:b/>
                <w:sz w:val="12"/>
                <w:szCs w:val="12"/>
              </w:rPr>
            </w:pPr>
            <w:r w:rsidRPr="00CC11D5">
              <w:rPr>
                <w:rFonts w:ascii="Garamond" w:hAnsi="Garamond"/>
                <w:b/>
                <w:sz w:val="12"/>
                <w:szCs w:val="12"/>
              </w:rPr>
              <w:t>Masa</w:t>
            </w:r>
          </w:p>
        </w:tc>
        <w:tc>
          <w:tcPr>
            <w:tcW w:w="2785" w:type="dxa"/>
            <w:vAlign w:val="center"/>
          </w:tcPr>
          <w:p w14:paraId="73FF1154" w14:textId="77777777" w:rsidR="00A468BF" w:rsidRPr="00CC11D5" w:rsidRDefault="00A468BF" w:rsidP="00CC11D5">
            <w:pPr>
              <w:jc w:val="center"/>
              <w:rPr>
                <w:rFonts w:ascii="Garamond" w:hAnsi="Garamond"/>
                <w:b/>
                <w:sz w:val="12"/>
                <w:szCs w:val="12"/>
              </w:rPr>
            </w:pPr>
            <w:r w:rsidRPr="00CC11D5">
              <w:rPr>
                <w:rFonts w:ascii="Garamond" w:hAnsi="Garamond"/>
                <w:b/>
                <w:sz w:val="12"/>
                <w:szCs w:val="12"/>
              </w:rPr>
              <w:t>Aktivitetet</w:t>
            </w:r>
          </w:p>
        </w:tc>
        <w:tc>
          <w:tcPr>
            <w:tcW w:w="993" w:type="dxa"/>
            <w:vAlign w:val="center"/>
          </w:tcPr>
          <w:p w14:paraId="1B48BE2D" w14:textId="77777777" w:rsidR="00A468BF" w:rsidRPr="00CC11D5" w:rsidRDefault="00A468BF" w:rsidP="00CC11D5">
            <w:pPr>
              <w:jc w:val="center"/>
              <w:rPr>
                <w:rFonts w:ascii="Garamond" w:hAnsi="Garamond"/>
                <w:b/>
                <w:sz w:val="12"/>
                <w:szCs w:val="12"/>
              </w:rPr>
            </w:pPr>
            <w:r w:rsidRPr="00CC11D5">
              <w:rPr>
                <w:rFonts w:ascii="Garamond" w:hAnsi="Garamond"/>
                <w:b/>
                <w:sz w:val="12"/>
                <w:szCs w:val="12"/>
              </w:rPr>
              <w:t>Fillimi</w:t>
            </w:r>
          </w:p>
        </w:tc>
        <w:tc>
          <w:tcPr>
            <w:tcW w:w="1343" w:type="dxa"/>
            <w:vAlign w:val="center"/>
          </w:tcPr>
          <w:p w14:paraId="50B48529" w14:textId="77777777" w:rsidR="00A468BF" w:rsidRPr="00CC11D5" w:rsidRDefault="00A468BF" w:rsidP="00CC11D5">
            <w:pPr>
              <w:jc w:val="center"/>
              <w:rPr>
                <w:rFonts w:ascii="Garamond" w:hAnsi="Garamond"/>
                <w:b/>
                <w:sz w:val="12"/>
                <w:szCs w:val="12"/>
              </w:rPr>
            </w:pPr>
            <w:r w:rsidRPr="00CC11D5">
              <w:rPr>
                <w:rFonts w:ascii="Garamond" w:hAnsi="Garamond"/>
                <w:b/>
                <w:sz w:val="12"/>
                <w:szCs w:val="12"/>
              </w:rPr>
              <w:t>Mbarimi</w:t>
            </w:r>
          </w:p>
        </w:tc>
        <w:tc>
          <w:tcPr>
            <w:tcW w:w="1555" w:type="dxa"/>
            <w:vAlign w:val="center"/>
          </w:tcPr>
          <w:p w14:paraId="3865544E" w14:textId="77777777" w:rsidR="00A468BF" w:rsidRPr="00CC11D5" w:rsidRDefault="00A468BF" w:rsidP="00CC11D5">
            <w:pPr>
              <w:jc w:val="center"/>
              <w:rPr>
                <w:rFonts w:ascii="Garamond" w:hAnsi="Garamond"/>
                <w:b/>
                <w:sz w:val="12"/>
                <w:szCs w:val="12"/>
              </w:rPr>
            </w:pPr>
            <w:r w:rsidRPr="00CC11D5">
              <w:rPr>
                <w:rFonts w:ascii="Garamond" w:hAnsi="Garamond"/>
                <w:b/>
                <w:sz w:val="12"/>
                <w:szCs w:val="12"/>
              </w:rPr>
              <w:t>Institucioni përgjegjës</w:t>
            </w:r>
          </w:p>
        </w:tc>
      </w:tr>
      <w:tr w:rsidR="00A468BF" w:rsidRPr="00CC11D5" w14:paraId="17F870C9" w14:textId="77777777" w:rsidTr="00A468BF">
        <w:trPr>
          <w:trHeight w:val="283"/>
        </w:trPr>
        <w:tc>
          <w:tcPr>
            <w:tcW w:w="2340" w:type="dxa"/>
          </w:tcPr>
          <w:p w14:paraId="59492ED0" w14:textId="79BEA439" w:rsidR="00A468BF" w:rsidRPr="00CC11D5" w:rsidRDefault="00A468BF" w:rsidP="00A468BF">
            <w:pPr>
              <w:jc w:val="center"/>
              <w:rPr>
                <w:rFonts w:ascii="Garamond" w:hAnsi="Garamond"/>
                <w:sz w:val="12"/>
                <w:szCs w:val="12"/>
              </w:rPr>
            </w:pPr>
            <w:r w:rsidRPr="00CC11D5">
              <w:rPr>
                <w:rFonts w:ascii="Garamond" w:hAnsi="Garamond"/>
                <w:bCs/>
                <w:sz w:val="12"/>
                <w:szCs w:val="12"/>
              </w:rPr>
              <w:t>Masa</w:t>
            </w:r>
            <w:r w:rsidRPr="00CC11D5">
              <w:rPr>
                <w:rFonts w:ascii="Garamond" w:hAnsi="Garamond"/>
                <w:sz w:val="12"/>
                <w:szCs w:val="12"/>
              </w:rPr>
              <w:t xml:space="preserve"> 2.2.1</w:t>
            </w:r>
            <w:r w:rsidRPr="00CC11D5">
              <w:rPr>
                <w:rFonts w:ascii="Garamond" w:hAnsi="Garamond"/>
                <w:bCs/>
                <w:sz w:val="12"/>
                <w:szCs w:val="12"/>
              </w:rPr>
              <w:t xml:space="preserve"> </w:t>
            </w:r>
            <w:r w:rsidRPr="00CC11D5">
              <w:rPr>
                <w:rFonts w:ascii="Garamond" w:hAnsi="Garamond"/>
                <w:sz w:val="12"/>
                <w:szCs w:val="12"/>
              </w:rPr>
              <w:t>Zbatimi i një plani masash nga administrata tatimore për të ulur pagesat me para në dorë në ekonomi</w:t>
            </w:r>
          </w:p>
          <w:p w14:paraId="6795C6A4" w14:textId="77777777" w:rsidR="00A468BF" w:rsidRPr="00CC11D5" w:rsidRDefault="00A468BF" w:rsidP="00A468BF">
            <w:pPr>
              <w:jc w:val="center"/>
              <w:rPr>
                <w:rFonts w:ascii="Garamond" w:hAnsi="Garamond"/>
                <w:sz w:val="12"/>
                <w:szCs w:val="12"/>
              </w:rPr>
            </w:pPr>
          </w:p>
        </w:tc>
        <w:tc>
          <w:tcPr>
            <w:tcW w:w="2785" w:type="dxa"/>
          </w:tcPr>
          <w:p w14:paraId="7537E61B" w14:textId="77777777" w:rsidR="00A72159" w:rsidRPr="00CC11D5" w:rsidRDefault="00A468BF" w:rsidP="00A468BF">
            <w:pPr>
              <w:jc w:val="center"/>
              <w:rPr>
                <w:rFonts w:ascii="Garamond" w:hAnsi="Garamond"/>
                <w:sz w:val="12"/>
                <w:szCs w:val="12"/>
              </w:rPr>
            </w:pPr>
            <w:r w:rsidRPr="00CC11D5">
              <w:rPr>
                <w:rFonts w:ascii="Garamond" w:hAnsi="Garamond"/>
                <w:sz w:val="12"/>
                <w:szCs w:val="12"/>
              </w:rPr>
              <w:t xml:space="preserve">Aktiviteti 2.2.1.1 </w:t>
            </w:r>
          </w:p>
          <w:p w14:paraId="77F25CB0" w14:textId="7C8380FB" w:rsidR="00A468BF" w:rsidRPr="00CC11D5" w:rsidRDefault="00A468BF" w:rsidP="00A468BF">
            <w:pPr>
              <w:jc w:val="center"/>
              <w:rPr>
                <w:rFonts w:ascii="Garamond" w:hAnsi="Garamond"/>
                <w:sz w:val="12"/>
                <w:szCs w:val="12"/>
              </w:rPr>
            </w:pPr>
            <w:r w:rsidRPr="00CC11D5">
              <w:rPr>
                <w:rFonts w:ascii="Garamond" w:hAnsi="Garamond"/>
                <w:sz w:val="12"/>
                <w:szCs w:val="12"/>
              </w:rPr>
              <w:t>Aktiviteti 2.2.1</w:t>
            </w:r>
            <w:r w:rsidR="00A72159" w:rsidRPr="00CC11D5">
              <w:rPr>
                <w:rFonts w:ascii="Garamond" w:hAnsi="Garamond"/>
                <w:sz w:val="12"/>
                <w:szCs w:val="12"/>
              </w:rPr>
              <w:t>:</w:t>
            </w:r>
            <w:r w:rsidRPr="00CC11D5">
              <w:rPr>
                <w:rFonts w:ascii="Garamond" w:hAnsi="Garamond"/>
                <w:sz w:val="12"/>
                <w:szCs w:val="12"/>
              </w:rPr>
              <w:t xml:space="preserve"> Vendosja</w:t>
            </w:r>
            <w:r w:rsidR="00D22EA5" w:rsidRPr="00CC11D5">
              <w:rPr>
                <w:rFonts w:ascii="Garamond" w:hAnsi="Garamond"/>
                <w:sz w:val="12"/>
                <w:szCs w:val="12"/>
              </w:rPr>
              <w:t xml:space="preserve"> </w:t>
            </w:r>
            <w:r w:rsidRPr="00CC11D5">
              <w:rPr>
                <w:rFonts w:ascii="Garamond" w:hAnsi="Garamond"/>
                <w:sz w:val="12"/>
                <w:szCs w:val="12"/>
              </w:rPr>
              <w:t xml:space="preserve">një limiti për pagesat </w:t>
            </w:r>
            <w:r w:rsidRPr="00CC11D5">
              <w:rPr>
                <w:rFonts w:ascii="Garamond" w:hAnsi="Garamond"/>
                <w:i/>
                <w:sz w:val="12"/>
                <w:szCs w:val="12"/>
              </w:rPr>
              <w:t>cash</w:t>
            </w:r>
            <w:r w:rsidRPr="00CC11D5">
              <w:rPr>
                <w:rFonts w:ascii="Garamond" w:hAnsi="Garamond"/>
                <w:sz w:val="12"/>
                <w:szCs w:val="12"/>
              </w:rPr>
              <w:t xml:space="preserve"> mes individëve;</w:t>
            </w:r>
          </w:p>
          <w:p w14:paraId="27DAC759" w14:textId="5BF82208" w:rsidR="00A468BF" w:rsidRPr="00CC11D5" w:rsidRDefault="00A468BF" w:rsidP="00A468BF">
            <w:pPr>
              <w:jc w:val="center"/>
              <w:rPr>
                <w:rFonts w:ascii="Garamond" w:hAnsi="Garamond"/>
                <w:sz w:val="12"/>
                <w:szCs w:val="12"/>
              </w:rPr>
            </w:pPr>
            <w:r w:rsidRPr="00CC11D5">
              <w:rPr>
                <w:rFonts w:ascii="Garamond" w:hAnsi="Garamond"/>
                <w:sz w:val="12"/>
                <w:szCs w:val="12"/>
              </w:rPr>
              <w:t>Aktiviteti 2.2.1.2</w:t>
            </w:r>
            <w:r w:rsidR="00A72159" w:rsidRPr="00CC11D5">
              <w:rPr>
                <w:rFonts w:ascii="Garamond" w:hAnsi="Garamond"/>
                <w:sz w:val="12"/>
                <w:szCs w:val="12"/>
              </w:rPr>
              <w:t>:</w:t>
            </w:r>
            <w:r w:rsidRPr="00CC11D5">
              <w:rPr>
                <w:rFonts w:ascii="Garamond" w:hAnsi="Garamond"/>
                <w:sz w:val="12"/>
                <w:szCs w:val="12"/>
              </w:rPr>
              <w:t xml:space="preserve"> Reduktimi i mëtejshëm</w:t>
            </w:r>
            <w:r w:rsidR="00D22EA5" w:rsidRPr="00CC11D5">
              <w:rPr>
                <w:rFonts w:ascii="Garamond" w:hAnsi="Garamond"/>
                <w:sz w:val="12"/>
                <w:szCs w:val="12"/>
              </w:rPr>
              <w:t xml:space="preserve"> </w:t>
            </w:r>
            <w:r w:rsidRPr="00CC11D5">
              <w:rPr>
                <w:rFonts w:ascii="Garamond" w:hAnsi="Garamond"/>
                <w:sz w:val="12"/>
                <w:szCs w:val="12"/>
              </w:rPr>
              <w:t>për pagesat me para në dorë mes bizneseve nga 150.000 lekë që është aktualisht.</w:t>
            </w:r>
          </w:p>
          <w:p w14:paraId="1A99D003" w14:textId="593E68B1" w:rsidR="00A468BF" w:rsidRPr="00CC11D5" w:rsidRDefault="00A468BF" w:rsidP="00FD7D60">
            <w:pPr>
              <w:jc w:val="center"/>
              <w:rPr>
                <w:rFonts w:ascii="Garamond" w:hAnsi="Garamond"/>
                <w:sz w:val="12"/>
                <w:szCs w:val="12"/>
              </w:rPr>
            </w:pPr>
            <w:r w:rsidRPr="00CC11D5">
              <w:rPr>
                <w:rFonts w:ascii="Garamond" w:hAnsi="Garamond"/>
                <w:sz w:val="12"/>
                <w:szCs w:val="12"/>
              </w:rPr>
              <w:t>Aktiviteti 2.2.1.3</w:t>
            </w:r>
            <w:r w:rsidR="00A72159" w:rsidRPr="00CC11D5">
              <w:rPr>
                <w:rFonts w:ascii="Garamond" w:hAnsi="Garamond"/>
                <w:sz w:val="12"/>
                <w:szCs w:val="12"/>
              </w:rPr>
              <w:t>:</w:t>
            </w:r>
            <w:r w:rsidRPr="00CC11D5">
              <w:rPr>
                <w:rFonts w:ascii="Garamond" w:hAnsi="Garamond"/>
                <w:sz w:val="12"/>
                <w:szCs w:val="12"/>
              </w:rPr>
              <w:t xml:space="preserve"> Krijimi i rregullave të riskut të cilat evidentojnë tatimpaguesit të cilët fragmentizojnë faturat për të mos kaluar limitin që përcakton ligj</w:t>
            </w:r>
            <w:r w:rsidR="00FD7D60" w:rsidRPr="00CC11D5">
              <w:rPr>
                <w:rFonts w:ascii="Garamond" w:hAnsi="Garamond"/>
                <w:sz w:val="12"/>
                <w:szCs w:val="12"/>
              </w:rPr>
              <w:t>i</w:t>
            </w:r>
            <w:r w:rsidRPr="00CC11D5">
              <w:rPr>
                <w:rFonts w:ascii="Garamond" w:hAnsi="Garamond"/>
                <w:sz w:val="12"/>
                <w:szCs w:val="12"/>
              </w:rPr>
              <w:t>, tatimpaguesit që kanë nivel anormal të faturimit me para në dorë krahasuar me të ngjashmit e tyre.</w:t>
            </w:r>
          </w:p>
        </w:tc>
        <w:tc>
          <w:tcPr>
            <w:tcW w:w="993" w:type="dxa"/>
          </w:tcPr>
          <w:p w14:paraId="19CDB538" w14:textId="77777777" w:rsidR="00A468BF" w:rsidRPr="00CC11D5" w:rsidRDefault="00A468BF" w:rsidP="00A468BF">
            <w:pPr>
              <w:jc w:val="center"/>
              <w:rPr>
                <w:rFonts w:ascii="Garamond" w:hAnsi="Garamond"/>
                <w:sz w:val="12"/>
                <w:szCs w:val="12"/>
              </w:rPr>
            </w:pPr>
            <w:r w:rsidRPr="00CC11D5">
              <w:rPr>
                <w:rFonts w:ascii="Garamond" w:hAnsi="Garamond"/>
                <w:sz w:val="12"/>
                <w:szCs w:val="12"/>
              </w:rPr>
              <w:t>2025</w:t>
            </w:r>
          </w:p>
        </w:tc>
        <w:tc>
          <w:tcPr>
            <w:tcW w:w="1343" w:type="dxa"/>
          </w:tcPr>
          <w:p w14:paraId="03ADECAE" w14:textId="77777777" w:rsidR="00A468BF" w:rsidRPr="00CC11D5" w:rsidRDefault="00A468BF" w:rsidP="00A468BF">
            <w:pPr>
              <w:jc w:val="center"/>
              <w:rPr>
                <w:rFonts w:ascii="Garamond" w:hAnsi="Garamond"/>
                <w:sz w:val="12"/>
                <w:szCs w:val="12"/>
              </w:rPr>
            </w:pPr>
            <w:r w:rsidRPr="00CC11D5">
              <w:rPr>
                <w:rFonts w:ascii="Garamond" w:hAnsi="Garamond"/>
                <w:sz w:val="12"/>
                <w:szCs w:val="12"/>
              </w:rPr>
              <w:t>2026</w:t>
            </w:r>
          </w:p>
        </w:tc>
        <w:tc>
          <w:tcPr>
            <w:tcW w:w="1555" w:type="dxa"/>
          </w:tcPr>
          <w:p w14:paraId="425D7FB1" w14:textId="77777777" w:rsidR="00A468BF" w:rsidRPr="00CC11D5" w:rsidRDefault="00A468BF" w:rsidP="00A468BF">
            <w:pPr>
              <w:jc w:val="center"/>
              <w:rPr>
                <w:rFonts w:ascii="Garamond" w:hAnsi="Garamond"/>
                <w:sz w:val="12"/>
                <w:szCs w:val="12"/>
              </w:rPr>
            </w:pPr>
            <w:r w:rsidRPr="00CC11D5">
              <w:rPr>
                <w:rFonts w:ascii="Garamond" w:hAnsi="Garamond"/>
                <w:sz w:val="12"/>
                <w:szCs w:val="12"/>
              </w:rPr>
              <w:t>MF/ DPT</w:t>
            </w:r>
          </w:p>
        </w:tc>
      </w:tr>
      <w:tr w:rsidR="00A468BF" w:rsidRPr="00CC11D5" w14:paraId="01CA8D34" w14:textId="77777777" w:rsidTr="00A468BF">
        <w:trPr>
          <w:trHeight w:val="283"/>
        </w:trPr>
        <w:tc>
          <w:tcPr>
            <w:tcW w:w="2340" w:type="dxa"/>
          </w:tcPr>
          <w:p w14:paraId="310B8D70" w14:textId="7290986F" w:rsidR="00A468BF" w:rsidRPr="00CC11D5" w:rsidRDefault="00A468BF" w:rsidP="00A468BF">
            <w:pPr>
              <w:jc w:val="center"/>
              <w:rPr>
                <w:rFonts w:ascii="Garamond" w:hAnsi="Garamond"/>
                <w:sz w:val="12"/>
                <w:szCs w:val="12"/>
              </w:rPr>
            </w:pPr>
            <w:r w:rsidRPr="00CC11D5">
              <w:rPr>
                <w:rFonts w:ascii="Garamond" w:hAnsi="Garamond"/>
                <w:sz w:val="12"/>
                <w:szCs w:val="12"/>
              </w:rPr>
              <w:t>Masa 2.2.2</w:t>
            </w:r>
            <w:r w:rsidR="00B14D40" w:rsidRPr="00CC11D5">
              <w:rPr>
                <w:rFonts w:ascii="Garamond" w:hAnsi="Garamond"/>
                <w:sz w:val="12"/>
                <w:szCs w:val="12"/>
              </w:rPr>
              <w:t xml:space="preserve"> </w:t>
            </w:r>
            <w:r w:rsidRPr="00CC11D5">
              <w:rPr>
                <w:rFonts w:ascii="Garamond" w:hAnsi="Garamond"/>
                <w:sz w:val="12"/>
                <w:szCs w:val="12"/>
              </w:rPr>
              <w:t xml:space="preserve">Diskutimi me sektorin </w:t>
            </w:r>
            <w:r w:rsidR="00B14D40" w:rsidRPr="00CC11D5">
              <w:rPr>
                <w:rFonts w:ascii="Garamond" w:hAnsi="Garamond"/>
                <w:sz w:val="12"/>
                <w:szCs w:val="12"/>
              </w:rPr>
              <w:t>b</w:t>
            </w:r>
            <w:r w:rsidRPr="00CC11D5">
              <w:rPr>
                <w:rFonts w:ascii="Garamond" w:hAnsi="Garamond"/>
                <w:sz w:val="12"/>
                <w:szCs w:val="12"/>
              </w:rPr>
              <w:t>ankar për reduktimin e komisioneve bankare për tatimpaguesit që përdorin POS</w:t>
            </w:r>
            <w:r w:rsidR="00B14D40" w:rsidRPr="00CC11D5">
              <w:rPr>
                <w:rFonts w:ascii="Garamond" w:hAnsi="Garamond"/>
                <w:sz w:val="12"/>
                <w:szCs w:val="12"/>
              </w:rPr>
              <w:t>-in</w:t>
            </w:r>
            <w:r w:rsidRPr="00CC11D5">
              <w:rPr>
                <w:rFonts w:ascii="Garamond" w:hAnsi="Garamond"/>
                <w:sz w:val="12"/>
                <w:szCs w:val="12"/>
              </w:rPr>
              <w:t>.</w:t>
            </w:r>
          </w:p>
          <w:p w14:paraId="233DC0EE" w14:textId="77777777" w:rsidR="00A468BF" w:rsidRPr="00CC11D5" w:rsidRDefault="00A468BF" w:rsidP="00A468BF">
            <w:pPr>
              <w:jc w:val="center"/>
              <w:rPr>
                <w:rFonts w:ascii="Garamond" w:hAnsi="Garamond"/>
                <w:sz w:val="12"/>
                <w:szCs w:val="12"/>
              </w:rPr>
            </w:pPr>
          </w:p>
        </w:tc>
        <w:tc>
          <w:tcPr>
            <w:tcW w:w="2785" w:type="dxa"/>
          </w:tcPr>
          <w:p w14:paraId="131F29A1" w14:textId="4A433BB2" w:rsidR="00A468BF" w:rsidRPr="00CC11D5" w:rsidRDefault="00A468BF" w:rsidP="00A468BF">
            <w:pPr>
              <w:jc w:val="center"/>
              <w:rPr>
                <w:rFonts w:ascii="Garamond" w:hAnsi="Garamond"/>
                <w:bCs/>
                <w:sz w:val="12"/>
                <w:szCs w:val="12"/>
              </w:rPr>
            </w:pPr>
            <w:r w:rsidRPr="00CC11D5">
              <w:rPr>
                <w:rFonts w:ascii="Garamond" w:hAnsi="Garamond"/>
                <w:bCs/>
                <w:sz w:val="12"/>
                <w:szCs w:val="12"/>
              </w:rPr>
              <w:t xml:space="preserve">Aktiviteti </w:t>
            </w:r>
            <w:r w:rsidRPr="00CC11D5">
              <w:rPr>
                <w:rFonts w:ascii="Garamond" w:hAnsi="Garamond"/>
                <w:sz w:val="12"/>
                <w:szCs w:val="12"/>
              </w:rPr>
              <w:t>2.2.2</w:t>
            </w:r>
            <w:r w:rsidRPr="00CC11D5">
              <w:rPr>
                <w:rFonts w:ascii="Garamond" w:hAnsi="Garamond"/>
                <w:bCs/>
                <w:sz w:val="12"/>
                <w:szCs w:val="12"/>
              </w:rPr>
              <w:t>.1</w:t>
            </w:r>
            <w:r w:rsidR="00A72159" w:rsidRPr="00CC11D5">
              <w:rPr>
                <w:rFonts w:ascii="Garamond" w:hAnsi="Garamond"/>
                <w:bCs/>
                <w:sz w:val="12"/>
                <w:szCs w:val="12"/>
              </w:rPr>
              <w:t>:</w:t>
            </w:r>
            <w:r w:rsidRPr="00CC11D5">
              <w:rPr>
                <w:rFonts w:ascii="Garamond" w:hAnsi="Garamond"/>
                <w:bCs/>
                <w:sz w:val="12"/>
                <w:szCs w:val="12"/>
              </w:rPr>
              <w:t xml:space="preserve"> Krijimi i një grupi pune mes MF</w:t>
            </w:r>
            <w:r w:rsidR="00FD7D60" w:rsidRPr="00CC11D5">
              <w:rPr>
                <w:rFonts w:ascii="Garamond" w:hAnsi="Garamond"/>
                <w:bCs/>
                <w:sz w:val="12"/>
                <w:szCs w:val="12"/>
              </w:rPr>
              <w:t>-së</w:t>
            </w:r>
            <w:r w:rsidRPr="00CC11D5">
              <w:rPr>
                <w:rFonts w:ascii="Garamond" w:hAnsi="Garamond"/>
                <w:bCs/>
                <w:sz w:val="12"/>
                <w:szCs w:val="12"/>
              </w:rPr>
              <w:t>, Bankës së Shqipërisë dhe Shoqatës së Bankave për të ulur komisionet e përdorimit të terminaleve POS mes bankave të nivelit të dytë dhe tatimpaguesve</w:t>
            </w:r>
          </w:p>
        </w:tc>
        <w:tc>
          <w:tcPr>
            <w:tcW w:w="993" w:type="dxa"/>
          </w:tcPr>
          <w:p w14:paraId="2D8CBDB0" w14:textId="77777777" w:rsidR="00A468BF" w:rsidRPr="00CC11D5" w:rsidRDefault="00A468BF" w:rsidP="00A468BF">
            <w:pPr>
              <w:jc w:val="center"/>
              <w:rPr>
                <w:rFonts w:ascii="Garamond" w:hAnsi="Garamond"/>
                <w:sz w:val="12"/>
                <w:szCs w:val="12"/>
              </w:rPr>
            </w:pPr>
            <w:r w:rsidRPr="00CC11D5">
              <w:rPr>
                <w:rFonts w:ascii="Garamond" w:hAnsi="Garamond"/>
                <w:sz w:val="12"/>
                <w:szCs w:val="12"/>
              </w:rPr>
              <w:t>2025</w:t>
            </w:r>
          </w:p>
        </w:tc>
        <w:tc>
          <w:tcPr>
            <w:tcW w:w="1343" w:type="dxa"/>
          </w:tcPr>
          <w:p w14:paraId="0B55C542" w14:textId="77777777" w:rsidR="00A468BF" w:rsidRPr="00CC11D5" w:rsidRDefault="00A468BF" w:rsidP="00A468BF">
            <w:pPr>
              <w:jc w:val="center"/>
              <w:rPr>
                <w:rFonts w:ascii="Garamond" w:hAnsi="Garamond"/>
                <w:sz w:val="12"/>
                <w:szCs w:val="12"/>
              </w:rPr>
            </w:pPr>
            <w:r w:rsidRPr="00CC11D5">
              <w:rPr>
                <w:rFonts w:ascii="Garamond" w:hAnsi="Garamond"/>
                <w:sz w:val="12"/>
                <w:szCs w:val="12"/>
              </w:rPr>
              <w:t>2025</w:t>
            </w:r>
          </w:p>
        </w:tc>
        <w:tc>
          <w:tcPr>
            <w:tcW w:w="1555" w:type="dxa"/>
          </w:tcPr>
          <w:p w14:paraId="747D30EB" w14:textId="77777777" w:rsidR="00A468BF" w:rsidRPr="00CC11D5" w:rsidRDefault="00A468BF" w:rsidP="00A468BF">
            <w:pPr>
              <w:jc w:val="center"/>
              <w:rPr>
                <w:rFonts w:ascii="Garamond" w:hAnsi="Garamond"/>
                <w:sz w:val="12"/>
                <w:szCs w:val="12"/>
              </w:rPr>
            </w:pPr>
            <w:r w:rsidRPr="00CC11D5">
              <w:rPr>
                <w:rFonts w:ascii="Garamond" w:hAnsi="Garamond"/>
                <w:sz w:val="12"/>
                <w:szCs w:val="12"/>
              </w:rPr>
              <w:t>MF/DPT/BSH/ Shoqata Shqiptare e Bankave</w:t>
            </w:r>
          </w:p>
        </w:tc>
      </w:tr>
    </w:tbl>
    <w:p w14:paraId="5297B1AC" w14:textId="77777777" w:rsidR="00A468BF" w:rsidRDefault="00A468BF" w:rsidP="00A468BF">
      <w:pPr>
        <w:jc w:val="both"/>
        <w:rPr>
          <w:b/>
        </w:rPr>
      </w:pPr>
    </w:p>
    <w:p w14:paraId="6251684D" w14:textId="77777777" w:rsidR="00213FD0" w:rsidRPr="00830F4C" w:rsidRDefault="00213FD0" w:rsidP="00A468BF">
      <w:pPr>
        <w:jc w:val="both"/>
        <w:rPr>
          <w:b/>
        </w:rPr>
      </w:pPr>
    </w:p>
    <w:p w14:paraId="2087ECA7" w14:textId="77777777" w:rsidR="00A468BF" w:rsidRPr="00830F4C" w:rsidRDefault="00A468BF" w:rsidP="00A468BF">
      <w:pPr>
        <w:jc w:val="both"/>
        <w:rPr>
          <w:b/>
        </w:rPr>
      </w:pPr>
      <w:r w:rsidRPr="00830F4C">
        <w:rPr>
          <w:b/>
        </w:rPr>
        <w:t>Treguesit e performancës dhe vlerat e synuara</w:t>
      </w:r>
    </w:p>
    <w:tbl>
      <w:tblPr>
        <w:tblW w:w="9016" w:type="dxa"/>
        <w:tblLook w:val="04A0" w:firstRow="1" w:lastRow="0" w:firstColumn="1" w:lastColumn="0" w:noHBand="0" w:noVBand="1"/>
      </w:tblPr>
      <w:tblGrid>
        <w:gridCol w:w="1250"/>
        <w:gridCol w:w="1554"/>
        <w:gridCol w:w="1553"/>
        <w:gridCol w:w="1553"/>
        <w:gridCol w:w="1553"/>
        <w:gridCol w:w="1553"/>
      </w:tblGrid>
      <w:tr w:rsidR="00A468BF" w:rsidRPr="00CC11D5" w14:paraId="162F8AF9" w14:textId="77777777" w:rsidTr="00CC11D5">
        <w:trPr>
          <w:trHeight w:val="20"/>
        </w:trPr>
        <w:tc>
          <w:tcPr>
            <w:tcW w:w="1250" w:type="dxa"/>
            <w:vMerge w:val="restart"/>
            <w:tcBorders>
              <w:top w:val="single" w:sz="4" w:space="0" w:color="auto"/>
              <w:left w:val="single" w:sz="4" w:space="0" w:color="auto"/>
              <w:right w:val="single" w:sz="4" w:space="0" w:color="auto"/>
            </w:tcBorders>
            <w:shd w:val="clear" w:color="FFFFFF" w:fill="FFFFFF"/>
            <w:vAlign w:val="center"/>
          </w:tcPr>
          <w:p w14:paraId="198E92FE" w14:textId="77777777" w:rsidR="00A468BF" w:rsidRPr="00CC11D5" w:rsidRDefault="00A468BF" w:rsidP="00CC11D5">
            <w:pPr>
              <w:jc w:val="center"/>
              <w:rPr>
                <w:rFonts w:ascii="Garamond" w:hAnsi="Garamond"/>
                <w:sz w:val="12"/>
                <w:szCs w:val="12"/>
              </w:rPr>
            </w:pPr>
            <w:r w:rsidRPr="00CC11D5">
              <w:rPr>
                <w:rFonts w:ascii="Garamond" w:hAnsi="Garamond"/>
                <w:b/>
                <w:sz w:val="12"/>
                <w:szCs w:val="12"/>
              </w:rPr>
              <w:t>Treguesi</w:t>
            </w:r>
          </w:p>
        </w:tc>
        <w:tc>
          <w:tcPr>
            <w:tcW w:w="1554" w:type="dxa"/>
            <w:vMerge w:val="restart"/>
            <w:tcBorders>
              <w:top w:val="single" w:sz="4" w:space="0" w:color="auto"/>
              <w:left w:val="single" w:sz="4" w:space="0" w:color="auto"/>
              <w:right w:val="single" w:sz="4" w:space="0" w:color="auto"/>
            </w:tcBorders>
            <w:shd w:val="clear" w:color="FFFFFF" w:fill="FFFFFF"/>
            <w:vAlign w:val="center"/>
          </w:tcPr>
          <w:p w14:paraId="0DA9E954" w14:textId="590C63FA" w:rsidR="00A468BF" w:rsidRPr="00CC11D5" w:rsidRDefault="00A468BF" w:rsidP="00CC11D5">
            <w:pPr>
              <w:jc w:val="center"/>
              <w:rPr>
                <w:rFonts w:ascii="Garamond" w:hAnsi="Garamond"/>
                <w:b/>
                <w:sz w:val="12"/>
                <w:szCs w:val="12"/>
              </w:rPr>
            </w:pPr>
            <w:r w:rsidRPr="00CC11D5">
              <w:rPr>
                <w:rFonts w:ascii="Garamond" w:hAnsi="Garamond"/>
                <w:b/>
                <w:sz w:val="12"/>
                <w:szCs w:val="12"/>
              </w:rPr>
              <w:t xml:space="preserve">Vlera </w:t>
            </w:r>
            <w:r w:rsidR="00377F8B" w:rsidRPr="00CC11D5">
              <w:rPr>
                <w:rFonts w:ascii="Garamond" w:hAnsi="Garamond"/>
                <w:b/>
                <w:sz w:val="12"/>
                <w:szCs w:val="12"/>
              </w:rPr>
              <w:t>b</w:t>
            </w:r>
            <w:r w:rsidRPr="00CC11D5">
              <w:rPr>
                <w:rFonts w:ascii="Garamond" w:hAnsi="Garamond"/>
                <w:b/>
                <w:sz w:val="12"/>
                <w:szCs w:val="12"/>
              </w:rPr>
              <w:t>azë</w:t>
            </w:r>
          </w:p>
          <w:p w14:paraId="4A68E0D4" w14:textId="77777777" w:rsidR="00A468BF" w:rsidRPr="00CC11D5" w:rsidRDefault="00A468BF" w:rsidP="00CC11D5">
            <w:pPr>
              <w:jc w:val="center"/>
              <w:rPr>
                <w:rFonts w:ascii="Garamond" w:hAnsi="Garamond"/>
                <w:sz w:val="12"/>
                <w:szCs w:val="12"/>
              </w:rPr>
            </w:pPr>
            <w:r w:rsidRPr="00CC11D5">
              <w:rPr>
                <w:rFonts w:ascii="Garamond" w:hAnsi="Garamond"/>
                <w:b/>
                <w:sz w:val="12"/>
                <w:szCs w:val="12"/>
              </w:rPr>
              <w:t>(viti 2023)</w:t>
            </w:r>
          </w:p>
        </w:tc>
        <w:tc>
          <w:tcPr>
            <w:tcW w:w="6212" w:type="dxa"/>
            <w:gridSpan w:val="4"/>
            <w:tcBorders>
              <w:top w:val="single" w:sz="4" w:space="0" w:color="auto"/>
              <w:left w:val="nil"/>
              <w:bottom w:val="single" w:sz="4" w:space="0" w:color="auto"/>
              <w:right w:val="single" w:sz="4" w:space="0" w:color="auto"/>
            </w:tcBorders>
            <w:shd w:val="clear" w:color="FFFFFF" w:fill="FFFFFF"/>
            <w:vAlign w:val="center"/>
          </w:tcPr>
          <w:p w14:paraId="34861064" w14:textId="77777777" w:rsidR="00A468BF" w:rsidRPr="00CC11D5" w:rsidRDefault="00A468BF" w:rsidP="00CC11D5">
            <w:pPr>
              <w:jc w:val="center"/>
              <w:rPr>
                <w:rFonts w:ascii="Garamond" w:hAnsi="Garamond"/>
                <w:sz w:val="12"/>
                <w:szCs w:val="12"/>
              </w:rPr>
            </w:pPr>
            <w:r w:rsidRPr="00CC11D5">
              <w:rPr>
                <w:rFonts w:ascii="Garamond" w:hAnsi="Garamond"/>
                <w:b/>
                <w:sz w:val="12"/>
                <w:szCs w:val="12"/>
              </w:rPr>
              <w:t>Vlera e synuar</w:t>
            </w:r>
          </w:p>
        </w:tc>
      </w:tr>
      <w:tr w:rsidR="00A468BF" w:rsidRPr="00CC11D5" w14:paraId="6965E0D8" w14:textId="77777777" w:rsidTr="00CC11D5">
        <w:trPr>
          <w:trHeight w:val="20"/>
        </w:trPr>
        <w:tc>
          <w:tcPr>
            <w:tcW w:w="1250" w:type="dxa"/>
            <w:vMerge/>
            <w:tcBorders>
              <w:left w:val="single" w:sz="4" w:space="0" w:color="auto"/>
              <w:bottom w:val="single" w:sz="4" w:space="0" w:color="auto"/>
              <w:right w:val="single" w:sz="4" w:space="0" w:color="auto"/>
            </w:tcBorders>
            <w:shd w:val="clear" w:color="FFFFFF" w:fill="FFFFFF"/>
            <w:vAlign w:val="center"/>
          </w:tcPr>
          <w:p w14:paraId="38F3203D" w14:textId="77777777" w:rsidR="00A468BF" w:rsidRPr="00CC11D5" w:rsidRDefault="00A468BF" w:rsidP="00CC11D5">
            <w:pPr>
              <w:jc w:val="center"/>
              <w:rPr>
                <w:rFonts w:ascii="Garamond" w:hAnsi="Garamond"/>
                <w:sz w:val="12"/>
                <w:szCs w:val="12"/>
              </w:rPr>
            </w:pPr>
          </w:p>
        </w:tc>
        <w:tc>
          <w:tcPr>
            <w:tcW w:w="1554" w:type="dxa"/>
            <w:vMerge/>
            <w:tcBorders>
              <w:left w:val="single" w:sz="4" w:space="0" w:color="auto"/>
              <w:bottom w:val="single" w:sz="4" w:space="0" w:color="auto"/>
              <w:right w:val="single" w:sz="4" w:space="0" w:color="auto"/>
            </w:tcBorders>
            <w:shd w:val="clear" w:color="FFFFFF" w:fill="FFFFFF"/>
            <w:vAlign w:val="center"/>
          </w:tcPr>
          <w:p w14:paraId="62289D53" w14:textId="77777777" w:rsidR="00A468BF" w:rsidRPr="00CC11D5" w:rsidRDefault="00A468BF" w:rsidP="00CC11D5">
            <w:pPr>
              <w:jc w:val="center"/>
              <w:rPr>
                <w:rFonts w:ascii="Garamond" w:hAnsi="Garamond"/>
                <w:sz w:val="12"/>
                <w:szCs w:val="12"/>
              </w:rPr>
            </w:pPr>
          </w:p>
        </w:tc>
        <w:tc>
          <w:tcPr>
            <w:tcW w:w="1553" w:type="dxa"/>
            <w:tcBorders>
              <w:top w:val="single" w:sz="4" w:space="0" w:color="auto"/>
              <w:left w:val="nil"/>
              <w:bottom w:val="single" w:sz="4" w:space="0" w:color="auto"/>
              <w:right w:val="single" w:sz="4" w:space="0" w:color="auto"/>
            </w:tcBorders>
            <w:shd w:val="clear" w:color="FFFFFF" w:fill="FFFFFF"/>
            <w:vAlign w:val="center"/>
          </w:tcPr>
          <w:p w14:paraId="4B2858D6" w14:textId="77777777" w:rsidR="00A468BF" w:rsidRPr="00CC11D5" w:rsidRDefault="00A468BF" w:rsidP="00CC11D5">
            <w:pPr>
              <w:jc w:val="center"/>
              <w:rPr>
                <w:rFonts w:ascii="Garamond" w:hAnsi="Garamond"/>
                <w:sz w:val="12"/>
                <w:szCs w:val="12"/>
              </w:rPr>
            </w:pPr>
            <w:r w:rsidRPr="00CC11D5">
              <w:rPr>
                <w:rFonts w:ascii="Garamond" w:hAnsi="Garamond"/>
                <w:b/>
                <w:sz w:val="12"/>
                <w:szCs w:val="12"/>
              </w:rPr>
              <w:t>2024</w:t>
            </w:r>
          </w:p>
        </w:tc>
        <w:tc>
          <w:tcPr>
            <w:tcW w:w="1553" w:type="dxa"/>
            <w:tcBorders>
              <w:top w:val="single" w:sz="4" w:space="0" w:color="auto"/>
              <w:left w:val="nil"/>
              <w:bottom w:val="single" w:sz="4" w:space="0" w:color="auto"/>
              <w:right w:val="single" w:sz="4" w:space="0" w:color="auto"/>
            </w:tcBorders>
            <w:shd w:val="clear" w:color="FFFFFF" w:fill="FFFFFF"/>
            <w:vAlign w:val="center"/>
          </w:tcPr>
          <w:p w14:paraId="65E4E1DB" w14:textId="77777777" w:rsidR="00A468BF" w:rsidRPr="00CC11D5" w:rsidRDefault="00A468BF" w:rsidP="00CC11D5">
            <w:pPr>
              <w:jc w:val="center"/>
              <w:rPr>
                <w:rFonts w:ascii="Garamond" w:hAnsi="Garamond"/>
                <w:sz w:val="12"/>
                <w:szCs w:val="12"/>
              </w:rPr>
            </w:pPr>
            <w:r w:rsidRPr="00CC11D5">
              <w:rPr>
                <w:rFonts w:ascii="Garamond" w:hAnsi="Garamond"/>
                <w:b/>
                <w:sz w:val="12"/>
                <w:szCs w:val="12"/>
              </w:rPr>
              <w:t>2025</w:t>
            </w:r>
          </w:p>
        </w:tc>
        <w:tc>
          <w:tcPr>
            <w:tcW w:w="1553" w:type="dxa"/>
            <w:tcBorders>
              <w:top w:val="single" w:sz="4" w:space="0" w:color="auto"/>
              <w:left w:val="nil"/>
              <w:bottom w:val="single" w:sz="4" w:space="0" w:color="auto"/>
              <w:right w:val="single" w:sz="4" w:space="0" w:color="auto"/>
            </w:tcBorders>
            <w:shd w:val="clear" w:color="FFFFFF" w:fill="FFFFFF"/>
            <w:vAlign w:val="center"/>
          </w:tcPr>
          <w:p w14:paraId="18B97FC7" w14:textId="77777777" w:rsidR="00A468BF" w:rsidRPr="00CC11D5" w:rsidRDefault="00A468BF" w:rsidP="00CC11D5">
            <w:pPr>
              <w:jc w:val="center"/>
              <w:rPr>
                <w:rFonts w:ascii="Garamond" w:hAnsi="Garamond"/>
                <w:sz w:val="12"/>
                <w:szCs w:val="12"/>
              </w:rPr>
            </w:pPr>
            <w:r w:rsidRPr="00CC11D5">
              <w:rPr>
                <w:rFonts w:ascii="Garamond" w:hAnsi="Garamond"/>
                <w:b/>
                <w:sz w:val="12"/>
                <w:szCs w:val="12"/>
              </w:rPr>
              <w:t>2026</w:t>
            </w:r>
          </w:p>
        </w:tc>
        <w:tc>
          <w:tcPr>
            <w:tcW w:w="1553" w:type="dxa"/>
            <w:tcBorders>
              <w:top w:val="single" w:sz="4" w:space="0" w:color="auto"/>
              <w:left w:val="nil"/>
              <w:bottom w:val="single" w:sz="4" w:space="0" w:color="auto"/>
              <w:right w:val="single" w:sz="4" w:space="0" w:color="auto"/>
            </w:tcBorders>
            <w:shd w:val="clear" w:color="FFFFFF" w:fill="FFFFFF"/>
            <w:vAlign w:val="center"/>
          </w:tcPr>
          <w:p w14:paraId="1F67BA61" w14:textId="77777777" w:rsidR="00A468BF" w:rsidRPr="00CC11D5" w:rsidRDefault="00A468BF" w:rsidP="00CC11D5">
            <w:pPr>
              <w:jc w:val="center"/>
              <w:rPr>
                <w:rFonts w:ascii="Garamond" w:hAnsi="Garamond"/>
                <w:sz w:val="12"/>
                <w:szCs w:val="12"/>
              </w:rPr>
            </w:pPr>
            <w:r w:rsidRPr="00CC11D5">
              <w:rPr>
                <w:rFonts w:ascii="Garamond" w:hAnsi="Garamond"/>
                <w:b/>
                <w:sz w:val="12"/>
                <w:szCs w:val="12"/>
              </w:rPr>
              <w:t>2027</w:t>
            </w:r>
          </w:p>
        </w:tc>
      </w:tr>
      <w:tr w:rsidR="00A468BF" w:rsidRPr="00CC11D5" w14:paraId="3D21530F" w14:textId="77777777" w:rsidTr="00FD7D60">
        <w:trPr>
          <w:trHeight w:val="20"/>
        </w:trPr>
        <w:tc>
          <w:tcPr>
            <w:tcW w:w="1250" w:type="dxa"/>
            <w:tcBorders>
              <w:top w:val="single" w:sz="4" w:space="0" w:color="auto"/>
              <w:left w:val="single" w:sz="4" w:space="0" w:color="auto"/>
              <w:bottom w:val="single" w:sz="4" w:space="0" w:color="auto"/>
              <w:right w:val="single" w:sz="4" w:space="0" w:color="auto"/>
            </w:tcBorders>
            <w:shd w:val="clear" w:color="FFFFFF" w:fill="FFFFFF"/>
          </w:tcPr>
          <w:p w14:paraId="046FB4DC" w14:textId="77777777" w:rsidR="00A468BF" w:rsidRPr="00CC11D5" w:rsidRDefault="00A468BF" w:rsidP="00A468BF">
            <w:pPr>
              <w:jc w:val="center"/>
              <w:rPr>
                <w:rFonts w:ascii="Garamond" w:hAnsi="Garamond"/>
                <w:sz w:val="12"/>
                <w:szCs w:val="12"/>
              </w:rPr>
            </w:pPr>
            <w:r w:rsidRPr="00CC11D5">
              <w:rPr>
                <w:rFonts w:ascii="Garamond" w:hAnsi="Garamond"/>
                <w:sz w:val="12"/>
                <w:szCs w:val="12"/>
              </w:rPr>
              <w:t>Ulja e qarkullimit të parasë në dorë në ekonomi</w:t>
            </w:r>
          </w:p>
        </w:tc>
        <w:tc>
          <w:tcPr>
            <w:tcW w:w="1554" w:type="dxa"/>
            <w:tcBorders>
              <w:top w:val="single" w:sz="4" w:space="0" w:color="auto"/>
              <w:left w:val="single" w:sz="4" w:space="0" w:color="auto"/>
              <w:bottom w:val="single" w:sz="4" w:space="0" w:color="auto"/>
              <w:right w:val="single" w:sz="4" w:space="0" w:color="auto"/>
            </w:tcBorders>
            <w:shd w:val="clear" w:color="FFFFFF" w:fill="FFFFFF"/>
          </w:tcPr>
          <w:p w14:paraId="4C7A0F19" w14:textId="77777777" w:rsidR="00A468BF" w:rsidRPr="00CC11D5" w:rsidRDefault="00A468BF" w:rsidP="00A468BF">
            <w:pPr>
              <w:jc w:val="center"/>
              <w:rPr>
                <w:rFonts w:ascii="Garamond" w:hAnsi="Garamond"/>
                <w:sz w:val="12"/>
                <w:szCs w:val="12"/>
              </w:rPr>
            </w:pPr>
            <w:r w:rsidRPr="00CC11D5">
              <w:rPr>
                <w:rFonts w:ascii="Garamond" w:hAnsi="Garamond"/>
                <w:sz w:val="12"/>
                <w:szCs w:val="12"/>
              </w:rPr>
              <w:t>90% e transaksioneve të konsumit përfundimtar kryheshin me para në dorë në vitin 2022</w:t>
            </w:r>
          </w:p>
        </w:tc>
        <w:tc>
          <w:tcPr>
            <w:tcW w:w="1553" w:type="dxa"/>
            <w:tcBorders>
              <w:top w:val="single" w:sz="4" w:space="0" w:color="auto"/>
              <w:left w:val="nil"/>
              <w:bottom w:val="single" w:sz="4" w:space="0" w:color="auto"/>
              <w:right w:val="single" w:sz="4" w:space="0" w:color="auto"/>
            </w:tcBorders>
            <w:shd w:val="clear" w:color="FFFFFF" w:fill="FFFFFF"/>
            <w:vAlign w:val="center"/>
          </w:tcPr>
          <w:p w14:paraId="01A20E3F" w14:textId="77777777" w:rsidR="00A468BF" w:rsidRPr="00CC11D5" w:rsidRDefault="00A468BF" w:rsidP="00FD7D60">
            <w:pPr>
              <w:jc w:val="center"/>
              <w:rPr>
                <w:rFonts w:ascii="Garamond" w:hAnsi="Garamond"/>
                <w:sz w:val="12"/>
                <w:szCs w:val="12"/>
              </w:rPr>
            </w:pPr>
            <w:r w:rsidRPr="00CC11D5">
              <w:rPr>
                <w:rFonts w:ascii="Garamond" w:hAnsi="Garamond"/>
                <w:sz w:val="12"/>
                <w:szCs w:val="12"/>
              </w:rPr>
              <w:t>Trend rënës</w:t>
            </w:r>
          </w:p>
        </w:tc>
        <w:tc>
          <w:tcPr>
            <w:tcW w:w="1553" w:type="dxa"/>
            <w:tcBorders>
              <w:top w:val="single" w:sz="4" w:space="0" w:color="auto"/>
              <w:left w:val="nil"/>
              <w:bottom w:val="single" w:sz="4" w:space="0" w:color="auto"/>
              <w:right w:val="single" w:sz="4" w:space="0" w:color="auto"/>
            </w:tcBorders>
            <w:shd w:val="clear" w:color="FFFFFF" w:fill="FFFFFF"/>
          </w:tcPr>
          <w:p w14:paraId="41094A66" w14:textId="77777777" w:rsidR="00A468BF" w:rsidRPr="00CC11D5" w:rsidRDefault="00A468BF" w:rsidP="00A468BF">
            <w:pPr>
              <w:jc w:val="center"/>
              <w:rPr>
                <w:rFonts w:ascii="Garamond" w:hAnsi="Garamond"/>
                <w:sz w:val="12"/>
                <w:szCs w:val="12"/>
              </w:rPr>
            </w:pPr>
          </w:p>
          <w:p w14:paraId="1C77F7C9" w14:textId="77777777" w:rsidR="00A468BF" w:rsidRPr="00CC11D5" w:rsidRDefault="00A468BF" w:rsidP="00A468BF">
            <w:pPr>
              <w:jc w:val="center"/>
              <w:rPr>
                <w:rFonts w:ascii="Garamond" w:hAnsi="Garamond"/>
                <w:sz w:val="12"/>
                <w:szCs w:val="12"/>
              </w:rPr>
            </w:pPr>
          </w:p>
          <w:p w14:paraId="416998F6" w14:textId="77777777" w:rsidR="00A468BF" w:rsidRPr="00CC11D5" w:rsidRDefault="00A468BF" w:rsidP="00A468BF">
            <w:pPr>
              <w:jc w:val="center"/>
              <w:rPr>
                <w:rFonts w:ascii="Garamond" w:hAnsi="Garamond"/>
                <w:sz w:val="12"/>
                <w:szCs w:val="12"/>
              </w:rPr>
            </w:pPr>
            <w:r w:rsidRPr="00CC11D5">
              <w:rPr>
                <w:rFonts w:ascii="Garamond" w:hAnsi="Garamond"/>
                <w:sz w:val="12"/>
                <w:szCs w:val="12"/>
              </w:rPr>
              <w:t>Trend rënës</w:t>
            </w:r>
          </w:p>
        </w:tc>
        <w:tc>
          <w:tcPr>
            <w:tcW w:w="1553" w:type="dxa"/>
            <w:tcBorders>
              <w:top w:val="single" w:sz="4" w:space="0" w:color="auto"/>
              <w:left w:val="nil"/>
              <w:bottom w:val="single" w:sz="4" w:space="0" w:color="auto"/>
              <w:right w:val="single" w:sz="4" w:space="0" w:color="auto"/>
            </w:tcBorders>
            <w:shd w:val="clear" w:color="FFFFFF" w:fill="FFFFFF"/>
          </w:tcPr>
          <w:p w14:paraId="0B1DDF06" w14:textId="77777777" w:rsidR="00A468BF" w:rsidRPr="00CC11D5" w:rsidRDefault="00A468BF" w:rsidP="00A468BF">
            <w:pPr>
              <w:jc w:val="center"/>
              <w:rPr>
                <w:rFonts w:ascii="Garamond" w:hAnsi="Garamond"/>
                <w:sz w:val="12"/>
                <w:szCs w:val="12"/>
              </w:rPr>
            </w:pPr>
          </w:p>
          <w:p w14:paraId="1401B1DD" w14:textId="77777777" w:rsidR="00A468BF" w:rsidRPr="00CC11D5" w:rsidRDefault="00A468BF" w:rsidP="00A468BF">
            <w:pPr>
              <w:jc w:val="center"/>
              <w:rPr>
                <w:rFonts w:ascii="Garamond" w:hAnsi="Garamond"/>
                <w:sz w:val="12"/>
                <w:szCs w:val="12"/>
              </w:rPr>
            </w:pPr>
          </w:p>
          <w:p w14:paraId="2011261B" w14:textId="77777777" w:rsidR="00A468BF" w:rsidRPr="00CC11D5" w:rsidRDefault="00A468BF" w:rsidP="00A468BF">
            <w:pPr>
              <w:jc w:val="center"/>
              <w:rPr>
                <w:rFonts w:ascii="Garamond" w:hAnsi="Garamond"/>
                <w:sz w:val="12"/>
                <w:szCs w:val="12"/>
              </w:rPr>
            </w:pPr>
            <w:r w:rsidRPr="00CC11D5">
              <w:rPr>
                <w:rFonts w:ascii="Garamond" w:hAnsi="Garamond"/>
                <w:sz w:val="12"/>
                <w:szCs w:val="12"/>
              </w:rPr>
              <w:t>Trend rënës</w:t>
            </w:r>
          </w:p>
        </w:tc>
        <w:tc>
          <w:tcPr>
            <w:tcW w:w="1553" w:type="dxa"/>
            <w:tcBorders>
              <w:top w:val="single" w:sz="4" w:space="0" w:color="auto"/>
              <w:left w:val="nil"/>
              <w:bottom w:val="single" w:sz="4" w:space="0" w:color="auto"/>
              <w:right w:val="single" w:sz="4" w:space="0" w:color="auto"/>
            </w:tcBorders>
            <w:shd w:val="clear" w:color="FFFFFF" w:fill="FFFFFF"/>
          </w:tcPr>
          <w:p w14:paraId="4CEFA3D6" w14:textId="77777777" w:rsidR="00A468BF" w:rsidRPr="00CC11D5" w:rsidRDefault="00A468BF" w:rsidP="00A468BF">
            <w:pPr>
              <w:jc w:val="center"/>
              <w:rPr>
                <w:rFonts w:ascii="Garamond" w:hAnsi="Garamond"/>
                <w:sz w:val="12"/>
                <w:szCs w:val="12"/>
              </w:rPr>
            </w:pPr>
          </w:p>
          <w:p w14:paraId="206D3444" w14:textId="77777777" w:rsidR="00A468BF" w:rsidRPr="00CC11D5" w:rsidRDefault="00A468BF" w:rsidP="00A468BF">
            <w:pPr>
              <w:jc w:val="center"/>
              <w:rPr>
                <w:rFonts w:ascii="Garamond" w:hAnsi="Garamond"/>
                <w:sz w:val="12"/>
                <w:szCs w:val="12"/>
              </w:rPr>
            </w:pPr>
          </w:p>
          <w:p w14:paraId="187AE148" w14:textId="77777777" w:rsidR="00A468BF" w:rsidRPr="00CC11D5" w:rsidRDefault="00A468BF" w:rsidP="00A468BF">
            <w:pPr>
              <w:jc w:val="center"/>
              <w:rPr>
                <w:rFonts w:ascii="Garamond" w:hAnsi="Garamond"/>
                <w:sz w:val="12"/>
                <w:szCs w:val="12"/>
              </w:rPr>
            </w:pPr>
            <w:r w:rsidRPr="00CC11D5">
              <w:rPr>
                <w:rFonts w:ascii="Garamond" w:hAnsi="Garamond"/>
                <w:sz w:val="12"/>
                <w:szCs w:val="12"/>
              </w:rPr>
              <w:t>Trend rënës</w:t>
            </w:r>
          </w:p>
        </w:tc>
      </w:tr>
    </w:tbl>
    <w:p w14:paraId="427C405D" w14:textId="77777777" w:rsidR="00A468BF" w:rsidRPr="00830F4C" w:rsidRDefault="00A468BF" w:rsidP="00A468BF">
      <w:pPr>
        <w:ind w:firstLine="284"/>
        <w:rPr>
          <w:rFonts w:ascii="Garamond" w:hAnsi="Garamond"/>
        </w:rPr>
      </w:pPr>
      <w:r w:rsidRPr="00830F4C">
        <w:rPr>
          <w:rFonts w:ascii="Garamond" w:hAnsi="Garamond"/>
        </w:rPr>
        <w:t>Më poshtë është një përshkrim i masave dhe aktiviteteve për realizimin e këtij komponenti.</w:t>
      </w:r>
    </w:p>
    <w:p w14:paraId="33BE086D" w14:textId="17BD24BC" w:rsidR="00A468BF" w:rsidRPr="00830F4C" w:rsidRDefault="00A468BF" w:rsidP="00A468BF">
      <w:pPr>
        <w:ind w:firstLine="284"/>
        <w:rPr>
          <w:rFonts w:ascii="Garamond" w:hAnsi="Garamond"/>
        </w:rPr>
      </w:pPr>
      <w:r w:rsidRPr="00830F4C">
        <w:rPr>
          <w:rFonts w:ascii="Garamond" w:hAnsi="Garamond"/>
          <w:b/>
          <w:bCs/>
        </w:rPr>
        <w:t xml:space="preserve">Masa 2.2.1 Zbatimi i një plani masash nga administrata tatimore për të ulur pagesat </w:t>
      </w:r>
      <w:r w:rsidRPr="00FD7D60">
        <w:rPr>
          <w:rFonts w:ascii="Garamond" w:hAnsi="Garamond"/>
          <w:b/>
          <w:bCs/>
          <w:i/>
        </w:rPr>
        <w:t>cash</w:t>
      </w:r>
      <w:r w:rsidRPr="00830F4C">
        <w:rPr>
          <w:rFonts w:ascii="Garamond" w:hAnsi="Garamond"/>
          <w:b/>
          <w:bCs/>
        </w:rPr>
        <w:t xml:space="preserve"> në ekonomi</w:t>
      </w:r>
    </w:p>
    <w:p w14:paraId="1C5612DE" w14:textId="460FFFE5" w:rsidR="00A468BF" w:rsidRPr="00830F4C" w:rsidRDefault="00A468BF" w:rsidP="00A468BF">
      <w:pPr>
        <w:ind w:firstLine="284"/>
        <w:jc w:val="both"/>
        <w:rPr>
          <w:rFonts w:ascii="Garamond" w:hAnsi="Garamond"/>
        </w:rPr>
      </w:pPr>
      <w:r w:rsidRPr="00830F4C">
        <w:rPr>
          <w:rFonts w:ascii="Garamond" w:hAnsi="Garamond"/>
        </w:rPr>
        <w:t>Aktualisht, pjesë e strategjisë 4</w:t>
      </w:r>
      <w:r w:rsidR="0052377F" w:rsidRPr="00830F4C">
        <w:rPr>
          <w:rFonts w:ascii="Garamond" w:hAnsi="Garamond"/>
        </w:rPr>
        <w:t>-</w:t>
      </w:r>
      <w:r w:rsidRPr="00830F4C">
        <w:rPr>
          <w:rFonts w:ascii="Garamond" w:hAnsi="Garamond"/>
        </w:rPr>
        <w:t xml:space="preserve">vjeçare do të jetë ulja e parasë </w:t>
      </w:r>
      <w:r w:rsidRPr="00FD7D60">
        <w:rPr>
          <w:rFonts w:ascii="Garamond" w:hAnsi="Garamond"/>
          <w:i/>
        </w:rPr>
        <w:t>cash</w:t>
      </w:r>
      <w:r w:rsidRPr="00830F4C">
        <w:rPr>
          <w:rFonts w:ascii="Garamond" w:hAnsi="Garamond"/>
        </w:rPr>
        <w:t xml:space="preserve"> nëpërmjet përdorimit të terminaleve POS në Shqipëri. Vende të ndryshme të botës i kanë zbatuar me sukses këto eksperienca. Greqia</w:t>
      </w:r>
      <w:r w:rsidR="00FD7D60">
        <w:rPr>
          <w:rFonts w:ascii="Garamond" w:hAnsi="Garamond"/>
        </w:rPr>
        <w:t>,</w:t>
      </w:r>
      <w:r w:rsidRPr="00830F4C">
        <w:rPr>
          <w:rFonts w:ascii="Garamond" w:hAnsi="Garamond"/>
        </w:rPr>
        <w:t xml:space="preserve"> nga 1 </w:t>
      </w:r>
      <w:r w:rsidR="008C0C0F" w:rsidRPr="00830F4C">
        <w:rPr>
          <w:rFonts w:ascii="Garamond" w:hAnsi="Garamond"/>
        </w:rPr>
        <w:t>j</w:t>
      </w:r>
      <w:r w:rsidRPr="00830F4C">
        <w:rPr>
          <w:rFonts w:ascii="Garamond" w:hAnsi="Garamond"/>
        </w:rPr>
        <w:t>anar</w:t>
      </w:r>
      <w:r w:rsidR="00FD7D60">
        <w:rPr>
          <w:rFonts w:ascii="Garamond" w:hAnsi="Garamond"/>
        </w:rPr>
        <w:t>i</w:t>
      </w:r>
      <w:r w:rsidRPr="00830F4C">
        <w:rPr>
          <w:rFonts w:ascii="Garamond" w:hAnsi="Garamond"/>
        </w:rPr>
        <w:t xml:space="preserve"> 2020, aplikon penalitetet tek individët nëse 1/3 e të ardhurave nuk e kanalizojnë nëpërmjet terminaleve POS. Aktualisht, Shqipëria ka një nivel shumë të ulët të përdorimit të POS</w:t>
      </w:r>
      <w:r w:rsidR="00FD7D60">
        <w:rPr>
          <w:rFonts w:ascii="Garamond" w:hAnsi="Garamond"/>
        </w:rPr>
        <w:t>-eve</w:t>
      </w:r>
      <w:r w:rsidRPr="00830F4C">
        <w:rPr>
          <w:rFonts w:ascii="Garamond" w:hAnsi="Garamond"/>
        </w:rPr>
        <w:t>. Në vitin 2022, janë rreth 18,570 POS</w:t>
      </w:r>
      <w:r w:rsidR="00FD7D60">
        <w:rPr>
          <w:rFonts w:ascii="Garamond" w:hAnsi="Garamond"/>
        </w:rPr>
        <w:t>-e</w:t>
      </w:r>
      <w:r w:rsidRPr="00830F4C">
        <w:rPr>
          <w:rFonts w:ascii="Garamond" w:hAnsi="Garamond"/>
        </w:rPr>
        <w:t xml:space="preserve"> të instaluar</w:t>
      </w:r>
      <w:r w:rsidR="00FD7D60">
        <w:rPr>
          <w:rFonts w:ascii="Garamond" w:hAnsi="Garamond"/>
        </w:rPr>
        <w:t>a</w:t>
      </w:r>
      <w:r w:rsidRPr="00830F4C">
        <w:rPr>
          <w:rFonts w:ascii="Garamond" w:hAnsi="Garamond"/>
        </w:rPr>
        <w:t xml:space="preserve"> nga tatimpaguesit, shifër kjo e papërfillshme duke marrë në konsideratë që në vend ushtrojnë aktivitet ekonomik mbi 125 mijë biznese. </w:t>
      </w:r>
    </w:p>
    <w:p w14:paraId="2D1E9D40" w14:textId="02BD406F" w:rsidR="00A468BF" w:rsidRPr="00830F4C" w:rsidRDefault="00A468BF" w:rsidP="00A468BF">
      <w:pPr>
        <w:ind w:firstLine="284"/>
        <w:jc w:val="both"/>
        <w:rPr>
          <w:rFonts w:ascii="Garamond" w:hAnsi="Garamond"/>
        </w:rPr>
      </w:pPr>
      <w:r w:rsidRPr="00830F4C">
        <w:rPr>
          <w:rFonts w:ascii="Garamond" w:hAnsi="Garamond"/>
        </w:rPr>
        <w:t xml:space="preserve">Pavarësisht masave që ka marrë Banka e Shqipërisë për reduktimin e parasë </w:t>
      </w:r>
      <w:r w:rsidRPr="00FD7D60">
        <w:rPr>
          <w:rFonts w:ascii="Garamond" w:hAnsi="Garamond"/>
          <w:i/>
        </w:rPr>
        <w:t>cash</w:t>
      </w:r>
      <w:r w:rsidR="00FD7D60">
        <w:rPr>
          <w:rFonts w:ascii="Garamond" w:hAnsi="Garamond"/>
        </w:rPr>
        <w:t>,</w:t>
      </w:r>
      <w:r w:rsidRPr="00830F4C">
        <w:rPr>
          <w:rFonts w:ascii="Garamond" w:hAnsi="Garamond"/>
        </w:rPr>
        <w:t xml:space="preserve"> si dhe uljes së kostos së mbajtjes së llogarisë bankare për individë dhe biznes</w:t>
      </w:r>
      <w:r w:rsidR="00FD7D60">
        <w:rPr>
          <w:rFonts w:ascii="Garamond" w:hAnsi="Garamond"/>
        </w:rPr>
        <w:t>e</w:t>
      </w:r>
      <w:r w:rsidRPr="00830F4C">
        <w:rPr>
          <w:rFonts w:ascii="Garamond" w:hAnsi="Garamond"/>
        </w:rPr>
        <w:t xml:space="preserve"> të vogl</w:t>
      </w:r>
      <w:r w:rsidR="00FD7D60">
        <w:rPr>
          <w:rFonts w:ascii="Garamond" w:hAnsi="Garamond"/>
        </w:rPr>
        <w:t>a</w:t>
      </w:r>
      <w:r w:rsidRPr="00830F4C">
        <w:rPr>
          <w:rFonts w:ascii="Garamond" w:hAnsi="Garamond"/>
        </w:rPr>
        <w:t xml:space="preserve">, nga ana e administrimit tatimor, bazuar dhe në eksperiencat e vendeve të tjera mbi masat e marra prej tyre për të ulur përdorimin e pagesave </w:t>
      </w:r>
      <w:r w:rsidRPr="00FD7D60">
        <w:rPr>
          <w:rFonts w:ascii="Garamond" w:hAnsi="Garamond"/>
          <w:i/>
        </w:rPr>
        <w:t>cash</w:t>
      </w:r>
      <w:r w:rsidRPr="00830F4C">
        <w:rPr>
          <w:rFonts w:ascii="Garamond" w:hAnsi="Garamond"/>
        </w:rPr>
        <w:t xml:space="preserve"> në vend, Strategjia ka parashikuar masat e mëposhtme për të zhvendosur qarkullimin </w:t>
      </w:r>
      <w:r w:rsidRPr="00FD7D60">
        <w:rPr>
          <w:rFonts w:ascii="Garamond" w:hAnsi="Garamond"/>
          <w:i/>
        </w:rPr>
        <w:t>cash</w:t>
      </w:r>
      <w:r w:rsidRPr="00830F4C">
        <w:rPr>
          <w:rFonts w:ascii="Garamond" w:hAnsi="Garamond"/>
        </w:rPr>
        <w:t xml:space="preserve"> drejt pagesave elektronike. Kjo është në harmoni të plotë edhe me projektin e fiskalizimit.</w:t>
      </w:r>
    </w:p>
    <w:p w14:paraId="0A83687C" w14:textId="4DD79A9A" w:rsidR="00A468BF" w:rsidRPr="00830F4C" w:rsidRDefault="00A468BF" w:rsidP="00A468BF">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Aktiviteti 2.2.1.1</w:t>
      </w:r>
      <w:r w:rsidR="00A72159">
        <w:rPr>
          <w:rFonts w:ascii="Garamond" w:hAnsi="Garamond"/>
          <w:sz w:val="24"/>
          <w:szCs w:val="24"/>
        </w:rPr>
        <w:t xml:space="preserve">: </w:t>
      </w:r>
      <w:r w:rsidRPr="00830F4C">
        <w:rPr>
          <w:rFonts w:ascii="Garamond" w:hAnsi="Garamond"/>
          <w:sz w:val="24"/>
          <w:szCs w:val="24"/>
        </w:rPr>
        <w:t>Vendosja</w:t>
      </w:r>
      <w:r w:rsidR="00D22EA5" w:rsidRPr="00830F4C">
        <w:rPr>
          <w:rFonts w:ascii="Garamond" w:hAnsi="Garamond"/>
          <w:sz w:val="24"/>
          <w:szCs w:val="24"/>
        </w:rPr>
        <w:t xml:space="preserve"> </w:t>
      </w:r>
      <w:r w:rsidR="00FD7D60">
        <w:rPr>
          <w:rFonts w:ascii="Garamond" w:hAnsi="Garamond"/>
          <w:sz w:val="24"/>
          <w:szCs w:val="24"/>
        </w:rPr>
        <w:t xml:space="preserve">e </w:t>
      </w:r>
      <w:r w:rsidRPr="00830F4C">
        <w:rPr>
          <w:rFonts w:ascii="Garamond" w:hAnsi="Garamond"/>
          <w:sz w:val="24"/>
          <w:szCs w:val="24"/>
        </w:rPr>
        <w:t xml:space="preserve">një limiti për pagesat </w:t>
      </w:r>
      <w:r w:rsidRPr="00FD7D60">
        <w:rPr>
          <w:rFonts w:ascii="Garamond" w:hAnsi="Garamond"/>
          <w:i/>
          <w:sz w:val="24"/>
          <w:szCs w:val="24"/>
        </w:rPr>
        <w:t>cash</w:t>
      </w:r>
      <w:r w:rsidRPr="00830F4C">
        <w:rPr>
          <w:rFonts w:ascii="Garamond" w:hAnsi="Garamond"/>
          <w:sz w:val="24"/>
          <w:szCs w:val="24"/>
        </w:rPr>
        <w:t xml:space="preserve"> mes individëve;</w:t>
      </w:r>
    </w:p>
    <w:p w14:paraId="6E4C146B" w14:textId="6352E939" w:rsidR="00A468BF" w:rsidRPr="00830F4C" w:rsidRDefault="00A468BF" w:rsidP="00A468BF">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Aktiviteti 2.2.1.2</w:t>
      </w:r>
      <w:r w:rsidR="00A72159">
        <w:rPr>
          <w:rFonts w:ascii="Garamond" w:hAnsi="Garamond"/>
          <w:sz w:val="24"/>
          <w:szCs w:val="24"/>
        </w:rPr>
        <w:t>:</w:t>
      </w:r>
      <w:r w:rsidRPr="00830F4C">
        <w:rPr>
          <w:rFonts w:ascii="Garamond" w:hAnsi="Garamond"/>
          <w:sz w:val="24"/>
          <w:szCs w:val="24"/>
        </w:rPr>
        <w:t xml:space="preserve"> Reduktimi i </w:t>
      </w:r>
      <w:r w:rsidR="00FD7D60" w:rsidRPr="00830F4C">
        <w:rPr>
          <w:rFonts w:ascii="Garamond" w:hAnsi="Garamond"/>
          <w:sz w:val="24"/>
          <w:szCs w:val="24"/>
        </w:rPr>
        <w:t>mëtejshëm</w:t>
      </w:r>
      <w:r w:rsidRPr="00830F4C">
        <w:rPr>
          <w:rFonts w:ascii="Garamond" w:hAnsi="Garamond"/>
          <w:sz w:val="24"/>
          <w:szCs w:val="24"/>
        </w:rPr>
        <w:t xml:space="preserve"> për pagesat me para në dorë mes bizneseve nga 150.000 lekë që është aktualisht.</w:t>
      </w:r>
    </w:p>
    <w:p w14:paraId="77B82FA0" w14:textId="7ECA2365" w:rsidR="00A468BF" w:rsidRPr="00830F4C" w:rsidRDefault="00A468BF" w:rsidP="00A468BF">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Aktiviteti 2.2.1.3</w:t>
      </w:r>
      <w:r w:rsidR="00A72159">
        <w:rPr>
          <w:rFonts w:ascii="Garamond" w:hAnsi="Garamond"/>
          <w:sz w:val="24"/>
          <w:szCs w:val="24"/>
        </w:rPr>
        <w:t>:</w:t>
      </w:r>
      <w:r w:rsidRPr="00830F4C">
        <w:rPr>
          <w:rFonts w:ascii="Garamond" w:hAnsi="Garamond"/>
          <w:sz w:val="24"/>
          <w:szCs w:val="24"/>
        </w:rPr>
        <w:t xml:space="preserve"> Krijimi i rregullave të riskut, të cilat evidentojnë tatimpaguesit të cilët fragmentizojnë faturat për të mos kaluar limitin që përcakton ligji, tatimpaguesit që kanë nivel anormal të faturimit </w:t>
      </w:r>
      <w:r w:rsidRPr="00FD7D60">
        <w:rPr>
          <w:rFonts w:ascii="Garamond" w:hAnsi="Garamond"/>
          <w:i/>
          <w:sz w:val="24"/>
          <w:szCs w:val="24"/>
        </w:rPr>
        <w:t>cash</w:t>
      </w:r>
      <w:r w:rsidRPr="00830F4C">
        <w:rPr>
          <w:rFonts w:ascii="Garamond" w:hAnsi="Garamond"/>
          <w:sz w:val="24"/>
          <w:szCs w:val="24"/>
        </w:rPr>
        <w:t xml:space="preserve"> krahasuar me të ngjashmit e tyre. </w:t>
      </w:r>
    </w:p>
    <w:p w14:paraId="7007F68C" w14:textId="5F0F036B" w:rsidR="00A468BF" w:rsidRPr="00830F4C" w:rsidRDefault="00A468BF" w:rsidP="005C7FB7">
      <w:pPr>
        <w:ind w:firstLine="284"/>
        <w:jc w:val="both"/>
        <w:rPr>
          <w:rFonts w:ascii="Garamond" w:hAnsi="Garamond"/>
          <w:b/>
          <w:bCs/>
        </w:rPr>
      </w:pPr>
      <w:r w:rsidRPr="00830F4C">
        <w:rPr>
          <w:rFonts w:ascii="Garamond" w:hAnsi="Garamond"/>
          <w:b/>
          <w:bCs/>
        </w:rPr>
        <w:t xml:space="preserve">Masa 2.2.2 Diskutimi me sektorin </w:t>
      </w:r>
      <w:r w:rsidR="005C7FB7">
        <w:rPr>
          <w:rFonts w:ascii="Garamond" w:hAnsi="Garamond"/>
          <w:b/>
          <w:bCs/>
        </w:rPr>
        <w:t>b</w:t>
      </w:r>
      <w:r w:rsidRPr="00830F4C">
        <w:rPr>
          <w:rFonts w:ascii="Garamond" w:hAnsi="Garamond"/>
          <w:b/>
          <w:bCs/>
        </w:rPr>
        <w:t>ankar për reduktimin e komisioneve bankare për tatimpaguesit që përdorin POS</w:t>
      </w:r>
      <w:r w:rsidR="005C7FB7">
        <w:rPr>
          <w:rFonts w:ascii="Garamond" w:hAnsi="Garamond"/>
          <w:b/>
          <w:bCs/>
        </w:rPr>
        <w:t>-et</w:t>
      </w:r>
    </w:p>
    <w:p w14:paraId="7C8A4893" w14:textId="2BBCC4EA" w:rsidR="00A468BF" w:rsidRPr="00830F4C" w:rsidRDefault="00A468BF" w:rsidP="00A468BF">
      <w:pPr>
        <w:pStyle w:val="ListParagraph"/>
        <w:spacing w:after="0" w:line="240" w:lineRule="auto"/>
        <w:ind w:left="0" w:firstLine="284"/>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Aktiviteti 2.2.2.1</w:t>
      </w:r>
      <w:r w:rsidR="00A72159">
        <w:rPr>
          <w:rFonts w:ascii="Garamond" w:hAnsi="Garamond"/>
          <w:sz w:val="24"/>
          <w:szCs w:val="24"/>
        </w:rPr>
        <w:t>:</w:t>
      </w:r>
      <w:r w:rsidRPr="00830F4C">
        <w:rPr>
          <w:rFonts w:ascii="Garamond" w:hAnsi="Garamond"/>
          <w:sz w:val="24"/>
          <w:szCs w:val="24"/>
        </w:rPr>
        <w:t xml:space="preserve"> Krijimi i një grupi pune mes Ministrisë së Financave, Bankës së Shqipërisë dhe Shoqatës Shqiptare të Bankave për të ulur komisionet e përdorimit të terminaleve POS mes bankave të nivelit të dytë dhe tatimpaguesve.</w:t>
      </w:r>
    </w:p>
    <w:p w14:paraId="600F2902" w14:textId="6E368D52" w:rsidR="00A468BF" w:rsidRPr="00830F4C" w:rsidRDefault="00A468BF" w:rsidP="00A468BF">
      <w:pPr>
        <w:pStyle w:val="Heading2"/>
        <w:spacing w:before="0"/>
        <w:ind w:firstLine="284"/>
        <w:jc w:val="both"/>
        <w:rPr>
          <w:rFonts w:ascii="Garamond" w:hAnsi="Garamond"/>
          <w:b/>
          <w:bCs/>
          <w:color w:val="auto"/>
          <w:sz w:val="24"/>
          <w:szCs w:val="24"/>
        </w:rPr>
      </w:pPr>
      <w:r w:rsidRPr="00830F4C">
        <w:rPr>
          <w:rFonts w:ascii="Garamond" w:hAnsi="Garamond"/>
          <w:b/>
          <w:bCs/>
          <w:color w:val="auto"/>
          <w:sz w:val="24"/>
          <w:szCs w:val="24"/>
        </w:rPr>
        <w:t>V.4 Komponenti 2.3 Verifikimi i të ardhurave dhe kontrolli i pasurive të pajustifikuara</w:t>
      </w:r>
    </w:p>
    <w:p w14:paraId="40A52A70" w14:textId="77777777" w:rsidR="00A468BF" w:rsidRPr="00830F4C" w:rsidRDefault="00A468BF" w:rsidP="00A468BF">
      <w:pPr>
        <w:ind w:firstLine="284"/>
        <w:jc w:val="both"/>
        <w:rPr>
          <w:rFonts w:ascii="Garamond" w:hAnsi="Garamond"/>
          <w:b/>
          <w:bCs/>
        </w:rPr>
      </w:pPr>
      <w:r w:rsidRPr="00830F4C">
        <w:rPr>
          <w:rFonts w:ascii="Garamond" w:hAnsi="Garamond"/>
          <w:b/>
          <w:bCs/>
        </w:rPr>
        <w:t>Objektivi</w:t>
      </w:r>
    </w:p>
    <w:p w14:paraId="1B59D611" w14:textId="7ECB7190" w:rsidR="00A468BF" w:rsidRPr="00830F4C" w:rsidRDefault="00A468BF" w:rsidP="00A468BF">
      <w:pPr>
        <w:ind w:firstLine="284"/>
        <w:jc w:val="both"/>
        <w:rPr>
          <w:rFonts w:ascii="Garamond" w:hAnsi="Garamond"/>
        </w:rPr>
      </w:pPr>
      <w:r w:rsidRPr="00830F4C">
        <w:rPr>
          <w:rFonts w:ascii="Garamond" w:hAnsi="Garamond"/>
        </w:rPr>
        <w:t>Objektivi kryesor i këtij komponenti konsiston në ngritjen e sistemeve, regjistrave dhe kapacite</w:t>
      </w:r>
      <w:r w:rsidR="005C7FB7">
        <w:rPr>
          <w:rFonts w:ascii="Garamond" w:hAnsi="Garamond"/>
        </w:rPr>
        <w:t>te</w:t>
      </w:r>
      <w:r w:rsidRPr="00830F4C">
        <w:rPr>
          <w:rFonts w:ascii="Garamond" w:hAnsi="Garamond"/>
        </w:rPr>
        <w:t>ve për hetimin e pasurive të pajustifikuar</w:t>
      </w:r>
      <w:r w:rsidR="005C7FB7">
        <w:rPr>
          <w:rFonts w:ascii="Garamond" w:hAnsi="Garamond"/>
        </w:rPr>
        <w:t>a,</w:t>
      </w:r>
      <w:r w:rsidRPr="00830F4C">
        <w:rPr>
          <w:rFonts w:ascii="Garamond" w:hAnsi="Garamond"/>
        </w:rPr>
        <w:t xml:space="preserve"> si dhe kryerja e hetimeve të tatimpaguesve dhe individëve bazuar në të dhënat e këtyre sistemeve, në përputhje të plotë me kushtet për afatin dhe treguesit e përcaktuar në Planin e Rritjes</w:t>
      </w:r>
      <w:r w:rsidR="005C7FB7">
        <w:rPr>
          <w:rFonts w:ascii="Garamond" w:hAnsi="Garamond"/>
        </w:rPr>
        <w:t>.</w:t>
      </w:r>
    </w:p>
    <w:p w14:paraId="607619AC" w14:textId="77777777" w:rsidR="00A468BF" w:rsidRPr="00830F4C" w:rsidRDefault="00A468BF" w:rsidP="00A468BF">
      <w:pPr>
        <w:ind w:firstLine="284"/>
        <w:jc w:val="both"/>
        <w:rPr>
          <w:rFonts w:ascii="Garamond" w:hAnsi="Garamond"/>
          <w:b/>
          <w:bCs/>
        </w:rPr>
      </w:pPr>
      <w:r w:rsidRPr="00830F4C">
        <w:rPr>
          <w:rFonts w:ascii="Garamond" w:hAnsi="Garamond"/>
          <w:b/>
          <w:bCs/>
        </w:rPr>
        <w:t>Konteksti</w:t>
      </w:r>
    </w:p>
    <w:p w14:paraId="2DC3D0F9" w14:textId="5ACD768B" w:rsidR="00A468BF" w:rsidRPr="00830F4C" w:rsidRDefault="00A468BF" w:rsidP="00A468BF">
      <w:pPr>
        <w:ind w:firstLine="284"/>
        <w:jc w:val="both"/>
        <w:rPr>
          <w:rFonts w:ascii="Garamond" w:hAnsi="Garamond"/>
        </w:rPr>
      </w:pPr>
      <w:r w:rsidRPr="00830F4C">
        <w:rPr>
          <w:rFonts w:ascii="Garamond" w:hAnsi="Garamond"/>
        </w:rPr>
        <w:t>Ndër vite, në AT është investuar</w:t>
      </w:r>
      <w:r w:rsidR="005C7FB7">
        <w:rPr>
          <w:rFonts w:ascii="Garamond" w:hAnsi="Garamond"/>
        </w:rPr>
        <w:t>,</w:t>
      </w:r>
      <w:r w:rsidRPr="00830F4C">
        <w:rPr>
          <w:rFonts w:ascii="Garamond" w:hAnsi="Garamond"/>
        </w:rPr>
        <w:t xml:space="preserve"> lidhur me krijimin e sistemeve për të identifikuar evazionin tatimor apo për të pasur </w:t>
      </w:r>
      <w:r w:rsidR="00377F8B" w:rsidRPr="00830F4C">
        <w:rPr>
          <w:rFonts w:ascii="Garamond" w:hAnsi="Garamond"/>
        </w:rPr>
        <w:t>instrumente</w:t>
      </w:r>
      <w:r w:rsidRPr="00830F4C">
        <w:rPr>
          <w:rFonts w:ascii="Garamond" w:hAnsi="Garamond"/>
        </w:rPr>
        <w:t xml:space="preserve"> ndihmëse. Përpos projektit të fiskalizimit, me ligjin e vitit 2020 është krijuar Regjistri </w:t>
      </w:r>
      <w:r w:rsidR="005C7FB7" w:rsidRPr="00830F4C">
        <w:rPr>
          <w:rFonts w:ascii="Garamond" w:hAnsi="Garamond"/>
        </w:rPr>
        <w:t>Qendror</w:t>
      </w:r>
      <w:r w:rsidRPr="00830F4C">
        <w:rPr>
          <w:rFonts w:ascii="Garamond" w:hAnsi="Garamond"/>
        </w:rPr>
        <w:t xml:space="preserve"> i Llogarive Bankare i cili është një bazë e të dhënave shtetërore. Qëllimi i krijimit të këtij regjistri është krijimi i kushteve për parandalimin e përdorimit të sistemit financiar në Republikën e Shqipërisë, për pastrimin e parave dhe produkteve me origjinë nga vepra penale, për parandalimin e financimit të terrorizmit, si dhe për lehtësimin e procedurave për mbledhjen e detyrimeve tatimore, taksat apo tarifat, në nivel qendror apo lokal.</w:t>
      </w:r>
    </w:p>
    <w:p w14:paraId="4C34B31A" w14:textId="7DE9B645" w:rsidR="00A468BF" w:rsidRPr="00830F4C" w:rsidRDefault="00A468BF" w:rsidP="00A468BF">
      <w:pPr>
        <w:pStyle w:val="pf0"/>
        <w:spacing w:before="0" w:beforeAutospacing="0" w:after="0" w:afterAutospacing="0"/>
        <w:ind w:firstLine="284"/>
        <w:jc w:val="both"/>
        <w:rPr>
          <w:rFonts w:ascii="Garamond" w:hAnsi="Garamond"/>
          <w:lang w:val="sq-AL"/>
        </w:rPr>
      </w:pPr>
      <w:r w:rsidRPr="00830F4C">
        <w:rPr>
          <w:rFonts w:ascii="Garamond" w:hAnsi="Garamond"/>
          <w:lang w:val="sq-AL"/>
        </w:rPr>
        <w:t xml:space="preserve">Administrata Tatimore ka bërë përparime në përputhje me standardet e Shkëmbimit Automatik të Informacionit (AEOI) të OECD. Shqipëria mbetet e vetmi vend i Ballkanit Perëndimor që zbaton kuadrin ligjor AEOI dhe ndau informacionin e saj me më shumë se 77 juridiksione (përfshirë 24 </w:t>
      </w:r>
      <w:r w:rsidR="005C7FB7" w:rsidRPr="00830F4C">
        <w:rPr>
          <w:rFonts w:ascii="Garamond" w:hAnsi="Garamond"/>
          <w:lang w:val="sq-AL"/>
        </w:rPr>
        <w:t xml:space="preserve">shtete anëtare </w:t>
      </w:r>
      <w:r w:rsidRPr="00830F4C">
        <w:rPr>
          <w:rFonts w:ascii="Garamond" w:hAnsi="Garamond"/>
          <w:lang w:val="sq-AL"/>
        </w:rPr>
        <w:t xml:space="preserve">të BE-së) në vitin 2022. </w:t>
      </w:r>
    </w:p>
    <w:p w14:paraId="1CC7D3B3" w14:textId="70CF3AB5" w:rsidR="00A468BF" w:rsidRPr="00830F4C" w:rsidRDefault="00A468BF" w:rsidP="00A468BF">
      <w:pPr>
        <w:pStyle w:val="pf0"/>
        <w:spacing w:before="0" w:beforeAutospacing="0" w:after="0" w:afterAutospacing="0"/>
        <w:ind w:firstLine="284"/>
        <w:jc w:val="both"/>
        <w:rPr>
          <w:rFonts w:ascii="Garamond" w:hAnsi="Garamond"/>
          <w:lang w:val="sq-AL"/>
        </w:rPr>
      </w:pPr>
      <w:r w:rsidRPr="00830F4C">
        <w:rPr>
          <w:rFonts w:ascii="Garamond" w:hAnsi="Garamond"/>
          <w:lang w:val="sq-AL"/>
        </w:rPr>
        <w:t>Prioritet tashmë përbën fillimi i përpunimit dhe përdorimit të informacionit rreth taksapaguesve të marrë gjatë kësaj periudhe. Me strukturën e re të AT</w:t>
      </w:r>
      <w:r w:rsidR="0088379B">
        <w:rPr>
          <w:rFonts w:ascii="Garamond" w:hAnsi="Garamond"/>
          <w:lang w:val="sq-AL"/>
        </w:rPr>
        <w:t>-së</w:t>
      </w:r>
      <w:r w:rsidRPr="00830F4C">
        <w:rPr>
          <w:rFonts w:ascii="Garamond" w:hAnsi="Garamond"/>
          <w:lang w:val="sq-AL"/>
        </w:rPr>
        <w:t xml:space="preserve"> të miratuar në </w:t>
      </w:r>
      <w:r w:rsidR="005C7FB7">
        <w:rPr>
          <w:rFonts w:ascii="Garamond" w:hAnsi="Garamond"/>
          <w:lang w:val="sq-AL"/>
        </w:rPr>
        <w:t>m</w:t>
      </w:r>
      <w:r w:rsidRPr="00830F4C">
        <w:rPr>
          <w:rFonts w:ascii="Garamond" w:hAnsi="Garamond"/>
          <w:lang w:val="sq-AL"/>
        </w:rPr>
        <w:t>aj 2023, është krijuar Drejtoria e Informacionit</w:t>
      </w:r>
      <w:r w:rsidR="005C7FB7">
        <w:rPr>
          <w:rFonts w:ascii="Garamond" w:hAnsi="Garamond"/>
          <w:lang w:val="sq-AL"/>
        </w:rPr>
        <w:t xml:space="preserve"> –</w:t>
      </w:r>
      <w:r w:rsidRPr="00830F4C">
        <w:rPr>
          <w:rFonts w:ascii="Garamond" w:hAnsi="Garamond"/>
          <w:lang w:val="sq-AL"/>
        </w:rPr>
        <w:t xml:space="preserve"> Sektori i Komunikimit, i cili do jetë përgjegjës edhe për CRS</w:t>
      </w:r>
      <w:r w:rsidR="005C7FB7">
        <w:rPr>
          <w:rFonts w:ascii="Garamond" w:hAnsi="Garamond"/>
          <w:lang w:val="sq-AL"/>
        </w:rPr>
        <w:t>-të</w:t>
      </w:r>
      <w:r w:rsidRPr="00830F4C">
        <w:rPr>
          <w:rFonts w:ascii="Garamond" w:hAnsi="Garamond"/>
          <w:lang w:val="sq-AL"/>
        </w:rPr>
        <w:t xml:space="preserve">. AT është në fazën e rekrutimit të stafit dhe me </w:t>
      </w:r>
      <w:r w:rsidR="005C7FB7" w:rsidRPr="00830F4C">
        <w:rPr>
          <w:rFonts w:ascii="Garamond" w:hAnsi="Garamond"/>
          <w:lang w:val="sq-AL"/>
        </w:rPr>
        <w:t>rekrutimin</w:t>
      </w:r>
      <w:r w:rsidRPr="00830F4C">
        <w:rPr>
          <w:rFonts w:ascii="Garamond" w:hAnsi="Garamond"/>
          <w:lang w:val="sq-AL"/>
        </w:rPr>
        <w:t xml:space="preserve"> e tij lind nevoja edhe për trajnimin e tij lidhur me CRS</w:t>
      </w:r>
      <w:r w:rsidR="005C7FB7">
        <w:rPr>
          <w:rFonts w:ascii="Garamond" w:hAnsi="Garamond"/>
          <w:lang w:val="sq-AL"/>
        </w:rPr>
        <w:t>-të</w:t>
      </w:r>
      <w:r w:rsidRPr="00830F4C">
        <w:rPr>
          <w:rFonts w:ascii="Garamond" w:hAnsi="Garamond"/>
          <w:lang w:val="sq-AL"/>
        </w:rPr>
        <w:t xml:space="preserve">. </w:t>
      </w:r>
    </w:p>
    <w:p w14:paraId="3911390B" w14:textId="61C1CB5E" w:rsidR="00A468BF" w:rsidRPr="00830F4C" w:rsidRDefault="00A468BF" w:rsidP="00A468BF">
      <w:pPr>
        <w:ind w:firstLine="284"/>
        <w:jc w:val="both"/>
        <w:rPr>
          <w:rFonts w:ascii="Garamond" w:hAnsi="Garamond"/>
        </w:rPr>
      </w:pPr>
      <w:r w:rsidRPr="00830F4C">
        <w:rPr>
          <w:rFonts w:ascii="Garamond" w:hAnsi="Garamond"/>
        </w:rPr>
        <w:t>Prioritare do të jetë krijimi i dy sistemeve të rëndësishme, për AT</w:t>
      </w:r>
      <w:r w:rsidR="0088379B">
        <w:rPr>
          <w:rFonts w:ascii="Garamond" w:hAnsi="Garamond"/>
        </w:rPr>
        <w:t>-në</w:t>
      </w:r>
      <w:r w:rsidRPr="00830F4C">
        <w:rPr>
          <w:rFonts w:ascii="Garamond" w:hAnsi="Garamond"/>
        </w:rPr>
        <w:t xml:space="preserve"> për të pasur të dhënat e nevojshme mbi pasuritë totale të individëve, nga palët</w:t>
      </w:r>
      <w:r w:rsidR="00D22EA5" w:rsidRPr="00830F4C">
        <w:rPr>
          <w:rFonts w:ascii="Garamond" w:hAnsi="Garamond"/>
        </w:rPr>
        <w:t xml:space="preserve"> </w:t>
      </w:r>
      <w:r w:rsidRPr="00830F4C">
        <w:rPr>
          <w:rFonts w:ascii="Garamond" w:hAnsi="Garamond"/>
        </w:rPr>
        <w:t>e treta, për të bërë investigimet përkatëse për përputhshmërinë tatimore.</w:t>
      </w:r>
    </w:p>
    <w:p w14:paraId="64C62B9E" w14:textId="7C1EDFA8" w:rsidR="00A468BF" w:rsidRPr="00830F4C" w:rsidRDefault="00A468BF" w:rsidP="00A468BF">
      <w:pPr>
        <w:pStyle w:val="pf0"/>
        <w:spacing w:before="0" w:beforeAutospacing="0" w:after="0" w:afterAutospacing="0"/>
        <w:ind w:firstLine="284"/>
        <w:jc w:val="both"/>
        <w:rPr>
          <w:rFonts w:ascii="Garamond" w:hAnsi="Garamond"/>
          <w:lang w:val="sq-AL"/>
        </w:rPr>
      </w:pPr>
      <w:r w:rsidRPr="00830F4C">
        <w:rPr>
          <w:rFonts w:ascii="Garamond" w:hAnsi="Garamond"/>
          <w:lang w:val="sq-AL"/>
        </w:rPr>
        <w:t>Bazuar në sistemet ekzistuese</w:t>
      </w:r>
      <w:r w:rsidR="005C7FB7">
        <w:rPr>
          <w:rFonts w:ascii="Garamond" w:hAnsi="Garamond"/>
          <w:lang w:val="sq-AL"/>
        </w:rPr>
        <w:t>,</w:t>
      </w:r>
      <w:r w:rsidRPr="00830F4C">
        <w:rPr>
          <w:rFonts w:ascii="Garamond" w:hAnsi="Garamond"/>
          <w:lang w:val="sq-AL"/>
        </w:rPr>
        <w:t xml:space="preserve"> si dhe në sistemet e reja, në periudhën afatmesme AT</w:t>
      </w:r>
      <w:r w:rsidR="0088379B">
        <w:rPr>
          <w:rFonts w:ascii="Garamond" w:hAnsi="Garamond"/>
          <w:lang w:val="sq-AL"/>
        </w:rPr>
        <w:t>-ja</w:t>
      </w:r>
      <w:r w:rsidRPr="00830F4C">
        <w:rPr>
          <w:rFonts w:ascii="Garamond" w:hAnsi="Garamond"/>
          <w:lang w:val="sq-AL"/>
        </w:rPr>
        <w:t xml:space="preserve"> do të ndërmarrë një seri auditimesh si të individëve ashtu edhe të tatimpaguesve.</w:t>
      </w:r>
    </w:p>
    <w:p w14:paraId="21843753" w14:textId="5284BB7D" w:rsidR="00A468BF" w:rsidRPr="00830F4C" w:rsidRDefault="00A468BF" w:rsidP="00A468BF">
      <w:pPr>
        <w:pStyle w:val="pf0"/>
        <w:spacing w:before="0" w:beforeAutospacing="0" w:after="0" w:afterAutospacing="0"/>
        <w:ind w:firstLine="284"/>
        <w:jc w:val="both"/>
        <w:rPr>
          <w:rFonts w:ascii="Garamond" w:hAnsi="Garamond"/>
          <w:lang w:val="sq-AL"/>
        </w:rPr>
      </w:pPr>
      <w:r w:rsidRPr="00830F4C">
        <w:rPr>
          <w:rFonts w:ascii="Garamond" w:hAnsi="Garamond"/>
          <w:lang w:val="sq-AL"/>
        </w:rPr>
        <w:t>Plani i Rritjes së A</w:t>
      </w:r>
      <w:r w:rsidR="00377F8B" w:rsidRPr="00830F4C">
        <w:rPr>
          <w:rFonts w:ascii="Garamond" w:hAnsi="Garamond"/>
          <w:lang w:val="sq-AL"/>
        </w:rPr>
        <w:t>gj</w:t>
      </w:r>
      <w:r w:rsidRPr="00830F4C">
        <w:rPr>
          <w:rFonts w:ascii="Garamond" w:hAnsi="Garamond"/>
          <w:lang w:val="sq-AL"/>
        </w:rPr>
        <w:t xml:space="preserve">endës së Reformave të KE-së ka përcaktuar katër masa të qarta me </w:t>
      </w:r>
      <w:r w:rsidR="005C7FB7" w:rsidRPr="00830F4C">
        <w:rPr>
          <w:rFonts w:ascii="Garamond" w:hAnsi="Garamond"/>
          <w:lang w:val="sq-AL"/>
        </w:rPr>
        <w:t>indikatorët</w:t>
      </w:r>
      <w:r w:rsidRPr="00830F4C">
        <w:rPr>
          <w:rFonts w:ascii="Garamond" w:hAnsi="Garamond"/>
          <w:lang w:val="sq-AL"/>
        </w:rPr>
        <w:t xml:space="preserve"> e afate lidhur me krijimin e regjistrit të aseteve, përdorimin e të dhënave të palëve të treta, auditimi i mbi 200 individëve të pasur brenda vitit 2026. Masat që do të ndërmerren nën këtë komponent</w:t>
      </w:r>
      <w:r w:rsidR="005C7FB7">
        <w:rPr>
          <w:rFonts w:ascii="Garamond" w:hAnsi="Garamond"/>
          <w:lang w:val="sq-AL"/>
        </w:rPr>
        <w:t>,</w:t>
      </w:r>
      <w:r w:rsidRPr="00830F4C">
        <w:rPr>
          <w:rFonts w:ascii="Garamond" w:hAnsi="Garamond"/>
          <w:lang w:val="sq-AL"/>
        </w:rPr>
        <w:t xml:space="preserve"> si dhe në komponentin 2.4</w:t>
      </w:r>
      <w:r w:rsidR="005C7FB7">
        <w:rPr>
          <w:rFonts w:ascii="Garamond" w:hAnsi="Garamond"/>
          <w:lang w:val="sq-AL"/>
        </w:rPr>
        <w:t>,</w:t>
      </w:r>
      <w:r w:rsidRPr="00830F4C">
        <w:rPr>
          <w:rFonts w:ascii="Garamond" w:hAnsi="Garamond"/>
          <w:lang w:val="sq-AL"/>
        </w:rPr>
        <w:t xml:space="preserve"> lidhur me zvogëlimin e shmangieve tatimore do të bëjnë të mundur reali</w:t>
      </w:r>
      <w:r w:rsidR="005C7FB7">
        <w:rPr>
          <w:rFonts w:ascii="Garamond" w:hAnsi="Garamond"/>
          <w:lang w:val="sq-AL"/>
        </w:rPr>
        <w:t>zi</w:t>
      </w:r>
      <w:r w:rsidRPr="00830F4C">
        <w:rPr>
          <w:rFonts w:ascii="Garamond" w:hAnsi="Garamond"/>
          <w:lang w:val="sq-AL"/>
        </w:rPr>
        <w:t>mi</w:t>
      </w:r>
      <w:r w:rsidR="005C7FB7">
        <w:rPr>
          <w:rFonts w:ascii="Garamond" w:hAnsi="Garamond"/>
          <w:lang w:val="sq-AL"/>
        </w:rPr>
        <w:t>n</w:t>
      </w:r>
      <w:r w:rsidR="00D22EA5" w:rsidRPr="00830F4C">
        <w:rPr>
          <w:rFonts w:ascii="Garamond" w:hAnsi="Garamond"/>
          <w:lang w:val="sq-AL"/>
        </w:rPr>
        <w:t xml:space="preserve"> </w:t>
      </w:r>
      <w:r w:rsidRPr="00830F4C">
        <w:rPr>
          <w:rFonts w:ascii="Garamond" w:hAnsi="Garamond"/>
          <w:lang w:val="sq-AL"/>
        </w:rPr>
        <w:t>e këtyre kushteve dhe të indikatorëve përkatës.</w:t>
      </w:r>
    </w:p>
    <w:p w14:paraId="684B2658" w14:textId="77777777" w:rsidR="00A468BF" w:rsidRPr="00830F4C" w:rsidRDefault="00A468BF" w:rsidP="00A468BF">
      <w:pPr>
        <w:ind w:firstLine="284"/>
        <w:jc w:val="both"/>
        <w:rPr>
          <w:rFonts w:ascii="Garamond" w:hAnsi="Garamond"/>
          <w:b/>
          <w:bCs/>
        </w:rPr>
      </w:pPr>
      <w:r w:rsidRPr="00830F4C">
        <w:rPr>
          <w:rFonts w:ascii="Garamond" w:hAnsi="Garamond"/>
          <w:b/>
          <w:bCs/>
        </w:rPr>
        <w:t>Prioritetet:</w:t>
      </w:r>
    </w:p>
    <w:p w14:paraId="260AEAD7" w14:textId="56D493FB" w:rsidR="00A468BF" w:rsidRPr="00830F4C" w:rsidRDefault="00A468BF" w:rsidP="00D61E86">
      <w:pPr>
        <w:ind w:firstLine="284"/>
        <w:jc w:val="both"/>
        <w:rPr>
          <w:rFonts w:ascii="Garamond" w:hAnsi="Garamond"/>
        </w:rPr>
      </w:pPr>
      <w:r w:rsidRPr="00830F4C">
        <w:rPr>
          <w:rFonts w:ascii="Garamond" w:hAnsi="Garamond"/>
        </w:rPr>
        <w:t>Prioritetet për periudhën</w:t>
      </w:r>
      <w:r w:rsidR="00800B00" w:rsidRPr="00830F4C">
        <w:rPr>
          <w:rFonts w:ascii="Garamond" w:hAnsi="Garamond"/>
        </w:rPr>
        <w:t xml:space="preserve"> </w:t>
      </w:r>
      <w:r w:rsidR="00D22EA5" w:rsidRPr="00830F4C">
        <w:rPr>
          <w:rFonts w:ascii="Garamond" w:hAnsi="Garamond"/>
        </w:rPr>
        <w:t>2024–2027</w:t>
      </w:r>
      <w:r w:rsidRPr="00830F4C">
        <w:rPr>
          <w:rFonts w:ascii="Garamond" w:hAnsi="Garamond"/>
        </w:rPr>
        <w:t xml:space="preserve"> janë:</w:t>
      </w:r>
    </w:p>
    <w:p w14:paraId="0BE01107" w14:textId="77777777" w:rsidR="00A468BF" w:rsidRPr="00830F4C" w:rsidRDefault="00A468BF" w:rsidP="00D61E86">
      <w:pPr>
        <w:ind w:firstLine="284"/>
        <w:jc w:val="both"/>
        <w:rPr>
          <w:rFonts w:ascii="Garamond" w:hAnsi="Garamond"/>
        </w:rPr>
      </w:pPr>
      <w:r w:rsidRPr="00830F4C">
        <w:rPr>
          <w:rFonts w:ascii="Garamond" w:hAnsi="Garamond"/>
        </w:rPr>
        <w:t>1. Zbatim plotësisht i kushteve sipas Planit të Rritjes në:</w:t>
      </w:r>
    </w:p>
    <w:p w14:paraId="2DF9E1A2" w14:textId="2757C435" w:rsidR="00A468BF" w:rsidRPr="00830F4C" w:rsidRDefault="00A468BF" w:rsidP="00D61E86">
      <w:pPr>
        <w:ind w:firstLine="720"/>
        <w:jc w:val="both"/>
        <w:rPr>
          <w:rFonts w:ascii="Garamond" w:hAnsi="Garamond"/>
        </w:rPr>
      </w:pPr>
      <w:r w:rsidRPr="00830F4C">
        <w:rPr>
          <w:rFonts w:ascii="Garamond" w:hAnsi="Garamond"/>
        </w:rPr>
        <w:t>1. Ngritja e Regjistrit të Aseteve të tatimpaguesve me synimin e një vlerësimi real të pasurive të tatimpaguesit dhe plotësimi i regjistrit të pasurive të tatimpaguesve për 10% të tatimpaguesve brenda vitit 2026</w:t>
      </w:r>
      <w:r w:rsidR="00D61E86">
        <w:rPr>
          <w:rFonts w:ascii="Garamond" w:hAnsi="Garamond"/>
        </w:rPr>
        <w:t>;</w:t>
      </w:r>
    </w:p>
    <w:p w14:paraId="6651BE25" w14:textId="2F19100C" w:rsidR="00A468BF" w:rsidRPr="00830F4C" w:rsidRDefault="00A468BF" w:rsidP="00D61E86">
      <w:pPr>
        <w:ind w:firstLine="720"/>
        <w:jc w:val="both"/>
        <w:rPr>
          <w:rFonts w:ascii="Garamond" w:hAnsi="Garamond"/>
        </w:rPr>
      </w:pPr>
      <w:r w:rsidRPr="00830F4C">
        <w:rPr>
          <w:rFonts w:ascii="Garamond" w:hAnsi="Garamond"/>
        </w:rPr>
        <w:t>2. Përdorimi i të dhënave nga palë të treta si nga regjistri i shërbimeve publike (elektrike, ujë, regjistri i automjeteve, bashkive për</w:t>
      </w:r>
      <w:r w:rsidR="0052377F" w:rsidRPr="00830F4C">
        <w:rPr>
          <w:rFonts w:ascii="Garamond" w:hAnsi="Garamond"/>
        </w:rPr>
        <w:t xml:space="preserve"> </w:t>
      </w:r>
      <w:r w:rsidR="006A23E9" w:rsidRPr="00830F4C">
        <w:rPr>
          <w:rFonts w:ascii="Garamond" w:hAnsi="Garamond"/>
        </w:rPr>
        <w:t>t’i</w:t>
      </w:r>
      <w:r w:rsidR="0052377F" w:rsidRPr="00830F4C">
        <w:rPr>
          <w:rFonts w:ascii="Garamond" w:hAnsi="Garamond"/>
        </w:rPr>
        <w:t xml:space="preserve"> </w:t>
      </w:r>
      <w:r w:rsidRPr="00830F4C">
        <w:rPr>
          <w:rFonts w:ascii="Garamond" w:hAnsi="Garamond"/>
        </w:rPr>
        <w:t>mundësuar AT</w:t>
      </w:r>
      <w:r w:rsidR="00D61E86">
        <w:rPr>
          <w:rFonts w:ascii="Garamond" w:hAnsi="Garamond"/>
        </w:rPr>
        <w:t>-së</w:t>
      </w:r>
      <w:r w:rsidRPr="00830F4C">
        <w:rPr>
          <w:rFonts w:ascii="Garamond" w:hAnsi="Garamond"/>
        </w:rPr>
        <w:t xml:space="preserve"> hetimin</w:t>
      </w:r>
      <w:r w:rsidR="00D22EA5" w:rsidRPr="00830F4C">
        <w:rPr>
          <w:rFonts w:ascii="Garamond" w:hAnsi="Garamond"/>
        </w:rPr>
        <w:t xml:space="preserve"> </w:t>
      </w:r>
      <w:r w:rsidRPr="00830F4C">
        <w:rPr>
          <w:rFonts w:ascii="Garamond" w:hAnsi="Garamond"/>
        </w:rPr>
        <w:t>e pasurive të pajustifikuara t</w:t>
      </w:r>
      <w:r w:rsidR="008C0C0F" w:rsidRPr="00830F4C">
        <w:rPr>
          <w:rFonts w:ascii="Garamond" w:eastAsiaTheme="minorHAnsi" w:hAnsi="Garamond"/>
        </w:rPr>
        <w:t>ë</w:t>
      </w:r>
      <w:r w:rsidRPr="00830F4C">
        <w:rPr>
          <w:rFonts w:ascii="Garamond" w:hAnsi="Garamond"/>
        </w:rPr>
        <w:t xml:space="preserve"> taksapaguesve (qershor 2025)</w:t>
      </w:r>
      <w:r w:rsidR="00D61E86">
        <w:rPr>
          <w:rFonts w:ascii="Garamond" w:hAnsi="Garamond"/>
        </w:rPr>
        <w:t>;</w:t>
      </w:r>
    </w:p>
    <w:p w14:paraId="54F118E4" w14:textId="4054C8F5" w:rsidR="00D61E86" w:rsidRPr="00830F4C" w:rsidRDefault="00A468BF" w:rsidP="00D61E86">
      <w:pPr>
        <w:ind w:firstLine="720"/>
        <w:jc w:val="both"/>
        <w:rPr>
          <w:rFonts w:ascii="Garamond" w:hAnsi="Garamond"/>
        </w:rPr>
      </w:pPr>
      <w:r w:rsidRPr="00830F4C">
        <w:rPr>
          <w:rFonts w:ascii="Garamond" w:hAnsi="Garamond"/>
        </w:rPr>
        <w:t>3. Kryerja e procedurave të auditimit për mbi 200 individë të pasur, bazuar në vlerësimin e riskut, brenda vitit 2026.</w:t>
      </w:r>
    </w:p>
    <w:p w14:paraId="1F0A25E1" w14:textId="3C0EA50E" w:rsidR="00A468BF" w:rsidRPr="00830F4C" w:rsidRDefault="00A468BF" w:rsidP="00D61E86">
      <w:pPr>
        <w:ind w:firstLine="284"/>
        <w:jc w:val="both"/>
        <w:rPr>
          <w:rFonts w:ascii="Garamond" w:hAnsi="Garamond"/>
        </w:rPr>
      </w:pPr>
      <w:r w:rsidRPr="00830F4C">
        <w:rPr>
          <w:rFonts w:ascii="Garamond" w:hAnsi="Garamond"/>
        </w:rPr>
        <w:t>2.</w:t>
      </w:r>
      <w:r w:rsidR="00D61E86">
        <w:rPr>
          <w:rFonts w:ascii="Garamond" w:hAnsi="Garamond"/>
        </w:rPr>
        <w:t xml:space="preserve"> </w:t>
      </w:r>
      <w:r w:rsidRPr="00830F4C">
        <w:rPr>
          <w:rFonts w:ascii="Garamond" w:hAnsi="Garamond"/>
        </w:rPr>
        <w:t>Shkëmbimi automatik i informacionit tatimor me administratat tatimore të huaja në kuadër të CRS</w:t>
      </w:r>
      <w:r w:rsidR="00D61E86">
        <w:rPr>
          <w:rFonts w:ascii="Garamond" w:hAnsi="Garamond"/>
        </w:rPr>
        <w:t>-së</w:t>
      </w:r>
      <w:r w:rsidRPr="00830F4C">
        <w:rPr>
          <w:rFonts w:ascii="Garamond" w:hAnsi="Garamond"/>
        </w:rPr>
        <w:t xml:space="preserve"> dhe përdorimi i tij.</w:t>
      </w:r>
    </w:p>
    <w:p w14:paraId="635BF2B1" w14:textId="77777777" w:rsidR="00A468BF" w:rsidRPr="00830F4C" w:rsidRDefault="00A468BF" w:rsidP="00A468BF">
      <w:pPr>
        <w:ind w:firstLine="284"/>
        <w:jc w:val="both"/>
        <w:rPr>
          <w:rFonts w:ascii="Garamond" w:hAnsi="Garamond"/>
          <w:b/>
          <w:bCs/>
        </w:rPr>
      </w:pPr>
      <w:r w:rsidRPr="00830F4C">
        <w:rPr>
          <w:rFonts w:ascii="Garamond" w:hAnsi="Garamond"/>
          <w:b/>
          <w:bCs/>
        </w:rPr>
        <w:t>Masat dhe aktivitetet</w:t>
      </w:r>
    </w:p>
    <w:tbl>
      <w:tblPr>
        <w:tblStyle w:val="TableGrid"/>
        <w:tblW w:w="0" w:type="auto"/>
        <w:tblLook w:val="04A0" w:firstRow="1" w:lastRow="0" w:firstColumn="1" w:lastColumn="0" w:noHBand="0" w:noVBand="1"/>
      </w:tblPr>
      <w:tblGrid>
        <w:gridCol w:w="2275"/>
        <w:gridCol w:w="2700"/>
        <w:gridCol w:w="1143"/>
        <w:gridCol w:w="1343"/>
        <w:gridCol w:w="1555"/>
      </w:tblGrid>
      <w:tr w:rsidR="00A468BF" w:rsidRPr="00CC11D5" w14:paraId="7B9F47D2" w14:textId="77777777" w:rsidTr="006B61C6">
        <w:trPr>
          <w:trHeight w:val="170"/>
        </w:trPr>
        <w:tc>
          <w:tcPr>
            <w:tcW w:w="2275" w:type="dxa"/>
            <w:vAlign w:val="center"/>
          </w:tcPr>
          <w:p w14:paraId="597A54DA" w14:textId="77777777" w:rsidR="00A468BF" w:rsidRPr="00CC11D5" w:rsidRDefault="00A468BF" w:rsidP="006B61C6">
            <w:pPr>
              <w:jc w:val="center"/>
              <w:rPr>
                <w:rFonts w:ascii="Garamond" w:hAnsi="Garamond"/>
                <w:b/>
                <w:sz w:val="12"/>
                <w:szCs w:val="12"/>
              </w:rPr>
            </w:pPr>
            <w:r w:rsidRPr="00CC11D5">
              <w:rPr>
                <w:rFonts w:ascii="Garamond" w:hAnsi="Garamond"/>
                <w:b/>
                <w:sz w:val="12"/>
                <w:szCs w:val="12"/>
              </w:rPr>
              <w:t>Masa</w:t>
            </w:r>
          </w:p>
        </w:tc>
        <w:tc>
          <w:tcPr>
            <w:tcW w:w="2700" w:type="dxa"/>
            <w:vAlign w:val="center"/>
          </w:tcPr>
          <w:p w14:paraId="45162642" w14:textId="77777777" w:rsidR="00A468BF" w:rsidRPr="00CC11D5" w:rsidRDefault="00A468BF" w:rsidP="006B61C6">
            <w:pPr>
              <w:jc w:val="center"/>
              <w:rPr>
                <w:rFonts w:ascii="Garamond" w:hAnsi="Garamond"/>
                <w:b/>
                <w:sz w:val="12"/>
                <w:szCs w:val="12"/>
              </w:rPr>
            </w:pPr>
            <w:r w:rsidRPr="00CC11D5">
              <w:rPr>
                <w:rFonts w:ascii="Garamond" w:hAnsi="Garamond"/>
                <w:b/>
                <w:sz w:val="12"/>
                <w:szCs w:val="12"/>
              </w:rPr>
              <w:t>Aktivitetet</w:t>
            </w:r>
          </w:p>
        </w:tc>
        <w:tc>
          <w:tcPr>
            <w:tcW w:w="1143" w:type="dxa"/>
            <w:vAlign w:val="center"/>
          </w:tcPr>
          <w:p w14:paraId="7DC67D80" w14:textId="77777777" w:rsidR="00A468BF" w:rsidRPr="00CC11D5" w:rsidRDefault="00A468BF" w:rsidP="006B61C6">
            <w:pPr>
              <w:jc w:val="center"/>
              <w:rPr>
                <w:rFonts w:ascii="Garamond" w:hAnsi="Garamond"/>
                <w:b/>
                <w:sz w:val="12"/>
                <w:szCs w:val="12"/>
              </w:rPr>
            </w:pPr>
            <w:r w:rsidRPr="00CC11D5">
              <w:rPr>
                <w:rFonts w:ascii="Garamond" w:hAnsi="Garamond"/>
                <w:b/>
                <w:sz w:val="12"/>
                <w:szCs w:val="12"/>
              </w:rPr>
              <w:t>Fillimi</w:t>
            </w:r>
          </w:p>
        </w:tc>
        <w:tc>
          <w:tcPr>
            <w:tcW w:w="1343" w:type="dxa"/>
            <w:vAlign w:val="center"/>
          </w:tcPr>
          <w:p w14:paraId="42C99B4D" w14:textId="77777777" w:rsidR="00A468BF" w:rsidRPr="00CC11D5" w:rsidRDefault="00A468BF" w:rsidP="006B61C6">
            <w:pPr>
              <w:jc w:val="center"/>
              <w:rPr>
                <w:rFonts w:ascii="Garamond" w:hAnsi="Garamond"/>
                <w:b/>
                <w:sz w:val="12"/>
                <w:szCs w:val="12"/>
              </w:rPr>
            </w:pPr>
            <w:r w:rsidRPr="00CC11D5">
              <w:rPr>
                <w:rFonts w:ascii="Garamond" w:hAnsi="Garamond"/>
                <w:b/>
                <w:sz w:val="12"/>
                <w:szCs w:val="12"/>
              </w:rPr>
              <w:t>Mbarimi</w:t>
            </w:r>
          </w:p>
        </w:tc>
        <w:tc>
          <w:tcPr>
            <w:tcW w:w="1555" w:type="dxa"/>
            <w:vAlign w:val="center"/>
          </w:tcPr>
          <w:p w14:paraId="4B579FEE" w14:textId="77777777" w:rsidR="00A468BF" w:rsidRPr="00CC11D5" w:rsidRDefault="00A468BF" w:rsidP="006B61C6">
            <w:pPr>
              <w:jc w:val="center"/>
              <w:rPr>
                <w:rFonts w:ascii="Garamond" w:hAnsi="Garamond"/>
                <w:b/>
                <w:sz w:val="12"/>
                <w:szCs w:val="12"/>
              </w:rPr>
            </w:pPr>
            <w:r w:rsidRPr="00CC11D5">
              <w:rPr>
                <w:rFonts w:ascii="Garamond" w:hAnsi="Garamond"/>
                <w:b/>
                <w:sz w:val="12"/>
                <w:szCs w:val="12"/>
              </w:rPr>
              <w:t>Institucioni përgjegjës</w:t>
            </w:r>
          </w:p>
        </w:tc>
      </w:tr>
      <w:tr w:rsidR="00A468BF" w:rsidRPr="00CC11D5" w14:paraId="19113812" w14:textId="77777777" w:rsidTr="006B61C6">
        <w:trPr>
          <w:trHeight w:val="170"/>
        </w:trPr>
        <w:tc>
          <w:tcPr>
            <w:tcW w:w="2275" w:type="dxa"/>
            <w:vAlign w:val="center"/>
          </w:tcPr>
          <w:p w14:paraId="289345BE" w14:textId="18DEE174" w:rsidR="00A468BF" w:rsidRPr="00CC11D5" w:rsidRDefault="00A468BF" w:rsidP="006B61C6">
            <w:pPr>
              <w:contextualSpacing/>
              <w:jc w:val="center"/>
              <w:rPr>
                <w:rFonts w:ascii="Garamond" w:hAnsi="Garamond"/>
                <w:bCs/>
                <w:sz w:val="12"/>
                <w:szCs w:val="12"/>
              </w:rPr>
            </w:pPr>
            <w:r w:rsidRPr="00CC11D5">
              <w:rPr>
                <w:rFonts w:ascii="Garamond" w:hAnsi="Garamond"/>
                <w:bCs/>
                <w:sz w:val="12"/>
                <w:szCs w:val="12"/>
              </w:rPr>
              <w:t>Masa 2.3.1</w:t>
            </w:r>
            <w:r w:rsidRPr="00CC11D5">
              <w:rPr>
                <w:rFonts w:ascii="Garamond" w:hAnsi="Garamond"/>
                <w:sz w:val="12"/>
                <w:szCs w:val="12"/>
              </w:rPr>
              <w:t xml:space="preserve"> </w:t>
            </w:r>
            <w:r w:rsidRPr="00CC11D5">
              <w:rPr>
                <w:rFonts w:ascii="Garamond" w:hAnsi="Garamond"/>
                <w:bCs/>
                <w:sz w:val="12"/>
                <w:szCs w:val="12"/>
              </w:rPr>
              <w:t>Përdorimi i metodave të tërthorta për vlerësimet tatimore</w:t>
            </w:r>
          </w:p>
          <w:p w14:paraId="34E746A4" w14:textId="77777777" w:rsidR="00A468BF" w:rsidRPr="00CC11D5" w:rsidRDefault="00A468BF" w:rsidP="006B61C6">
            <w:pPr>
              <w:jc w:val="center"/>
              <w:rPr>
                <w:rFonts w:ascii="Garamond" w:hAnsi="Garamond"/>
                <w:bCs/>
                <w:sz w:val="12"/>
                <w:szCs w:val="12"/>
              </w:rPr>
            </w:pPr>
          </w:p>
        </w:tc>
        <w:tc>
          <w:tcPr>
            <w:tcW w:w="2700" w:type="dxa"/>
            <w:vAlign w:val="center"/>
          </w:tcPr>
          <w:p w14:paraId="278DD965" w14:textId="55FE6381" w:rsidR="00A468BF" w:rsidRPr="00CC11D5" w:rsidRDefault="00A468BF" w:rsidP="006B61C6">
            <w:pPr>
              <w:jc w:val="center"/>
              <w:rPr>
                <w:rFonts w:ascii="Garamond" w:hAnsi="Garamond"/>
                <w:bCs/>
                <w:sz w:val="12"/>
                <w:szCs w:val="12"/>
              </w:rPr>
            </w:pPr>
            <w:r w:rsidRPr="00CC11D5">
              <w:rPr>
                <w:rFonts w:ascii="Garamond" w:hAnsi="Garamond"/>
                <w:bCs/>
                <w:sz w:val="12"/>
                <w:szCs w:val="12"/>
              </w:rPr>
              <w:t>Aktiviteti 2.3.1.1</w:t>
            </w:r>
            <w:r w:rsidR="00D61E86" w:rsidRPr="00CC11D5">
              <w:rPr>
                <w:rFonts w:ascii="Garamond" w:hAnsi="Garamond"/>
                <w:bCs/>
                <w:sz w:val="12"/>
                <w:szCs w:val="12"/>
              </w:rPr>
              <w:t>:</w:t>
            </w:r>
            <w:r w:rsidRPr="00CC11D5">
              <w:rPr>
                <w:rFonts w:ascii="Garamond" w:hAnsi="Garamond"/>
                <w:bCs/>
                <w:sz w:val="12"/>
                <w:szCs w:val="12"/>
              </w:rPr>
              <w:t xml:space="preserve"> Përditësimi i Manualit të Kontrollit Tatimor</w:t>
            </w:r>
          </w:p>
          <w:p w14:paraId="07D9CD0A" w14:textId="77777777" w:rsidR="00A468BF" w:rsidRPr="00CC11D5" w:rsidRDefault="00A468BF" w:rsidP="006B61C6">
            <w:pPr>
              <w:jc w:val="center"/>
              <w:rPr>
                <w:rFonts w:ascii="Garamond" w:hAnsi="Garamond"/>
                <w:bCs/>
                <w:sz w:val="12"/>
                <w:szCs w:val="12"/>
              </w:rPr>
            </w:pPr>
          </w:p>
          <w:p w14:paraId="499BA7D6" w14:textId="6D17C0B7" w:rsidR="00A468BF" w:rsidRPr="00CC11D5" w:rsidRDefault="00A468BF" w:rsidP="006B61C6">
            <w:pPr>
              <w:jc w:val="center"/>
              <w:rPr>
                <w:rFonts w:ascii="Garamond" w:hAnsi="Garamond"/>
                <w:bCs/>
                <w:sz w:val="12"/>
                <w:szCs w:val="12"/>
              </w:rPr>
            </w:pPr>
            <w:r w:rsidRPr="00CC11D5">
              <w:rPr>
                <w:rFonts w:ascii="Garamond" w:hAnsi="Garamond"/>
                <w:bCs/>
                <w:sz w:val="12"/>
                <w:szCs w:val="12"/>
              </w:rPr>
              <w:t>Aktiviteti 2.3.1.2</w:t>
            </w:r>
            <w:r w:rsidR="00D61E86" w:rsidRPr="00CC11D5">
              <w:rPr>
                <w:rFonts w:ascii="Garamond" w:hAnsi="Garamond"/>
                <w:bCs/>
                <w:sz w:val="12"/>
                <w:szCs w:val="12"/>
              </w:rPr>
              <w:t>:</w:t>
            </w:r>
            <w:r w:rsidRPr="00CC11D5">
              <w:rPr>
                <w:rFonts w:ascii="Garamond" w:hAnsi="Garamond"/>
                <w:bCs/>
                <w:sz w:val="12"/>
                <w:szCs w:val="12"/>
              </w:rPr>
              <w:t xml:space="preserve"> Analizë e Hendekut Tatimor (</w:t>
            </w:r>
            <w:r w:rsidRPr="00CC11D5">
              <w:rPr>
                <w:rFonts w:ascii="Garamond" w:hAnsi="Garamond"/>
                <w:bCs/>
                <w:i/>
                <w:sz w:val="12"/>
                <w:szCs w:val="12"/>
              </w:rPr>
              <w:t>Tax Gap</w:t>
            </w:r>
            <w:r w:rsidRPr="00CC11D5">
              <w:rPr>
                <w:rFonts w:ascii="Garamond" w:hAnsi="Garamond"/>
                <w:bCs/>
                <w:sz w:val="12"/>
                <w:szCs w:val="12"/>
              </w:rPr>
              <w:t>)</w:t>
            </w:r>
          </w:p>
          <w:p w14:paraId="7382A736" w14:textId="77777777" w:rsidR="00A468BF" w:rsidRPr="00CC11D5" w:rsidRDefault="00A468BF" w:rsidP="006B61C6">
            <w:pPr>
              <w:jc w:val="center"/>
              <w:rPr>
                <w:rFonts w:ascii="Garamond" w:hAnsi="Garamond"/>
                <w:bCs/>
                <w:sz w:val="12"/>
                <w:szCs w:val="12"/>
              </w:rPr>
            </w:pPr>
          </w:p>
          <w:p w14:paraId="7655C716" w14:textId="2777DA7C" w:rsidR="00A468BF" w:rsidRPr="00CC11D5" w:rsidRDefault="00A468BF" w:rsidP="006B61C6">
            <w:pPr>
              <w:jc w:val="center"/>
              <w:rPr>
                <w:rFonts w:ascii="Garamond" w:hAnsi="Garamond"/>
                <w:bCs/>
                <w:sz w:val="12"/>
                <w:szCs w:val="12"/>
              </w:rPr>
            </w:pPr>
            <w:r w:rsidRPr="00CC11D5">
              <w:rPr>
                <w:rFonts w:ascii="Garamond" w:hAnsi="Garamond"/>
                <w:bCs/>
                <w:sz w:val="12"/>
                <w:szCs w:val="12"/>
              </w:rPr>
              <w:t>Aktiviteti 2.3.1.3</w:t>
            </w:r>
            <w:r w:rsidR="00D61E86" w:rsidRPr="00CC11D5">
              <w:rPr>
                <w:rFonts w:ascii="Garamond" w:hAnsi="Garamond"/>
                <w:bCs/>
                <w:sz w:val="12"/>
                <w:szCs w:val="12"/>
              </w:rPr>
              <w:t>:</w:t>
            </w:r>
            <w:r w:rsidRPr="00CC11D5">
              <w:rPr>
                <w:rFonts w:ascii="Garamond" w:hAnsi="Garamond"/>
                <w:bCs/>
                <w:sz w:val="12"/>
                <w:szCs w:val="12"/>
              </w:rPr>
              <w:t xml:space="preserve"> Monitorimi i zbatimit të Planit të Veprimit të strategjinë e pajtueshmërisë 3-vjeçare për individët më të pasur dhe përditësimi i saj deri në vitin 2027</w:t>
            </w:r>
          </w:p>
        </w:tc>
        <w:tc>
          <w:tcPr>
            <w:tcW w:w="1143" w:type="dxa"/>
            <w:vAlign w:val="center"/>
          </w:tcPr>
          <w:p w14:paraId="53C39C97" w14:textId="77777777" w:rsidR="00A468BF" w:rsidRPr="00CC11D5" w:rsidRDefault="00A468BF" w:rsidP="006B61C6">
            <w:pPr>
              <w:jc w:val="center"/>
              <w:rPr>
                <w:rFonts w:ascii="Garamond" w:hAnsi="Garamond"/>
                <w:sz w:val="12"/>
                <w:szCs w:val="12"/>
              </w:rPr>
            </w:pPr>
            <w:r w:rsidRPr="00CC11D5">
              <w:rPr>
                <w:rFonts w:ascii="Garamond" w:hAnsi="Garamond"/>
                <w:sz w:val="12"/>
                <w:szCs w:val="12"/>
              </w:rPr>
              <w:t>2025</w:t>
            </w:r>
          </w:p>
        </w:tc>
        <w:tc>
          <w:tcPr>
            <w:tcW w:w="1343" w:type="dxa"/>
            <w:vAlign w:val="center"/>
          </w:tcPr>
          <w:p w14:paraId="125B219A" w14:textId="77777777" w:rsidR="00A468BF" w:rsidRPr="00CC11D5" w:rsidRDefault="00A468BF" w:rsidP="006B61C6">
            <w:pPr>
              <w:jc w:val="center"/>
              <w:rPr>
                <w:rFonts w:ascii="Garamond" w:hAnsi="Garamond"/>
                <w:sz w:val="12"/>
                <w:szCs w:val="12"/>
              </w:rPr>
            </w:pPr>
            <w:r w:rsidRPr="00CC11D5">
              <w:rPr>
                <w:rFonts w:ascii="Garamond" w:hAnsi="Garamond"/>
                <w:sz w:val="12"/>
                <w:szCs w:val="12"/>
              </w:rPr>
              <w:t>2026</w:t>
            </w:r>
          </w:p>
        </w:tc>
        <w:tc>
          <w:tcPr>
            <w:tcW w:w="1555" w:type="dxa"/>
            <w:vAlign w:val="center"/>
          </w:tcPr>
          <w:p w14:paraId="4D24D521" w14:textId="77777777" w:rsidR="00A468BF" w:rsidRPr="00CC11D5" w:rsidRDefault="00A468BF" w:rsidP="006B61C6">
            <w:pPr>
              <w:jc w:val="center"/>
              <w:rPr>
                <w:rFonts w:ascii="Garamond" w:hAnsi="Garamond"/>
                <w:sz w:val="12"/>
                <w:szCs w:val="12"/>
              </w:rPr>
            </w:pPr>
            <w:r w:rsidRPr="00CC11D5">
              <w:rPr>
                <w:rFonts w:ascii="Garamond" w:hAnsi="Garamond"/>
                <w:sz w:val="12"/>
                <w:szCs w:val="12"/>
              </w:rPr>
              <w:t>DPT/MF</w:t>
            </w:r>
          </w:p>
        </w:tc>
      </w:tr>
      <w:tr w:rsidR="00A468BF" w:rsidRPr="00CC11D5" w14:paraId="05ABC8E7" w14:textId="77777777" w:rsidTr="006B61C6">
        <w:trPr>
          <w:trHeight w:val="170"/>
        </w:trPr>
        <w:tc>
          <w:tcPr>
            <w:tcW w:w="2275" w:type="dxa"/>
            <w:vAlign w:val="center"/>
          </w:tcPr>
          <w:p w14:paraId="44A0BF4A" w14:textId="6D64FB02" w:rsidR="00A468BF" w:rsidRPr="00CC11D5" w:rsidRDefault="00A468BF" w:rsidP="006B61C6">
            <w:pPr>
              <w:jc w:val="center"/>
              <w:rPr>
                <w:rFonts w:ascii="Garamond" w:hAnsi="Garamond"/>
                <w:bCs/>
                <w:sz w:val="12"/>
                <w:szCs w:val="12"/>
              </w:rPr>
            </w:pPr>
            <w:r w:rsidRPr="00CC11D5">
              <w:rPr>
                <w:rFonts w:ascii="Garamond" w:hAnsi="Garamond"/>
                <w:bCs/>
                <w:sz w:val="12"/>
                <w:szCs w:val="12"/>
              </w:rPr>
              <w:t>Masa 2.3.2 Identifikimi i mosdeklarimit</w:t>
            </w:r>
            <w:r w:rsidR="00D61E86" w:rsidRPr="00CC11D5">
              <w:rPr>
                <w:rFonts w:ascii="Garamond" w:hAnsi="Garamond"/>
                <w:bCs/>
                <w:sz w:val="12"/>
                <w:szCs w:val="12"/>
              </w:rPr>
              <w:t>,</w:t>
            </w:r>
            <w:r w:rsidRPr="00CC11D5">
              <w:rPr>
                <w:rFonts w:ascii="Garamond" w:hAnsi="Garamond"/>
                <w:bCs/>
                <w:sz w:val="12"/>
                <w:szCs w:val="12"/>
              </w:rPr>
              <w:t xml:space="preserve"> në lidhje me juridiksionet </w:t>
            </w:r>
            <w:r w:rsidRPr="00CC11D5">
              <w:rPr>
                <w:rFonts w:ascii="Garamond" w:hAnsi="Garamond"/>
                <w:bCs/>
                <w:i/>
                <w:sz w:val="12"/>
                <w:szCs w:val="12"/>
              </w:rPr>
              <w:t>offshore</w:t>
            </w:r>
            <w:r w:rsidRPr="00CC11D5">
              <w:rPr>
                <w:rFonts w:ascii="Garamond" w:hAnsi="Garamond"/>
                <w:bCs/>
                <w:sz w:val="12"/>
                <w:szCs w:val="12"/>
              </w:rPr>
              <w:t xml:space="preserve"> bazuar në të dhënat e mbledhura AEOI</w:t>
            </w:r>
            <w:r w:rsidR="00D61E86" w:rsidRPr="00CC11D5">
              <w:rPr>
                <w:rFonts w:ascii="Garamond" w:hAnsi="Garamond"/>
                <w:bCs/>
                <w:sz w:val="12"/>
                <w:szCs w:val="12"/>
              </w:rPr>
              <w:t>,</w:t>
            </w:r>
            <w:r w:rsidRPr="00CC11D5">
              <w:rPr>
                <w:rFonts w:ascii="Garamond" w:hAnsi="Garamond"/>
                <w:bCs/>
                <w:sz w:val="12"/>
                <w:szCs w:val="12"/>
              </w:rPr>
              <w:t xml:space="preserve"> sipas kuadrit të Standardit të Raportimit të Përbashkët (CRS)</w:t>
            </w:r>
          </w:p>
          <w:p w14:paraId="65D74EED" w14:textId="77777777" w:rsidR="00A468BF" w:rsidRPr="00CC11D5" w:rsidRDefault="00A468BF" w:rsidP="006B61C6">
            <w:pPr>
              <w:jc w:val="center"/>
              <w:rPr>
                <w:rFonts w:ascii="Garamond" w:hAnsi="Garamond"/>
                <w:sz w:val="12"/>
                <w:szCs w:val="12"/>
              </w:rPr>
            </w:pPr>
          </w:p>
        </w:tc>
        <w:tc>
          <w:tcPr>
            <w:tcW w:w="2700" w:type="dxa"/>
            <w:vAlign w:val="center"/>
          </w:tcPr>
          <w:p w14:paraId="0FFBBA29" w14:textId="53F80DE7" w:rsidR="00A468BF" w:rsidRPr="00CC11D5" w:rsidRDefault="00A468BF" w:rsidP="006B61C6">
            <w:pPr>
              <w:jc w:val="center"/>
              <w:rPr>
                <w:rFonts w:ascii="Garamond" w:hAnsi="Garamond"/>
                <w:sz w:val="12"/>
                <w:szCs w:val="12"/>
              </w:rPr>
            </w:pPr>
            <w:r w:rsidRPr="00CC11D5">
              <w:rPr>
                <w:rFonts w:ascii="Garamond" w:hAnsi="Garamond"/>
                <w:sz w:val="12"/>
                <w:szCs w:val="12"/>
              </w:rPr>
              <w:t xml:space="preserve">Aktiviteti </w:t>
            </w:r>
            <w:r w:rsidRPr="00CC11D5">
              <w:rPr>
                <w:rFonts w:ascii="Garamond" w:hAnsi="Garamond"/>
                <w:bCs/>
                <w:sz w:val="12"/>
                <w:szCs w:val="12"/>
              </w:rPr>
              <w:t>2.3.2</w:t>
            </w:r>
            <w:r w:rsidRPr="00CC11D5">
              <w:rPr>
                <w:rFonts w:ascii="Garamond" w:hAnsi="Garamond"/>
                <w:sz w:val="12"/>
                <w:szCs w:val="12"/>
              </w:rPr>
              <w:t>.1</w:t>
            </w:r>
            <w:r w:rsidR="00D61E86" w:rsidRPr="00CC11D5">
              <w:rPr>
                <w:rFonts w:ascii="Garamond" w:hAnsi="Garamond"/>
                <w:sz w:val="12"/>
                <w:szCs w:val="12"/>
              </w:rPr>
              <w:t>:</w:t>
            </w:r>
            <w:r w:rsidRPr="00CC11D5">
              <w:rPr>
                <w:rFonts w:ascii="Garamond" w:hAnsi="Garamond"/>
                <w:sz w:val="12"/>
                <w:szCs w:val="12"/>
              </w:rPr>
              <w:t xml:space="preserve"> Bërja efektive në DPT të strukturës përgjegjëse për CRS</w:t>
            </w:r>
            <w:r w:rsidR="00D61E86" w:rsidRPr="00CC11D5">
              <w:rPr>
                <w:rFonts w:ascii="Garamond" w:hAnsi="Garamond"/>
                <w:sz w:val="12"/>
                <w:szCs w:val="12"/>
              </w:rPr>
              <w:t>-në</w:t>
            </w:r>
            <w:r w:rsidRPr="00CC11D5">
              <w:rPr>
                <w:rFonts w:ascii="Garamond" w:hAnsi="Garamond"/>
                <w:sz w:val="12"/>
                <w:szCs w:val="12"/>
              </w:rPr>
              <w:t xml:space="preserve"> dhe trajnimi i stafit</w:t>
            </w:r>
            <w:r w:rsidR="00D61E86" w:rsidRPr="00CC11D5">
              <w:rPr>
                <w:rFonts w:ascii="Garamond" w:hAnsi="Garamond"/>
                <w:sz w:val="12"/>
                <w:szCs w:val="12"/>
              </w:rPr>
              <w:t>;</w:t>
            </w:r>
          </w:p>
          <w:p w14:paraId="47216520" w14:textId="77777777" w:rsidR="00A468BF" w:rsidRPr="00CC11D5" w:rsidRDefault="00A468BF" w:rsidP="006B61C6">
            <w:pPr>
              <w:jc w:val="center"/>
              <w:rPr>
                <w:rFonts w:ascii="Garamond" w:hAnsi="Garamond"/>
                <w:sz w:val="12"/>
                <w:szCs w:val="12"/>
              </w:rPr>
            </w:pPr>
          </w:p>
          <w:p w14:paraId="6731593C" w14:textId="262740B0" w:rsidR="00A468BF" w:rsidRPr="00CC11D5" w:rsidRDefault="00A468BF" w:rsidP="006B61C6">
            <w:pPr>
              <w:jc w:val="center"/>
              <w:rPr>
                <w:rFonts w:ascii="Garamond" w:hAnsi="Garamond"/>
                <w:sz w:val="12"/>
                <w:szCs w:val="12"/>
              </w:rPr>
            </w:pPr>
            <w:r w:rsidRPr="00CC11D5">
              <w:rPr>
                <w:rFonts w:ascii="Garamond" w:hAnsi="Garamond"/>
                <w:sz w:val="12"/>
                <w:szCs w:val="12"/>
              </w:rPr>
              <w:t xml:space="preserve">Aktiviteti </w:t>
            </w:r>
            <w:r w:rsidRPr="00CC11D5">
              <w:rPr>
                <w:rFonts w:ascii="Garamond" w:hAnsi="Garamond"/>
                <w:bCs/>
                <w:sz w:val="12"/>
                <w:szCs w:val="12"/>
              </w:rPr>
              <w:t>2.3.2</w:t>
            </w:r>
            <w:r w:rsidRPr="00CC11D5">
              <w:rPr>
                <w:rFonts w:ascii="Garamond" w:hAnsi="Garamond"/>
                <w:sz w:val="12"/>
                <w:szCs w:val="12"/>
              </w:rPr>
              <w:t>.2</w:t>
            </w:r>
            <w:r w:rsidR="00D61E86" w:rsidRPr="00CC11D5">
              <w:rPr>
                <w:rFonts w:ascii="Garamond" w:hAnsi="Garamond"/>
                <w:sz w:val="12"/>
                <w:szCs w:val="12"/>
              </w:rPr>
              <w:t>:</w:t>
            </w:r>
            <w:r w:rsidRPr="00CC11D5">
              <w:rPr>
                <w:rFonts w:ascii="Garamond" w:hAnsi="Garamond"/>
                <w:sz w:val="12"/>
                <w:szCs w:val="12"/>
              </w:rPr>
              <w:t xml:space="preserve"> Zbatimi i Projektit të Shkëmbimit Automatik të Informacionit;</w:t>
            </w:r>
          </w:p>
          <w:p w14:paraId="6B39401D" w14:textId="77777777" w:rsidR="00A468BF" w:rsidRPr="00CC11D5" w:rsidRDefault="00A468BF" w:rsidP="006B61C6">
            <w:pPr>
              <w:jc w:val="center"/>
              <w:rPr>
                <w:rFonts w:ascii="Garamond" w:hAnsi="Garamond"/>
                <w:sz w:val="12"/>
                <w:szCs w:val="12"/>
              </w:rPr>
            </w:pPr>
          </w:p>
          <w:p w14:paraId="0E5D9944" w14:textId="4FDF55A9" w:rsidR="00A468BF" w:rsidRPr="00CC11D5" w:rsidRDefault="00A468BF" w:rsidP="006B61C6">
            <w:pPr>
              <w:jc w:val="center"/>
              <w:rPr>
                <w:rFonts w:ascii="Garamond" w:hAnsi="Garamond"/>
                <w:sz w:val="12"/>
                <w:szCs w:val="12"/>
              </w:rPr>
            </w:pPr>
            <w:r w:rsidRPr="00CC11D5">
              <w:rPr>
                <w:rFonts w:ascii="Garamond" w:hAnsi="Garamond"/>
                <w:sz w:val="12"/>
                <w:szCs w:val="12"/>
              </w:rPr>
              <w:t xml:space="preserve">Aktiviteti </w:t>
            </w:r>
            <w:r w:rsidRPr="00CC11D5">
              <w:rPr>
                <w:rFonts w:ascii="Garamond" w:hAnsi="Garamond"/>
                <w:bCs/>
                <w:sz w:val="12"/>
                <w:szCs w:val="12"/>
              </w:rPr>
              <w:t>2.3.2</w:t>
            </w:r>
            <w:r w:rsidRPr="00CC11D5">
              <w:rPr>
                <w:rFonts w:ascii="Garamond" w:hAnsi="Garamond"/>
                <w:sz w:val="12"/>
                <w:szCs w:val="12"/>
              </w:rPr>
              <w:t>.3</w:t>
            </w:r>
            <w:r w:rsidR="00D61E86" w:rsidRPr="00CC11D5">
              <w:rPr>
                <w:rFonts w:ascii="Garamond" w:hAnsi="Garamond"/>
                <w:sz w:val="12"/>
                <w:szCs w:val="12"/>
              </w:rPr>
              <w:t>:</w:t>
            </w:r>
            <w:r w:rsidRPr="00CC11D5">
              <w:rPr>
                <w:rFonts w:ascii="Garamond" w:hAnsi="Garamond"/>
                <w:sz w:val="12"/>
                <w:szCs w:val="12"/>
              </w:rPr>
              <w:t xml:space="preserve"> Analiza periodike mbi rastet e evazionit tatimor në lidhje me juridiksionet </w:t>
            </w:r>
            <w:r w:rsidRPr="00CC11D5">
              <w:rPr>
                <w:rFonts w:ascii="Garamond" w:hAnsi="Garamond"/>
                <w:i/>
                <w:sz w:val="12"/>
                <w:szCs w:val="12"/>
              </w:rPr>
              <w:t>offshore</w:t>
            </w:r>
            <w:r w:rsidRPr="00CC11D5">
              <w:rPr>
                <w:rFonts w:ascii="Garamond" w:hAnsi="Garamond"/>
                <w:sz w:val="12"/>
                <w:szCs w:val="12"/>
              </w:rPr>
              <w:t>;</w:t>
            </w:r>
          </w:p>
          <w:p w14:paraId="37CD7B94" w14:textId="77777777" w:rsidR="00A468BF" w:rsidRPr="00CC11D5" w:rsidRDefault="00A468BF" w:rsidP="006B61C6">
            <w:pPr>
              <w:jc w:val="center"/>
              <w:rPr>
                <w:rFonts w:ascii="Garamond" w:hAnsi="Garamond"/>
                <w:sz w:val="12"/>
                <w:szCs w:val="12"/>
              </w:rPr>
            </w:pPr>
          </w:p>
          <w:p w14:paraId="610AA73E" w14:textId="4BEE574F" w:rsidR="00A468BF" w:rsidRPr="00CC11D5" w:rsidRDefault="00A468BF" w:rsidP="006B61C6">
            <w:pPr>
              <w:jc w:val="center"/>
              <w:rPr>
                <w:rFonts w:ascii="Garamond" w:hAnsi="Garamond"/>
                <w:bCs/>
                <w:sz w:val="12"/>
                <w:szCs w:val="12"/>
              </w:rPr>
            </w:pPr>
            <w:r w:rsidRPr="00CC11D5">
              <w:rPr>
                <w:rFonts w:ascii="Garamond" w:hAnsi="Garamond"/>
                <w:sz w:val="12"/>
                <w:szCs w:val="12"/>
              </w:rPr>
              <w:t xml:space="preserve">Aktiviteti </w:t>
            </w:r>
            <w:r w:rsidRPr="00CC11D5">
              <w:rPr>
                <w:rFonts w:ascii="Garamond" w:hAnsi="Garamond"/>
                <w:bCs/>
                <w:sz w:val="12"/>
                <w:szCs w:val="12"/>
              </w:rPr>
              <w:t>2.3.2</w:t>
            </w:r>
            <w:r w:rsidRPr="00CC11D5">
              <w:rPr>
                <w:rFonts w:ascii="Garamond" w:hAnsi="Garamond"/>
                <w:sz w:val="12"/>
                <w:szCs w:val="12"/>
              </w:rPr>
              <w:t>.4</w:t>
            </w:r>
            <w:r w:rsidR="00D61E86" w:rsidRPr="00CC11D5">
              <w:rPr>
                <w:rFonts w:ascii="Garamond" w:hAnsi="Garamond"/>
                <w:sz w:val="12"/>
                <w:szCs w:val="12"/>
              </w:rPr>
              <w:t>:</w:t>
            </w:r>
            <w:r w:rsidRPr="00CC11D5">
              <w:rPr>
                <w:rFonts w:ascii="Garamond" w:hAnsi="Garamond"/>
                <w:sz w:val="12"/>
                <w:szCs w:val="12"/>
              </w:rPr>
              <w:t xml:space="preserve"> Zbatimi i rregullores së brendshme që përcakton mënyrën e rrjedhjes së informacionit në DPT si dhe monitorimin e bankave mbi zbatimin e verifikimit të duhur</w:t>
            </w:r>
            <w:r w:rsidR="00D61E86" w:rsidRPr="00CC11D5">
              <w:rPr>
                <w:rFonts w:ascii="Garamond" w:hAnsi="Garamond"/>
                <w:sz w:val="12"/>
                <w:szCs w:val="12"/>
              </w:rPr>
              <w:t>;</w:t>
            </w:r>
          </w:p>
          <w:p w14:paraId="70BEE47D" w14:textId="77777777" w:rsidR="00A468BF" w:rsidRPr="00CC11D5" w:rsidRDefault="00A468BF" w:rsidP="006B61C6">
            <w:pPr>
              <w:jc w:val="center"/>
              <w:rPr>
                <w:rFonts w:ascii="Garamond" w:hAnsi="Garamond"/>
                <w:bCs/>
                <w:sz w:val="12"/>
                <w:szCs w:val="12"/>
              </w:rPr>
            </w:pPr>
          </w:p>
          <w:p w14:paraId="66508FFC" w14:textId="65163041" w:rsidR="00A468BF" w:rsidRPr="00CC11D5" w:rsidRDefault="00A468BF" w:rsidP="006B61C6">
            <w:pPr>
              <w:jc w:val="center"/>
              <w:rPr>
                <w:rFonts w:ascii="Garamond" w:hAnsi="Garamond"/>
                <w:bCs/>
                <w:sz w:val="12"/>
                <w:szCs w:val="12"/>
              </w:rPr>
            </w:pPr>
            <w:r w:rsidRPr="00CC11D5">
              <w:rPr>
                <w:rFonts w:ascii="Garamond" w:hAnsi="Garamond"/>
                <w:bCs/>
                <w:sz w:val="12"/>
                <w:szCs w:val="12"/>
              </w:rPr>
              <w:t>Aktiviteti 2.3.2.5</w:t>
            </w:r>
            <w:r w:rsidR="00D61E86" w:rsidRPr="00CC11D5">
              <w:rPr>
                <w:rFonts w:ascii="Garamond" w:hAnsi="Garamond"/>
                <w:bCs/>
                <w:sz w:val="12"/>
                <w:szCs w:val="12"/>
              </w:rPr>
              <w:t>:</w:t>
            </w:r>
            <w:r w:rsidRPr="00CC11D5">
              <w:rPr>
                <w:rFonts w:ascii="Garamond" w:hAnsi="Garamond"/>
                <w:bCs/>
                <w:sz w:val="12"/>
                <w:szCs w:val="12"/>
              </w:rPr>
              <w:t xml:space="preserve"> Rishikimi i marrëveshjes dhe rritja e bashkëpunimit ndërinstitucional (FIU)</w:t>
            </w:r>
            <w:r w:rsidR="00D61E86" w:rsidRPr="00CC11D5">
              <w:rPr>
                <w:rFonts w:ascii="Garamond" w:hAnsi="Garamond"/>
                <w:bCs/>
                <w:sz w:val="12"/>
                <w:szCs w:val="12"/>
              </w:rPr>
              <w:t>,</w:t>
            </w:r>
            <w:r w:rsidRPr="00CC11D5">
              <w:rPr>
                <w:rFonts w:ascii="Garamond" w:hAnsi="Garamond"/>
                <w:bCs/>
                <w:sz w:val="12"/>
                <w:szCs w:val="12"/>
              </w:rPr>
              <w:t xml:space="preserve"> lidhur me monitorimin e bankave si subjekte raportuese dhe rekomandimet e MONEYVAL</w:t>
            </w:r>
            <w:r w:rsidR="00D61E86" w:rsidRPr="00CC11D5">
              <w:rPr>
                <w:rFonts w:ascii="Garamond" w:hAnsi="Garamond"/>
                <w:bCs/>
                <w:sz w:val="12"/>
                <w:szCs w:val="12"/>
              </w:rPr>
              <w:t>;</w:t>
            </w:r>
          </w:p>
          <w:p w14:paraId="3BB0AB10" w14:textId="77777777" w:rsidR="00A468BF" w:rsidRPr="00CC11D5" w:rsidRDefault="00A468BF" w:rsidP="006B61C6">
            <w:pPr>
              <w:jc w:val="center"/>
              <w:rPr>
                <w:rFonts w:ascii="Garamond" w:hAnsi="Garamond"/>
                <w:bCs/>
                <w:sz w:val="12"/>
                <w:szCs w:val="12"/>
              </w:rPr>
            </w:pPr>
          </w:p>
          <w:p w14:paraId="039F499A" w14:textId="6B1C5ABF" w:rsidR="00A468BF" w:rsidRPr="00CC11D5" w:rsidRDefault="00A468BF" w:rsidP="006B61C6">
            <w:pPr>
              <w:jc w:val="center"/>
              <w:rPr>
                <w:rFonts w:ascii="Garamond" w:hAnsi="Garamond"/>
                <w:bCs/>
                <w:sz w:val="12"/>
                <w:szCs w:val="12"/>
              </w:rPr>
            </w:pPr>
            <w:r w:rsidRPr="00CC11D5">
              <w:rPr>
                <w:rFonts w:ascii="Garamond" w:hAnsi="Garamond"/>
                <w:bCs/>
                <w:sz w:val="12"/>
                <w:szCs w:val="12"/>
              </w:rPr>
              <w:t>Aktiviteti 2.3.2.6</w:t>
            </w:r>
            <w:r w:rsidR="00D61E86" w:rsidRPr="00CC11D5">
              <w:rPr>
                <w:rFonts w:ascii="Garamond" w:hAnsi="Garamond"/>
                <w:bCs/>
                <w:sz w:val="12"/>
                <w:szCs w:val="12"/>
              </w:rPr>
              <w:t>:</w:t>
            </w:r>
            <w:r w:rsidRPr="00CC11D5">
              <w:rPr>
                <w:rFonts w:ascii="Garamond" w:hAnsi="Garamond"/>
                <w:bCs/>
                <w:sz w:val="12"/>
                <w:szCs w:val="12"/>
              </w:rPr>
              <w:t xml:space="preserve"> </w:t>
            </w:r>
            <w:r w:rsidRPr="00CC11D5">
              <w:rPr>
                <w:rFonts w:ascii="Garamond" w:hAnsi="Garamond"/>
                <w:sz w:val="12"/>
                <w:szCs w:val="12"/>
              </w:rPr>
              <w:t>Zbatimi i Rregullave Globale Anti</w:t>
            </w:r>
            <w:r w:rsidR="008C0C0F" w:rsidRPr="00CC11D5">
              <w:rPr>
                <w:rFonts w:ascii="Garamond" w:hAnsi="Garamond"/>
                <w:sz w:val="12"/>
                <w:szCs w:val="12"/>
              </w:rPr>
              <w:t>e</w:t>
            </w:r>
            <w:r w:rsidRPr="00CC11D5">
              <w:rPr>
                <w:rFonts w:ascii="Garamond" w:hAnsi="Garamond"/>
                <w:sz w:val="12"/>
                <w:szCs w:val="12"/>
              </w:rPr>
              <w:t>rozionit (GloBE).</w:t>
            </w:r>
          </w:p>
          <w:p w14:paraId="10D742AF" w14:textId="77777777" w:rsidR="00A468BF" w:rsidRPr="00CC11D5" w:rsidRDefault="00A468BF" w:rsidP="006B61C6">
            <w:pPr>
              <w:jc w:val="center"/>
              <w:rPr>
                <w:rFonts w:ascii="Garamond" w:hAnsi="Garamond"/>
                <w:sz w:val="12"/>
                <w:szCs w:val="12"/>
              </w:rPr>
            </w:pPr>
          </w:p>
        </w:tc>
        <w:tc>
          <w:tcPr>
            <w:tcW w:w="1143" w:type="dxa"/>
            <w:vAlign w:val="center"/>
          </w:tcPr>
          <w:p w14:paraId="2D25EDB8" w14:textId="77777777" w:rsidR="00A468BF" w:rsidRPr="00CC11D5" w:rsidRDefault="00A468BF" w:rsidP="006B61C6">
            <w:pPr>
              <w:jc w:val="center"/>
              <w:rPr>
                <w:rFonts w:ascii="Garamond" w:hAnsi="Garamond"/>
                <w:sz w:val="12"/>
                <w:szCs w:val="12"/>
              </w:rPr>
            </w:pPr>
            <w:r w:rsidRPr="00CC11D5">
              <w:rPr>
                <w:rFonts w:ascii="Garamond" w:hAnsi="Garamond"/>
                <w:sz w:val="12"/>
                <w:szCs w:val="12"/>
              </w:rPr>
              <w:t>2024</w:t>
            </w:r>
          </w:p>
        </w:tc>
        <w:tc>
          <w:tcPr>
            <w:tcW w:w="1343" w:type="dxa"/>
            <w:vAlign w:val="center"/>
          </w:tcPr>
          <w:p w14:paraId="231D83E3" w14:textId="77777777" w:rsidR="00A468BF" w:rsidRPr="00CC11D5" w:rsidRDefault="00A468BF" w:rsidP="006B61C6">
            <w:pPr>
              <w:jc w:val="center"/>
              <w:rPr>
                <w:rFonts w:ascii="Garamond" w:hAnsi="Garamond"/>
                <w:sz w:val="12"/>
                <w:szCs w:val="12"/>
              </w:rPr>
            </w:pPr>
            <w:r w:rsidRPr="00CC11D5">
              <w:rPr>
                <w:rFonts w:ascii="Garamond" w:hAnsi="Garamond"/>
                <w:sz w:val="12"/>
                <w:szCs w:val="12"/>
              </w:rPr>
              <w:t>2025</w:t>
            </w:r>
          </w:p>
        </w:tc>
        <w:tc>
          <w:tcPr>
            <w:tcW w:w="1555" w:type="dxa"/>
            <w:vAlign w:val="center"/>
          </w:tcPr>
          <w:p w14:paraId="3E595F5A" w14:textId="77777777" w:rsidR="00A468BF" w:rsidRPr="00CC11D5" w:rsidRDefault="00A468BF" w:rsidP="006B61C6">
            <w:pPr>
              <w:jc w:val="center"/>
              <w:rPr>
                <w:rFonts w:ascii="Garamond" w:hAnsi="Garamond"/>
                <w:sz w:val="12"/>
                <w:szCs w:val="12"/>
              </w:rPr>
            </w:pPr>
            <w:r w:rsidRPr="00CC11D5">
              <w:rPr>
                <w:rFonts w:ascii="Garamond" w:hAnsi="Garamond"/>
                <w:sz w:val="12"/>
                <w:szCs w:val="12"/>
              </w:rPr>
              <w:t>DPT</w:t>
            </w:r>
          </w:p>
        </w:tc>
      </w:tr>
      <w:tr w:rsidR="00A468BF" w:rsidRPr="00CC11D5" w14:paraId="5A672983" w14:textId="77777777" w:rsidTr="006B61C6">
        <w:trPr>
          <w:trHeight w:val="170"/>
        </w:trPr>
        <w:tc>
          <w:tcPr>
            <w:tcW w:w="2275" w:type="dxa"/>
            <w:vAlign w:val="center"/>
          </w:tcPr>
          <w:p w14:paraId="2A470B27" w14:textId="1F4628F3" w:rsidR="00A468BF" w:rsidRPr="00CC11D5" w:rsidRDefault="00A468BF" w:rsidP="006B61C6">
            <w:pPr>
              <w:jc w:val="center"/>
              <w:rPr>
                <w:rFonts w:ascii="Garamond" w:hAnsi="Garamond"/>
                <w:bCs/>
                <w:sz w:val="12"/>
                <w:szCs w:val="12"/>
              </w:rPr>
            </w:pPr>
            <w:r w:rsidRPr="00CC11D5">
              <w:rPr>
                <w:rFonts w:ascii="Garamond" w:hAnsi="Garamond"/>
                <w:bCs/>
                <w:sz w:val="12"/>
                <w:szCs w:val="12"/>
              </w:rPr>
              <w:t>Masa 2.3.3: Ngritja e Regjistrit të Aseteve të tatimpaguesve me synimin e vlerësimit real të pasurive të tatimpaguesve</w:t>
            </w:r>
          </w:p>
          <w:p w14:paraId="0283AAB8" w14:textId="77777777" w:rsidR="00A468BF" w:rsidRPr="00CC11D5" w:rsidRDefault="00A468BF" w:rsidP="006B61C6">
            <w:pPr>
              <w:jc w:val="center"/>
              <w:rPr>
                <w:rFonts w:ascii="Garamond" w:hAnsi="Garamond"/>
                <w:bCs/>
                <w:sz w:val="12"/>
                <w:szCs w:val="12"/>
              </w:rPr>
            </w:pPr>
          </w:p>
        </w:tc>
        <w:tc>
          <w:tcPr>
            <w:tcW w:w="2700" w:type="dxa"/>
            <w:vAlign w:val="center"/>
          </w:tcPr>
          <w:p w14:paraId="1038F644" w14:textId="77CFF013" w:rsidR="00A468BF" w:rsidRPr="00CC11D5" w:rsidRDefault="00A468BF" w:rsidP="00D61E86">
            <w:pPr>
              <w:jc w:val="center"/>
              <w:rPr>
                <w:rFonts w:ascii="Garamond" w:hAnsi="Garamond"/>
                <w:sz w:val="12"/>
                <w:szCs w:val="12"/>
              </w:rPr>
            </w:pPr>
            <w:r w:rsidRPr="00CC11D5">
              <w:rPr>
                <w:rFonts w:ascii="Garamond" w:hAnsi="Garamond"/>
                <w:sz w:val="12"/>
                <w:szCs w:val="12"/>
              </w:rPr>
              <w:t xml:space="preserve">Aktiviteti </w:t>
            </w:r>
            <w:r w:rsidRPr="00CC11D5">
              <w:rPr>
                <w:rFonts w:ascii="Garamond" w:hAnsi="Garamond"/>
                <w:bCs/>
                <w:sz w:val="12"/>
                <w:szCs w:val="12"/>
              </w:rPr>
              <w:t>2.3.</w:t>
            </w:r>
            <w:r w:rsidRPr="00CC11D5">
              <w:rPr>
                <w:rFonts w:ascii="Garamond" w:hAnsi="Garamond"/>
                <w:sz w:val="12"/>
                <w:szCs w:val="12"/>
              </w:rPr>
              <w:t>3.1</w:t>
            </w:r>
            <w:r w:rsidR="00D61E86" w:rsidRPr="00CC11D5">
              <w:rPr>
                <w:rFonts w:ascii="Garamond" w:hAnsi="Garamond"/>
                <w:sz w:val="12"/>
                <w:szCs w:val="12"/>
              </w:rPr>
              <w:t>:</w:t>
            </w:r>
            <w:r w:rsidRPr="00CC11D5">
              <w:rPr>
                <w:rFonts w:ascii="Garamond" w:hAnsi="Garamond"/>
                <w:sz w:val="12"/>
                <w:szCs w:val="12"/>
              </w:rPr>
              <w:t xml:space="preserve"> Krijimi i një Regjistri të Aseteve me atributet përkatëse, për 10% të tatim</w:t>
            </w:r>
            <w:r w:rsidR="00377F8B" w:rsidRPr="00CC11D5">
              <w:rPr>
                <w:rFonts w:ascii="Garamond" w:hAnsi="Garamond"/>
                <w:sz w:val="12"/>
                <w:szCs w:val="12"/>
              </w:rPr>
              <w:t>p</w:t>
            </w:r>
            <w:r w:rsidRPr="00CC11D5">
              <w:rPr>
                <w:rFonts w:ascii="Garamond" w:hAnsi="Garamond"/>
                <w:sz w:val="12"/>
                <w:szCs w:val="12"/>
              </w:rPr>
              <w:t>aguesve brenda vitit 2026;</w:t>
            </w:r>
          </w:p>
          <w:p w14:paraId="4680D174" w14:textId="77777777" w:rsidR="00D61E86" w:rsidRPr="00CC11D5" w:rsidRDefault="00D61E86" w:rsidP="00D61E86">
            <w:pPr>
              <w:jc w:val="center"/>
              <w:rPr>
                <w:rFonts w:ascii="Garamond" w:hAnsi="Garamond"/>
                <w:sz w:val="12"/>
                <w:szCs w:val="12"/>
              </w:rPr>
            </w:pPr>
          </w:p>
          <w:p w14:paraId="744C42A1" w14:textId="551C2578" w:rsidR="00A468BF" w:rsidRPr="00CC11D5" w:rsidRDefault="00A468BF" w:rsidP="00D61E86">
            <w:pPr>
              <w:jc w:val="center"/>
              <w:rPr>
                <w:rFonts w:ascii="Garamond" w:hAnsi="Garamond"/>
                <w:sz w:val="12"/>
                <w:szCs w:val="12"/>
              </w:rPr>
            </w:pPr>
            <w:r w:rsidRPr="00CC11D5">
              <w:rPr>
                <w:rFonts w:ascii="Garamond" w:hAnsi="Garamond"/>
                <w:sz w:val="12"/>
                <w:szCs w:val="12"/>
              </w:rPr>
              <w:t xml:space="preserve">Aktiviteti </w:t>
            </w:r>
            <w:r w:rsidRPr="00CC11D5">
              <w:rPr>
                <w:rFonts w:ascii="Garamond" w:hAnsi="Garamond"/>
                <w:bCs/>
                <w:sz w:val="12"/>
                <w:szCs w:val="12"/>
              </w:rPr>
              <w:t>2.3.</w:t>
            </w:r>
            <w:r w:rsidRPr="00CC11D5">
              <w:rPr>
                <w:rFonts w:ascii="Garamond" w:hAnsi="Garamond"/>
                <w:sz w:val="12"/>
                <w:szCs w:val="12"/>
              </w:rPr>
              <w:t>3.2</w:t>
            </w:r>
            <w:r w:rsidR="00D61E86" w:rsidRPr="00CC11D5">
              <w:rPr>
                <w:rFonts w:ascii="Garamond" w:hAnsi="Garamond"/>
                <w:sz w:val="12"/>
                <w:szCs w:val="12"/>
              </w:rPr>
              <w:t>:</w:t>
            </w:r>
            <w:r w:rsidRPr="00CC11D5">
              <w:rPr>
                <w:rFonts w:ascii="Garamond" w:hAnsi="Garamond"/>
                <w:sz w:val="12"/>
                <w:szCs w:val="12"/>
              </w:rPr>
              <w:t xml:space="preserve"> Analiza e të dhënave me </w:t>
            </w:r>
            <w:r w:rsidR="00D61E86" w:rsidRPr="00CC11D5">
              <w:rPr>
                <w:rFonts w:ascii="Garamond" w:hAnsi="Garamond"/>
                <w:sz w:val="12"/>
                <w:szCs w:val="12"/>
              </w:rPr>
              <w:t>r</w:t>
            </w:r>
            <w:r w:rsidRPr="00CC11D5">
              <w:rPr>
                <w:rFonts w:ascii="Garamond" w:hAnsi="Garamond"/>
                <w:sz w:val="12"/>
                <w:szCs w:val="12"/>
              </w:rPr>
              <w:t xml:space="preserve">aportet </w:t>
            </w:r>
            <w:r w:rsidRPr="00CC11D5">
              <w:rPr>
                <w:rFonts w:ascii="Garamond" w:hAnsi="Garamond"/>
                <w:i/>
                <w:sz w:val="12"/>
                <w:szCs w:val="12"/>
              </w:rPr>
              <w:t>Business Inteligence (BI)</w:t>
            </w:r>
            <w:r w:rsidRPr="00CC11D5">
              <w:rPr>
                <w:rFonts w:ascii="Garamond" w:hAnsi="Garamond"/>
                <w:sz w:val="12"/>
                <w:szCs w:val="12"/>
              </w:rPr>
              <w:t>.</w:t>
            </w:r>
          </w:p>
          <w:p w14:paraId="2CA5069C" w14:textId="77777777" w:rsidR="00A468BF" w:rsidRPr="00CC11D5" w:rsidRDefault="00A468BF" w:rsidP="006B61C6">
            <w:pPr>
              <w:jc w:val="center"/>
              <w:rPr>
                <w:rFonts w:ascii="Garamond" w:hAnsi="Garamond"/>
                <w:sz w:val="12"/>
                <w:szCs w:val="12"/>
              </w:rPr>
            </w:pPr>
          </w:p>
        </w:tc>
        <w:tc>
          <w:tcPr>
            <w:tcW w:w="1143" w:type="dxa"/>
            <w:vAlign w:val="center"/>
          </w:tcPr>
          <w:p w14:paraId="51FB6CB5" w14:textId="77777777" w:rsidR="00A468BF" w:rsidRPr="00CC11D5" w:rsidRDefault="00A468BF" w:rsidP="006B61C6">
            <w:pPr>
              <w:jc w:val="center"/>
              <w:rPr>
                <w:rFonts w:ascii="Garamond" w:hAnsi="Garamond"/>
                <w:sz w:val="12"/>
                <w:szCs w:val="12"/>
              </w:rPr>
            </w:pPr>
            <w:r w:rsidRPr="00CC11D5">
              <w:rPr>
                <w:rFonts w:ascii="Garamond" w:hAnsi="Garamond"/>
                <w:sz w:val="12"/>
                <w:szCs w:val="12"/>
              </w:rPr>
              <w:t>2024</w:t>
            </w:r>
          </w:p>
        </w:tc>
        <w:tc>
          <w:tcPr>
            <w:tcW w:w="1343" w:type="dxa"/>
            <w:vAlign w:val="center"/>
          </w:tcPr>
          <w:p w14:paraId="35863405" w14:textId="77777777" w:rsidR="00A468BF" w:rsidRPr="00CC11D5" w:rsidRDefault="00A468BF" w:rsidP="006B61C6">
            <w:pPr>
              <w:jc w:val="center"/>
              <w:rPr>
                <w:rFonts w:ascii="Garamond" w:hAnsi="Garamond"/>
                <w:sz w:val="12"/>
                <w:szCs w:val="12"/>
              </w:rPr>
            </w:pPr>
            <w:r w:rsidRPr="00CC11D5">
              <w:rPr>
                <w:rFonts w:ascii="Garamond" w:hAnsi="Garamond"/>
                <w:sz w:val="12"/>
                <w:szCs w:val="12"/>
              </w:rPr>
              <w:t>2026</w:t>
            </w:r>
          </w:p>
        </w:tc>
        <w:tc>
          <w:tcPr>
            <w:tcW w:w="1555" w:type="dxa"/>
            <w:vAlign w:val="center"/>
          </w:tcPr>
          <w:p w14:paraId="78867C9A" w14:textId="4C5341A9" w:rsidR="00A468BF" w:rsidRPr="00CC11D5" w:rsidRDefault="00A468BF" w:rsidP="006B61C6">
            <w:pPr>
              <w:jc w:val="center"/>
              <w:rPr>
                <w:rFonts w:ascii="Garamond" w:hAnsi="Garamond"/>
                <w:sz w:val="12"/>
                <w:szCs w:val="12"/>
              </w:rPr>
            </w:pPr>
            <w:r w:rsidRPr="00CC11D5">
              <w:rPr>
                <w:rFonts w:ascii="Garamond" w:hAnsi="Garamond"/>
                <w:sz w:val="12"/>
                <w:szCs w:val="12"/>
              </w:rPr>
              <w:t>DPT në bashkëpunim me AKSHI</w:t>
            </w:r>
            <w:r w:rsidR="00D61E86" w:rsidRPr="00CC11D5">
              <w:rPr>
                <w:rFonts w:ascii="Garamond" w:hAnsi="Garamond"/>
                <w:sz w:val="12"/>
                <w:szCs w:val="12"/>
              </w:rPr>
              <w:t>-n</w:t>
            </w:r>
          </w:p>
        </w:tc>
      </w:tr>
      <w:tr w:rsidR="00A468BF" w:rsidRPr="00CC11D5" w14:paraId="1C61BF60" w14:textId="77777777" w:rsidTr="006B61C6">
        <w:trPr>
          <w:trHeight w:val="170"/>
        </w:trPr>
        <w:tc>
          <w:tcPr>
            <w:tcW w:w="2275" w:type="dxa"/>
            <w:vAlign w:val="center"/>
          </w:tcPr>
          <w:p w14:paraId="06448D0C" w14:textId="310ACE81" w:rsidR="00A468BF" w:rsidRPr="00CC11D5" w:rsidRDefault="00A468BF" w:rsidP="00D61E86">
            <w:pPr>
              <w:jc w:val="center"/>
              <w:rPr>
                <w:rFonts w:ascii="Garamond" w:hAnsi="Garamond"/>
                <w:bCs/>
                <w:sz w:val="12"/>
                <w:szCs w:val="12"/>
              </w:rPr>
            </w:pPr>
            <w:r w:rsidRPr="00CC11D5">
              <w:rPr>
                <w:rFonts w:ascii="Garamond" w:hAnsi="Garamond"/>
                <w:sz w:val="12"/>
                <w:szCs w:val="12"/>
              </w:rPr>
              <w:t xml:space="preserve">Masa </w:t>
            </w:r>
            <w:r w:rsidRPr="00CC11D5">
              <w:rPr>
                <w:rFonts w:ascii="Garamond" w:hAnsi="Garamond"/>
                <w:bCs/>
                <w:sz w:val="12"/>
                <w:szCs w:val="12"/>
              </w:rPr>
              <w:t>2.3.</w:t>
            </w:r>
            <w:r w:rsidRPr="00CC11D5">
              <w:rPr>
                <w:rFonts w:ascii="Garamond" w:hAnsi="Garamond"/>
                <w:sz w:val="12"/>
                <w:szCs w:val="12"/>
              </w:rPr>
              <w:t xml:space="preserve">4: </w:t>
            </w:r>
            <w:r w:rsidRPr="00CC11D5">
              <w:rPr>
                <w:rFonts w:ascii="Garamond" w:hAnsi="Garamond"/>
                <w:bCs/>
                <w:sz w:val="12"/>
                <w:szCs w:val="12"/>
              </w:rPr>
              <w:t>Integrimi dhe përdorimi i të dhënave nga palët e treta, në mënyrë që të mundësojë programin e administratës hetim</w:t>
            </w:r>
            <w:r w:rsidR="00D61E86" w:rsidRPr="00CC11D5">
              <w:rPr>
                <w:rFonts w:ascii="Garamond" w:hAnsi="Garamond"/>
                <w:bCs/>
                <w:sz w:val="12"/>
                <w:szCs w:val="12"/>
              </w:rPr>
              <w:t>or</w:t>
            </w:r>
            <w:r w:rsidRPr="00CC11D5">
              <w:rPr>
                <w:rFonts w:ascii="Garamond" w:hAnsi="Garamond"/>
                <w:bCs/>
                <w:sz w:val="12"/>
                <w:szCs w:val="12"/>
              </w:rPr>
              <w:t>e tatimore të pasurisë së pajustifikuar për taksapaguesit</w:t>
            </w:r>
          </w:p>
        </w:tc>
        <w:tc>
          <w:tcPr>
            <w:tcW w:w="2700" w:type="dxa"/>
            <w:vAlign w:val="center"/>
          </w:tcPr>
          <w:p w14:paraId="0EE3B5B1" w14:textId="5840B0F2" w:rsidR="00A468BF" w:rsidRPr="00CC11D5" w:rsidRDefault="00A468BF" w:rsidP="006B61C6">
            <w:pPr>
              <w:jc w:val="center"/>
              <w:rPr>
                <w:rFonts w:ascii="Garamond" w:hAnsi="Garamond"/>
                <w:sz w:val="12"/>
                <w:szCs w:val="12"/>
              </w:rPr>
            </w:pPr>
            <w:r w:rsidRPr="00CC11D5">
              <w:rPr>
                <w:rFonts w:ascii="Garamond" w:hAnsi="Garamond"/>
                <w:sz w:val="12"/>
                <w:szCs w:val="12"/>
              </w:rPr>
              <w:t xml:space="preserve">Aktiviteti </w:t>
            </w:r>
            <w:r w:rsidRPr="00CC11D5">
              <w:rPr>
                <w:rFonts w:ascii="Garamond" w:hAnsi="Garamond"/>
                <w:bCs/>
                <w:sz w:val="12"/>
                <w:szCs w:val="12"/>
              </w:rPr>
              <w:t>2.3.</w:t>
            </w:r>
            <w:r w:rsidRPr="00CC11D5">
              <w:rPr>
                <w:rFonts w:ascii="Garamond" w:hAnsi="Garamond"/>
                <w:sz w:val="12"/>
                <w:szCs w:val="12"/>
              </w:rPr>
              <w:t>4.1</w:t>
            </w:r>
            <w:r w:rsidR="00D61E86" w:rsidRPr="00CC11D5">
              <w:rPr>
                <w:rFonts w:ascii="Garamond" w:hAnsi="Garamond"/>
                <w:sz w:val="12"/>
                <w:szCs w:val="12"/>
              </w:rPr>
              <w:t>:</w:t>
            </w:r>
          </w:p>
          <w:p w14:paraId="50BE00D8" w14:textId="44D12761" w:rsidR="00A468BF" w:rsidRPr="00CC11D5" w:rsidRDefault="00A468BF" w:rsidP="006B61C6">
            <w:pPr>
              <w:jc w:val="center"/>
              <w:rPr>
                <w:rFonts w:ascii="Garamond" w:hAnsi="Garamond"/>
                <w:sz w:val="12"/>
                <w:szCs w:val="12"/>
              </w:rPr>
            </w:pPr>
            <w:r w:rsidRPr="00CC11D5">
              <w:rPr>
                <w:rFonts w:ascii="Garamond" w:hAnsi="Garamond"/>
                <w:sz w:val="12"/>
                <w:szCs w:val="12"/>
              </w:rPr>
              <w:t>Integrimi dhe përdorimi i të dhënave nga palët e treta</w:t>
            </w:r>
            <w:r w:rsidR="00D61E86" w:rsidRPr="00CC11D5">
              <w:rPr>
                <w:rFonts w:ascii="Garamond" w:hAnsi="Garamond"/>
                <w:sz w:val="12"/>
                <w:szCs w:val="12"/>
              </w:rPr>
              <w:t>;</w:t>
            </w:r>
          </w:p>
          <w:p w14:paraId="24334B7E" w14:textId="77777777" w:rsidR="00A468BF" w:rsidRPr="00CC11D5" w:rsidRDefault="00A468BF" w:rsidP="006B61C6">
            <w:pPr>
              <w:jc w:val="center"/>
              <w:rPr>
                <w:rFonts w:ascii="Garamond" w:hAnsi="Garamond"/>
                <w:sz w:val="12"/>
                <w:szCs w:val="12"/>
              </w:rPr>
            </w:pPr>
          </w:p>
          <w:p w14:paraId="5EE3DF43" w14:textId="1E67E4EB" w:rsidR="00A468BF" w:rsidRPr="00CC11D5" w:rsidRDefault="00A468BF" w:rsidP="006B61C6">
            <w:pPr>
              <w:jc w:val="center"/>
              <w:rPr>
                <w:rFonts w:ascii="Garamond" w:hAnsi="Garamond"/>
                <w:sz w:val="12"/>
                <w:szCs w:val="12"/>
              </w:rPr>
            </w:pPr>
            <w:r w:rsidRPr="00CC11D5">
              <w:rPr>
                <w:rFonts w:ascii="Garamond" w:hAnsi="Garamond"/>
                <w:sz w:val="12"/>
                <w:szCs w:val="12"/>
              </w:rPr>
              <w:t>Aktiviteti 2.3.4.2</w:t>
            </w:r>
            <w:r w:rsidR="00D61E86" w:rsidRPr="00CC11D5">
              <w:rPr>
                <w:rFonts w:ascii="Garamond" w:hAnsi="Garamond"/>
                <w:sz w:val="12"/>
                <w:szCs w:val="12"/>
              </w:rPr>
              <w:t xml:space="preserve">: </w:t>
            </w:r>
            <w:r w:rsidRPr="00CC11D5">
              <w:rPr>
                <w:rFonts w:ascii="Garamond" w:hAnsi="Garamond"/>
                <w:sz w:val="12"/>
                <w:szCs w:val="12"/>
              </w:rPr>
              <w:t xml:space="preserve">Shkëmbimi i të dhënave nëpërmjet </w:t>
            </w:r>
            <w:r w:rsidRPr="00CC11D5">
              <w:rPr>
                <w:rFonts w:ascii="Garamond" w:hAnsi="Garamond"/>
                <w:i/>
                <w:sz w:val="12"/>
                <w:szCs w:val="12"/>
              </w:rPr>
              <w:t>web-service</w:t>
            </w:r>
            <w:r w:rsidR="00D61E86" w:rsidRPr="00CC11D5">
              <w:rPr>
                <w:rFonts w:ascii="Garamond" w:hAnsi="Garamond"/>
                <w:sz w:val="12"/>
                <w:szCs w:val="12"/>
              </w:rPr>
              <w:t>-ve</w:t>
            </w:r>
            <w:r w:rsidRPr="00CC11D5">
              <w:rPr>
                <w:rFonts w:ascii="Garamond" w:hAnsi="Garamond"/>
                <w:sz w:val="12"/>
                <w:szCs w:val="12"/>
              </w:rPr>
              <w:t>.</w:t>
            </w:r>
          </w:p>
          <w:p w14:paraId="66F8F9E9" w14:textId="77777777" w:rsidR="00A468BF" w:rsidRPr="00CC11D5" w:rsidRDefault="00A468BF" w:rsidP="006B61C6">
            <w:pPr>
              <w:jc w:val="center"/>
              <w:rPr>
                <w:rFonts w:ascii="Garamond" w:hAnsi="Garamond"/>
                <w:sz w:val="12"/>
                <w:szCs w:val="12"/>
              </w:rPr>
            </w:pPr>
          </w:p>
        </w:tc>
        <w:tc>
          <w:tcPr>
            <w:tcW w:w="1143" w:type="dxa"/>
            <w:vAlign w:val="center"/>
          </w:tcPr>
          <w:p w14:paraId="7898410C" w14:textId="77777777" w:rsidR="00A468BF" w:rsidRPr="00CC11D5" w:rsidRDefault="00A468BF" w:rsidP="006B61C6">
            <w:pPr>
              <w:jc w:val="center"/>
              <w:rPr>
                <w:rFonts w:ascii="Garamond" w:hAnsi="Garamond"/>
                <w:sz w:val="12"/>
                <w:szCs w:val="12"/>
              </w:rPr>
            </w:pPr>
            <w:r w:rsidRPr="00CC11D5">
              <w:rPr>
                <w:rFonts w:ascii="Garamond" w:hAnsi="Garamond"/>
                <w:sz w:val="12"/>
                <w:szCs w:val="12"/>
              </w:rPr>
              <w:t>2024</w:t>
            </w:r>
          </w:p>
        </w:tc>
        <w:tc>
          <w:tcPr>
            <w:tcW w:w="1343" w:type="dxa"/>
            <w:vAlign w:val="center"/>
          </w:tcPr>
          <w:p w14:paraId="04046EA9" w14:textId="77777777" w:rsidR="00A468BF" w:rsidRPr="00CC11D5" w:rsidRDefault="00A468BF" w:rsidP="006B61C6">
            <w:pPr>
              <w:jc w:val="center"/>
              <w:rPr>
                <w:rFonts w:ascii="Garamond" w:hAnsi="Garamond"/>
                <w:sz w:val="12"/>
                <w:szCs w:val="12"/>
              </w:rPr>
            </w:pPr>
            <w:r w:rsidRPr="00CC11D5">
              <w:rPr>
                <w:rFonts w:ascii="Garamond" w:hAnsi="Garamond"/>
                <w:sz w:val="12"/>
                <w:szCs w:val="12"/>
              </w:rPr>
              <w:t>qershor 2025</w:t>
            </w:r>
          </w:p>
        </w:tc>
        <w:tc>
          <w:tcPr>
            <w:tcW w:w="1555" w:type="dxa"/>
            <w:vAlign w:val="center"/>
          </w:tcPr>
          <w:p w14:paraId="39160244" w14:textId="77777777" w:rsidR="00A468BF" w:rsidRPr="00CC11D5" w:rsidRDefault="00A468BF" w:rsidP="006B61C6">
            <w:pPr>
              <w:jc w:val="center"/>
              <w:rPr>
                <w:rFonts w:ascii="Garamond" w:hAnsi="Garamond"/>
                <w:sz w:val="12"/>
                <w:szCs w:val="12"/>
              </w:rPr>
            </w:pPr>
            <w:r w:rsidRPr="00CC11D5">
              <w:rPr>
                <w:rFonts w:ascii="Garamond" w:hAnsi="Garamond"/>
                <w:sz w:val="12"/>
                <w:szCs w:val="12"/>
              </w:rPr>
              <w:t>DPT</w:t>
            </w:r>
          </w:p>
        </w:tc>
      </w:tr>
    </w:tbl>
    <w:p w14:paraId="6CF78317" w14:textId="77777777" w:rsidR="00A468BF" w:rsidRPr="00830F4C" w:rsidRDefault="00A468BF" w:rsidP="00A468BF">
      <w:pPr>
        <w:autoSpaceDE w:val="0"/>
        <w:autoSpaceDN w:val="0"/>
        <w:adjustRightInd w:val="0"/>
        <w:ind w:firstLine="284"/>
        <w:rPr>
          <w:rFonts w:ascii="Garamond" w:eastAsiaTheme="minorHAnsi" w:hAnsi="Garamond"/>
        </w:rPr>
      </w:pPr>
    </w:p>
    <w:p w14:paraId="6E6CF28D" w14:textId="77777777" w:rsidR="00A468BF" w:rsidRPr="00830F4C" w:rsidRDefault="00A468BF" w:rsidP="00A468BF">
      <w:pPr>
        <w:jc w:val="both"/>
        <w:rPr>
          <w:b/>
        </w:rPr>
      </w:pPr>
      <w:r w:rsidRPr="00830F4C">
        <w:rPr>
          <w:b/>
        </w:rPr>
        <w:t>Treguesit e performancës dhe vlerat e synuara</w:t>
      </w:r>
    </w:p>
    <w:tbl>
      <w:tblPr>
        <w:tblStyle w:val="TableGrid1"/>
        <w:tblW w:w="8835" w:type="dxa"/>
        <w:tblLook w:val="04A0" w:firstRow="1" w:lastRow="0" w:firstColumn="1" w:lastColumn="0" w:noHBand="0" w:noVBand="1"/>
      </w:tblPr>
      <w:tblGrid>
        <w:gridCol w:w="2425"/>
        <w:gridCol w:w="1308"/>
        <w:gridCol w:w="1275"/>
        <w:gridCol w:w="1083"/>
        <w:gridCol w:w="1372"/>
        <w:gridCol w:w="1372"/>
      </w:tblGrid>
      <w:tr w:rsidR="00A468BF" w:rsidRPr="00CC11D5" w14:paraId="02F5C90F" w14:textId="77777777" w:rsidTr="006B61C6">
        <w:trPr>
          <w:trHeight w:val="20"/>
        </w:trPr>
        <w:tc>
          <w:tcPr>
            <w:tcW w:w="2425" w:type="dxa"/>
            <w:vMerge w:val="restart"/>
            <w:vAlign w:val="center"/>
          </w:tcPr>
          <w:p w14:paraId="64A20C52" w14:textId="77777777" w:rsidR="00A468BF" w:rsidRPr="00CC11D5" w:rsidRDefault="00A468BF" w:rsidP="006B61C6">
            <w:pPr>
              <w:jc w:val="center"/>
              <w:rPr>
                <w:rFonts w:ascii="Garamond" w:hAnsi="Garamond"/>
                <w:sz w:val="12"/>
                <w:szCs w:val="12"/>
              </w:rPr>
            </w:pPr>
            <w:r w:rsidRPr="00CC11D5">
              <w:rPr>
                <w:rFonts w:ascii="Garamond" w:hAnsi="Garamond"/>
                <w:b/>
                <w:sz w:val="12"/>
                <w:szCs w:val="12"/>
              </w:rPr>
              <w:t>Treguesi</w:t>
            </w:r>
          </w:p>
        </w:tc>
        <w:tc>
          <w:tcPr>
            <w:tcW w:w="1308" w:type="dxa"/>
            <w:vMerge w:val="restart"/>
            <w:vAlign w:val="center"/>
          </w:tcPr>
          <w:p w14:paraId="37BFA4CB" w14:textId="2C591A5A" w:rsidR="00A468BF" w:rsidRPr="00CC11D5" w:rsidRDefault="00A468BF" w:rsidP="006B61C6">
            <w:pPr>
              <w:jc w:val="center"/>
              <w:rPr>
                <w:rFonts w:ascii="Garamond" w:hAnsi="Garamond"/>
                <w:sz w:val="12"/>
                <w:szCs w:val="12"/>
              </w:rPr>
            </w:pPr>
            <w:r w:rsidRPr="00CC11D5">
              <w:rPr>
                <w:rFonts w:ascii="Garamond" w:hAnsi="Garamond"/>
                <w:b/>
                <w:sz w:val="12"/>
                <w:szCs w:val="12"/>
              </w:rPr>
              <w:t xml:space="preserve">Vlera </w:t>
            </w:r>
            <w:r w:rsidR="00D61E86" w:rsidRPr="00CC11D5">
              <w:rPr>
                <w:rFonts w:ascii="Garamond" w:hAnsi="Garamond"/>
                <w:b/>
                <w:sz w:val="12"/>
                <w:szCs w:val="12"/>
              </w:rPr>
              <w:t>b</w:t>
            </w:r>
            <w:r w:rsidRPr="00CC11D5">
              <w:rPr>
                <w:rFonts w:ascii="Garamond" w:hAnsi="Garamond"/>
                <w:b/>
                <w:sz w:val="12"/>
                <w:szCs w:val="12"/>
              </w:rPr>
              <w:t>azë (viti 2023)</w:t>
            </w:r>
          </w:p>
        </w:tc>
        <w:tc>
          <w:tcPr>
            <w:tcW w:w="5102" w:type="dxa"/>
            <w:gridSpan w:val="4"/>
            <w:vAlign w:val="center"/>
          </w:tcPr>
          <w:p w14:paraId="4E21D504" w14:textId="77777777" w:rsidR="00A468BF" w:rsidRPr="00CC11D5" w:rsidRDefault="00A468BF" w:rsidP="006B61C6">
            <w:pPr>
              <w:jc w:val="center"/>
              <w:rPr>
                <w:rFonts w:ascii="Garamond" w:hAnsi="Garamond"/>
                <w:sz w:val="12"/>
                <w:szCs w:val="12"/>
              </w:rPr>
            </w:pPr>
            <w:r w:rsidRPr="00CC11D5">
              <w:rPr>
                <w:rFonts w:ascii="Garamond" w:hAnsi="Garamond"/>
                <w:b/>
                <w:sz w:val="12"/>
                <w:szCs w:val="12"/>
              </w:rPr>
              <w:t>Vlera e synuar</w:t>
            </w:r>
          </w:p>
        </w:tc>
      </w:tr>
      <w:tr w:rsidR="00A468BF" w:rsidRPr="00CC11D5" w14:paraId="184328AD" w14:textId="77777777" w:rsidTr="006B61C6">
        <w:trPr>
          <w:trHeight w:val="20"/>
        </w:trPr>
        <w:tc>
          <w:tcPr>
            <w:tcW w:w="2425" w:type="dxa"/>
            <w:vMerge/>
            <w:vAlign w:val="center"/>
          </w:tcPr>
          <w:p w14:paraId="2A2EE652" w14:textId="77777777" w:rsidR="00A468BF" w:rsidRPr="00CC11D5" w:rsidRDefault="00A468BF" w:rsidP="006B61C6">
            <w:pPr>
              <w:jc w:val="center"/>
              <w:rPr>
                <w:rFonts w:ascii="Garamond" w:hAnsi="Garamond"/>
                <w:sz w:val="12"/>
                <w:szCs w:val="12"/>
              </w:rPr>
            </w:pPr>
          </w:p>
        </w:tc>
        <w:tc>
          <w:tcPr>
            <w:tcW w:w="1308" w:type="dxa"/>
            <w:vMerge/>
            <w:vAlign w:val="center"/>
          </w:tcPr>
          <w:p w14:paraId="64468F29" w14:textId="77777777" w:rsidR="00A468BF" w:rsidRPr="00CC11D5" w:rsidRDefault="00A468BF" w:rsidP="006B61C6">
            <w:pPr>
              <w:jc w:val="center"/>
              <w:rPr>
                <w:rFonts w:ascii="Garamond" w:hAnsi="Garamond"/>
                <w:sz w:val="12"/>
                <w:szCs w:val="12"/>
              </w:rPr>
            </w:pPr>
          </w:p>
        </w:tc>
        <w:tc>
          <w:tcPr>
            <w:tcW w:w="1275" w:type="dxa"/>
            <w:vAlign w:val="center"/>
          </w:tcPr>
          <w:p w14:paraId="01EF11A8" w14:textId="77777777" w:rsidR="00A468BF" w:rsidRPr="00CC11D5" w:rsidRDefault="00A468BF" w:rsidP="006B61C6">
            <w:pPr>
              <w:jc w:val="center"/>
              <w:rPr>
                <w:rFonts w:ascii="Garamond" w:hAnsi="Garamond"/>
                <w:sz w:val="12"/>
                <w:szCs w:val="12"/>
              </w:rPr>
            </w:pPr>
            <w:r w:rsidRPr="00CC11D5">
              <w:rPr>
                <w:rFonts w:ascii="Garamond" w:hAnsi="Garamond"/>
                <w:b/>
                <w:sz w:val="12"/>
                <w:szCs w:val="12"/>
              </w:rPr>
              <w:t>2024</w:t>
            </w:r>
          </w:p>
        </w:tc>
        <w:tc>
          <w:tcPr>
            <w:tcW w:w="1083" w:type="dxa"/>
            <w:vAlign w:val="center"/>
          </w:tcPr>
          <w:p w14:paraId="4B8513E0" w14:textId="77777777" w:rsidR="00A468BF" w:rsidRPr="00CC11D5" w:rsidRDefault="00A468BF" w:rsidP="006B61C6">
            <w:pPr>
              <w:jc w:val="center"/>
              <w:rPr>
                <w:rFonts w:ascii="Garamond" w:hAnsi="Garamond"/>
                <w:sz w:val="12"/>
                <w:szCs w:val="12"/>
              </w:rPr>
            </w:pPr>
            <w:r w:rsidRPr="00CC11D5">
              <w:rPr>
                <w:rFonts w:ascii="Garamond" w:hAnsi="Garamond"/>
                <w:b/>
                <w:sz w:val="12"/>
                <w:szCs w:val="12"/>
              </w:rPr>
              <w:t>2025</w:t>
            </w:r>
          </w:p>
        </w:tc>
        <w:tc>
          <w:tcPr>
            <w:tcW w:w="1372" w:type="dxa"/>
            <w:vAlign w:val="center"/>
          </w:tcPr>
          <w:p w14:paraId="4B585AE8" w14:textId="77777777" w:rsidR="00A468BF" w:rsidRPr="00CC11D5" w:rsidRDefault="00A468BF" w:rsidP="006B61C6">
            <w:pPr>
              <w:jc w:val="center"/>
              <w:rPr>
                <w:rFonts w:ascii="Garamond" w:hAnsi="Garamond"/>
                <w:sz w:val="12"/>
                <w:szCs w:val="12"/>
              </w:rPr>
            </w:pPr>
            <w:r w:rsidRPr="00CC11D5">
              <w:rPr>
                <w:rFonts w:ascii="Garamond" w:hAnsi="Garamond"/>
                <w:b/>
                <w:sz w:val="12"/>
                <w:szCs w:val="12"/>
              </w:rPr>
              <w:t>2026</w:t>
            </w:r>
          </w:p>
        </w:tc>
        <w:tc>
          <w:tcPr>
            <w:tcW w:w="1372" w:type="dxa"/>
            <w:vAlign w:val="center"/>
          </w:tcPr>
          <w:p w14:paraId="17A461A8" w14:textId="77777777" w:rsidR="00A468BF" w:rsidRPr="00CC11D5" w:rsidRDefault="00A468BF" w:rsidP="006B61C6">
            <w:pPr>
              <w:jc w:val="center"/>
              <w:rPr>
                <w:rFonts w:ascii="Garamond" w:hAnsi="Garamond"/>
                <w:sz w:val="12"/>
                <w:szCs w:val="12"/>
              </w:rPr>
            </w:pPr>
            <w:r w:rsidRPr="00CC11D5">
              <w:rPr>
                <w:rFonts w:ascii="Garamond" w:hAnsi="Garamond"/>
                <w:b/>
                <w:sz w:val="12"/>
                <w:szCs w:val="12"/>
              </w:rPr>
              <w:t>2027</w:t>
            </w:r>
          </w:p>
        </w:tc>
      </w:tr>
      <w:tr w:rsidR="00A468BF" w:rsidRPr="00CC11D5" w14:paraId="50AF3C7B" w14:textId="77777777" w:rsidTr="006B61C6">
        <w:trPr>
          <w:trHeight w:val="20"/>
        </w:trPr>
        <w:tc>
          <w:tcPr>
            <w:tcW w:w="2425" w:type="dxa"/>
            <w:vAlign w:val="center"/>
          </w:tcPr>
          <w:p w14:paraId="637C22A1" w14:textId="77777777" w:rsidR="00A468BF" w:rsidRPr="00CC11D5" w:rsidRDefault="00A468BF" w:rsidP="006B61C6">
            <w:pPr>
              <w:jc w:val="center"/>
              <w:rPr>
                <w:rFonts w:ascii="Garamond" w:hAnsi="Garamond"/>
                <w:sz w:val="12"/>
                <w:szCs w:val="12"/>
              </w:rPr>
            </w:pPr>
            <w:r w:rsidRPr="00CC11D5">
              <w:rPr>
                <w:rFonts w:ascii="Garamond" w:hAnsi="Garamond"/>
                <w:sz w:val="12"/>
                <w:szCs w:val="12"/>
              </w:rPr>
              <w:t xml:space="preserve">Numri i </w:t>
            </w:r>
            <w:r w:rsidRPr="00CC11D5">
              <w:rPr>
                <w:rFonts w:ascii="Garamond" w:hAnsi="Garamond"/>
                <w:sz w:val="12"/>
                <w:szCs w:val="12"/>
                <w:vertAlign w:val="superscript"/>
              </w:rPr>
              <w:t>9</w:t>
            </w:r>
            <w:r w:rsidRPr="00CC11D5">
              <w:rPr>
                <w:rFonts w:ascii="Garamond" w:hAnsi="Garamond"/>
                <w:sz w:val="12"/>
                <w:szCs w:val="12"/>
              </w:rPr>
              <w:t>individëve të pasur të audituar</w:t>
            </w:r>
          </w:p>
        </w:tc>
        <w:tc>
          <w:tcPr>
            <w:tcW w:w="1308" w:type="dxa"/>
            <w:vAlign w:val="center"/>
          </w:tcPr>
          <w:p w14:paraId="2C4953A8" w14:textId="77777777" w:rsidR="00A468BF" w:rsidRPr="00CC11D5" w:rsidRDefault="00A468BF" w:rsidP="006B61C6">
            <w:pPr>
              <w:jc w:val="center"/>
              <w:rPr>
                <w:rFonts w:ascii="Garamond" w:hAnsi="Garamond"/>
                <w:sz w:val="12"/>
                <w:szCs w:val="12"/>
              </w:rPr>
            </w:pPr>
            <w:r w:rsidRPr="00CC11D5">
              <w:rPr>
                <w:rFonts w:ascii="Garamond" w:hAnsi="Garamond"/>
                <w:sz w:val="12"/>
                <w:szCs w:val="12"/>
              </w:rPr>
              <w:t>33</w:t>
            </w:r>
          </w:p>
        </w:tc>
        <w:tc>
          <w:tcPr>
            <w:tcW w:w="1275" w:type="dxa"/>
            <w:vAlign w:val="center"/>
          </w:tcPr>
          <w:p w14:paraId="141B0D5B" w14:textId="77777777" w:rsidR="00A468BF" w:rsidRPr="00CC11D5" w:rsidRDefault="00A468BF" w:rsidP="006B61C6">
            <w:pPr>
              <w:jc w:val="center"/>
              <w:rPr>
                <w:rFonts w:ascii="Garamond" w:hAnsi="Garamond"/>
                <w:sz w:val="12"/>
                <w:szCs w:val="12"/>
              </w:rPr>
            </w:pPr>
          </w:p>
        </w:tc>
        <w:tc>
          <w:tcPr>
            <w:tcW w:w="1083" w:type="dxa"/>
            <w:vAlign w:val="center"/>
          </w:tcPr>
          <w:p w14:paraId="6CDC0DCF" w14:textId="77777777" w:rsidR="00A468BF" w:rsidRPr="00CC11D5" w:rsidRDefault="00A468BF" w:rsidP="006B61C6">
            <w:pPr>
              <w:jc w:val="center"/>
              <w:rPr>
                <w:rFonts w:ascii="Garamond" w:hAnsi="Garamond"/>
                <w:sz w:val="12"/>
                <w:szCs w:val="12"/>
              </w:rPr>
            </w:pPr>
          </w:p>
        </w:tc>
        <w:tc>
          <w:tcPr>
            <w:tcW w:w="1372" w:type="dxa"/>
            <w:vAlign w:val="center"/>
          </w:tcPr>
          <w:p w14:paraId="510AAF6A" w14:textId="77777777" w:rsidR="00A468BF" w:rsidRPr="00CC11D5" w:rsidRDefault="00A468BF" w:rsidP="006B61C6">
            <w:pPr>
              <w:jc w:val="center"/>
              <w:rPr>
                <w:rFonts w:ascii="Garamond" w:hAnsi="Garamond"/>
                <w:sz w:val="12"/>
                <w:szCs w:val="12"/>
              </w:rPr>
            </w:pPr>
            <w:r w:rsidRPr="00CC11D5">
              <w:rPr>
                <w:rFonts w:ascii="Garamond" w:hAnsi="Garamond"/>
                <w:sz w:val="12"/>
                <w:szCs w:val="12"/>
              </w:rPr>
              <w:t>200</w:t>
            </w:r>
          </w:p>
        </w:tc>
        <w:tc>
          <w:tcPr>
            <w:tcW w:w="1372" w:type="dxa"/>
            <w:vAlign w:val="center"/>
          </w:tcPr>
          <w:p w14:paraId="21F86108" w14:textId="77777777" w:rsidR="00A468BF" w:rsidRPr="00CC11D5" w:rsidRDefault="00A468BF" w:rsidP="006B61C6">
            <w:pPr>
              <w:jc w:val="center"/>
              <w:rPr>
                <w:rFonts w:ascii="Garamond" w:hAnsi="Garamond"/>
                <w:sz w:val="12"/>
                <w:szCs w:val="12"/>
              </w:rPr>
            </w:pPr>
          </w:p>
        </w:tc>
      </w:tr>
      <w:tr w:rsidR="00A468BF" w:rsidRPr="00CC11D5" w14:paraId="20BF7B8F" w14:textId="77777777" w:rsidTr="006B61C6">
        <w:trPr>
          <w:trHeight w:val="20"/>
        </w:trPr>
        <w:tc>
          <w:tcPr>
            <w:tcW w:w="2425" w:type="dxa"/>
            <w:vAlign w:val="center"/>
          </w:tcPr>
          <w:p w14:paraId="6DB02CF2" w14:textId="74D3EA54" w:rsidR="00A468BF" w:rsidRPr="00CC11D5" w:rsidRDefault="00A468BF" w:rsidP="006B61C6">
            <w:pPr>
              <w:jc w:val="center"/>
              <w:rPr>
                <w:rFonts w:ascii="Garamond" w:hAnsi="Garamond"/>
                <w:sz w:val="12"/>
                <w:szCs w:val="12"/>
              </w:rPr>
            </w:pPr>
            <w:r w:rsidRPr="00CC11D5">
              <w:rPr>
                <w:rFonts w:ascii="Garamond" w:hAnsi="Garamond"/>
                <w:sz w:val="12"/>
                <w:szCs w:val="12"/>
              </w:rPr>
              <w:t>Numri i individëve të investiguar nga AT</w:t>
            </w:r>
            <w:r w:rsidR="00D61E86" w:rsidRPr="00CC11D5">
              <w:rPr>
                <w:rFonts w:ascii="Garamond" w:hAnsi="Garamond"/>
                <w:sz w:val="12"/>
                <w:szCs w:val="12"/>
              </w:rPr>
              <w:t>-ja</w:t>
            </w:r>
            <w:r w:rsidRPr="00CC11D5">
              <w:rPr>
                <w:rFonts w:ascii="Garamond" w:hAnsi="Garamond"/>
                <w:sz w:val="12"/>
                <w:szCs w:val="12"/>
              </w:rPr>
              <w:t xml:space="preserve"> duke përdorur të dhënat nga palët e treta</w:t>
            </w:r>
          </w:p>
        </w:tc>
        <w:tc>
          <w:tcPr>
            <w:tcW w:w="1308" w:type="dxa"/>
            <w:vAlign w:val="center"/>
          </w:tcPr>
          <w:p w14:paraId="1AB94032" w14:textId="77777777" w:rsidR="00A468BF" w:rsidRPr="00CC11D5" w:rsidRDefault="00A468BF" w:rsidP="006B61C6">
            <w:pPr>
              <w:jc w:val="center"/>
              <w:rPr>
                <w:rFonts w:ascii="Garamond" w:hAnsi="Garamond"/>
                <w:sz w:val="12"/>
                <w:szCs w:val="12"/>
              </w:rPr>
            </w:pPr>
            <w:r w:rsidRPr="00CC11D5">
              <w:rPr>
                <w:rFonts w:ascii="Garamond" w:hAnsi="Garamond"/>
                <w:sz w:val="12"/>
                <w:szCs w:val="12"/>
              </w:rPr>
              <w:t>Nuk ka</w:t>
            </w:r>
          </w:p>
        </w:tc>
        <w:tc>
          <w:tcPr>
            <w:tcW w:w="1275" w:type="dxa"/>
            <w:vAlign w:val="center"/>
          </w:tcPr>
          <w:p w14:paraId="4FE07071" w14:textId="77777777" w:rsidR="00A468BF" w:rsidRPr="00CC11D5" w:rsidRDefault="00A468BF" w:rsidP="006B61C6">
            <w:pPr>
              <w:jc w:val="center"/>
              <w:rPr>
                <w:rFonts w:ascii="Garamond" w:hAnsi="Garamond"/>
                <w:sz w:val="12"/>
                <w:szCs w:val="12"/>
              </w:rPr>
            </w:pPr>
          </w:p>
        </w:tc>
        <w:tc>
          <w:tcPr>
            <w:tcW w:w="1083" w:type="dxa"/>
            <w:vAlign w:val="center"/>
          </w:tcPr>
          <w:p w14:paraId="70467451" w14:textId="77777777" w:rsidR="00A468BF" w:rsidRPr="00CC11D5" w:rsidRDefault="00A468BF" w:rsidP="006B61C6">
            <w:pPr>
              <w:jc w:val="center"/>
              <w:rPr>
                <w:rFonts w:ascii="Garamond" w:hAnsi="Garamond"/>
                <w:sz w:val="12"/>
                <w:szCs w:val="12"/>
              </w:rPr>
            </w:pPr>
          </w:p>
        </w:tc>
        <w:tc>
          <w:tcPr>
            <w:tcW w:w="1372" w:type="dxa"/>
            <w:vAlign w:val="center"/>
          </w:tcPr>
          <w:p w14:paraId="59E93C63" w14:textId="77777777" w:rsidR="00A468BF" w:rsidRPr="00CC11D5" w:rsidRDefault="00A468BF" w:rsidP="006B61C6">
            <w:pPr>
              <w:jc w:val="center"/>
              <w:rPr>
                <w:rFonts w:ascii="Garamond" w:hAnsi="Garamond"/>
                <w:sz w:val="12"/>
                <w:szCs w:val="12"/>
              </w:rPr>
            </w:pPr>
          </w:p>
        </w:tc>
        <w:tc>
          <w:tcPr>
            <w:tcW w:w="1372" w:type="dxa"/>
            <w:vAlign w:val="center"/>
          </w:tcPr>
          <w:p w14:paraId="63BE90A2" w14:textId="77777777" w:rsidR="00A468BF" w:rsidRPr="00CC11D5" w:rsidRDefault="00A468BF" w:rsidP="006B61C6">
            <w:pPr>
              <w:jc w:val="center"/>
              <w:rPr>
                <w:rFonts w:ascii="Garamond" w:hAnsi="Garamond"/>
                <w:sz w:val="12"/>
                <w:szCs w:val="12"/>
              </w:rPr>
            </w:pPr>
            <w:r w:rsidRPr="00CC11D5">
              <w:rPr>
                <w:rFonts w:ascii="Garamond" w:hAnsi="Garamond"/>
                <w:sz w:val="12"/>
                <w:szCs w:val="12"/>
              </w:rPr>
              <w:t>100</w:t>
            </w:r>
          </w:p>
        </w:tc>
      </w:tr>
      <w:tr w:rsidR="00A468BF" w:rsidRPr="00CC11D5" w14:paraId="6184C458" w14:textId="77777777" w:rsidTr="006B61C6">
        <w:trPr>
          <w:trHeight w:val="20"/>
        </w:trPr>
        <w:tc>
          <w:tcPr>
            <w:tcW w:w="2425" w:type="dxa"/>
            <w:vAlign w:val="center"/>
          </w:tcPr>
          <w:p w14:paraId="1611249C" w14:textId="2E48F622" w:rsidR="00A468BF" w:rsidRPr="00CC11D5" w:rsidRDefault="00A468BF" w:rsidP="00377F8B">
            <w:pPr>
              <w:contextualSpacing/>
              <w:jc w:val="center"/>
              <w:rPr>
                <w:rFonts w:ascii="Garamond" w:hAnsi="Garamond"/>
                <w:sz w:val="12"/>
                <w:szCs w:val="12"/>
              </w:rPr>
            </w:pPr>
            <w:r w:rsidRPr="00CC11D5">
              <w:rPr>
                <w:rFonts w:ascii="Garamond" w:hAnsi="Garamond"/>
                <w:sz w:val="12"/>
                <w:szCs w:val="12"/>
              </w:rPr>
              <w:t>Numri i marrëveshjeve të bashkëpunimit të lidhura në fushën e investigimit financiar dhe korrupsioni midis Agjencive</w:t>
            </w:r>
            <w:r w:rsidR="00D22EA5" w:rsidRPr="00CC11D5">
              <w:rPr>
                <w:rFonts w:ascii="Garamond" w:hAnsi="Garamond"/>
                <w:sz w:val="12"/>
                <w:szCs w:val="12"/>
              </w:rPr>
              <w:t xml:space="preserve"> </w:t>
            </w:r>
            <w:r w:rsidRPr="00CC11D5">
              <w:rPr>
                <w:rFonts w:ascii="Garamond" w:hAnsi="Garamond"/>
                <w:sz w:val="12"/>
                <w:szCs w:val="12"/>
              </w:rPr>
              <w:t>ligjzbatuese.</w:t>
            </w:r>
          </w:p>
        </w:tc>
        <w:tc>
          <w:tcPr>
            <w:tcW w:w="1308" w:type="dxa"/>
            <w:vAlign w:val="center"/>
          </w:tcPr>
          <w:p w14:paraId="2AB64273" w14:textId="77777777" w:rsidR="00A468BF" w:rsidRPr="00CC11D5" w:rsidRDefault="00A468BF" w:rsidP="006B61C6">
            <w:pPr>
              <w:jc w:val="center"/>
              <w:rPr>
                <w:rFonts w:ascii="Garamond" w:hAnsi="Garamond"/>
                <w:sz w:val="12"/>
                <w:szCs w:val="12"/>
              </w:rPr>
            </w:pPr>
          </w:p>
        </w:tc>
        <w:tc>
          <w:tcPr>
            <w:tcW w:w="1275" w:type="dxa"/>
            <w:vAlign w:val="center"/>
          </w:tcPr>
          <w:p w14:paraId="2D1FFE16" w14:textId="77777777" w:rsidR="00A468BF" w:rsidRPr="00CC11D5" w:rsidRDefault="00A468BF" w:rsidP="006B61C6">
            <w:pPr>
              <w:jc w:val="center"/>
              <w:rPr>
                <w:rFonts w:ascii="Garamond" w:hAnsi="Garamond"/>
                <w:sz w:val="12"/>
                <w:szCs w:val="12"/>
              </w:rPr>
            </w:pPr>
          </w:p>
        </w:tc>
        <w:tc>
          <w:tcPr>
            <w:tcW w:w="1083" w:type="dxa"/>
            <w:vAlign w:val="center"/>
          </w:tcPr>
          <w:p w14:paraId="3F635055" w14:textId="77777777" w:rsidR="00A468BF" w:rsidRPr="00CC11D5" w:rsidRDefault="00A468BF" w:rsidP="006B61C6">
            <w:pPr>
              <w:jc w:val="center"/>
              <w:rPr>
                <w:rFonts w:ascii="Garamond" w:hAnsi="Garamond"/>
                <w:sz w:val="12"/>
                <w:szCs w:val="12"/>
              </w:rPr>
            </w:pPr>
          </w:p>
        </w:tc>
        <w:tc>
          <w:tcPr>
            <w:tcW w:w="1372" w:type="dxa"/>
            <w:vAlign w:val="center"/>
          </w:tcPr>
          <w:p w14:paraId="600DAB83" w14:textId="77777777" w:rsidR="00A468BF" w:rsidRPr="00CC11D5" w:rsidRDefault="00A468BF" w:rsidP="006B61C6">
            <w:pPr>
              <w:jc w:val="center"/>
              <w:rPr>
                <w:rFonts w:ascii="Garamond" w:hAnsi="Garamond"/>
                <w:sz w:val="12"/>
                <w:szCs w:val="12"/>
              </w:rPr>
            </w:pPr>
          </w:p>
        </w:tc>
        <w:tc>
          <w:tcPr>
            <w:tcW w:w="1372" w:type="dxa"/>
            <w:vAlign w:val="center"/>
          </w:tcPr>
          <w:p w14:paraId="0779AA3E" w14:textId="77777777" w:rsidR="00A468BF" w:rsidRPr="00CC11D5" w:rsidRDefault="00A468BF" w:rsidP="006B61C6">
            <w:pPr>
              <w:jc w:val="center"/>
              <w:rPr>
                <w:rFonts w:ascii="Garamond" w:hAnsi="Garamond"/>
                <w:sz w:val="12"/>
                <w:szCs w:val="12"/>
              </w:rPr>
            </w:pPr>
            <w:r w:rsidRPr="00CC11D5">
              <w:rPr>
                <w:rFonts w:ascii="Garamond" w:hAnsi="Garamond"/>
                <w:sz w:val="12"/>
                <w:szCs w:val="12"/>
              </w:rPr>
              <w:t>5</w:t>
            </w:r>
          </w:p>
        </w:tc>
      </w:tr>
      <w:tr w:rsidR="00A468BF" w:rsidRPr="00CC11D5" w14:paraId="40E784D6" w14:textId="77777777" w:rsidTr="006B61C6">
        <w:trPr>
          <w:trHeight w:val="20"/>
        </w:trPr>
        <w:tc>
          <w:tcPr>
            <w:tcW w:w="2425" w:type="dxa"/>
            <w:vAlign w:val="center"/>
          </w:tcPr>
          <w:p w14:paraId="3D6D4A2C" w14:textId="77777777" w:rsidR="00A468BF" w:rsidRPr="00CC11D5" w:rsidRDefault="00A468BF" w:rsidP="006B61C6">
            <w:pPr>
              <w:jc w:val="center"/>
              <w:rPr>
                <w:rFonts w:ascii="Garamond" w:hAnsi="Garamond"/>
                <w:sz w:val="12"/>
                <w:szCs w:val="12"/>
              </w:rPr>
            </w:pPr>
            <w:r w:rsidRPr="00CC11D5">
              <w:rPr>
                <w:rFonts w:ascii="Garamond" w:hAnsi="Garamond"/>
                <w:sz w:val="12"/>
                <w:szCs w:val="12"/>
              </w:rPr>
              <w:t>Krijimi i Regjistrit të Pasurive të Tatimpaguesve</w:t>
            </w:r>
          </w:p>
        </w:tc>
        <w:tc>
          <w:tcPr>
            <w:tcW w:w="1308" w:type="dxa"/>
            <w:noWrap/>
            <w:vAlign w:val="center"/>
          </w:tcPr>
          <w:p w14:paraId="24C34A89" w14:textId="77777777" w:rsidR="00A468BF" w:rsidRPr="00CC11D5" w:rsidRDefault="00A468BF" w:rsidP="006B61C6">
            <w:pPr>
              <w:jc w:val="center"/>
              <w:rPr>
                <w:rFonts w:ascii="Garamond" w:hAnsi="Garamond"/>
                <w:sz w:val="12"/>
                <w:szCs w:val="12"/>
              </w:rPr>
            </w:pPr>
            <w:r w:rsidRPr="00CC11D5">
              <w:rPr>
                <w:rFonts w:ascii="Garamond" w:hAnsi="Garamond"/>
                <w:sz w:val="12"/>
                <w:szCs w:val="12"/>
              </w:rPr>
              <w:t>0%</w:t>
            </w:r>
          </w:p>
        </w:tc>
        <w:tc>
          <w:tcPr>
            <w:tcW w:w="1275" w:type="dxa"/>
            <w:vAlign w:val="center"/>
          </w:tcPr>
          <w:p w14:paraId="730F275C" w14:textId="77777777" w:rsidR="00A468BF" w:rsidRPr="00CC11D5" w:rsidRDefault="00A468BF" w:rsidP="006B61C6">
            <w:pPr>
              <w:jc w:val="center"/>
              <w:rPr>
                <w:rFonts w:ascii="Garamond" w:hAnsi="Garamond"/>
                <w:sz w:val="12"/>
                <w:szCs w:val="12"/>
              </w:rPr>
            </w:pPr>
          </w:p>
        </w:tc>
        <w:tc>
          <w:tcPr>
            <w:tcW w:w="1083" w:type="dxa"/>
            <w:vAlign w:val="center"/>
          </w:tcPr>
          <w:p w14:paraId="2765DA1A" w14:textId="77777777" w:rsidR="00A468BF" w:rsidRPr="00CC11D5" w:rsidRDefault="00A468BF" w:rsidP="006B61C6">
            <w:pPr>
              <w:jc w:val="center"/>
              <w:rPr>
                <w:rFonts w:ascii="Garamond" w:hAnsi="Garamond"/>
                <w:sz w:val="12"/>
                <w:szCs w:val="12"/>
              </w:rPr>
            </w:pPr>
          </w:p>
        </w:tc>
        <w:tc>
          <w:tcPr>
            <w:tcW w:w="1372" w:type="dxa"/>
            <w:vAlign w:val="center"/>
          </w:tcPr>
          <w:p w14:paraId="096CDDA8" w14:textId="77777777" w:rsidR="00A468BF" w:rsidRPr="00CC11D5" w:rsidRDefault="00A468BF" w:rsidP="006B61C6">
            <w:pPr>
              <w:jc w:val="center"/>
              <w:rPr>
                <w:rFonts w:ascii="Garamond" w:hAnsi="Garamond"/>
                <w:sz w:val="12"/>
                <w:szCs w:val="12"/>
              </w:rPr>
            </w:pPr>
            <w:r w:rsidRPr="00CC11D5">
              <w:rPr>
                <w:rFonts w:ascii="Garamond" w:hAnsi="Garamond"/>
                <w:sz w:val="12"/>
                <w:szCs w:val="12"/>
              </w:rPr>
              <w:t>10% e tatimpaguesve</w:t>
            </w:r>
          </w:p>
        </w:tc>
        <w:tc>
          <w:tcPr>
            <w:tcW w:w="1372" w:type="dxa"/>
            <w:vAlign w:val="center"/>
          </w:tcPr>
          <w:p w14:paraId="30803113" w14:textId="77777777" w:rsidR="00A468BF" w:rsidRPr="00CC11D5" w:rsidRDefault="00A468BF" w:rsidP="006B61C6">
            <w:pPr>
              <w:jc w:val="center"/>
              <w:rPr>
                <w:rFonts w:ascii="Garamond" w:hAnsi="Garamond"/>
                <w:sz w:val="12"/>
                <w:szCs w:val="12"/>
              </w:rPr>
            </w:pPr>
            <w:r w:rsidRPr="00CC11D5">
              <w:rPr>
                <w:rFonts w:ascii="Garamond" w:hAnsi="Garamond"/>
                <w:sz w:val="12"/>
                <w:szCs w:val="12"/>
              </w:rPr>
              <w:t>15% e tatimpaguesve</w:t>
            </w:r>
          </w:p>
        </w:tc>
      </w:tr>
    </w:tbl>
    <w:p w14:paraId="0CDFE4E8" w14:textId="77777777" w:rsidR="00A468BF" w:rsidRPr="00830F4C" w:rsidRDefault="00A468BF" w:rsidP="00A468BF">
      <w:pPr>
        <w:ind w:firstLine="284"/>
        <w:rPr>
          <w:rFonts w:ascii="Garamond" w:hAnsi="Garamond"/>
        </w:rPr>
      </w:pPr>
      <w:r w:rsidRPr="00830F4C">
        <w:rPr>
          <w:rFonts w:ascii="Garamond" w:hAnsi="Garamond"/>
        </w:rPr>
        <w:t>Më poshtë është një përshkrim i masave dhe aktiviteteve për realizimin e këtij komponenti.</w:t>
      </w:r>
    </w:p>
    <w:p w14:paraId="045D3F9F" w14:textId="39A1D5FD" w:rsidR="00A468BF" w:rsidRPr="00830F4C" w:rsidRDefault="00A468BF" w:rsidP="00A468BF">
      <w:pPr>
        <w:ind w:firstLine="284"/>
        <w:rPr>
          <w:rFonts w:ascii="Garamond" w:hAnsi="Garamond"/>
          <w:b/>
          <w:bCs/>
        </w:rPr>
      </w:pPr>
      <w:r w:rsidRPr="00830F4C">
        <w:rPr>
          <w:rFonts w:ascii="Garamond" w:hAnsi="Garamond"/>
          <w:b/>
          <w:bCs/>
        </w:rPr>
        <w:t>Masa 2.3.1 Përdorimi i metodave të tërthorta për vlerësimet tatimore</w:t>
      </w:r>
    </w:p>
    <w:p w14:paraId="085E781A" w14:textId="77777777" w:rsidR="00A468BF" w:rsidRPr="00830F4C" w:rsidRDefault="00A468BF" w:rsidP="00A468BF">
      <w:pPr>
        <w:ind w:firstLine="284"/>
        <w:jc w:val="both"/>
        <w:rPr>
          <w:rFonts w:ascii="Garamond" w:hAnsi="Garamond"/>
        </w:rPr>
      </w:pPr>
      <w:r w:rsidRPr="00830F4C">
        <w:rPr>
          <w:rFonts w:ascii="Garamond" w:hAnsi="Garamond"/>
        </w:rPr>
        <w:t xml:space="preserve">Akumulimi i pasurive të pajustifikuara - ku të ardhurat e deklaruara dhe burimet e fondeve janë qartësisht të pamjaftueshme për të financuar stilin e jetës dhe aseteve - është një faktor kryesor në minimizimin e besimit në sistemin tatimor. </w:t>
      </w:r>
    </w:p>
    <w:p w14:paraId="2B323FE9" w14:textId="6BA80B63" w:rsidR="00A468BF" w:rsidRPr="00830F4C" w:rsidRDefault="00A468BF" w:rsidP="00A468BF">
      <w:pPr>
        <w:ind w:firstLine="284"/>
        <w:jc w:val="both"/>
        <w:rPr>
          <w:rFonts w:ascii="Garamond" w:hAnsi="Garamond"/>
        </w:rPr>
      </w:pPr>
      <w:r w:rsidRPr="00830F4C">
        <w:rPr>
          <w:rFonts w:ascii="Garamond" w:hAnsi="Garamond"/>
        </w:rPr>
        <w:t>Tradicionalisht, inspektorët e DPT</w:t>
      </w:r>
      <w:r w:rsidR="00D61E86">
        <w:rPr>
          <w:rFonts w:ascii="Garamond" w:hAnsi="Garamond"/>
        </w:rPr>
        <w:t>-së</w:t>
      </w:r>
      <w:r w:rsidRPr="00830F4C">
        <w:rPr>
          <w:rFonts w:ascii="Garamond" w:hAnsi="Garamond"/>
        </w:rPr>
        <w:t xml:space="preserve"> mund të vlerësojnë përgjegjësinë tatimore vetëm kur ka prova të drejtpërdrejta të evazionit nga librat dhe regjistrimet ose informacionet e palëve të treta. Ligji për procedurat tatimore u ndryshua për të mundësuar qartazi përdorimin e metodave të tërthorta të auditimit dhe për të përcaktuar se vlerësimet e arsyeshme të detyrimeve tatimore,</w:t>
      </w:r>
      <w:r w:rsidR="00D61E86">
        <w:rPr>
          <w:rFonts w:ascii="Garamond" w:hAnsi="Garamond"/>
        </w:rPr>
        <w:t xml:space="preserve"> </w:t>
      </w:r>
      <w:r w:rsidRPr="00830F4C">
        <w:rPr>
          <w:rFonts w:ascii="Garamond" w:hAnsi="Garamond"/>
        </w:rPr>
        <w:t>të mbështetura në metoda të tilla janë të vlefshme. Përjashtime bëjnë rastet kur tatimpaguesit të mund të shpjegojnë burimin e akumulimit të pasurisë ose mospërputhje të tjera. Administrata Tatimore do të përdorë metodat indirekte për të nxjerrë vlerësimet tatimore. Manualet e kontrollit do të rishikohen që të përfshijnë një kapitull të veçantë për metodat indirekte.</w:t>
      </w:r>
    </w:p>
    <w:p w14:paraId="41CA858B" w14:textId="77777777" w:rsidR="00A468BF" w:rsidRPr="00D61E86" w:rsidRDefault="00A468BF" w:rsidP="00A468BF">
      <w:pPr>
        <w:ind w:firstLine="284"/>
        <w:jc w:val="both"/>
        <w:rPr>
          <w:rFonts w:ascii="Garamond" w:hAnsi="Garamond"/>
          <w:b/>
          <w:bCs/>
          <w:iCs/>
        </w:rPr>
      </w:pPr>
      <w:r w:rsidRPr="00D61E86">
        <w:rPr>
          <w:rFonts w:ascii="Garamond" w:hAnsi="Garamond"/>
          <w:b/>
          <w:bCs/>
          <w:iCs/>
        </w:rPr>
        <w:t xml:space="preserve">Programi i pajtueshmërie për individët më të pasur </w:t>
      </w:r>
    </w:p>
    <w:p w14:paraId="1171EC4E" w14:textId="32A46358" w:rsidR="00A468BF" w:rsidRPr="00830F4C" w:rsidRDefault="00A468BF" w:rsidP="00A468BF">
      <w:pPr>
        <w:ind w:firstLine="284"/>
        <w:jc w:val="both"/>
        <w:rPr>
          <w:rFonts w:ascii="Garamond" w:hAnsi="Garamond"/>
        </w:rPr>
      </w:pPr>
      <w:r w:rsidRPr="00830F4C">
        <w:rPr>
          <w:rFonts w:ascii="Garamond" w:hAnsi="Garamond"/>
        </w:rPr>
        <w:t xml:space="preserve">Lidhur me zbatimin e një programi pajtueshmërie për individët më të pasur, administrata tatimore hartoi, në mesin e vitit 2022, Strategjinë e pajtueshmërisë 3-vjeçare për individët më të pasur, e cila u miratua me vendim të </w:t>
      </w:r>
      <w:r w:rsidR="00D61E86" w:rsidRPr="00830F4C">
        <w:rPr>
          <w:rFonts w:ascii="Garamond" w:hAnsi="Garamond"/>
        </w:rPr>
        <w:t xml:space="preserve">drejtorit të përgjithshëm </w:t>
      </w:r>
      <w:r w:rsidRPr="00830F4C">
        <w:rPr>
          <w:rFonts w:ascii="Garamond" w:hAnsi="Garamond"/>
        </w:rPr>
        <w:t>të DPT</w:t>
      </w:r>
      <w:r w:rsidR="00D61E86">
        <w:rPr>
          <w:rFonts w:ascii="Garamond" w:hAnsi="Garamond"/>
        </w:rPr>
        <w:t>-së</w:t>
      </w:r>
      <w:r w:rsidRPr="00830F4C">
        <w:rPr>
          <w:rFonts w:ascii="Garamond" w:hAnsi="Garamond"/>
        </w:rPr>
        <w:t xml:space="preserve"> me nr</w:t>
      </w:r>
      <w:r w:rsidR="00D61E86">
        <w:rPr>
          <w:rFonts w:ascii="Garamond" w:hAnsi="Garamond"/>
        </w:rPr>
        <w:t>.</w:t>
      </w:r>
      <w:r w:rsidRPr="00830F4C">
        <w:rPr>
          <w:rFonts w:ascii="Garamond" w:hAnsi="Garamond"/>
        </w:rPr>
        <w:t xml:space="preserve"> 30, datë 2.6.2022. Plani për zbatimin e strategjisë së përputhshmërisë për individët me të ardhura të larta është miratuar edhe me </w:t>
      </w:r>
      <w:r w:rsidR="00D61E86">
        <w:rPr>
          <w:rFonts w:ascii="Garamond" w:hAnsi="Garamond"/>
        </w:rPr>
        <w:t>v</w:t>
      </w:r>
      <w:r w:rsidRPr="00830F4C">
        <w:rPr>
          <w:rFonts w:ascii="Garamond" w:hAnsi="Garamond"/>
        </w:rPr>
        <w:t>endimi</w:t>
      </w:r>
      <w:r w:rsidR="00D61E86">
        <w:rPr>
          <w:rFonts w:ascii="Garamond" w:hAnsi="Garamond"/>
        </w:rPr>
        <w:t>n</w:t>
      </w:r>
      <w:r w:rsidRPr="00830F4C">
        <w:rPr>
          <w:rFonts w:ascii="Garamond" w:hAnsi="Garamond"/>
        </w:rPr>
        <w:t xml:space="preserve"> nr. 4, datë 3.5.2023</w:t>
      </w:r>
      <w:r w:rsidR="00D61E86">
        <w:rPr>
          <w:rFonts w:ascii="Garamond" w:hAnsi="Garamond"/>
        </w:rPr>
        <w:t>,</w:t>
      </w:r>
      <w:r w:rsidRPr="00830F4C">
        <w:rPr>
          <w:rFonts w:ascii="Garamond" w:hAnsi="Garamond"/>
        </w:rPr>
        <w:t xml:space="preserve"> </w:t>
      </w:r>
      <w:r w:rsidR="00D61E86">
        <w:rPr>
          <w:rFonts w:ascii="Garamond" w:hAnsi="Garamond"/>
        </w:rPr>
        <w:t>të</w:t>
      </w:r>
      <w:r w:rsidRPr="00830F4C">
        <w:rPr>
          <w:rFonts w:ascii="Garamond" w:hAnsi="Garamond"/>
        </w:rPr>
        <w:t xml:space="preserve"> Komisionit të Riskut. DPT</w:t>
      </w:r>
      <w:r w:rsidR="00D61E86">
        <w:rPr>
          <w:rFonts w:ascii="Garamond" w:hAnsi="Garamond"/>
        </w:rPr>
        <w:t>-ja</w:t>
      </w:r>
      <w:r w:rsidRPr="00830F4C">
        <w:rPr>
          <w:rFonts w:ascii="Garamond" w:hAnsi="Garamond"/>
        </w:rPr>
        <w:t xml:space="preserve"> ka filluar edhe analizat dhe kontrollet me informacione të bazuara në rrezik në bashkëpunim me palët e treta dhe deri tashmë janë kryer kontrolle/auditime në 33 persona</w:t>
      </w:r>
      <w:r w:rsidR="00D61E86">
        <w:rPr>
          <w:rFonts w:ascii="Garamond" w:hAnsi="Garamond"/>
        </w:rPr>
        <w:t>.</w:t>
      </w:r>
    </w:p>
    <w:p w14:paraId="5A8338C3" w14:textId="1B08BDC3" w:rsidR="00A468BF" w:rsidRPr="00830F4C" w:rsidRDefault="00A468BF" w:rsidP="00A468BF">
      <w:pPr>
        <w:ind w:firstLine="284"/>
        <w:jc w:val="both"/>
        <w:rPr>
          <w:rFonts w:ascii="Garamond" w:hAnsi="Garamond"/>
        </w:rPr>
      </w:pPr>
      <w:r w:rsidRPr="00830F4C">
        <w:rPr>
          <w:rFonts w:ascii="Garamond" w:hAnsi="Garamond"/>
        </w:rPr>
        <w:t>Aktualisht, DPT</w:t>
      </w:r>
      <w:r w:rsidR="00D61E86">
        <w:rPr>
          <w:rFonts w:ascii="Garamond" w:hAnsi="Garamond"/>
        </w:rPr>
        <w:t>-ja</w:t>
      </w:r>
      <w:r w:rsidRPr="00830F4C">
        <w:rPr>
          <w:rFonts w:ascii="Garamond" w:hAnsi="Garamond"/>
        </w:rPr>
        <w:t xml:space="preserve"> po ndërmerr një projekt pilot me Drejtorinë e Përgjithshme të Shërbimeve të Transportit Rrugor të Shqipërisë për të krahasuar individët që zotërojnë makina luksoze me deklarimin e tyre të të ardhurave personale, (DIVA) si fazë e parë e këtij projekti dhe në të ardhmen për të zgjeruar shkëmbimin e informacionit në asetet e tjera të tatimpaguesit. Gjithashtu, po konsiderohen edhe individët subjekt sanksionesh në përputhje me marrëveshjen që vendi ynë ka me organizatat ndërkombëtare.</w:t>
      </w:r>
    </w:p>
    <w:p w14:paraId="7725752A" w14:textId="77777777" w:rsidR="00A468BF" w:rsidRPr="00830F4C" w:rsidRDefault="00A468BF" w:rsidP="00A468BF">
      <w:pPr>
        <w:ind w:firstLine="284"/>
        <w:jc w:val="both"/>
        <w:rPr>
          <w:rFonts w:ascii="Garamond" w:hAnsi="Garamond"/>
        </w:rPr>
      </w:pPr>
      <w:r w:rsidRPr="00830F4C">
        <w:rPr>
          <w:rFonts w:ascii="Garamond" w:hAnsi="Garamond"/>
        </w:rPr>
        <w:t>Strategjia e Pajtueshmërisë Individuale do të fillojë të zbatohet për të gjithë Individët që deklarojnë DIVA.</w:t>
      </w:r>
    </w:p>
    <w:p w14:paraId="730CD4C6" w14:textId="78207E74" w:rsidR="00A468BF" w:rsidRPr="00830F4C" w:rsidRDefault="00A468BF" w:rsidP="00A468BF">
      <w:pPr>
        <w:ind w:firstLine="284"/>
        <w:jc w:val="both"/>
        <w:rPr>
          <w:rFonts w:ascii="Garamond" w:hAnsi="Garamond"/>
        </w:rPr>
      </w:pPr>
      <w:r w:rsidRPr="00830F4C">
        <w:rPr>
          <w:rFonts w:ascii="Garamond" w:hAnsi="Garamond"/>
        </w:rPr>
        <w:t>Gjatë periudhës 4</w:t>
      </w:r>
      <w:r w:rsidR="00377F8B" w:rsidRPr="00830F4C">
        <w:rPr>
          <w:rFonts w:ascii="Garamond" w:hAnsi="Garamond"/>
        </w:rPr>
        <w:t>-vjeçare</w:t>
      </w:r>
      <w:r w:rsidRPr="00830F4C">
        <w:rPr>
          <w:rFonts w:ascii="Garamond" w:hAnsi="Garamond"/>
        </w:rPr>
        <w:t>,</w:t>
      </w:r>
      <w:r w:rsidR="00800B00" w:rsidRPr="00830F4C">
        <w:rPr>
          <w:rFonts w:ascii="Garamond" w:hAnsi="Garamond"/>
        </w:rPr>
        <w:t xml:space="preserve"> </w:t>
      </w:r>
      <w:r w:rsidR="00D22EA5" w:rsidRPr="00830F4C">
        <w:rPr>
          <w:rFonts w:ascii="Garamond" w:hAnsi="Garamond"/>
        </w:rPr>
        <w:t>2024–2027</w:t>
      </w:r>
      <w:r w:rsidRPr="00830F4C">
        <w:rPr>
          <w:rFonts w:ascii="Garamond" w:hAnsi="Garamond"/>
        </w:rPr>
        <w:t>, për të adresuar evidentimin e rasteve të pasurisë së madhe të pashpjeguar nga individët, DPT</w:t>
      </w:r>
      <w:r w:rsidR="004758F0">
        <w:rPr>
          <w:rFonts w:ascii="Garamond" w:hAnsi="Garamond"/>
        </w:rPr>
        <w:t>-ja</w:t>
      </w:r>
      <w:r w:rsidRPr="00830F4C">
        <w:rPr>
          <w:rFonts w:ascii="Garamond" w:hAnsi="Garamond"/>
        </w:rPr>
        <w:t xml:space="preserve"> do të ndërmarrë këto masa:</w:t>
      </w:r>
    </w:p>
    <w:p w14:paraId="486BDD34" w14:textId="289F0394" w:rsidR="00A468BF" w:rsidRPr="00830F4C" w:rsidRDefault="00A468BF" w:rsidP="0047162F">
      <w:pPr>
        <w:ind w:firstLine="284"/>
        <w:jc w:val="both"/>
        <w:rPr>
          <w:rFonts w:ascii="Garamond" w:hAnsi="Garamond"/>
        </w:rPr>
      </w:pPr>
      <w:r w:rsidRPr="00830F4C">
        <w:rPr>
          <w:rFonts w:ascii="Garamond" w:hAnsi="Garamond" w:cs="Symbol"/>
        </w:rPr>
        <w:t xml:space="preserve">- </w:t>
      </w:r>
      <w:r w:rsidRPr="00830F4C">
        <w:rPr>
          <w:rFonts w:ascii="Garamond" w:hAnsi="Garamond"/>
        </w:rPr>
        <w:t>Aktiviteti 2.3.1.1</w:t>
      </w:r>
      <w:r w:rsidR="00D61E86">
        <w:rPr>
          <w:rFonts w:ascii="Garamond" w:hAnsi="Garamond"/>
        </w:rPr>
        <w:t>:</w:t>
      </w:r>
      <w:r w:rsidRPr="00830F4C">
        <w:rPr>
          <w:rFonts w:ascii="Garamond" w:hAnsi="Garamond"/>
        </w:rPr>
        <w:t xml:space="preserve"> Përditësimi i Manualit të Kontrollit Tatimor,</w:t>
      </w:r>
      <w:r w:rsidR="0047162F">
        <w:rPr>
          <w:rFonts w:ascii="Garamond" w:hAnsi="Garamond"/>
        </w:rPr>
        <w:t xml:space="preserve"> </w:t>
      </w:r>
      <w:r w:rsidRPr="00830F4C">
        <w:rPr>
          <w:rFonts w:ascii="Garamond" w:hAnsi="Garamond"/>
        </w:rPr>
        <w:t>Manualet e kontrollit do të përfshijnë me një kapitull të veçantë për metodat indirekte.</w:t>
      </w:r>
    </w:p>
    <w:p w14:paraId="6D11E410" w14:textId="6C23EF57" w:rsidR="00A468BF" w:rsidRPr="00830F4C" w:rsidRDefault="00A468BF" w:rsidP="00A468BF">
      <w:pPr>
        <w:ind w:firstLine="284"/>
        <w:jc w:val="both"/>
        <w:rPr>
          <w:rFonts w:ascii="Garamond" w:hAnsi="Garamond"/>
        </w:rPr>
      </w:pPr>
      <w:r w:rsidRPr="00830F4C">
        <w:rPr>
          <w:rFonts w:ascii="Garamond" w:hAnsi="Garamond" w:cs="Symbol"/>
        </w:rPr>
        <w:t xml:space="preserve">- </w:t>
      </w:r>
      <w:r w:rsidRPr="00830F4C">
        <w:rPr>
          <w:rFonts w:ascii="Garamond" w:hAnsi="Garamond"/>
        </w:rPr>
        <w:t>Aktiviteti 2.3.1.2</w:t>
      </w:r>
      <w:r w:rsidR="00D61E86">
        <w:rPr>
          <w:rFonts w:ascii="Garamond" w:hAnsi="Garamond"/>
        </w:rPr>
        <w:t>:</w:t>
      </w:r>
      <w:r w:rsidRPr="00830F4C">
        <w:rPr>
          <w:rFonts w:ascii="Garamond" w:hAnsi="Garamond"/>
        </w:rPr>
        <w:t xml:space="preserve"> Analizë e Hendekut Tatimore (</w:t>
      </w:r>
      <w:r w:rsidRPr="00A93DEC">
        <w:rPr>
          <w:rFonts w:ascii="Garamond" w:hAnsi="Garamond"/>
          <w:i/>
        </w:rPr>
        <w:t>Tax Gap</w:t>
      </w:r>
      <w:r w:rsidRPr="00830F4C">
        <w:rPr>
          <w:rFonts w:ascii="Garamond" w:hAnsi="Garamond"/>
        </w:rPr>
        <w:t xml:space="preserve">). </w:t>
      </w:r>
    </w:p>
    <w:p w14:paraId="62672149" w14:textId="77777777" w:rsidR="00A468BF" w:rsidRPr="00830F4C" w:rsidRDefault="00A468BF" w:rsidP="00A468BF">
      <w:pPr>
        <w:ind w:firstLine="284"/>
        <w:jc w:val="both"/>
        <w:rPr>
          <w:rFonts w:ascii="Garamond" w:hAnsi="Garamond"/>
        </w:rPr>
      </w:pPr>
      <w:r w:rsidRPr="00830F4C">
        <w:rPr>
          <w:rFonts w:ascii="Garamond" w:hAnsi="Garamond"/>
        </w:rPr>
        <w:t>Kjo analizë do të synoj identifikimin e arsyeve përse nuk janë përmbushës tatimpaguesit dhe hartimi i masa të dedikuara që adresojnë çështjet kryesore, duke i ndihmuar tatimpaguesit të jenë përmbushës vullnetarë ose të shmangin mospajtueshmërinë.</w:t>
      </w:r>
    </w:p>
    <w:p w14:paraId="2974E7E1" w14:textId="4E9CA4BA" w:rsidR="00A468BF" w:rsidRPr="00830F4C" w:rsidRDefault="00A468BF" w:rsidP="00A468BF">
      <w:pPr>
        <w:ind w:firstLine="284"/>
        <w:jc w:val="both"/>
        <w:rPr>
          <w:rFonts w:ascii="Garamond" w:hAnsi="Garamond"/>
        </w:rPr>
      </w:pPr>
      <w:r w:rsidRPr="00830F4C">
        <w:rPr>
          <w:rFonts w:ascii="Garamond" w:hAnsi="Garamond" w:cs="Symbol"/>
        </w:rPr>
        <w:t xml:space="preserve">- </w:t>
      </w:r>
      <w:r w:rsidRPr="00830F4C">
        <w:rPr>
          <w:rFonts w:ascii="Garamond" w:hAnsi="Garamond"/>
        </w:rPr>
        <w:t>Aktiviteti 2.3.1.3</w:t>
      </w:r>
      <w:r w:rsidR="00A93DEC">
        <w:rPr>
          <w:rFonts w:ascii="Garamond" w:hAnsi="Garamond"/>
        </w:rPr>
        <w:t>:</w:t>
      </w:r>
      <w:r w:rsidRPr="00830F4C">
        <w:rPr>
          <w:rFonts w:ascii="Garamond" w:hAnsi="Garamond"/>
        </w:rPr>
        <w:t xml:space="preserve"> Monitorimi i zbatimit të Planit të Veprimit të strategjinë e pajtueshmërisë 3-vjeçare për individët më të pasur dhe përditësimi i saj deri në vitin 2027.</w:t>
      </w:r>
    </w:p>
    <w:p w14:paraId="04F06DF8" w14:textId="3CAB3B1F" w:rsidR="00A468BF" w:rsidRPr="00830F4C" w:rsidRDefault="00A468BF" w:rsidP="00A468BF">
      <w:pPr>
        <w:ind w:firstLine="284"/>
        <w:jc w:val="both"/>
        <w:rPr>
          <w:rFonts w:ascii="Garamond" w:hAnsi="Garamond"/>
          <w:b/>
          <w:bCs/>
        </w:rPr>
      </w:pPr>
      <w:r w:rsidRPr="00830F4C">
        <w:rPr>
          <w:rFonts w:ascii="Garamond" w:hAnsi="Garamond"/>
          <w:b/>
          <w:bCs/>
        </w:rPr>
        <w:t>Masa 2.3.2 Identifikimi i mosdeklarimit</w:t>
      </w:r>
      <w:r w:rsidR="00A93DEC">
        <w:rPr>
          <w:rFonts w:ascii="Garamond" w:hAnsi="Garamond"/>
          <w:b/>
          <w:bCs/>
        </w:rPr>
        <w:t>,</w:t>
      </w:r>
      <w:r w:rsidRPr="00830F4C">
        <w:rPr>
          <w:rFonts w:ascii="Garamond" w:hAnsi="Garamond"/>
          <w:b/>
          <w:bCs/>
        </w:rPr>
        <w:t xml:space="preserve"> në lidhje me juridiksionet </w:t>
      </w:r>
      <w:r w:rsidRPr="00D61E86">
        <w:rPr>
          <w:rFonts w:ascii="Garamond" w:hAnsi="Garamond"/>
          <w:b/>
          <w:bCs/>
          <w:i/>
        </w:rPr>
        <w:t>offshore</w:t>
      </w:r>
      <w:r w:rsidRPr="00830F4C">
        <w:rPr>
          <w:rFonts w:ascii="Garamond" w:hAnsi="Garamond"/>
          <w:b/>
          <w:bCs/>
        </w:rPr>
        <w:t xml:space="preserve"> bazuar në të dhënat e mbledhura AEOI sipas kuadrit të Standardit të Raportimit të Përbashkët (CRS)</w:t>
      </w:r>
    </w:p>
    <w:p w14:paraId="16B784A9" w14:textId="704B8E1D" w:rsidR="00A468BF" w:rsidRPr="00830F4C" w:rsidRDefault="00A468BF" w:rsidP="00A468BF">
      <w:pPr>
        <w:ind w:firstLine="284"/>
        <w:jc w:val="both"/>
        <w:rPr>
          <w:rFonts w:ascii="Garamond" w:hAnsi="Garamond"/>
        </w:rPr>
      </w:pPr>
      <w:r w:rsidRPr="00830F4C">
        <w:rPr>
          <w:rFonts w:ascii="Garamond" w:hAnsi="Garamond"/>
        </w:rPr>
        <w:t xml:space="preserve">Një tipar ndërkombëtar i evazionit tatimor (zakonisht nga individë relativisht të pasur) është kalimi i shumave të parave në vende </w:t>
      </w:r>
      <w:r w:rsidRPr="00D61E86">
        <w:rPr>
          <w:rFonts w:ascii="Garamond" w:hAnsi="Garamond"/>
          <w:i/>
        </w:rPr>
        <w:t>offshore</w:t>
      </w:r>
      <w:r w:rsidRPr="00830F4C">
        <w:rPr>
          <w:rFonts w:ascii="Garamond" w:hAnsi="Garamond"/>
        </w:rPr>
        <w:t>. Në adresim të këtij fenomeni, OECD</w:t>
      </w:r>
      <w:r w:rsidR="00A93DEC">
        <w:rPr>
          <w:rFonts w:ascii="Garamond" w:hAnsi="Garamond"/>
        </w:rPr>
        <w:t>-ja</w:t>
      </w:r>
      <w:r w:rsidRPr="00830F4C">
        <w:rPr>
          <w:rFonts w:ascii="Garamond" w:hAnsi="Garamond"/>
        </w:rPr>
        <w:t xml:space="preserve"> ka bashkuar 150 juridiksione (Forumi Global) për t’u angazhuar në shkëmbimin automatik të informacionit për llogaritë financiare. Shqipëria filloi shkëmbimet e para automatike në dhjetor 2020 (me ndihmë teknike nga autoritetet tatimore italiane) dhe do të fillojë të marrë informacione për individë shqiptarë që kanë llogari financiare në juridiksionet e huaja (përfshirë këtu edhe pjesën më të madhe të </w:t>
      </w:r>
      <w:r w:rsidR="00D22EA5" w:rsidRPr="00830F4C">
        <w:rPr>
          <w:rFonts w:ascii="Garamond" w:hAnsi="Garamond"/>
        </w:rPr>
        <w:t>“</w:t>
      </w:r>
      <w:r w:rsidR="00A93DEC" w:rsidRPr="00830F4C">
        <w:rPr>
          <w:rFonts w:ascii="Garamond" w:hAnsi="Garamond"/>
        </w:rPr>
        <w:t>strehëve</w:t>
      </w:r>
      <w:r w:rsidR="00D22EA5" w:rsidRPr="00830F4C">
        <w:rPr>
          <w:rFonts w:ascii="Garamond" w:hAnsi="Garamond"/>
        </w:rPr>
        <w:t>”</w:t>
      </w:r>
      <w:r w:rsidRPr="00830F4C">
        <w:rPr>
          <w:rFonts w:ascii="Garamond" w:hAnsi="Garamond"/>
        </w:rPr>
        <w:t xml:space="preserve"> tradicionale </w:t>
      </w:r>
      <w:r w:rsidRPr="00D61E86">
        <w:rPr>
          <w:rFonts w:ascii="Garamond" w:hAnsi="Garamond"/>
          <w:i/>
        </w:rPr>
        <w:t>offshore</w:t>
      </w:r>
      <w:r w:rsidRPr="00830F4C">
        <w:rPr>
          <w:rFonts w:ascii="Garamond" w:hAnsi="Garamond"/>
        </w:rPr>
        <w:t>). Duke filluar nga viti 2022, administrata tatimore ndau informacionin e tij me më shumë se 77 juridiksione. DPT</w:t>
      </w:r>
      <w:r w:rsidR="00A93DEC">
        <w:rPr>
          <w:rFonts w:ascii="Garamond" w:hAnsi="Garamond"/>
        </w:rPr>
        <w:t>-ja</w:t>
      </w:r>
      <w:r w:rsidRPr="00830F4C">
        <w:rPr>
          <w:rFonts w:ascii="Garamond" w:hAnsi="Garamond"/>
        </w:rPr>
        <w:t xml:space="preserve"> do të filloj përpunimin dhe përdorimin e informacionit të tatimpaguesit të marrë gjatë kësaj periudhe. Përvoja e vendeve që e kanë adaptuar më herët këtë masë, është që informacioni i shkëmbyer identifikon evazion të konsiderueshëm tatimor dhe Shqipëria nuk ka gjasa të jetë një përjashtim.</w:t>
      </w:r>
    </w:p>
    <w:p w14:paraId="1968F866" w14:textId="1B5F8848" w:rsidR="00A468BF" w:rsidRPr="00830F4C" w:rsidRDefault="00A468BF" w:rsidP="00A468BF">
      <w:pPr>
        <w:ind w:firstLine="284"/>
        <w:jc w:val="both"/>
        <w:rPr>
          <w:rFonts w:ascii="Garamond" w:hAnsi="Garamond"/>
        </w:rPr>
      </w:pPr>
      <w:r w:rsidRPr="00830F4C">
        <w:rPr>
          <w:rFonts w:ascii="Garamond" w:hAnsi="Garamond"/>
        </w:rPr>
        <w:t>Në periudhë afatmesme, Shqipëria do të filloj përgatitjet për zbatimin e Rregullave Globale Anti</w:t>
      </w:r>
      <w:r w:rsidR="008C0C0F" w:rsidRPr="00830F4C">
        <w:rPr>
          <w:rFonts w:ascii="Garamond" w:hAnsi="Garamond"/>
        </w:rPr>
        <w:t>e</w:t>
      </w:r>
      <w:r w:rsidRPr="00830F4C">
        <w:rPr>
          <w:rFonts w:ascii="Garamond" w:hAnsi="Garamond"/>
        </w:rPr>
        <w:t>ro</w:t>
      </w:r>
      <w:r w:rsidR="00D61E86">
        <w:rPr>
          <w:rFonts w:ascii="Garamond" w:hAnsi="Garamond"/>
        </w:rPr>
        <w:t>z</w:t>
      </w:r>
      <w:r w:rsidRPr="00830F4C">
        <w:rPr>
          <w:rFonts w:ascii="Garamond" w:hAnsi="Garamond"/>
        </w:rPr>
        <w:t>ionit (GloBE), të cilat ka të ngjarë të kenë një ndikim të rëndësishëm në sistemin e saj tatimor të brendshëm. Norma statutore e tatimit mbi të ardhurat e korporatave (CIT) është relativisht e ulët në krahasim me vendet e OECD-së dhe përdorimi i stimujve bujarë tatimorë mund të ulë më tej normën efektive tatimore.</w:t>
      </w:r>
    </w:p>
    <w:p w14:paraId="6B0E32F3" w14:textId="0FA18A11" w:rsidR="00A468BF" w:rsidRPr="00830F4C" w:rsidRDefault="00A468BF" w:rsidP="00A468BF">
      <w:pPr>
        <w:pStyle w:val="CommentText"/>
        <w:spacing w:after="0" w:line="240" w:lineRule="auto"/>
        <w:ind w:firstLine="284"/>
        <w:jc w:val="both"/>
        <w:rPr>
          <w:rFonts w:ascii="Garamond" w:hAnsi="Garamond"/>
          <w:color w:val="auto"/>
          <w:sz w:val="24"/>
          <w:lang w:val="sq-AL"/>
        </w:rPr>
      </w:pPr>
      <w:r w:rsidRPr="00830F4C">
        <w:rPr>
          <w:rFonts w:ascii="Garamond" w:hAnsi="Garamond"/>
          <w:color w:val="auto"/>
          <w:sz w:val="24"/>
          <w:lang w:val="sq-AL"/>
        </w:rPr>
        <w:t>Gjithashtu, do të kryhen analiza periodike mbi rastet e evazionit tatimor</w:t>
      </w:r>
      <w:r w:rsidR="00A93DEC">
        <w:rPr>
          <w:rFonts w:ascii="Garamond" w:hAnsi="Garamond"/>
          <w:color w:val="auto"/>
          <w:sz w:val="24"/>
          <w:lang w:val="sq-AL"/>
        </w:rPr>
        <w:t>,</w:t>
      </w:r>
      <w:r w:rsidRPr="00830F4C">
        <w:rPr>
          <w:rFonts w:ascii="Garamond" w:hAnsi="Garamond"/>
          <w:color w:val="auto"/>
          <w:sz w:val="24"/>
          <w:lang w:val="sq-AL"/>
        </w:rPr>
        <w:t xml:space="preserve"> në lidhje me juridiksionet </w:t>
      </w:r>
      <w:r w:rsidRPr="00A93DEC">
        <w:rPr>
          <w:rFonts w:ascii="Garamond" w:hAnsi="Garamond"/>
          <w:i/>
          <w:color w:val="auto"/>
          <w:sz w:val="24"/>
          <w:lang w:val="sq-AL"/>
        </w:rPr>
        <w:t>offshore</w:t>
      </w:r>
      <w:r w:rsidRPr="00830F4C">
        <w:rPr>
          <w:rFonts w:ascii="Garamond" w:hAnsi="Garamond"/>
          <w:color w:val="auto"/>
          <w:sz w:val="24"/>
          <w:lang w:val="sq-AL"/>
        </w:rPr>
        <w:t>. Bazuar te CRS</w:t>
      </w:r>
      <w:r w:rsidR="00A93DEC">
        <w:rPr>
          <w:rFonts w:ascii="Garamond" w:hAnsi="Garamond"/>
          <w:color w:val="auto"/>
          <w:sz w:val="24"/>
          <w:lang w:val="sq-AL"/>
        </w:rPr>
        <w:t>-ja</w:t>
      </w:r>
      <w:r w:rsidRPr="00830F4C">
        <w:rPr>
          <w:rFonts w:ascii="Garamond" w:hAnsi="Garamond"/>
          <w:color w:val="auto"/>
          <w:sz w:val="24"/>
          <w:lang w:val="sq-AL"/>
        </w:rPr>
        <w:t>, DPT</w:t>
      </w:r>
      <w:r w:rsidR="00A93DEC">
        <w:rPr>
          <w:rFonts w:ascii="Garamond" w:hAnsi="Garamond"/>
          <w:color w:val="auto"/>
          <w:sz w:val="24"/>
          <w:lang w:val="sq-AL"/>
        </w:rPr>
        <w:t>-ja</w:t>
      </w:r>
      <w:r w:rsidRPr="00830F4C">
        <w:rPr>
          <w:rFonts w:ascii="Garamond" w:hAnsi="Garamond"/>
          <w:color w:val="auto"/>
          <w:sz w:val="24"/>
          <w:lang w:val="sq-AL"/>
        </w:rPr>
        <w:t xml:space="preserve"> ka hartuar një rregullore të brendshme që përcakton mënyrën e rrjedhjes së informacionit në DPT, si dhe mënyrën e monitorimit të bankave mbi zbatimin e verifikimit të duhur.</w:t>
      </w:r>
    </w:p>
    <w:p w14:paraId="1AC58293" w14:textId="6C08706C" w:rsidR="00A468BF" w:rsidRPr="00830F4C" w:rsidRDefault="00A468BF" w:rsidP="00A468BF">
      <w:pPr>
        <w:pStyle w:val="CommentText"/>
        <w:spacing w:after="0" w:line="240" w:lineRule="auto"/>
        <w:ind w:firstLine="284"/>
        <w:jc w:val="both"/>
        <w:rPr>
          <w:rFonts w:ascii="Garamond" w:hAnsi="Garamond"/>
          <w:color w:val="auto"/>
          <w:sz w:val="24"/>
          <w:lang w:val="sq-AL"/>
        </w:rPr>
      </w:pPr>
      <w:r w:rsidRPr="00830F4C">
        <w:rPr>
          <w:rFonts w:ascii="Garamond" w:hAnsi="Garamond"/>
          <w:color w:val="auto"/>
          <w:sz w:val="24"/>
          <w:lang w:val="sq-AL"/>
        </w:rPr>
        <w:t>Me strukturën e re të DPT</w:t>
      </w:r>
      <w:r w:rsidR="00A93DEC">
        <w:rPr>
          <w:rFonts w:ascii="Garamond" w:hAnsi="Garamond"/>
          <w:color w:val="auto"/>
          <w:sz w:val="24"/>
          <w:lang w:val="sq-AL"/>
        </w:rPr>
        <w:t>-së</w:t>
      </w:r>
      <w:r w:rsidRPr="00830F4C">
        <w:rPr>
          <w:rFonts w:ascii="Garamond" w:hAnsi="Garamond"/>
          <w:color w:val="auto"/>
          <w:sz w:val="24"/>
          <w:lang w:val="sq-AL"/>
        </w:rPr>
        <w:t xml:space="preserve">, të miratuar me </w:t>
      </w:r>
      <w:r w:rsidR="00A93DEC">
        <w:rPr>
          <w:rFonts w:ascii="Garamond" w:hAnsi="Garamond"/>
          <w:color w:val="auto"/>
          <w:sz w:val="24"/>
          <w:lang w:val="sq-AL"/>
        </w:rPr>
        <w:t>u</w:t>
      </w:r>
      <w:r w:rsidRPr="00830F4C">
        <w:rPr>
          <w:rFonts w:ascii="Garamond" w:hAnsi="Garamond"/>
          <w:color w:val="auto"/>
          <w:sz w:val="24"/>
          <w:lang w:val="sq-AL"/>
        </w:rPr>
        <w:t xml:space="preserve">rdhrin </w:t>
      </w:r>
      <w:r w:rsidR="00A93DEC">
        <w:rPr>
          <w:rFonts w:ascii="Garamond" w:hAnsi="Garamond"/>
          <w:color w:val="auto"/>
          <w:sz w:val="24"/>
          <w:lang w:val="sq-AL"/>
        </w:rPr>
        <w:t>n</w:t>
      </w:r>
      <w:r w:rsidRPr="00830F4C">
        <w:rPr>
          <w:rFonts w:ascii="Garamond" w:hAnsi="Garamond"/>
          <w:color w:val="auto"/>
          <w:sz w:val="24"/>
          <w:lang w:val="sq-AL"/>
        </w:rPr>
        <w:t>r.</w:t>
      </w:r>
      <w:r w:rsidR="00A93DEC">
        <w:rPr>
          <w:rFonts w:ascii="Garamond" w:hAnsi="Garamond"/>
          <w:color w:val="auto"/>
          <w:sz w:val="24"/>
          <w:lang w:val="sq-AL"/>
        </w:rPr>
        <w:t xml:space="preserve"> </w:t>
      </w:r>
      <w:r w:rsidRPr="00830F4C">
        <w:rPr>
          <w:rFonts w:ascii="Garamond" w:hAnsi="Garamond"/>
          <w:color w:val="auto"/>
          <w:sz w:val="24"/>
          <w:lang w:val="sq-AL"/>
        </w:rPr>
        <w:t>69, datë 26</w:t>
      </w:r>
      <w:r w:rsidR="00A93DEC">
        <w:rPr>
          <w:rFonts w:ascii="Garamond" w:hAnsi="Garamond"/>
          <w:color w:val="auto"/>
          <w:sz w:val="24"/>
          <w:lang w:val="sq-AL"/>
        </w:rPr>
        <w:t>.</w:t>
      </w:r>
      <w:r w:rsidRPr="00830F4C">
        <w:rPr>
          <w:rFonts w:ascii="Garamond" w:hAnsi="Garamond"/>
          <w:color w:val="auto"/>
          <w:sz w:val="24"/>
          <w:lang w:val="sq-AL"/>
        </w:rPr>
        <w:t>5</w:t>
      </w:r>
      <w:r w:rsidR="00A93DEC">
        <w:rPr>
          <w:rFonts w:ascii="Garamond" w:hAnsi="Garamond"/>
          <w:color w:val="auto"/>
          <w:sz w:val="24"/>
          <w:lang w:val="sq-AL"/>
        </w:rPr>
        <w:t>.</w:t>
      </w:r>
      <w:r w:rsidRPr="00830F4C">
        <w:rPr>
          <w:rFonts w:ascii="Garamond" w:hAnsi="Garamond"/>
          <w:color w:val="auto"/>
          <w:sz w:val="24"/>
          <w:lang w:val="sq-AL"/>
        </w:rPr>
        <w:t>2023, është krijuar Drejtoria e Informacionit</w:t>
      </w:r>
      <w:r w:rsidR="00A93DEC">
        <w:rPr>
          <w:rFonts w:ascii="Garamond" w:hAnsi="Garamond"/>
          <w:color w:val="auto"/>
          <w:sz w:val="24"/>
          <w:lang w:val="sq-AL"/>
        </w:rPr>
        <w:t xml:space="preserve"> –</w:t>
      </w:r>
      <w:r w:rsidRPr="00830F4C">
        <w:rPr>
          <w:rFonts w:ascii="Garamond" w:hAnsi="Garamond"/>
          <w:color w:val="auto"/>
          <w:sz w:val="24"/>
          <w:lang w:val="sq-AL"/>
        </w:rPr>
        <w:t xml:space="preserve"> Sektori i Komunikimit, i cili do të jetë përgjegjës edhe për CRS</w:t>
      </w:r>
      <w:r w:rsidR="00A93DEC">
        <w:rPr>
          <w:rFonts w:ascii="Garamond" w:hAnsi="Garamond"/>
          <w:color w:val="auto"/>
          <w:sz w:val="24"/>
          <w:lang w:val="sq-AL"/>
        </w:rPr>
        <w:t>-në</w:t>
      </w:r>
      <w:r w:rsidRPr="00830F4C">
        <w:rPr>
          <w:rFonts w:ascii="Garamond" w:hAnsi="Garamond"/>
          <w:color w:val="auto"/>
          <w:sz w:val="24"/>
          <w:lang w:val="sq-AL"/>
        </w:rPr>
        <w:t>. AT</w:t>
      </w:r>
      <w:r w:rsidR="00A93DEC">
        <w:rPr>
          <w:rFonts w:ascii="Garamond" w:hAnsi="Garamond"/>
          <w:color w:val="auto"/>
          <w:sz w:val="24"/>
          <w:lang w:val="sq-AL"/>
        </w:rPr>
        <w:t>-ja</w:t>
      </w:r>
      <w:r w:rsidRPr="00830F4C">
        <w:rPr>
          <w:rFonts w:ascii="Garamond" w:hAnsi="Garamond"/>
          <w:color w:val="auto"/>
          <w:sz w:val="24"/>
          <w:lang w:val="sq-AL"/>
        </w:rPr>
        <w:t xml:space="preserve"> është në fazën e rekrutimit të stafit për këtë sektor dhe me rekrutimin e tij lind nevoja edhe për trajnimin e tij lidhur me CRS</w:t>
      </w:r>
      <w:r w:rsidR="00A93DEC">
        <w:rPr>
          <w:rFonts w:ascii="Garamond" w:hAnsi="Garamond"/>
          <w:color w:val="auto"/>
          <w:sz w:val="24"/>
          <w:lang w:val="sq-AL"/>
        </w:rPr>
        <w:t>-në</w:t>
      </w:r>
      <w:r w:rsidRPr="00830F4C">
        <w:rPr>
          <w:rFonts w:ascii="Garamond" w:hAnsi="Garamond"/>
          <w:color w:val="auto"/>
          <w:sz w:val="24"/>
          <w:lang w:val="sq-AL"/>
        </w:rPr>
        <w:t>.</w:t>
      </w:r>
    </w:p>
    <w:p w14:paraId="262F0344" w14:textId="6BDB31B1" w:rsidR="00A468BF" w:rsidRPr="00830F4C" w:rsidRDefault="00A468BF" w:rsidP="00A468BF">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Aktiviteti 2.3.2.1</w:t>
      </w:r>
      <w:r w:rsidR="00D61E86">
        <w:rPr>
          <w:rFonts w:ascii="Garamond" w:hAnsi="Garamond"/>
          <w:sz w:val="24"/>
          <w:szCs w:val="24"/>
        </w:rPr>
        <w:t>:</w:t>
      </w:r>
      <w:r w:rsidR="00D22EA5" w:rsidRPr="00830F4C">
        <w:rPr>
          <w:rFonts w:ascii="Garamond" w:hAnsi="Garamond"/>
          <w:sz w:val="24"/>
          <w:szCs w:val="24"/>
        </w:rPr>
        <w:t xml:space="preserve"> </w:t>
      </w:r>
      <w:r w:rsidRPr="00830F4C">
        <w:rPr>
          <w:rFonts w:ascii="Garamond" w:hAnsi="Garamond"/>
          <w:sz w:val="24"/>
          <w:szCs w:val="24"/>
        </w:rPr>
        <w:t>Bërja efektive në administratën tatimore të strukturës përgjegjëse për CRS</w:t>
      </w:r>
      <w:r w:rsidR="00A93DEC">
        <w:rPr>
          <w:rFonts w:ascii="Garamond" w:hAnsi="Garamond"/>
          <w:sz w:val="24"/>
        </w:rPr>
        <w:t>-në</w:t>
      </w:r>
      <w:r w:rsidRPr="00830F4C">
        <w:rPr>
          <w:rFonts w:ascii="Garamond" w:hAnsi="Garamond"/>
          <w:sz w:val="24"/>
          <w:szCs w:val="24"/>
        </w:rPr>
        <w:t xml:space="preserve"> dhe trajnimi i stafit;</w:t>
      </w:r>
    </w:p>
    <w:p w14:paraId="749D1494" w14:textId="74C13747" w:rsidR="00A468BF" w:rsidRPr="00830F4C" w:rsidRDefault="00A468BF" w:rsidP="00A468BF">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Aktiviteti 2.3. 2.2</w:t>
      </w:r>
      <w:r w:rsidR="00D61E86">
        <w:rPr>
          <w:rFonts w:ascii="Garamond" w:hAnsi="Garamond"/>
          <w:sz w:val="24"/>
          <w:szCs w:val="24"/>
        </w:rPr>
        <w:t>:</w:t>
      </w:r>
      <w:r w:rsidR="00D22EA5" w:rsidRPr="00830F4C">
        <w:rPr>
          <w:rFonts w:ascii="Garamond" w:hAnsi="Garamond"/>
          <w:sz w:val="24"/>
          <w:szCs w:val="24"/>
        </w:rPr>
        <w:t xml:space="preserve"> </w:t>
      </w:r>
      <w:r w:rsidRPr="00830F4C">
        <w:rPr>
          <w:rFonts w:ascii="Garamond" w:hAnsi="Garamond"/>
          <w:sz w:val="24"/>
          <w:szCs w:val="24"/>
        </w:rPr>
        <w:t>Zbatimi i Projektit të Shkëmbimit Automatik të Informacionit;</w:t>
      </w:r>
    </w:p>
    <w:p w14:paraId="492B598B" w14:textId="530E3515" w:rsidR="00A468BF" w:rsidRPr="00830F4C" w:rsidRDefault="00A468BF" w:rsidP="00A468BF">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Aktiviteti 2.3.2.3</w:t>
      </w:r>
      <w:r w:rsidR="00D61E86">
        <w:rPr>
          <w:rFonts w:ascii="Garamond" w:hAnsi="Garamond"/>
          <w:sz w:val="24"/>
          <w:szCs w:val="24"/>
        </w:rPr>
        <w:t>:</w:t>
      </w:r>
      <w:r w:rsidRPr="00830F4C">
        <w:rPr>
          <w:rFonts w:ascii="Garamond" w:hAnsi="Garamond"/>
          <w:sz w:val="24"/>
          <w:szCs w:val="24"/>
        </w:rPr>
        <w:t xml:space="preserve"> Analiza periodike mbi rastet e evazionit tatimor</w:t>
      </w:r>
      <w:r w:rsidR="00A93DEC">
        <w:rPr>
          <w:rFonts w:ascii="Garamond" w:hAnsi="Garamond"/>
          <w:sz w:val="24"/>
          <w:szCs w:val="24"/>
        </w:rPr>
        <w:t>,</w:t>
      </w:r>
      <w:r w:rsidRPr="00830F4C">
        <w:rPr>
          <w:rFonts w:ascii="Garamond" w:hAnsi="Garamond"/>
          <w:sz w:val="24"/>
          <w:szCs w:val="24"/>
        </w:rPr>
        <w:t xml:space="preserve"> në lidhje me juridiksionet </w:t>
      </w:r>
      <w:r w:rsidRPr="00D61E86">
        <w:rPr>
          <w:rFonts w:ascii="Garamond" w:hAnsi="Garamond"/>
          <w:i/>
          <w:sz w:val="24"/>
          <w:szCs w:val="24"/>
        </w:rPr>
        <w:t>offshore</w:t>
      </w:r>
      <w:r w:rsidRPr="00830F4C">
        <w:rPr>
          <w:rFonts w:ascii="Garamond" w:hAnsi="Garamond"/>
          <w:sz w:val="24"/>
          <w:szCs w:val="24"/>
        </w:rPr>
        <w:t>;</w:t>
      </w:r>
    </w:p>
    <w:p w14:paraId="1F16F301" w14:textId="6317421D" w:rsidR="00A468BF" w:rsidRPr="00830F4C" w:rsidRDefault="00A468BF" w:rsidP="00A468BF">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Aktiviteti 2.3.2.4</w:t>
      </w:r>
      <w:r w:rsidR="00D61E86">
        <w:rPr>
          <w:rFonts w:ascii="Garamond" w:hAnsi="Garamond"/>
          <w:sz w:val="24"/>
          <w:szCs w:val="24"/>
        </w:rPr>
        <w:t>:</w:t>
      </w:r>
      <w:r w:rsidRPr="00830F4C">
        <w:rPr>
          <w:rFonts w:ascii="Garamond" w:hAnsi="Garamond"/>
          <w:sz w:val="24"/>
          <w:szCs w:val="24"/>
        </w:rPr>
        <w:t xml:space="preserve"> Zbatimi i rregullores së brendshme që përcakton mënyrën e rrjedhjes së informacionit në administratën tatimore</w:t>
      </w:r>
      <w:r w:rsidR="00A93DEC">
        <w:rPr>
          <w:rFonts w:ascii="Garamond" w:hAnsi="Garamond"/>
          <w:sz w:val="24"/>
          <w:szCs w:val="24"/>
        </w:rPr>
        <w:t>,</w:t>
      </w:r>
      <w:r w:rsidRPr="00830F4C">
        <w:rPr>
          <w:rFonts w:ascii="Garamond" w:hAnsi="Garamond"/>
          <w:sz w:val="24"/>
          <w:szCs w:val="24"/>
        </w:rPr>
        <w:t xml:space="preserve"> si dhe monitorimin e bankave mbi zbatimin e verifikimit të duhur;</w:t>
      </w:r>
    </w:p>
    <w:p w14:paraId="4E75281B" w14:textId="3943DCB0" w:rsidR="00A468BF" w:rsidRPr="00830F4C" w:rsidRDefault="00A468BF" w:rsidP="00A468BF">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Aktiviteti 2.3.2.5</w:t>
      </w:r>
      <w:r w:rsidR="00D61E86">
        <w:rPr>
          <w:rFonts w:ascii="Garamond" w:hAnsi="Garamond"/>
          <w:sz w:val="24"/>
          <w:szCs w:val="24"/>
        </w:rPr>
        <w:t>:</w:t>
      </w:r>
      <w:r w:rsidRPr="00830F4C">
        <w:rPr>
          <w:rFonts w:ascii="Garamond" w:hAnsi="Garamond"/>
          <w:sz w:val="24"/>
          <w:szCs w:val="24"/>
        </w:rPr>
        <w:t xml:space="preserve"> Rishikimi i marrëveshjes dhe rritja e bashkëpunimit ndërinstitucional (FIU)</w:t>
      </w:r>
      <w:r w:rsidR="00A93DEC">
        <w:rPr>
          <w:rFonts w:ascii="Garamond" w:hAnsi="Garamond"/>
          <w:sz w:val="24"/>
          <w:szCs w:val="24"/>
        </w:rPr>
        <w:t>,</w:t>
      </w:r>
      <w:r w:rsidRPr="00830F4C">
        <w:rPr>
          <w:rFonts w:ascii="Garamond" w:hAnsi="Garamond"/>
          <w:sz w:val="24"/>
          <w:szCs w:val="24"/>
        </w:rPr>
        <w:t xml:space="preserve"> lidhur me monitorimin e bankave si subjekte raportuese dhe rekomandimet e </w:t>
      </w:r>
      <w:r w:rsidRPr="00830F4C">
        <w:rPr>
          <w:rFonts w:ascii="Garamond" w:hAnsi="Garamond"/>
          <w:i/>
          <w:sz w:val="24"/>
          <w:szCs w:val="24"/>
        </w:rPr>
        <w:t>Moneyval</w:t>
      </w:r>
      <w:r w:rsidRPr="00830F4C">
        <w:rPr>
          <w:rFonts w:ascii="Garamond" w:hAnsi="Garamond"/>
          <w:sz w:val="24"/>
          <w:szCs w:val="24"/>
        </w:rPr>
        <w:t>;</w:t>
      </w:r>
    </w:p>
    <w:p w14:paraId="7F907D3B" w14:textId="14D938ED" w:rsidR="00A468BF" w:rsidRPr="00830F4C" w:rsidRDefault="00A468BF" w:rsidP="00A468BF">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Aktiviteti 2.3.2.6</w:t>
      </w:r>
      <w:r w:rsidR="00D61E86">
        <w:rPr>
          <w:rFonts w:ascii="Garamond" w:hAnsi="Garamond"/>
          <w:sz w:val="24"/>
          <w:szCs w:val="24"/>
        </w:rPr>
        <w:t>:</w:t>
      </w:r>
      <w:r w:rsidRPr="00830F4C">
        <w:rPr>
          <w:rFonts w:ascii="Garamond" w:hAnsi="Garamond"/>
          <w:sz w:val="24"/>
          <w:szCs w:val="24"/>
        </w:rPr>
        <w:t xml:space="preserve"> Zbatimi i Rregullave Globale Anti</w:t>
      </w:r>
      <w:r w:rsidR="008C0C0F" w:rsidRPr="00830F4C">
        <w:rPr>
          <w:rFonts w:ascii="Garamond" w:hAnsi="Garamond"/>
          <w:sz w:val="24"/>
          <w:szCs w:val="24"/>
        </w:rPr>
        <w:t>e</w:t>
      </w:r>
      <w:r w:rsidRPr="00830F4C">
        <w:rPr>
          <w:rFonts w:ascii="Garamond" w:hAnsi="Garamond"/>
          <w:sz w:val="24"/>
          <w:szCs w:val="24"/>
        </w:rPr>
        <w:t>rozionit (GloBE).</w:t>
      </w:r>
    </w:p>
    <w:p w14:paraId="65213013" w14:textId="05F93C50" w:rsidR="00A468BF" w:rsidRPr="00830F4C" w:rsidRDefault="00A468BF" w:rsidP="00A468BF">
      <w:pPr>
        <w:ind w:firstLine="284"/>
        <w:jc w:val="both"/>
        <w:rPr>
          <w:rFonts w:ascii="Garamond" w:hAnsi="Garamond"/>
          <w:b/>
          <w:bCs/>
        </w:rPr>
      </w:pPr>
      <w:r w:rsidRPr="00830F4C">
        <w:rPr>
          <w:rFonts w:ascii="Garamond" w:hAnsi="Garamond"/>
          <w:b/>
          <w:bCs/>
        </w:rPr>
        <w:t>Masa 2.3.3 Ngritja e Regjistrit të Aseteve të tatimpaguesve me synimin e vlerësimit real të pasurive të tatimpaguesve</w:t>
      </w:r>
    </w:p>
    <w:p w14:paraId="453E3B9E" w14:textId="77777777" w:rsidR="00A468BF" w:rsidRPr="00830F4C" w:rsidRDefault="00A468BF" w:rsidP="00A468BF">
      <w:pPr>
        <w:ind w:firstLine="284"/>
        <w:jc w:val="both"/>
        <w:rPr>
          <w:rFonts w:ascii="Garamond" w:hAnsi="Garamond"/>
          <w:b/>
          <w:bCs/>
        </w:rPr>
      </w:pPr>
      <w:r w:rsidRPr="00830F4C">
        <w:rPr>
          <w:rFonts w:ascii="Garamond" w:hAnsi="Garamond"/>
        </w:rPr>
        <w:t>Ndërtimi i Regjistrit të Aseteve të Tatimpaguesve synon vlerësimin real të pasurisë së tatimpaguesve, ndërtimin e një sistemi verifikimi dhe gjurmimi të të ardhurave të tatimpaguesve, kontrollin e plotë të pagesave të kryera për tatimin në pronë. Disa nga problematikat e evidentuara për krijimin e Regjistrit të Pasurive të Tatimpaguesve janë:</w:t>
      </w:r>
    </w:p>
    <w:p w14:paraId="7F81F9C1" w14:textId="7E12BAC8" w:rsidR="00A468BF" w:rsidRPr="00830F4C" w:rsidRDefault="00A468BF" w:rsidP="00A468BF">
      <w:pPr>
        <w:pStyle w:val="ListParagraph"/>
        <w:tabs>
          <w:tab w:val="left" w:pos="360"/>
        </w:tabs>
        <w:spacing w:after="0" w:line="240" w:lineRule="auto"/>
        <w:ind w:left="0" w:firstLine="284"/>
        <w:jc w:val="both"/>
        <w:rPr>
          <w:rFonts w:ascii="Garamond" w:hAnsi="Garamond"/>
          <w:sz w:val="24"/>
          <w:szCs w:val="24"/>
        </w:rPr>
      </w:pPr>
      <w:r w:rsidRPr="00830F4C">
        <w:rPr>
          <w:rFonts w:ascii="Garamond" w:hAnsi="Garamond"/>
          <w:sz w:val="24"/>
          <w:szCs w:val="24"/>
        </w:rPr>
        <w:t>1. Mungesa e regjistrave digjital</w:t>
      </w:r>
      <w:r w:rsidR="00A93DEC">
        <w:rPr>
          <w:rFonts w:ascii="Garamond" w:hAnsi="Garamond"/>
          <w:sz w:val="24"/>
          <w:szCs w:val="24"/>
        </w:rPr>
        <w:t>ë</w:t>
      </w:r>
      <w:r w:rsidRPr="00830F4C">
        <w:rPr>
          <w:rFonts w:ascii="Garamond" w:hAnsi="Garamond"/>
          <w:sz w:val="24"/>
          <w:szCs w:val="24"/>
        </w:rPr>
        <w:t xml:space="preserve"> nga palët e treta (</w:t>
      </w:r>
      <w:r w:rsidR="008C0C0F" w:rsidRPr="00830F4C">
        <w:rPr>
          <w:rFonts w:ascii="Garamond" w:hAnsi="Garamond"/>
          <w:sz w:val="24"/>
          <w:szCs w:val="24"/>
        </w:rPr>
        <w:t>Agjencia</w:t>
      </w:r>
      <w:r w:rsidRPr="00830F4C">
        <w:rPr>
          <w:rFonts w:ascii="Garamond" w:hAnsi="Garamond"/>
          <w:sz w:val="24"/>
          <w:szCs w:val="24"/>
        </w:rPr>
        <w:t xml:space="preserve"> Shtetërore e Kadastrës (ASHK), Drejtoria e Përgjithshme e Shërbimit të Transportit Rrugor (DPSHTRR), Aviacioni Civil, Autoriteti Detar, etj.);</w:t>
      </w:r>
    </w:p>
    <w:p w14:paraId="38576DC1" w14:textId="77777777" w:rsidR="00A468BF" w:rsidRPr="00830F4C" w:rsidRDefault="00A468BF" w:rsidP="00A468BF">
      <w:pPr>
        <w:pStyle w:val="ListParagraph"/>
        <w:tabs>
          <w:tab w:val="left" w:pos="360"/>
        </w:tabs>
        <w:spacing w:after="0" w:line="240" w:lineRule="auto"/>
        <w:ind w:left="0" w:firstLine="284"/>
        <w:jc w:val="both"/>
        <w:rPr>
          <w:rFonts w:ascii="Garamond" w:hAnsi="Garamond"/>
          <w:sz w:val="24"/>
          <w:szCs w:val="24"/>
        </w:rPr>
      </w:pPr>
      <w:r w:rsidRPr="00830F4C">
        <w:rPr>
          <w:rFonts w:ascii="Garamond" w:hAnsi="Garamond"/>
          <w:sz w:val="24"/>
          <w:szCs w:val="24"/>
        </w:rPr>
        <w:t>2. Informacioni që merret manualisht është i pastrukturuar;</w:t>
      </w:r>
    </w:p>
    <w:p w14:paraId="0D1A5CB5" w14:textId="2F94841E" w:rsidR="00A468BF" w:rsidRPr="00830F4C" w:rsidRDefault="00A468BF" w:rsidP="00A468BF">
      <w:pPr>
        <w:pStyle w:val="ListParagraph"/>
        <w:tabs>
          <w:tab w:val="left" w:pos="360"/>
        </w:tabs>
        <w:spacing w:after="0" w:line="240" w:lineRule="auto"/>
        <w:ind w:left="0" w:firstLine="284"/>
        <w:jc w:val="both"/>
        <w:rPr>
          <w:rFonts w:ascii="Garamond" w:hAnsi="Garamond"/>
          <w:sz w:val="24"/>
          <w:szCs w:val="24"/>
        </w:rPr>
      </w:pPr>
      <w:r w:rsidRPr="00830F4C">
        <w:rPr>
          <w:rFonts w:ascii="Garamond" w:hAnsi="Garamond"/>
          <w:sz w:val="24"/>
          <w:szCs w:val="24"/>
        </w:rPr>
        <w:t>3. Bërja e ndryshimeve në sistemet e shkëmbimit të të dhënave sipas fushave të caktuara, për të analizuar të dhënat me raportet e BI</w:t>
      </w:r>
      <w:r w:rsidR="00A93DEC">
        <w:rPr>
          <w:rFonts w:ascii="Garamond" w:hAnsi="Garamond"/>
          <w:sz w:val="24"/>
        </w:rPr>
        <w:t>-së</w:t>
      </w:r>
      <w:r w:rsidRPr="00830F4C">
        <w:rPr>
          <w:rFonts w:ascii="Garamond" w:hAnsi="Garamond"/>
          <w:sz w:val="24"/>
          <w:szCs w:val="24"/>
        </w:rPr>
        <w:t>.</w:t>
      </w:r>
    </w:p>
    <w:p w14:paraId="47634C31" w14:textId="77777777" w:rsidR="00A468BF" w:rsidRPr="00830F4C" w:rsidRDefault="00A468BF" w:rsidP="00A468BF">
      <w:pPr>
        <w:ind w:firstLine="284"/>
        <w:jc w:val="both"/>
        <w:rPr>
          <w:rFonts w:ascii="Garamond" w:hAnsi="Garamond"/>
        </w:rPr>
      </w:pPr>
      <w:r w:rsidRPr="00830F4C">
        <w:rPr>
          <w:rFonts w:ascii="Garamond" w:hAnsi="Garamond"/>
        </w:rPr>
        <w:t>Plotësimi i regjistrit të pasurive të tatimpaguesve do të bëhet fillimisht për 10% të tatimpaguesve brenda muajit dhjetor 2026. Janë 128.000 taksapagues aktivë në vitin 2023 dhe pritet të ketë një regjistër për 10%, ose afërsisht për 12.800 taksapagues brenda vitit 2026.</w:t>
      </w:r>
    </w:p>
    <w:p w14:paraId="476ED5BB" w14:textId="6F9D374E" w:rsidR="00A468BF" w:rsidRPr="00830F4C" w:rsidRDefault="00A468BF" w:rsidP="00A468BF">
      <w:pPr>
        <w:ind w:firstLine="284"/>
        <w:jc w:val="both"/>
        <w:rPr>
          <w:rFonts w:ascii="Garamond" w:hAnsi="Garamond"/>
        </w:rPr>
      </w:pPr>
      <w:r w:rsidRPr="00830F4C">
        <w:rPr>
          <w:rFonts w:ascii="Garamond" w:hAnsi="Garamond"/>
        </w:rPr>
        <w:t>Kjo masë është një kusht i Planit të Rritjes për t’u plotësuar brenda vitit 2026. Administrata tatimore ka nisur punën dhe në fakt, ajo zbatohet në një sistem aplikimi C@TS (sistemi i informacionit të administratës tatimore) ku të gjithë tatimpaguesit do të kenë mundësinë dhe detyrimin për të deklaruar aktivitetin e tyre, dhe për shumën e kontratave me furnizuesit e energjisë elektrike dhe ujit. Nga korriku deri në shtator, tatimpaguesit janë njoftuar dhe udhëzuar për mënyrën e deklarimit dhe nga data 1 tetor deri më 20 nëntor 2024 është afati i fundit për deklarimin e këtyre të dhënave. Nga të dhënat e deritanishme, procesi po shkon shumë mirë.</w:t>
      </w:r>
    </w:p>
    <w:p w14:paraId="020A5049" w14:textId="77777777" w:rsidR="00A468BF" w:rsidRPr="00830F4C" w:rsidRDefault="00A468BF" w:rsidP="00A468BF">
      <w:pPr>
        <w:ind w:firstLine="284"/>
        <w:jc w:val="both"/>
        <w:rPr>
          <w:rFonts w:ascii="Garamond" w:hAnsi="Garamond"/>
        </w:rPr>
      </w:pPr>
      <w:r w:rsidRPr="00830F4C">
        <w:rPr>
          <w:rFonts w:ascii="Garamond" w:hAnsi="Garamond"/>
        </w:rPr>
        <w:t xml:space="preserve">Krijimi i Regjistrit është parashikuar të bëhet brenda vitit 2026. Ky proces do të kalojë në 2 faza: </w:t>
      </w:r>
    </w:p>
    <w:p w14:paraId="60B6C2D4" w14:textId="7D5FA551" w:rsidR="00A468BF" w:rsidRPr="00830F4C" w:rsidRDefault="00A468BF" w:rsidP="00A468BF">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Aktiviteti 2.3.3.1</w:t>
      </w:r>
      <w:r w:rsidR="00A93DEC">
        <w:rPr>
          <w:rFonts w:ascii="Garamond" w:hAnsi="Garamond"/>
          <w:sz w:val="24"/>
          <w:szCs w:val="24"/>
        </w:rPr>
        <w:t>:</w:t>
      </w:r>
      <w:r w:rsidRPr="00830F4C">
        <w:rPr>
          <w:rFonts w:ascii="Garamond" w:hAnsi="Garamond"/>
          <w:sz w:val="24"/>
          <w:szCs w:val="24"/>
        </w:rPr>
        <w:t xml:space="preserve"> Krijimi i një Regjistri të Aseteve me atributet përkatëse, për 10% të tatim</w:t>
      </w:r>
      <w:r w:rsidR="00D61E86">
        <w:rPr>
          <w:rFonts w:ascii="Garamond" w:hAnsi="Garamond"/>
          <w:sz w:val="24"/>
          <w:szCs w:val="24"/>
        </w:rPr>
        <w:t>p</w:t>
      </w:r>
      <w:r w:rsidRPr="00830F4C">
        <w:rPr>
          <w:rFonts w:ascii="Garamond" w:hAnsi="Garamond"/>
          <w:sz w:val="24"/>
          <w:szCs w:val="24"/>
        </w:rPr>
        <w:t xml:space="preserve">aguesve, brenda vitit 2026; </w:t>
      </w:r>
    </w:p>
    <w:p w14:paraId="5E5D35B4" w14:textId="5956098A" w:rsidR="00A468BF" w:rsidRPr="00830F4C" w:rsidRDefault="00A468BF" w:rsidP="00A468BF">
      <w:pPr>
        <w:pStyle w:val="ListParagraph"/>
        <w:spacing w:after="0" w:line="240" w:lineRule="auto"/>
        <w:ind w:left="0" w:firstLine="284"/>
        <w:jc w:val="both"/>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Aktiviteti 2.3.3.2</w:t>
      </w:r>
      <w:r w:rsidR="00A93DEC">
        <w:rPr>
          <w:rFonts w:ascii="Garamond" w:hAnsi="Garamond"/>
          <w:sz w:val="24"/>
          <w:szCs w:val="24"/>
        </w:rPr>
        <w:t>:</w:t>
      </w:r>
      <w:r w:rsidRPr="00830F4C">
        <w:rPr>
          <w:rFonts w:ascii="Garamond" w:hAnsi="Garamond"/>
          <w:sz w:val="24"/>
          <w:szCs w:val="24"/>
        </w:rPr>
        <w:t xml:space="preserve"> Analiza e të dhënave me Raportet </w:t>
      </w:r>
      <w:r w:rsidRPr="00830F4C">
        <w:rPr>
          <w:rFonts w:ascii="Garamond" w:hAnsi="Garamond"/>
          <w:i/>
          <w:iCs/>
          <w:sz w:val="24"/>
          <w:szCs w:val="24"/>
        </w:rPr>
        <w:t>Business Inteligjent</w:t>
      </w:r>
      <w:r w:rsidRPr="00830F4C">
        <w:rPr>
          <w:rFonts w:ascii="Garamond" w:hAnsi="Garamond"/>
          <w:sz w:val="24"/>
          <w:szCs w:val="24"/>
        </w:rPr>
        <w:t>.</w:t>
      </w:r>
    </w:p>
    <w:p w14:paraId="38E22072" w14:textId="7A0A0803" w:rsidR="00A468BF" w:rsidRPr="00830F4C" w:rsidRDefault="00A468BF" w:rsidP="00A468BF">
      <w:pPr>
        <w:ind w:firstLine="284"/>
        <w:jc w:val="both"/>
        <w:rPr>
          <w:rFonts w:ascii="Garamond" w:hAnsi="Garamond"/>
        </w:rPr>
      </w:pPr>
      <w:r w:rsidRPr="00830F4C">
        <w:rPr>
          <w:rFonts w:ascii="Garamond" w:hAnsi="Garamond"/>
        </w:rPr>
        <w:t>Regjistri i aseteve për rreth 10 % të tatimpaguesve do të krijohet me të dhënat nga vet</w:t>
      </w:r>
      <w:r w:rsidR="008C0C0F" w:rsidRPr="00830F4C">
        <w:rPr>
          <w:rFonts w:ascii="Garamond" w:hAnsi="Garamond"/>
        </w:rPr>
        <w:t>ë</w:t>
      </w:r>
      <w:r w:rsidRPr="00830F4C">
        <w:rPr>
          <w:rFonts w:ascii="Garamond" w:hAnsi="Garamond"/>
        </w:rPr>
        <w:t xml:space="preserve">deklarimi që po kryejnë subjektet në modulin e adresave të </w:t>
      </w:r>
      <w:r w:rsidRPr="00830F4C">
        <w:rPr>
          <w:rFonts w:ascii="Garamond" w:hAnsi="Garamond"/>
          <w:i/>
        </w:rPr>
        <w:t>e-filling</w:t>
      </w:r>
      <w:r w:rsidRPr="00830F4C">
        <w:rPr>
          <w:rFonts w:ascii="Garamond" w:hAnsi="Garamond"/>
        </w:rPr>
        <w:t xml:space="preserve">. </w:t>
      </w:r>
      <w:r w:rsidR="00A93DEC" w:rsidRPr="00830F4C">
        <w:rPr>
          <w:rFonts w:ascii="Garamond" w:hAnsi="Garamond"/>
        </w:rPr>
        <w:t xml:space="preserve">AKSHI </w:t>
      </w:r>
      <w:r w:rsidRPr="00830F4C">
        <w:rPr>
          <w:rFonts w:ascii="Garamond" w:hAnsi="Garamond"/>
        </w:rPr>
        <w:t>do të asistojë administratën tatimore në sigurimin e të dhënave të vet</w:t>
      </w:r>
      <w:r w:rsidR="008C0C0F" w:rsidRPr="00830F4C">
        <w:rPr>
          <w:rFonts w:ascii="Garamond" w:hAnsi="Garamond"/>
        </w:rPr>
        <w:t>ë</w:t>
      </w:r>
      <w:r w:rsidRPr="00830F4C">
        <w:rPr>
          <w:rFonts w:ascii="Garamond" w:hAnsi="Garamond"/>
        </w:rPr>
        <w:t>deklaruara sipas formularit.</w:t>
      </w:r>
    </w:p>
    <w:p w14:paraId="56037806" w14:textId="51C9C1C3" w:rsidR="00A468BF" w:rsidRPr="00830F4C" w:rsidRDefault="00A468BF" w:rsidP="00A468BF">
      <w:pPr>
        <w:ind w:firstLine="284"/>
        <w:rPr>
          <w:rFonts w:ascii="Garamond" w:hAnsi="Garamond"/>
          <w:b/>
          <w:bCs/>
        </w:rPr>
      </w:pPr>
      <w:r w:rsidRPr="00830F4C">
        <w:rPr>
          <w:rFonts w:ascii="Garamond" w:hAnsi="Garamond"/>
          <w:b/>
          <w:bCs/>
        </w:rPr>
        <w:t>Masa 2.3.4 Integrimi dhe përdorimi i të dhënave nga palët e treta për kryerjen e hetimeve tatimore të pasurisë së pajustifikuar të taksapaguesve</w:t>
      </w:r>
    </w:p>
    <w:p w14:paraId="5E206A60" w14:textId="6576500C" w:rsidR="00A468BF" w:rsidRPr="00830F4C" w:rsidRDefault="00A468BF" w:rsidP="00A468BF">
      <w:pPr>
        <w:ind w:firstLine="284"/>
        <w:jc w:val="both"/>
        <w:rPr>
          <w:rFonts w:ascii="Garamond" w:hAnsi="Garamond"/>
        </w:rPr>
      </w:pPr>
      <w:r w:rsidRPr="00830F4C">
        <w:rPr>
          <w:rFonts w:ascii="Garamond" w:hAnsi="Garamond"/>
        </w:rPr>
        <w:t>Kjo masë e rëndësishme për përmirësimin dhe konsolidimin dhe administratën tatimore konsiston në përdorimin e të dhënave nga palë të treta, si përdorimi i të dhënave që lidhen me shërbimet e shërbimeve (energji, ujë) dhe regjistrimin e automjeteve, në mënyrë që të mundësohet administratës tatimore të kryejë hetime tatimore të pasurisë së pajustifikuar për taksapaguesit. Kjo masë është kusht në Planin e Rritjes dhe Administrata Tatimore është plotësisht e angazhuar në sigurimin e aseteve nga palët e treta, brenda qershor</w:t>
      </w:r>
      <w:r w:rsidR="005D7593">
        <w:rPr>
          <w:rFonts w:ascii="Garamond" w:hAnsi="Garamond"/>
        </w:rPr>
        <w:t>it</w:t>
      </w:r>
      <w:r w:rsidRPr="00830F4C">
        <w:rPr>
          <w:rFonts w:ascii="Garamond" w:hAnsi="Garamond"/>
        </w:rPr>
        <w:t xml:space="preserve"> 2025.</w:t>
      </w:r>
    </w:p>
    <w:p w14:paraId="1C9DC9CE" w14:textId="06E9D8D2" w:rsidR="00A468BF" w:rsidRPr="00830F4C" w:rsidRDefault="00A468BF" w:rsidP="00A468BF">
      <w:pPr>
        <w:ind w:firstLine="284"/>
        <w:jc w:val="both"/>
        <w:rPr>
          <w:rFonts w:ascii="Garamond" w:hAnsi="Garamond"/>
        </w:rPr>
      </w:pPr>
      <w:r w:rsidRPr="00830F4C">
        <w:rPr>
          <w:rFonts w:ascii="Garamond" w:hAnsi="Garamond"/>
        </w:rPr>
        <w:t>Administrata tatimore vitet e fundit ka marrë një sërë iniciativash për sigurimin e informacionit nga palët e treta që disponojnë të dhëna në formë dig</w:t>
      </w:r>
      <w:r w:rsidR="00D61E86">
        <w:rPr>
          <w:rFonts w:ascii="Garamond" w:hAnsi="Garamond"/>
        </w:rPr>
        <w:t>j</w:t>
      </w:r>
      <w:r w:rsidRPr="00830F4C">
        <w:rPr>
          <w:rFonts w:ascii="Garamond" w:hAnsi="Garamond"/>
        </w:rPr>
        <w:t>itale por jo vetëm të cilat e ndihmojnë në analizën dhe evidentimin e tatimpaguesve ose individëve mospërmbushës</w:t>
      </w:r>
      <w:r w:rsidR="005D7593">
        <w:rPr>
          <w:rFonts w:ascii="Garamond" w:hAnsi="Garamond"/>
        </w:rPr>
        <w:t>,</w:t>
      </w:r>
      <w:r w:rsidRPr="00830F4C">
        <w:rPr>
          <w:rFonts w:ascii="Garamond" w:hAnsi="Garamond"/>
        </w:rPr>
        <w:t xml:space="preserve"> ose me shmangie tatimore. Ajo ka nënshkruar një mori memorandumesh bashkëpunimi me agjenci shtetërore ose publike ndër të cilat mund të </w:t>
      </w:r>
      <w:r w:rsidR="00D61E86" w:rsidRPr="00830F4C">
        <w:rPr>
          <w:rFonts w:ascii="Garamond" w:hAnsi="Garamond"/>
        </w:rPr>
        <w:t>përmenden</w:t>
      </w:r>
      <w:r w:rsidRPr="00830F4C">
        <w:rPr>
          <w:rFonts w:ascii="Garamond" w:hAnsi="Garamond"/>
        </w:rPr>
        <w:t>:</w:t>
      </w:r>
    </w:p>
    <w:p w14:paraId="6C53B102" w14:textId="15A76ADE" w:rsidR="00A468BF" w:rsidRPr="00830F4C" w:rsidRDefault="00990DEA" w:rsidP="00A468BF">
      <w:pPr>
        <w:tabs>
          <w:tab w:val="left" w:pos="720"/>
        </w:tabs>
        <w:ind w:firstLine="284"/>
        <w:rPr>
          <w:rFonts w:ascii="Garamond" w:hAnsi="Garamond"/>
        </w:rPr>
      </w:pPr>
      <w:r w:rsidRPr="00830F4C">
        <w:rPr>
          <w:rFonts w:ascii="Garamond" w:hAnsi="Garamond" w:cs="Symbol"/>
        </w:rPr>
        <w:t>-</w:t>
      </w:r>
      <w:r w:rsidR="00A468BF" w:rsidRPr="00830F4C">
        <w:rPr>
          <w:rFonts w:ascii="Garamond" w:hAnsi="Garamond" w:cs="Symbol"/>
        </w:rPr>
        <w:t xml:space="preserve"> </w:t>
      </w:r>
      <w:r w:rsidR="00D61E86" w:rsidRPr="00830F4C">
        <w:rPr>
          <w:rFonts w:ascii="Garamond" w:hAnsi="Garamond"/>
        </w:rPr>
        <w:t>Inspektorati</w:t>
      </w:r>
      <w:r w:rsidR="00A468BF" w:rsidRPr="00830F4C">
        <w:rPr>
          <w:rFonts w:ascii="Garamond" w:hAnsi="Garamond"/>
        </w:rPr>
        <w:t xml:space="preserve"> Shtetëror i Punës dhe Shërbimeve Shoqërore;</w:t>
      </w:r>
    </w:p>
    <w:p w14:paraId="61BA9D60" w14:textId="77777777" w:rsidR="00A468BF" w:rsidRPr="00830F4C" w:rsidRDefault="00990DEA" w:rsidP="00A468BF">
      <w:pPr>
        <w:tabs>
          <w:tab w:val="left" w:pos="720"/>
        </w:tabs>
        <w:ind w:firstLine="284"/>
        <w:rPr>
          <w:rFonts w:ascii="Garamond" w:hAnsi="Garamond"/>
        </w:rPr>
      </w:pPr>
      <w:r w:rsidRPr="00830F4C">
        <w:rPr>
          <w:rFonts w:ascii="Garamond" w:hAnsi="Garamond" w:cs="Symbol"/>
        </w:rPr>
        <w:t>-</w:t>
      </w:r>
      <w:r w:rsidR="00A468BF" w:rsidRPr="00830F4C">
        <w:rPr>
          <w:rFonts w:ascii="Garamond" w:hAnsi="Garamond" w:cs="Symbol"/>
        </w:rPr>
        <w:t xml:space="preserve"> </w:t>
      </w:r>
      <w:r w:rsidR="00A468BF" w:rsidRPr="00830F4C">
        <w:rPr>
          <w:rFonts w:ascii="Garamond" w:hAnsi="Garamond"/>
        </w:rPr>
        <w:t>Drejtoria e Përgjithshme e Shërbimit të Transportit Rrugor (Kadastra e automjeteve);</w:t>
      </w:r>
    </w:p>
    <w:p w14:paraId="4F344B42" w14:textId="77777777" w:rsidR="00A468BF" w:rsidRPr="00830F4C" w:rsidRDefault="00990DEA" w:rsidP="00A468BF">
      <w:pPr>
        <w:tabs>
          <w:tab w:val="left" w:pos="720"/>
        </w:tabs>
        <w:ind w:firstLine="284"/>
        <w:rPr>
          <w:rFonts w:ascii="Garamond" w:hAnsi="Garamond"/>
        </w:rPr>
      </w:pPr>
      <w:r w:rsidRPr="00830F4C">
        <w:rPr>
          <w:rFonts w:ascii="Garamond" w:hAnsi="Garamond" w:cs="Symbol"/>
        </w:rPr>
        <w:t>-</w:t>
      </w:r>
      <w:r w:rsidR="00A468BF" w:rsidRPr="00830F4C">
        <w:rPr>
          <w:rFonts w:ascii="Garamond" w:hAnsi="Garamond" w:cs="Symbol"/>
        </w:rPr>
        <w:t xml:space="preserve"> </w:t>
      </w:r>
      <w:r w:rsidR="00A468BF" w:rsidRPr="00830F4C">
        <w:rPr>
          <w:rFonts w:ascii="Garamond" w:hAnsi="Garamond"/>
        </w:rPr>
        <w:t>Agjencia e Inteligjencës Financiare;</w:t>
      </w:r>
    </w:p>
    <w:p w14:paraId="24380596" w14:textId="77777777" w:rsidR="00A468BF" w:rsidRPr="00830F4C" w:rsidRDefault="00990DEA" w:rsidP="00A468BF">
      <w:pPr>
        <w:tabs>
          <w:tab w:val="left" w:pos="720"/>
        </w:tabs>
        <w:ind w:firstLine="284"/>
        <w:rPr>
          <w:rFonts w:ascii="Garamond" w:hAnsi="Garamond"/>
        </w:rPr>
      </w:pPr>
      <w:r w:rsidRPr="00830F4C">
        <w:rPr>
          <w:rFonts w:ascii="Garamond" w:hAnsi="Garamond" w:cs="Symbol"/>
        </w:rPr>
        <w:t>-</w:t>
      </w:r>
      <w:r w:rsidR="00A468BF" w:rsidRPr="00830F4C">
        <w:rPr>
          <w:rFonts w:ascii="Garamond" w:hAnsi="Garamond" w:cs="Symbol"/>
        </w:rPr>
        <w:t xml:space="preserve"> </w:t>
      </w:r>
      <w:r w:rsidR="00A468BF" w:rsidRPr="00830F4C">
        <w:rPr>
          <w:rFonts w:ascii="Garamond" w:hAnsi="Garamond"/>
        </w:rPr>
        <w:t>Agjencinë Kombëtare të Bregdetit;</w:t>
      </w:r>
    </w:p>
    <w:p w14:paraId="143B0078" w14:textId="77777777" w:rsidR="00A468BF" w:rsidRPr="00830F4C" w:rsidRDefault="00990DEA" w:rsidP="00A468BF">
      <w:pPr>
        <w:tabs>
          <w:tab w:val="left" w:pos="720"/>
        </w:tabs>
        <w:ind w:firstLine="284"/>
        <w:rPr>
          <w:rFonts w:ascii="Garamond" w:hAnsi="Garamond"/>
        </w:rPr>
      </w:pPr>
      <w:r w:rsidRPr="00830F4C">
        <w:rPr>
          <w:rFonts w:ascii="Garamond" w:hAnsi="Garamond" w:cs="Symbol"/>
        </w:rPr>
        <w:t>-</w:t>
      </w:r>
      <w:r w:rsidR="00A468BF" w:rsidRPr="00830F4C">
        <w:rPr>
          <w:rFonts w:ascii="Garamond" w:hAnsi="Garamond" w:cs="Symbol"/>
        </w:rPr>
        <w:t xml:space="preserve"> </w:t>
      </w:r>
      <w:r w:rsidR="00A468BF" w:rsidRPr="00830F4C">
        <w:rPr>
          <w:rFonts w:ascii="Garamond" w:hAnsi="Garamond"/>
        </w:rPr>
        <w:t>Operatori i Shpërndarjes së Energjisë Elektrike;</w:t>
      </w:r>
    </w:p>
    <w:p w14:paraId="368DBF2E" w14:textId="40F85B67" w:rsidR="00A468BF" w:rsidRPr="00830F4C" w:rsidRDefault="00990DEA" w:rsidP="00A468BF">
      <w:pPr>
        <w:tabs>
          <w:tab w:val="left" w:pos="720"/>
        </w:tabs>
        <w:ind w:firstLine="284"/>
        <w:rPr>
          <w:rFonts w:ascii="Garamond" w:hAnsi="Garamond"/>
        </w:rPr>
      </w:pPr>
      <w:r w:rsidRPr="00830F4C">
        <w:rPr>
          <w:rFonts w:ascii="Garamond" w:hAnsi="Garamond" w:cs="Symbol"/>
        </w:rPr>
        <w:t>-</w:t>
      </w:r>
      <w:r w:rsidR="00A468BF" w:rsidRPr="00830F4C">
        <w:rPr>
          <w:rFonts w:ascii="Garamond" w:hAnsi="Garamond" w:cs="Symbol"/>
        </w:rPr>
        <w:t xml:space="preserve"> </w:t>
      </w:r>
      <w:r w:rsidR="005D7593">
        <w:rPr>
          <w:rFonts w:ascii="Garamond" w:hAnsi="Garamond"/>
        </w:rPr>
        <w:t>b</w:t>
      </w:r>
      <w:r w:rsidR="00A468BF" w:rsidRPr="00830F4C">
        <w:rPr>
          <w:rFonts w:ascii="Garamond" w:hAnsi="Garamond"/>
        </w:rPr>
        <w:t>ashkitë;</w:t>
      </w:r>
    </w:p>
    <w:p w14:paraId="76EC1B67" w14:textId="12D76047" w:rsidR="00A468BF" w:rsidRPr="00830F4C" w:rsidRDefault="00990DEA" w:rsidP="00A468BF">
      <w:pPr>
        <w:tabs>
          <w:tab w:val="left" w:pos="720"/>
        </w:tabs>
        <w:ind w:firstLine="284"/>
        <w:rPr>
          <w:rFonts w:ascii="Garamond" w:hAnsi="Garamond"/>
        </w:rPr>
      </w:pPr>
      <w:r w:rsidRPr="00830F4C">
        <w:rPr>
          <w:rFonts w:ascii="Garamond" w:hAnsi="Garamond" w:cs="Symbol"/>
        </w:rPr>
        <w:t>-</w:t>
      </w:r>
      <w:r w:rsidR="00A468BF" w:rsidRPr="00830F4C">
        <w:rPr>
          <w:rFonts w:ascii="Garamond" w:hAnsi="Garamond" w:cs="Symbol"/>
        </w:rPr>
        <w:t xml:space="preserve"> </w:t>
      </w:r>
      <w:r w:rsidR="00A468BF" w:rsidRPr="00830F4C">
        <w:rPr>
          <w:rFonts w:ascii="Garamond" w:hAnsi="Garamond"/>
        </w:rPr>
        <w:t>Instituti i Sigurimeve Shoqërore</w:t>
      </w:r>
      <w:r w:rsidR="005D7593">
        <w:rPr>
          <w:rFonts w:ascii="Garamond" w:hAnsi="Garamond"/>
        </w:rPr>
        <w:t>.</w:t>
      </w:r>
    </w:p>
    <w:p w14:paraId="5AE43A7F" w14:textId="7769174D" w:rsidR="00A468BF" w:rsidRPr="00830F4C" w:rsidRDefault="00A468BF" w:rsidP="00A468BF">
      <w:pPr>
        <w:ind w:firstLine="284"/>
        <w:jc w:val="both"/>
        <w:rPr>
          <w:rFonts w:ascii="Garamond" w:hAnsi="Garamond"/>
        </w:rPr>
      </w:pPr>
      <w:r w:rsidRPr="00830F4C">
        <w:rPr>
          <w:rFonts w:ascii="Garamond" w:hAnsi="Garamond"/>
        </w:rPr>
        <w:t xml:space="preserve">Gjithashtu, në kuadrin e projektit për Regjistrin e </w:t>
      </w:r>
      <w:r w:rsidR="005D7593" w:rsidRPr="00830F4C">
        <w:rPr>
          <w:rFonts w:ascii="Garamond" w:hAnsi="Garamond"/>
        </w:rPr>
        <w:t xml:space="preserve">Pasurive </w:t>
      </w:r>
      <w:r w:rsidRPr="00830F4C">
        <w:rPr>
          <w:rFonts w:ascii="Garamond" w:hAnsi="Garamond"/>
        </w:rPr>
        <w:t>t</w:t>
      </w:r>
      <w:r w:rsidR="008C0C0F" w:rsidRPr="00830F4C">
        <w:rPr>
          <w:rFonts w:ascii="Garamond" w:eastAsiaTheme="minorHAnsi" w:hAnsi="Garamond"/>
        </w:rPr>
        <w:t>ë</w:t>
      </w:r>
      <w:r w:rsidRPr="00830F4C">
        <w:rPr>
          <w:rFonts w:ascii="Garamond" w:hAnsi="Garamond"/>
        </w:rPr>
        <w:t xml:space="preserve"> </w:t>
      </w:r>
      <w:r w:rsidR="005D7593" w:rsidRPr="00830F4C">
        <w:rPr>
          <w:rFonts w:ascii="Garamond" w:hAnsi="Garamond"/>
        </w:rPr>
        <w:t>Tatimpaguesve</w:t>
      </w:r>
      <w:r w:rsidRPr="00830F4C">
        <w:rPr>
          <w:rFonts w:ascii="Garamond" w:hAnsi="Garamond"/>
        </w:rPr>
        <w:t xml:space="preserve">, masë e </w:t>
      </w:r>
      <w:r w:rsidR="008C0C0F" w:rsidRPr="00830F4C">
        <w:rPr>
          <w:rFonts w:ascii="Garamond" w:hAnsi="Garamond"/>
        </w:rPr>
        <w:t>shpjeguar</w:t>
      </w:r>
      <w:r w:rsidRPr="00830F4C">
        <w:rPr>
          <w:rFonts w:ascii="Garamond" w:hAnsi="Garamond"/>
        </w:rPr>
        <w:t xml:space="preserve"> më lart dhe kusht i Planit të Rritjes së A</w:t>
      </w:r>
      <w:r w:rsidR="008C0C0F" w:rsidRPr="00830F4C">
        <w:rPr>
          <w:rFonts w:ascii="Garamond" w:hAnsi="Garamond"/>
        </w:rPr>
        <w:t>gj</w:t>
      </w:r>
      <w:r w:rsidRPr="00830F4C">
        <w:rPr>
          <w:rFonts w:ascii="Garamond" w:hAnsi="Garamond"/>
        </w:rPr>
        <w:t>endës së reformave, administrata tatimore në bashkëpunim dhe nën asistencën e Administratës Tatimore Suedeze</w:t>
      </w:r>
      <w:r w:rsidR="00D22EA5" w:rsidRPr="00830F4C">
        <w:rPr>
          <w:rFonts w:ascii="Garamond" w:hAnsi="Garamond"/>
        </w:rPr>
        <w:t xml:space="preserve"> </w:t>
      </w:r>
      <w:r w:rsidRPr="00830F4C">
        <w:rPr>
          <w:rFonts w:ascii="Garamond" w:hAnsi="Garamond"/>
        </w:rPr>
        <w:t>ka zhvilluar një format elektronik deklarimi që i mundëson të gjithë tatimpaguesit të vet</w:t>
      </w:r>
      <w:r w:rsidR="008C0C0F" w:rsidRPr="00830F4C">
        <w:rPr>
          <w:rFonts w:ascii="Garamond" w:hAnsi="Garamond"/>
        </w:rPr>
        <w:t>ë</w:t>
      </w:r>
      <w:r w:rsidRPr="00830F4C">
        <w:rPr>
          <w:rFonts w:ascii="Garamond" w:hAnsi="Garamond"/>
        </w:rPr>
        <w:t>deklarojn</w:t>
      </w:r>
      <w:r w:rsidR="005D7593">
        <w:rPr>
          <w:rFonts w:ascii="Garamond" w:hAnsi="Garamond"/>
        </w:rPr>
        <w:t>ë</w:t>
      </w:r>
      <w:r w:rsidRPr="00830F4C">
        <w:rPr>
          <w:rFonts w:ascii="Garamond" w:hAnsi="Garamond"/>
        </w:rPr>
        <w:t xml:space="preserve"> në sistemin informatik të AT</w:t>
      </w:r>
      <w:r w:rsidR="005D7593">
        <w:rPr>
          <w:rFonts w:ascii="Garamond" w:hAnsi="Garamond"/>
        </w:rPr>
        <w:t>-së</w:t>
      </w:r>
      <w:r w:rsidRPr="00830F4C">
        <w:rPr>
          <w:rFonts w:ascii="Garamond" w:hAnsi="Garamond"/>
        </w:rPr>
        <w:t xml:space="preserve"> të dhëna që kanë të bëjnë me vendushtrimin e aktivitetit, pronësinë ose qiramarrjen e vendushtrimit, të dhëna mbi natyrën e vendit ku ushtrohet aktiviteti (ndërtes</w:t>
      </w:r>
      <w:r w:rsidR="005D7593">
        <w:rPr>
          <w:rFonts w:ascii="Garamond" w:hAnsi="Garamond"/>
        </w:rPr>
        <w:t>ë</w:t>
      </w:r>
      <w:r w:rsidRPr="00830F4C">
        <w:rPr>
          <w:rFonts w:ascii="Garamond" w:hAnsi="Garamond"/>
        </w:rPr>
        <w:t>/sipërfaqje/vlera/kontratat me utilitarët,</w:t>
      </w:r>
      <w:r w:rsidR="00236281" w:rsidRPr="00830F4C">
        <w:rPr>
          <w:rFonts w:ascii="Garamond" w:hAnsi="Garamond"/>
        </w:rPr>
        <w:t xml:space="preserve"> </w:t>
      </w:r>
      <w:r w:rsidRPr="00830F4C">
        <w:rPr>
          <w:rFonts w:ascii="Garamond" w:hAnsi="Garamond"/>
        </w:rPr>
        <w:t>etj</w:t>
      </w:r>
      <w:r w:rsidR="008C0C0F" w:rsidRPr="00830F4C">
        <w:rPr>
          <w:rFonts w:ascii="Garamond" w:hAnsi="Garamond"/>
        </w:rPr>
        <w:t>.</w:t>
      </w:r>
      <w:r w:rsidRPr="00830F4C">
        <w:rPr>
          <w:rFonts w:ascii="Garamond" w:hAnsi="Garamond"/>
        </w:rPr>
        <w:t>)</w:t>
      </w:r>
      <w:r w:rsidR="005D7593">
        <w:rPr>
          <w:rFonts w:ascii="Garamond" w:hAnsi="Garamond"/>
        </w:rPr>
        <w:t>.</w:t>
      </w:r>
    </w:p>
    <w:p w14:paraId="00A5128D" w14:textId="06F12040" w:rsidR="00A468BF" w:rsidRPr="00830F4C" w:rsidRDefault="00A468BF" w:rsidP="00A468BF">
      <w:pPr>
        <w:ind w:firstLine="284"/>
        <w:jc w:val="both"/>
        <w:rPr>
          <w:rFonts w:ascii="Garamond" w:hAnsi="Garamond"/>
        </w:rPr>
      </w:pPr>
      <w:r w:rsidRPr="00830F4C">
        <w:rPr>
          <w:rFonts w:ascii="Garamond" w:hAnsi="Garamond"/>
        </w:rPr>
        <w:t xml:space="preserve">Të gjitha këto të dhëna të siguruara do të </w:t>
      </w:r>
      <w:r w:rsidR="008C0C0F" w:rsidRPr="00830F4C">
        <w:rPr>
          <w:rFonts w:ascii="Garamond" w:hAnsi="Garamond"/>
        </w:rPr>
        <w:t>ndihmojnë</w:t>
      </w:r>
      <w:r w:rsidRPr="00830F4C">
        <w:rPr>
          <w:rFonts w:ascii="Garamond" w:hAnsi="Garamond"/>
        </w:rPr>
        <w:t xml:space="preserve"> administratën tatimore të </w:t>
      </w:r>
      <w:r w:rsidR="008C0C0F" w:rsidRPr="00830F4C">
        <w:rPr>
          <w:rFonts w:ascii="Garamond" w:hAnsi="Garamond"/>
        </w:rPr>
        <w:t>përmbushë</w:t>
      </w:r>
      <w:r w:rsidRPr="00830F4C">
        <w:rPr>
          <w:rFonts w:ascii="Garamond" w:hAnsi="Garamond"/>
        </w:rPr>
        <w:t xml:space="preserve"> shpenzimet e </w:t>
      </w:r>
      <w:r w:rsidR="008C0C0F" w:rsidRPr="00830F4C">
        <w:rPr>
          <w:rFonts w:ascii="Garamond" w:hAnsi="Garamond"/>
        </w:rPr>
        <w:t>çdo</w:t>
      </w:r>
      <w:r w:rsidRPr="00830F4C">
        <w:rPr>
          <w:rFonts w:ascii="Garamond" w:hAnsi="Garamond"/>
        </w:rPr>
        <w:t xml:space="preserve"> tatimpaguesi në mënyrë që të vlerësojë nëse të ardhurat e vet</w:t>
      </w:r>
      <w:r w:rsidR="008C0C0F" w:rsidRPr="00830F4C">
        <w:rPr>
          <w:rFonts w:ascii="Garamond" w:hAnsi="Garamond"/>
        </w:rPr>
        <w:t>ë</w:t>
      </w:r>
      <w:r w:rsidRPr="00830F4C">
        <w:rPr>
          <w:rFonts w:ascii="Garamond" w:hAnsi="Garamond"/>
        </w:rPr>
        <w:t>deklaruara prej tyre janë në raport të drejtë me shpenzimet e kryera dhe nëse individët që disponojnë pasuri të mëdha (prona, automjete, mjete lundrimi etj</w:t>
      </w:r>
      <w:r w:rsidR="008C0C0F" w:rsidRPr="00830F4C">
        <w:rPr>
          <w:rFonts w:ascii="Garamond" w:hAnsi="Garamond"/>
        </w:rPr>
        <w:t>.</w:t>
      </w:r>
      <w:r w:rsidRPr="00830F4C">
        <w:rPr>
          <w:rFonts w:ascii="Garamond" w:hAnsi="Garamond"/>
        </w:rPr>
        <w:t>) e justifikojnë me të ardhurat e deklaruara nga aktiviteti tregtar</w:t>
      </w:r>
      <w:r w:rsidR="00D22EA5" w:rsidRPr="00830F4C">
        <w:rPr>
          <w:rFonts w:ascii="Garamond" w:hAnsi="Garamond"/>
        </w:rPr>
        <w:t xml:space="preserve"> </w:t>
      </w:r>
      <w:r w:rsidRPr="00830F4C">
        <w:rPr>
          <w:rFonts w:ascii="Garamond" w:hAnsi="Garamond"/>
        </w:rPr>
        <w:t>ose me pagën e tyre.</w:t>
      </w:r>
    </w:p>
    <w:p w14:paraId="57C55ABA" w14:textId="4B982D5F" w:rsidR="00A468BF" w:rsidRPr="00830F4C" w:rsidRDefault="00A468BF" w:rsidP="00A468BF">
      <w:pPr>
        <w:ind w:firstLine="284"/>
        <w:jc w:val="both"/>
        <w:rPr>
          <w:rFonts w:ascii="Garamond" w:hAnsi="Garamond"/>
        </w:rPr>
      </w:pPr>
      <w:r w:rsidRPr="00830F4C">
        <w:rPr>
          <w:rFonts w:ascii="Garamond" w:hAnsi="Garamond"/>
        </w:rPr>
        <w:t>Administrata tatimore ka pa</w:t>
      </w:r>
      <w:r w:rsidR="008C0C0F" w:rsidRPr="00830F4C">
        <w:rPr>
          <w:rFonts w:ascii="Garamond" w:hAnsi="Garamond"/>
        </w:rPr>
        <w:t>s</w:t>
      </w:r>
      <w:r w:rsidRPr="00830F4C">
        <w:rPr>
          <w:rFonts w:ascii="Garamond" w:hAnsi="Garamond"/>
        </w:rPr>
        <w:t xml:space="preserve">ur </w:t>
      </w:r>
      <w:r w:rsidR="008C0C0F" w:rsidRPr="00830F4C">
        <w:rPr>
          <w:rFonts w:ascii="Garamond" w:hAnsi="Garamond"/>
        </w:rPr>
        <w:t>një</w:t>
      </w:r>
      <w:r w:rsidRPr="00830F4C">
        <w:rPr>
          <w:rFonts w:ascii="Garamond" w:hAnsi="Garamond"/>
        </w:rPr>
        <w:t xml:space="preserve"> projekt-pilot të ngjashëm në fillim të vitit 2022</w:t>
      </w:r>
      <w:r w:rsidR="005D7593">
        <w:rPr>
          <w:rFonts w:ascii="Garamond" w:hAnsi="Garamond"/>
        </w:rPr>
        <w:t>,</w:t>
      </w:r>
      <w:r w:rsidRPr="00830F4C">
        <w:rPr>
          <w:rFonts w:ascii="Garamond" w:hAnsi="Garamond"/>
        </w:rPr>
        <w:t xml:space="preserve"> në kudër të nismës për</w:t>
      </w:r>
      <w:r w:rsidR="00D22EA5" w:rsidRPr="00830F4C">
        <w:rPr>
          <w:rFonts w:ascii="Garamond" w:hAnsi="Garamond"/>
        </w:rPr>
        <w:t xml:space="preserve"> </w:t>
      </w:r>
      <w:r w:rsidRPr="00830F4C">
        <w:rPr>
          <w:rFonts w:ascii="Garamond" w:hAnsi="Garamond"/>
        </w:rPr>
        <w:t>informalitetet në paga dhe rezultatet ishin domethënëse në vlerën e zbuluar</w:t>
      </w:r>
      <w:r w:rsidR="00D22EA5" w:rsidRPr="00830F4C">
        <w:rPr>
          <w:rFonts w:ascii="Garamond" w:hAnsi="Garamond"/>
        </w:rPr>
        <w:t xml:space="preserve"> </w:t>
      </w:r>
      <w:r w:rsidRPr="00830F4C">
        <w:rPr>
          <w:rFonts w:ascii="Garamond" w:hAnsi="Garamond"/>
        </w:rPr>
        <w:t>edhe pse numri</w:t>
      </w:r>
      <w:r w:rsidR="005D7593">
        <w:rPr>
          <w:rFonts w:ascii="Garamond" w:hAnsi="Garamond"/>
        </w:rPr>
        <w:t xml:space="preserve"> i</w:t>
      </w:r>
      <w:r w:rsidR="00D22EA5" w:rsidRPr="00830F4C">
        <w:rPr>
          <w:rFonts w:ascii="Garamond" w:hAnsi="Garamond"/>
        </w:rPr>
        <w:t xml:space="preserve"> </w:t>
      </w:r>
      <w:r w:rsidRPr="00830F4C">
        <w:rPr>
          <w:rFonts w:ascii="Garamond" w:hAnsi="Garamond"/>
        </w:rPr>
        <w:t>rasteve të trajtuara ishte i vogël.</w:t>
      </w:r>
    </w:p>
    <w:p w14:paraId="4936718E" w14:textId="18F68A56" w:rsidR="00A468BF" w:rsidRPr="00830F4C" w:rsidRDefault="00A468BF" w:rsidP="00A468BF">
      <w:pPr>
        <w:ind w:firstLine="284"/>
        <w:jc w:val="both"/>
        <w:rPr>
          <w:rFonts w:ascii="Garamond" w:hAnsi="Garamond"/>
        </w:rPr>
      </w:pPr>
      <w:r w:rsidRPr="00830F4C">
        <w:rPr>
          <w:rFonts w:ascii="Garamond" w:hAnsi="Garamond"/>
        </w:rPr>
        <w:t xml:space="preserve">Të gjitha sa më sipër do të shërbejnë si burime shumë të rëndësishme informacioni që do </w:t>
      </w:r>
      <w:r w:rsidR="005D7593">
        <w:rPr>
          <w:rFonts w:ascii="Garamond" w:hAnsi="Garamond"/>
        </w:rPr>
        <w:t>të</w:t>
      </w:r>
      <w:r w:rsidR="005D7593" w:rsidRPr="00830F4C">
        <w:rPr>
          <w:rFonts w:ascii="Garamond" w:hAnsi="Garamond"/>
        </w:rPr>
        <w:t xml:space="preserve"> </w:t>
      </w:r>
      <w:r w:rsidRPr="00830F4C">
        <w:rPr>
          <w:rFonts w:ascii="Garamond" w:hAnsi="Garamond"/>
        </w:rPr>
        <w:t>ndihmojnë në arritjen e kushtit dhe indikatorit tjetër të Planit të Rritjes që lidhet me hetimin e pasurisë së 200 individëve të pasur.</w:t>
      </w:r>
    </w:p>
    <w:p w14:paraId="48AF2DAD" w14:textId="28BCFFC7" w:rsidR="00A468BF" w:rsidRPr="00830F4C" w:rsidRDefault="00990DEA" w:rsidP="00A468BF">
      <w:pPr>
        <w:pStyle w:val="ListParagraph"/>
        <w:spacing w:after="0" w:line="240" w:lineRule="auto"/>
        <w:ind w:left="0" w:firstLine="284"/>
        <w:rPr>
          <w:rFonts w:ascii="Garamond" w:hAnsi="Garamond"/>
          <w:sz w:val="24"/>
          <w:szCs w:val="24"/>
        </w:rPr>
      </w:pPr>
      <w:r w:rsidRPr="00830F4C">
        <w:rPr>
          <w:rFonts w:ascii="Garamond" w:hAnsi="Garamond" w:cs="Wingdings"/>
          <w:sz w:val="24"/>
          <w:szCs w:val="24"/>
        </w:rPr>
        <w:t>-</w:t>
      </w:r>
      <w:r w:rsidR="00A468BF" w:rsidRPr="00830F4C">
        <w:rPr>
          <w:rFonts w:ascii="Garamond" w:hAnsi="Garamond" w:cs="Wingdings"/>
          <w:sz w:val="24"/>
          <w:szCs w:val="24"/>
        </w:rPr>
        <w:t xml:space="preserve"> </w:t>
      </w:r>
      <w:r w:rsidR="00A468BF" w:rsidRPr="00830F4C">
        <w:rPr>
          <w:rFonts w:ascii="Garamond" w:hAnsi="Garamond"/>
          <w:sz w:val="24"/>
          <w:szCs w:val="24"/>
        </w:rPr>
        <w:t xml:space="preserve">Aktiviteti 2.3.4.1: Integrimi dhe përdorimi i të dhënave nga palët e treta </w:t>
      </w:r>
    </w:p>
    <w:p w14:paraId="03781E91" w14:textId="43DDD9FB" w:rsidR="00A468BF" w:rsidRPr="00830F4C" w:rsidRDefault="00A468BF" w:rsidP="00990DEA">
      <w:pPr>
        <w:ind w:firstLine="284"/>
        <w:jc w:val="both"/>
        <w:rPr>
          <w:rFonts w:ascii="Garamond" w:hAnsi="Garamond"/>
        </w:rPr>
      </w:pPr>
      <w:r w:rsidRPr="00830F4C">
        <w:rPr>
          <w:rFonts w:ascii="Garamond" w:hAnsi="Garamond"/>
        </w:rPr>
        <w:t>Administrata tatimore është plotësisht e angazhuar në sigurimin e të dhënave të palëve të treta dhe vazhdon të nënshkruajë memorandume bashkëpunimi me të gjitha institucionet përkatëse për të siguruar di</w:t>
      </w:r>
      <w:r w:rsidR="008C0C0F" w:rsidRPr="00830F4C">
        <w:rPr>
          <w:rFonts w:ascii="Garamond" w:hAnsi="Garamond"/>
        </w:rPr>
        <w:t>gj</w:t>
      </w:r>
      <w:r w:rsidRPr="00830F4C">
        <w:rPr>
          <w:rFonts w:ascii="Garamond" w:hAnsi="Garamond"/>
        </w:rPr>
        <w:t>italizimin e të gjitha regjistrave që përmbajnë të dhëna që ndihmojnë në identifikimin e pasurive të padeklaruara ose ndihmojnë në procesin e hetimit të njësive apo individëve jokonformistë. Gjithashtu, ka vijuar nënshkrimi i memorandumeve të bashkëpunimit me të gjitha institucionet për të siguruar në mënyrë të di</w:t>
      </w:r>
      <w:r w:rsidR="008C0C0F" w:rsidRPr="00830F4C">
        <w:rPr>
          <w:rFonts w:ascii="Garamond" w:hAnsi="Garamond"/>
        </w:rPr>
        <w:t>gj</w:t>
      </w:r>
      <w:r w:rsidRPr="00830F4C">
        <w:rPr>
          <w:rFonts w:ascii="Garamond" w:hAnsi="Garamond"/>
        </w:rPr>
        <w:t>italizuar të gjithë regjistrat në dispozicion për të ndihmuar në evidentimin e pasurive të padeklaruara ose për të ndihmuar procesin e hetimit të subjekteve apo individëve të paplotësuar. Administrata tatimore po punon që bazuar në memorandumet e bashkëpunimit të nënshkruara të integrojë informacionin dhe të dhënat që disponojnë këto institucione në sistemin informatik dhe në analizat</w:t>
      </w:r>
      <w:r w:rsidR="001A6BB7">
        <w:rPr>
          <w:rFonts w:ascii="Garamond" w:hAnsi="Garamond"/>
        </w:rPr>
        <w:t>,</w:t>
      </w:r>
      <w:r w:rsidR="00D22EA5" w:rsidRPr="00830F4C">
        <w:rPr>
          <w:rFonts w:ascii="Garamond" w:hAnsi="Garamond"/>
        </w:rPr>
        <w:t xml:space="preserve"> </w:t>
      </w:r>
      <w:r w:rsidRPr="00830F4C">
        <w:rPr>
          <w:rFonts w:ascii="Garamond" w:hAnsi="Garamond"/>
        </w:rPr>
        <w:t>dhe vlerësimet e saj të riskut</w:t>
      </w:r>
      <w:r w:rsidR="00D22EA5" w:rsidRPr="00830F4C">
        <w:rPr>
          <w:rFonts w:ascii="Garamond" w:hAnsi="Garamond"/>
        </w:rPr>
        <w:t xml:space="preserve"> </w:t>
      </w:r>
      <w:r w:rsidRPr="00830F4C">
        <w:rPr>
          <w:rFonts w:ascii="Garamond" w:hAnsi="Garamond"/>
        </w:rPr>
        <w:t>në mënyrë që këto të dhëna të</w:t>
      </w:r>
      <w:r w:rsidR="00D22EA5" w:rsidRPr="00830F4C">
        <w:rPr>
          <w:rFonts w:ascii="Garamond" w:hAnsi="Garamond"/>
        </w:rPr>
        <w:t xml:space="preserve"> </w:t>
      </w:r>
      <w:r w:rsidRPr="00830F4C">
        <w:rPr>
          <w:rFonts w:ascii="Garamond" w:hAnsi="Garamond"/>
        </w:rPr>
        <w:t>përdoren për të evidentuar mospërmbushjen, shmangien ose evazionin fiskal nga ana e tatimpaguesve.</w:t>
      </w:r>
    </w:p>
    <w:p w14:paraId="3239568D" w14:textId="335CD49C" w:rsidR="00A468BF" w:rsidRPr="001A6BB7" w:rsidRDefault="00990DEA" w:rsidP="00A468BF">
      <w:pPr>
        <w:pStyle w:val="ListParagraph"/>
        <w:spacing w:after="0" w:line="240" w:lineRule="auto"/>
        <w:ind w:left="0" w:firstLine="284"/>
        <w:rPr>
          <w:rFonts w:ascii="Garamond" w:hAnsi="Garamond"/>
          <w:sz w:val="24"/>
          <w:szCs w:val="24"/>
        </w:rPr>
      </w:pPr>
      <w:r w:rsidRPr="00830F4C">
        <w:rPr>
          <w:rFonts w:ascii="Garamond" w:hAnsi="Garamond" w:cs="Wingdings"/>
          <w:sz w:val="24"/>
          <w:szCs w:val="24"/>
        </w:rPr>
        <w:t>-</w:t>
      </w:r>
      <w:r w:rsidR="00A468BF" w:rsidRPr="00830F4C">
        <w:rPr>
          <w:rFonts w:ascii="Garamond" w:hAnsi="Garamond" w:cs="Wingdings"/>
          <w:sz w:val="24"/>
          <w:szCs w:val="24"/>
        </w:rPr>
        <w:t xml:space="preserve"> </w:t>
      </w:r>
      <w:r w:rsidR="00A468BF" w:rsidRPr="00830F4C">
        <w:rPr>
          <w:rFonts w:ascii="Garamond" w:hAnsi="Garamond"/>
          <w:sz w:val="24"/>
          <w:szCs w:val="24"/>
        </w:rPr>
        <w:t>Aktiviteti 2.3.4.2</w:t>
      </w:r>
      <w:r w:rsidR="001A6BB7">
        <w:rPr>
          <w:rFonts w:ascii="Garamond" w:hAnsi="Garamond"/>
          <w:sz w:val="24"/>
          <w:szCs w:val="24"/>
        </w:rPr>
        <w:t xml:space="preserve">: </w:t>
      </w:r>
      <w:r w:rsidR="00A468BF" w:rsidRPr="00830F4C">
        <w:rPr>
          <w:rFonts w:ascii="Garamond" w:hAnsi="Garamond"/>
          <w:sz w:val="24"/>
          <w:szCs w:val="24"/>
        </w:rPr>
        <w:t xml:space="preserve">Shkëmbimi i të dhënave nëpërmjet </w:t>
      </w:r>
      <w:r w:rsidR="00236281" w:rsidRPr="00D61E86">
        <w:rPr>
          <w:rFonts w:ascii="Garamond" w:hAnsi="Garamond"/>
          <w:i/>
          <w:sz w:val="24"/>
          <w:szCs w:val="24"/>
        </w:rPr>
        <w:t>w</w:t>
      </w:r>
      <w:r w:rsidR="00A468BF" w:rsidRPr="00D61E86">
        <w:rPr>
          <w:rFonts w:ascii="Garamond" w:hAnsi="Garamond"/>
          <w:i/>
          <w:sz w:val="24"/>
          <w:szCs w:val="24"/>
        </w:rPr>
        <w:t>e</w:t>
      </w:r>
      <w:r w:rsidR="00A468BF" w:rsidRPr="00D61E86">
        <w:rPr>
          <w:rFonts w:ascii="Garamond" w:hAnsi="Garamond"/>
          <w:i/>
          <w:iCs/>
          <w:sz w:val="24"/>
          <w:szCs w:val="24"/>
        </w:rPr>
        <w:t>b</w:t>
      </w:r>
      <w:r w:rsidR="00A468BF" w:rsidRPr="00830F4C">
        <w:rPr>
          <w:rFonts w:ascii="Garamond" w:hAnsi="Garamond"/>
          <w:i/>
          <w:iCs/>
          <w:sz w:val="24"/>
          <w:szCs w:val="24"/>
        </w:rPr>
        <w:t>-service</w:t>
      </w:r>
      <w:r w:rsidR="001A6BB7" w:rsidRPr="001A6BB7">
        <w:rPr>
          <w:rFonts w:ascii="Garamond" w:hAnsi="Garamond"/>
          <w:iCs/>
          <w:sz w:val="24"/>
          <w:szCs w:val="24"/>
        </w:rPr>
        <w:t>-ve</w:t>
      </w:r>
    </w:p>
    <w:p w14:paraId="5CBA29B3" w14:textId="5F3245EF" w:rsidR="00A468BF" w:rsidRPr="00830F4C" w:rsidRDefault="00A468BF" w:rsidP="00A468BF">
      <w:pPr>
        <w:ind w:firstLine="284"/>
        <w:jc w:val="both"/>
        <w:rPr>
          <w:rFonts w:ascii="Garamond" w:hAnsi="Garamond"/>
        </w:rPr>
      </w:pPr>
      <w:r w:rsidRPr="00830F4C">
        <w:rPr>
          <w:rFonts w:ascii="Garamond" w:hAnsi="Garamond"/>
        </w:rPr>
        <w:t xml:space="preserve">Administrata tatimore ka kërkuar që për të siguruar këtë </w:t>
      </w:r>
      <w:r w:rsidR="00236281" w:rsidRPr="00830F4C">
        <w:rPr>
          <w:rFonts w:ascii="Garamond" w:hAnsi="Garamond"/>
        </w:rPr>
        <w:t>informacion</w:t>
      </w:r>
      <w:r w:rsidRPr="00830F4C">
        <w:rPr>
          <w:rFonts w:ascii="Garamond" w:hAnsi="Garamond"/>
        </w:rPr>
        <w:t xml:space="preserve"> në mënyrë të shpejtë, transparent dhe të saktë</w:t>
      </w:r>
      <w:r w:rsidR="001A6BB7">
        <w:rPr>
          <w:rFonts w:ascii="Garamond" w:hAnsi="Garamond"/>
        </w:rPr>
        <w:t>,</w:t>
      </w:r>
      <w:r w:rsidRPr="00830F4C">
        <w:rPr>
          <w:rFonts w:ascii="Garamond" w:hAnsi="Garamond"/>
        </w:rPr>
        <w:t xml:space="preserve"> dhe mbi të gjitha të sigurt shkëmbimi i këtyre të dhënave bëhet nëpërmjet </w:t>
      </w:r>
      <w:r w:rsidRPr="00D61E86">
        <w:rPr>
          <w:rFonts w:ascii="Garamond" w:hAnsi="Garamond"/>
          <w:i/>
        </w:rPr>
        <w:t>web</w:t>
      </w:r>
      <w:r w:rsidRPr="00830F4C">
        <w:rPr>
          <w:rFonts w:ascii="Garamond" w:hAnsi="Garamond"/>
        </w:rPr>
        <w:t>-</w:t>
      </w:r>
      <w:r w:rsidRPr="00D61E86">
        <w:rPr>
          <w:rFonts w:ascii="Garamond" w:hAnsi="Garamond"/>
          <w:i/>
        </w:rPr>
        <w:t>servis</w:t>
      </w:r>
      <w:r w:rsidRPr="00830F4C">
        <w:rPr>
          <w:rFonts w:ascii="Garamond" w:hAnsi="Garamond"/>
        </w:rPr>
        <w:t>-eve që mundësohen nga AKSHI me kërkesë të administratës tatimore dhe institucioneve përkatëse.</w:t>
      </w:r>
    </w:p>
    <w:p w14:paraId="6CDEA6FE" w14:textId="7D609A7B" w:rsidR="00A468BF" w:rsidRPr="00830F4C" w:rsidRDefault="00A468BF" w:rsidP="00A468BF">
      <w:pPr>
        <w:pStyle w:val="Heading2"/>
        <w:spacing w:before="0"/>
        <w:ind w:firstLine="284"/>
        <w:rPr>
          <w:rFonts w:ascii="Garamond" w:hAnsi="Garamond"/>
          <w:b/>
          <w:bCs/>
          <w:color w:val="auto"/>
          <w:sz w:val="24"/>
          <w:szCs w:val="24"/>
        </w:rPr>
      </w:pPr>
      <w:r w:rsidRPr="00830F4C">
        <w:rPr>
          <w:rFonts w:ascii="Garamond" w:hAnsi="Garamond"/>
          <w:b/>
          <w:bCs/>
          <w:color w:val="auto"/>
          <w:sz w:val="24"/>
          <w:szCs w:val="24"/>
        </w:rPr>
        <w:t>V.5 Komponenti 2.4 Zvogëlimi i shmangies tatimore</w:t>
      </w:r>
    </w:p>
    <w:p w14:paraId="34B95EDA" w14:textId="77777777" w:rsidR="00A468BF" w:rsidRPr="00830F4C" w:rsidRDefault="00A468BF" w:rsidP="00A468BF">
      <w:pPr>
        <w:ind w:firstLine="284"/>
        <w:jc w:val="both"/>
        <w:rPr>
          <w:rFonts w:ascii="Garamond" w:hAnsi="Garamond"/>
          <w:b/>
          <w:bCs/>
        </w:rPr>
      </w:pPr>
      <w:r w:rsidRPr="00830F4C">
        <w:rPr>
          <w:rFonts w:ascii="Garamond" w:hAnsi="Garamond"/>
          <w:b/>
          <w:bCs/>
        </w:rPr>
        <w:t>Objektivi</w:t>
      </w:r>
    </w:p>
    <w:p w14:paraId="46789F58" w14:textId="4E485F2F" w:rsidR="00A468BF" w:rsidRPr="00830F4C" w:rsidRDefault="00A468BF" w:rsidP="00A468BF">
      <w:pPr>
        <w:ind w:firstLine="284"/>
        <w:jc w:val="both"/>
        <w:rPr>
          <w:rFonts w:ascii="Garamond" w:hAnsi="Garamond"/>
        </w:rPr>
      </w:pPr>
      <w:r w:rsidRPr="00830F4C">
        <w:rPr>
          <w:rFonts w:ascii="Garamond" w:hAnsi="Garamond"/>
        </w:rPr>
        <w:t xml:space="preserve">Objektivi kryesor i këtij komponenti konsiston në auditimin e 500 taksapaguesve bazuar në forcimin e hetimeve kundër mashtrimit tatimor nëpërmjet një liste konkrete masash, krijimin e </w:t>
      </w:r>
      <w:r w:rsidR="00236281" w:rsidRPr="00830F4C">
        <w:rPr>
          <w:rFonts w:ascii="Garamond" w:hAnsi="Garamond"/>
        </w:rPr>
        <w:t>instrumenteve</w:t>
      </w:r>
      <w:r w:rsidRPr="00830F4C">
        <w:rPr>
          <w:rFonts w:ascii="Garamond" w:hAnsi="Garamond"/>
        </w:rPr>
        <w:t xml:space="preserve"> të duhur</w:t>
      </w:r>
      <w:r w:rsidR="001A6BB7">
        <w:rPr>
          <w:rFonts w:ascii="Garamond" w:hAnsi="Garamond"/>
        </w:rPr>
        <w:t>a</w:t>
      </w:r>
      <w:r w:rsidRPr="00830F4C">
        <w:rPr>
          <w:rFonts w:ascii="Garamond" w:hAnsi="Garamond"/>
        </w:rPr>
        <w:t xml:space="preserve"> për të investiguar rastet e shmangieve tatimore. Masat e ndërmarra do të sjellin përmbushjen e realizimit të</w:t>
      </w:r>
      <w:r w:rsidR="00D22EA5" w:rsidRPr="00830F4C">
        <w:rPr>
          <w:rFonts w:ascii="Garamond" w:hAnsi="Garamond"/>
        </w:rPr>
        <w:t xml:space="preserve"> </w:t>
      </w:r>
      <w:r w:rsidRPr="00830F4C">
        <w:rPr>
          <w:rFonts w:ascii="Garamond" w:hAnsi="Garamond"/>
        </w:rPr>
        <w:t>numrit të investigimeve sipas Planit të Rritjes</w:t>
      </w:r>
      <w:r w:rsidR="001875BF">
        <w:rPr>
          <w:rFonts w:ascii="Garamond" w:hAnsi="Garamond"/>
        </w:rPr>
        <w:t>,</w:t>
      </w:r>
      <w:r w:rsidRPr="00830F4C">
        <w:rPr>
          <w:rFonts w:ascii="Garamond" w:hAnsi="Garamond"/>
        </w:rPr>
        <w:t xml:space="preserve"> si dhe rritjen e të ardhurave nga tatimi mbi fitimin dhe tatimin mbi </w:t>
      </w:r>
      <w:r w:rsidR="00236281" w:rsidRPr="00830F4C">
        <w:rPr>
          <w:rFonts w:ascii="Garamond" w:hAnsi="Garamond"/>
        </w:rPr>
        <w:t>qiranë</w:t>
      </w:r>
      <w:r w:rsidRPr="00830F4C">
        <w:rPr>
          <w:rFonts w:ascii="Garamond" w:hAnsi="Garamond"/>
        </w:rPr>
        <w:t xml:space="preserve"> me 0.87% të PBB</w:t>
      </w:r>
      <w:r w:rsidR="00236281" w:rsidRPr="00830F4C">
        <w:rPr>
          <w:rFonts w:ascii="Garamond" w:hAnsi="Garamond"/>
        </w:rPr>
        <w:t>-së</w:t>
      </w:r>
      <w:r w:rsidRPr="00830F4C">
        <w:rPr>
          <w:rFonts w:ascii="Garamond" w:hAnsi="Garamond"/>
        </w:rPr>
        <w:t xml:space="preserve"> ose 22,6 </w:t>
      </w:r>
      <w:r w:rsidR="00D22EA5" w:rsidRPr="00830F4C">
        <w:rPr>
          <w:rFonts w:ascii="Garamond" w:hAnsi="Garamond"/>
        </w:rPr>
        <w:t xml:space="preserve">miliardë </w:t>
      </w:r>
      <w:r w:rsidRPr="00830F4C">
        <w:rPr>
          <w:rFonts w:ascii="Garamond" w:hAnsi="Garamond"/>
        </w:rPr>
        <w:t>lek</w:t>
      </w:r>
      <w:r w:rsidR="001875BF">
        <w:rPr>
          <w:rFonts w:ascii="Garamond" w:hAnsi="Garamond"/>
        </w:rPr>
        <w:t>ë</w:t>
      </w:r>
      <w:r w:rsidRPr="00830F4C">
        <w:rPr>
          <w:rFonts w:ascii="Garamond" w:hAnsi="Garamond"/>
        </w:rPr>
        <w:t xml:space="preserve"> për periudhën 4</w:t>
      </w:r>
      <w:r w:rsidR="0052377F" w:rsidRPr="00830F4C">
        <w:rPr>
          <w:rFonts w:ascii="Garamond" w:hAnsi="Garamond"/>
        </w:rPr>
        <w:t>-</w:t>
      </w:r>
      <w:r w:rsidRPr="00830F4C">
        <w:rPr>
          <w:rFonts w:ascii="Garamond" w:hAnsi="Garamond"/>
        </w:rPr>
        <w:t>vjeçare.</w:t>
      </w:r>
    </w:p>
    <w:p w14:paraId="1C85DE1E" w14:textId="77777777" w:rsidR="00A468BF" w:rsidRPr="00830F4C" w:rsidRDefault="00A468BF" w:rsidP="00A468BF">
      <w:pPr>
        <w:ind w:firstLine="284"/>
        <w:jc w:val="both"/>
        <w:rPr>
          <w:rFonts w:ascii="Garamond" w:hAnsi="Garamond"/>
          <w:b/>
          <w:bCs/>
        </w:rPr>
      </w:pPr>
      <w:r w:rsidRPr="00830F4C">
        <w:rPr>
          <w:rFonts w:ascii="Garamond" w:hAnsi="Garamond"/>
          <w:b/>
          <w:bCs/>
        </w:rPr>
        <w:t>Konteksti</w:t>
      </w:r>
    </w:p>
    <w:p w14:paraId="56A6F4FF" w14:textId="3184812D" w:rsidR="00A468BF" w:rsidRPr="00830F4C" w:rsidRDefault="00A468BF" w:rsidP="00A468BF">
      <w:pPr>
        <w:ind w:firstLine="284"/>
        <w:jc w:val="both"/>
        <w:rPr>
          <w:rFonts w:ascii="Garamond" w:hAnsi="Garamond"/>
        </w:rPr>
      </w:pPr>
      <w:r w:rsidRPr="00830F4C">
        <w:rPr>
          <w:rFonts w:ascii="Garamond" w:hAnsi="Garamond"/>
        </w:rPr>
        <w:t xml:space="preserve">Nga analizat e brendshme rezulton se ka një ekspozim të ndjeshëm ndaj humbjeve tatimore nga shmangiet që vijnë nga një kombinim i shumë </w:t>
      </w:r>
      <w:r w:rsidR="00D22EA5" w:rsidRPr="00830F4C">
        <w:rPr>
          <w:rFonts w:ascii="Garamond" w:hAnsi="Garamond"/>
        </w:rPr>
        <w:t>“</w:t>
      </w:r>
      <w:r w:rsidRPr="00830F4C">
        <w:rPr>
          <w:rFonts w:ascii="Garamond" w:hAnsi="Garamond"/>
        </w:rPr>
        <w:t>zonave gri</w:t>
      </w:r>
      <w:r w:rsidR="00D22EA5" w:rsidRPr="00830F4C">
        <w:rPr>
          <w:rFonts w:ascii="Garamond" w:hAnsi="Garamond"/>
        </w:rPr>
        <w:t>”</w:t>
      </w:r>
      <w:r w:rsidRPr="00830F4C">
        <w:rPr>
          <w:rFonts w:ascii="Garamond" w:hAnsi="Garamond"/>
        </w:rPr>
        <w:t xml:space="preserve"> në ligjet tatimore dhe mundësi nga tatimpagues, të vetëpun</w:t>
      </w:r>
      <w:r w:rsidR="00236281" w:rsidRPr="00830F4C">
        <w:rPr>
          <w:rFonts w:ascii="Garamond" w:hAnsi="Garamond"/>
        </w:rPr>
        <w:t>ë</w:t>
      </w:r>
      <w:r w:rsidRPr="00830F4C">
        <w:rPr>
          <w:rFonts w:ascii="Garamond" w:hAnsi="Garamond"/>
        </w:rPr>
        <w:t>suar dhe kompanitë ndërkombëtarë për të shfrytëzuar boshllëqet dhe mospërputhjet. Këto çështje duhet të adresohen për të parandaluar dhe pakësuar humbjet tatimore.</w:t>
      </w:r>
    </w:p>
    <w:p w14:paraId="4B22A0B4" w14:textId="77777777" w:rsidR="00E02E66" w:rsidRDefault="00E02E66" w:rsidP="00A468BF">
      <w:pPr>
        <w:pStyle w:val="Caption"/>
        <w:spacing w:after="0"/>
        <w:ind w:firstLine="284"/>
        <w:rPr>
          <w:rFonts w:ascii="Garamond" w:hAnsi="Garamond" w:cs="Calibri"/>
          <w:color w:val="auto"/>
          <w:sz w:val="22"/>
          <w:szCs w:val="24"/>
        </w:rPr>
      </w:pPr>
    </w:p>
    <w:p w14:paraId="5E11BB25" w14:textId="1F0CF53F" w:rsidR="00A468BF" w:rsidRPr="00830F4C" w:rsidRDefault="00A468BF" w:rsidP="00A468BF">
      <w:pPr>
        <w:pStyle w:val="Caption"/>
        <w:spacing w:after="0"/>
        <w:ind w:firstLine="284"/>
        <w:rPr>
          <w:rFonts w:ascii="Garamond" w:hAnsi="Garamond"/>
          <w:color w:val="auto"/>
          <w:sz w:val="22"/>
          <w:szCs w:val="24"/>
        </w:rPr>
      </w:pPr>
      <w:r w:rsidRPr="00830F4C">
        <w:rPr>
          <w:rFonts w:ascii="Garamond" w:hAnsi="Garamond" w:cs="Calibri"/>
          <w:color w:val="auto"/>
          <w:sz w:val="22"/>
          <w:szCs w:val="24"/>
        </w:rPr>
        <w:t>Tabela 14</w:t>
      </w:r>
      <w:r w:rsidRPr="00830F4C">
        <w:rPr>
          <w:rFonts w:ascii="Garamond" w:hAnsi="Garamond"/>
          <w:color w:val="auto"/>
          <w:sz w:val="22"/>
          <w:szCs w:val="24"/>
        </w:rPr>
        <w:t>:</w:t>
      </w:r>
      <w:r w:rsidR="00236281" w:rsidRPr="00830F4C">
        <w:rPr>
          <w:rFonts w:ascii="Garamond" w:hAnsi="Garamond"/>
          <w:color w:val="auto"/>
          <w:sz w:val="22"/>
          <w:szCs w:val="24"/>
        </w:rPr>
        <w:t xml:space="preserve"> </w:t>
      </w:r>
      <w:r w:rsidRPr="00830F4C">
        <w:rPr>
          <w:rFonts w:ascii="Garamond" w:hAnsi="Garamond"/>
          <w:color w:val="auto"/>
          <w:sz w:val="22"/>
          <w:szCs w:val="24"/>
        </w:rPr>
        <w:t xml:space="preserve">Rritja e të ardhurave nga tatimi mbi fitimin dhe mbi </w:t>
      </w:r>
      <w:r w:rsidR="00236281" w:rsidRPr="00830F4C">
        <w:rPr>
          <w:rFonts w:ascii="Garamond" w:hAnsi="Garamond"/>
          <w:color w:val="auto"/>
          <w:sz w:val="22"/>
          <w:szCs w:val="24"/>
        </w:rPr>
        <w:t>qiratë</w:t>
      </w:r>
    </w:p>
    <w:tbl>
      <w:tblPr>
        <w:tblW w:w="0" w:type="auto"/>
        <w:tblLook w:val="04A0" w:firstRow="1" w:lastRow="0" w:firstColumn="1" w:lastColumn="0" w:noHBand="0" w:noVBand="1"/>
      </w:tblPr>
      <w:tblGrid>
        <w:gridCol w:w="2952"/>
        <w:gridCol w:w="716"/>
        <w:gridCol w:w="716"/>
        <w:gridCol w:w="706"/>
        <w:gridCol w:w="706"/>
        <w:gridCol w:w="1625"/>
      </w:tblGrid>
      <w:tr w:rsidR="00990DEA" w:rsidRPr="00830F4C" w14:paraId="237A22EF" w14:textId="77777777" w:rsidTr="00990DEA">
        <w:trPr>
          <w:trHeight w:val="20"/>
        </w:trPr>
        <w:tc>
          <w:tcPr>
            <w:tcW w:w="0" w:type="auto"/>
            <w:gridSpan w:val="6"/>
            <w:tcBorders>
              <w:top w:val="single" w:sz="8" w:space="0" w:color="F7CAAC"/>
              <w:left w:val="single" w:sz="8" w:space="0" w:color="F7CAAC"/>
              <w:bottom w:val="nil"/>
              <w:right w:val="single" w:sz="8" w:space="0" w:color="F7CAAC"/>
            </w:tcBorders>
            <w:shd w:val="clear" w:color="auto" w:fill="auto"/>
            <w:noWrap/>
            <w:hideMark/>
          </w:tcPr>
          <w:p w14:paraId="6945527B" w14:textId="1534836B" w:rsidR="00990DEA" w:rsidRPr="00830F4C" w:rsidRDefault="00F348AF" w:rsidP="00990DEA">
            <w:pPr>
              <w:jc w:val="center"/>
              <w:rPr>
                <w:rFonts w:ascii="Garamond" w:hAnsi="Garamond"/>
                <w:i/>
                <w:sz w:val="20"/>
              </w:rPr>
            </w:pPr>
            <w:r w:rsidRPr="00830F4C">
              <w:rPr>
                <w:rFonts w:ascii="Garamond" w:hAnsi="Garamond"/>
                <w:i/>
                <w:sz w:val="20"/>
              </w:rPr>
              <w:t xml:space="preserve">Në </w:t>
            </w:r>
            <w:r w:rsidR="00990DEA" w:rsidRPr="00830F4C">
              <w:rPr>
                <w:rFonts w:ascii="Garamond" w:hAnsi="Garamond"/>
                <w:i/>
                <w:sz w:val="20"/>
              </w:rPr>
              <w:t>milionë lekë</w:t>
            </w:r>
          </w:p>
        </w:tc>
      </w:tr>
      <w:tr w:rsidR="00990DEA" w:rsidRPr="00830F4C" w14:paraId="5E13FA8E" w14:textId="77777777" w:rsidTr="00990DEA">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F9AF408" w14:textId="1AA255AC" w:rsidR="00990DEA" w:rsidRPr="00830F4C" w:rsidRDefault="00990DEA" w:rsidP="00990DEA">
            <w:pPr>
              <w:jc w:val="center"/>
              <w:rPr>
                <w:rFonts w:ascii="Garamond" w:hAnsi="Garamond"/>
                <w:b/>
                <w:sz w:val="20"/>
              </w:rPr>
            </w:pPr>
            <w:r w:rsidRPr="00830F4C">
              <w:rPr>
                <w:rFonts w:ascii="Garamond" w:hAnsi="Garamond"/>
                <w:b/>
                <w:sz w:val="20"/>
              </w:rPr>
              <w:t xml:space="preserve">Të ardhurat nga </w:t>
            </w:r>
            <w:r w:rsidR="00236281" w:rsidRPr="00830F4C">
              <w:rPr>
                <w:rFonts w:ascii="Garamond" w:hAnsi="Garamond"/>
                <w:b/>
                <w:sz w:val="20"/>
              </w:rPr>
              <w:t>k</w:t>
            </w:r>
            <w:r w:rsidRPr="00830F4C">
              <w:rPr>
                <w:rFonts w:ascii="Garamond" w:hAnsi="Garamond"/>
                <w:b/>
                <w:sz w:val="20"/>
              </w:rPr>
              <w:t>omponenti 2.5</w:t>
            </w:r>
          </w:p>
        </w:tc>
        <w:tc>
          <w:tcPr>
            <w:tcW w:w="0" w:type="auto"/>
            <w:tcBorders>
              <w:top w:val="single" w:sz="4" w:space="0" w:color="auto"/>
              <w:left w:val="nil"/>
              <w:bottom w:val="single" w:sz="4" w:space="0" w:color="auto"/>
              <w:right w:val="single" w:sz="4" w:space="0" w:color="auto"/>
            </w:tcBorders>
            <w:shd w:val="clear" w:color="auto" w:fill="auto"/>
            <w:hideMark/>
          </w:tcPr>
          <w:p w14:paraId="16909C25" w14:textId="77777777" w:rsidR="00990DEA" w:rsidRPr="00830F4C" w:rsidRDefault="00990DEA" w:rsidP="00990DEA">
            <w:pPr>
              <w:jc w:val="center"/>
              <w:rPr>
                <w:rFonts w:ascii="Garamond" w:hAnsi="Garamond"/>
                <w:b/>
                <w:sz w:val="20"/>
              </w:rPr>
            </w:pPr>
            <w:r w:rsidRPr="00830F4C">
              <w:rPr>
                <w:rFonts w:ascii="Garamond" w:hAnsi="Garamond"/>
                <w:b/>
                <w:sz w:val="20"/>
              </w:rPr>
              <w:t>2024</w:t>
            </w:r>
          </w:p>
        </w:tc>
        <w:tc>
          <w:tcPr>
            <w:tcW w:w="0" w:type="auto"/>
            <w:tcBorders>
              <w:top w:val="single" w:sz="4" w:space="0" w:color="auto"/>
              <w:left w:val="nil"/>
              <w:bottom w:val="single" w:sz="4" w:space="0" w:color="auto"/>
              <w:right w:val="single" w:sz="4" w:space="0" w:color="auto"/>
            </w:tcBorders>
            <w:shd w:val="clear" w:color="auto" w:fill="auto"/>
            <w:hideMark/>
          </w:tcPr>
          <w:p w14:paraId="44C2E4A0" w14:textId="77777777" w:rsidR="00990DEA" w:rsidRPr="00830F4C" w:rsidRDefault="00990DEA" w:rsidP="00990DEA">
            <w:pPr>
              <w:jc w:val="center"/>
              <w:rPr>
                <w:rFonts w:ascii="Garamond" w:hAnsi="Garamond"/>
                <w:b/>
                <w:sz w:val="20"/>
              </w:rPr>
            </w:pPr>
            <w:r w:rsidRPr="00830F4C">
              <w:rPr>
                <w:rFonts w:ascii="Garamond" w:hAnsi="Garamond"/>
                <w:b/>
                <w:sz w:val="20"/>
              </w:rPr>
              <w:t>2025</w:t>
            </w:r>
          </w:p>
        </w:tc>
        <w:tc>
          <w:tcPr>
            <w:tcW w:w="0" w:type="auto"/>
            <w:tcBorders>
              <w:top w:val="single" w:sz="4" w:space="0" w:color="auto"/>
              <w:left w:val="nil"/>
              <w:bottom w:val="single" w:sz="4" w:space="0" w:color="auto"/>
              <w:right w:val="single" w:sz="4" w:space="0" w:color="auto"/>
            </w:tcBorders>
            <w:shd w:val="clear" w:color="auto" w:fill="auto"/>
            <w:hideMark/>
          </w:tcPr>
          <w:p w14:paraId="03C995E9" w14:textId="77777777" w:rsidR="00990DEA" w:rsidRPr="00830F4C" w:rsidRDefault="00990DEA" w:rsidP="00990DEA">
            <w:pPr>
              <w:jc w:val="center"/>
              <w:rPr>
                <w:rFonts w:ascii="Garamond" w:hAnsi="Garamond"/>
                <w:b/>
                <w:sz w:val="20"/>
              </w:rPr>
            </w:pPr>
            <w:r w:rsidRPr="00830F4C">
              <w:rPr>
                <w:rFonts w:ascii="Garamond" w:hAnsi="Garamond"/>
                <w:b/>
                <w:sz w:val="20"/>
              </w:rPr>
              <w:t>2026</w:t>
            </w:r>
          </w:p>
        </w:tc>
        <w:tc>
          <w:tcPr>
            <w:tcW w:w="0" w:type="auto"/>
            <w:tcBorders>
              <w:top w:val="single" w:sz="4" w:space="0" w:color="auto"/>
              <w:left w:val="nil"/>
              <w:bottom w:val="single" w:sz="4" w:space="0" w:color="auto"/>
              <w:right w:val="single" w:sz="4" w:space="0" w:color="auto"/>
            </w:tcBorders>
            <w:shd w:val="clear" w:color="auto" w:fill="auto"/>
            <w:hideMark/>
          </w:tcPr>
          <w:p w14:paraId="6788BF91" w14:textId="77777777" w:rsidR="00990DEA" w:rsidRPr="00830F4C" w:rsidRDefault="00990DEA" w:rsidP="00990DEA">
            <w:pPr>
              <w:jc w:val="center"/>
              <w:rPr>
                <w:rFonts w:ascii="Garamond" w:hAnsi="Garamond"/>
                <w:b/>
                <w:sz w:val="20"/>
              </w:rPr>
            </w:pPr>
            <w:r w:rsidRPr="00830F4C">
              <w:rPr>
                <w:rFonts w:ascii="Garamond" w:hAnsi="Garamond"/>
                <w:b/>
                <w:sz w:val="20"/>
              </w:rPr>
              <w:t>2027</w:t>
            </w:r>
          </w:p>
        </w:tc>
        <w:tc>
          <w:tcPr>
            <w:tcW w:w="0" w:type="auto"/>
            <w:tcBorders>
              <w:top w:val="single" w:sz="4" w:space="0" w:color="auto"/>
              <w:left w:val="nil"/>
              <w:bottom w:val="single" w:sz="4" w:space="0" w:color="auto"/>
              <w:right w:val="single" w:sz="4" w:space="0" w:color="auto"/>
            </w:tcBorders>
            <w:shd w:val="clear" w:color="auto" w:fill="auto"/>
            <w:hideMark/>
          </w:tcPr>
          <w:p w14:paraId="042A1929" w14:textId="6FF0317E" w:rsidR="00990DEA" w:rsidRPr="00830F4C" w:rsidRDefault="00990DEA" w:rsidP="00990DEA">
            <w:pPr>
              <w:jc w:val="center"/>
              <w:rPr>
                <w:rFonts w:ascii="Garamond" w:hAnsi="Garamond"/>
                <w:b/>
                <w:sz w:val="20"/>
              </w:rPr>
            </w:pPr>
            <w:r w:rsidRPr="00830F4C">
              <w:rPr>
                <w:rFonts w:ascii="Garamond" w:hAnsi="Garamond"/>
                <w:b/>
                <w:sz w:val="20"/>
              </w:rPr>
              <w:t>Totali</w:t>
            </w:r>
            <w:r w:rsidR="00800B00" w:rsidRPr="00830F4C">
              <w:rPr>
                <w:rFonts w:ascii="Garamond" w:hAnsi="Garamond"/>
                <w:b/>
                <w:sz w:val="20"/>
              </w:rPr>
              <w:t xml:space="preserve"> </w:t>
            </w:r>
            <w:r w:rsidR="00D22EA5" w:rsidRPr="00830F4C">
              <w:rPr>
                <w:rFonts w:ascii="Garamond" w:hAnsi="Garamond"/>
                <w:b/>
                <w:sz w:val="20"/>
              </w:rPr>
              <w:t>2024–2027</w:t>
            </w:r>
          </w:p>
        </w:tc>
      </w:tr>
      <w:tr w:rsidR="00990DEA" w:rsidRPr="00830F4C" w14:paraId="3919D9AA" w14:textId="77777777" w:rsidTr="00990DEA">
        <w:trPr>
          <w:trHeight w:val="20"/>
        </w:trPr>
        <w:tc>
          <w:tcPr>
            <w:tcW w:w="0" w:type="auto"/>
            <w:tcBorders>
              <w:top w:val="nil"/>
              <w:left w:val="single" w:sz="4" w:space="0" w:color="auto"/>
              <w:bottom w:val="single" w:sz="4" w:space="0" w:color="auto"/>
              <w:right w:val="single" w:sz="4" w:space="0" w:color="auto"/>
            </w:tcBorders>
            <w:shd w:val="clear" w:color="auto" w:fill="auto"/>
            <w:hideMark/>
          </w:tcPr>
          <w:p w14:paraId="3F80106C" w14:textId="77777777" w:rsidR="00990DEA" w:rsidRPr="00830F4C" w:rsidRDefault="00990DEA" w:rsidP="00990DEA">
            <w:pPr>
              <w:jc w:val="center"/>
              <w:rPr>
                <w:rFonts w:ascii="Garamond" w:hAnsi="Garamond"/>
                <w:sz w:val="20"/>
              </w:rPr>
            </w:pPr>
            <w:r w:rsidRPr="00830F4C">
              <w:rPr>
                <w:rFonts w:ascii="Garamond" w:hAnsi="Garamond"/>
                <w:sz w:val="20"/>
              </w:rPr>
              <w:t>Tatim fitimi</w:t>
            </w:r>
          </w:p>
        </w:tc>
        <w:tc>
          <w:tcPr>
            <w:tcW w:w="0" w:type="auto"/>
            <w:tcBorders>
              <w:top w:val="nil"/>
              <w:left w:val="nil"/>
              <w:bottom w:val="single" w:sz="4" w:space="0" w:color="auto"/>
              <w:right w:val="single" w:sz="4" w:space="0" w:color="auto"/>
            </w:tcBorders>
            <w:shd w:val="clear" w:color="auto" w:fill="auto"/>
            <w:hideMark/>
          </w:tcPr>
          <w:p w14:paraId="2F02DC39" w14:textId="77777777" w:rsidR="00990DEA" w:rsidRPr="00830F4C" w:rsidRDefault="00990DEA" w:rsidP="00990DEA">
            <w:pPr>
              <w:jc w:val="center"/>
              <w:rPr>
                <w:rFonts w:ascii="Garamond" w:hAnsi="Garamond"/>
                <w:sz w:val="20"/>
              </w:rPr>
            </w:pPr>
            <w:r w:rsidRPr="00830F4C">
              <w:rPr>
                <w:rFonts w:ascii="Garamond" w:hAnsi="Garamond"/>
                <w:sz w:val="20"/>
              </w:rPr>
              <w:t>5,466</w:t>
            </w:r>
          </w:p>
        </w:tc>
        <w:tc>
          <w:tcPr>
            <w:tcW w:w="0" w:type="auto"/>
            <w:tcBorders>
              <w:top w:val="nil"/>
              <w:left w:val="nil"/>
              <w:bottom w:val="single" w:sz="4" w:space="0" w:color="auto"/>
              <w:right w:val="single" w:sz="4" w:space="0" w:color="auto"/>
            </w:tcBorders>
            <w:shd w:val="clear" w:color="auto" w:fill="auto"/>
            <w:hideMark/>
          </w:tcPr>
          <w:p w14:paraId="1BC73A25" w14:textId="77777777" w:rsidR="00990DEA" w:rsidRPr="00830F4C" w:rsidRDefault="00990DEA" w:rsidP="00990DEA">
            <w:pPr>
              <w:jc w:val="center"/>
              <w:rPr>
                <w:rFonts w:ascii="Garamond" w:hAnsi="Garamond"/>
                <w:sz w:val="20"/>
              </w:rPr>
            </w:pPr>
            <w:r w:rsidRPr="00830F4C">
              <w:rPr>
                <w:rFonts w:ascii="Garamond" w:hAnsi="Garamond"/>
                <w:sz w:val="20"/>
              </w:rPr>
              <w:t>6,030</w:t>
            </w:r>
          </w:p>
        </w:tc>
        <w:tc>
          <w:tcPr>
            <w:tcW w:w="0" w:type="auto"/>
            <w:tcBorders>
              <w:top w:val="nil"/>
              <w:left w:val="nil"/>
              <w:bottom w:val="single" w:sz="4" w:space="0" w:color="auto"/>
              <w:right w:val="single" w:sz="4" w:space="0" w:color="auto"/>
            </w:tcBorders>
            <w:shd w:val="clear" w:color="auto" w:fill="auto"/>
            <w:hideMark/>
          </w:tcPr>
          <w:p w14:paraId="450E6333" w14:textId="77777777" w:rsidR="00990DEA" w:rsidRPr="00830F4C" w:rsidRDefault="00990DEA" w:rsidP="00990DEA">
            <w:pPr>
              <w:jc w:val="center"/>
              <w:rPr>
                <w:rFonts w:ascii="Garamond" w:hAnsi="Garamond"/>
                <w:sz w:val="20"/>
              </w:rPr>
            </w:pPr>
            <w:r w:rsidRPr="00830F4C">
              <w:rPr>
                <w:rFonts w:ascii="Garamond" w:hAnsi="Garamond"/>
                <w:sz w:val="20"/>
              </w:rPr>
              <w:t>3,316</w:t>
            </w:r>
          </w:p>
        </w:tc>
        <w:tc>
          <w:tcPr>
            <w:tcW w:w="0" w:type="auto"/>
            <w:tcBorders>
              <w:top w:val="nil"/>
              <w:left w:val="nil"/>
              <w:bottom w:val="single" w:sz="4" w:space="0" w:color="auto"/>
              <w:right w:val="single" w:sz="4" w:space="0" w:color="auto"/>
            </w:tcBorders>
            <w:shd w:val="clear" w:color="auto" w:fill="auto"/>
            <w:hideMark/>
          </w:tcPr>
          <w:p w14:paraId="5400797D" w14:textId="77777777" w:rsidR="00990DEA" w:rsidRPr="00830F4C" w:rsidRDefault="00990DEA" w:rsidP="00990DEA">
            <w:pPr>
              <w:jc w:val="center"/>
              <w:rPr>
                <w:rFonts w:ascii="Garamond" w:hAnsi="Garamond"/>
                <w:sz w:val="20"/>
              </w:rPr>
            </w:pPr>
            <w:r w:rsidRPr="00830F4C">
              <w:rPr>
                <w:rFonts w:ascii="Garamond" w:hAnsi="Garamond"/>
                <w:sz w:val="20"/>
              </w:rPr>
              <w:t>3,482</w:t>
            </w:r>
          </w:p>
        </w:tc>
        <w:tc>
          <w:tcPr>
            <w:tcW w:w="0" w:type="auto"/>
            <w:tcBorders>
              <w:top w:val="nil"/>
              <w:left w:val="nil"/>
              <w:bottom w:val="single" w:sz="4" w:space="0" w:color="auto"/>
              <w:right w:val="single" w:sz="4" w:space="0" w:color="auto"/>
            </w:tcBorders>
            <w:shd w:val="clear" w:color="auto" w:fill="auto"/>
            <w:hideMark/>
          </w:tcPr>
          <w:p w14:paraId="314181B5" w14:textId="77777777" w:rsidR="00990DEA" w:rsidRPr="00830F4C" w:rsidRDefault="00990DEA" w:rsidP="00990DEA">
            <w:pPr>
              <w:jc w:val="center"/>
              <w:rPr>
                <w:rFonts w:ascii="Garamond" w:hAnsi="Garamond"/>
                <w:sz w:val="20"/>
              </w:rPr>
            </w:pPr>
            <w:r w:rsidRPr="00830F4C">
              <w:rPr>
                <w:rFonts w:ascii="Garamond" w:hAnsi="Garamond"/>
                <w:sz w:val="20"/>
              </w:rPr>
              <w:t>18,294</w:t>
            </w:r>
          </w:p>
        </w:tc>
      </w:tr>
      <w:tr w:rsidR="00990DEA" w:rsidRPr="00830F4C" w14:paraId="2F16B1ED" w14:textId="77777777" w:rsidTr="00990DEA">
        <w:trPr>
          <w:trHeight w:val="20"/>
        </w:trPr>
        <w:tc>
          <w:tcPr>
            <w:tcW w:w="0" w:type="auto"/>
            <w:tcBorders>
              <w:top w:val="nil"/>
              <w:left w:val="single" w:sz="4" w:space="0" w:color="auto"/>
              <w:bottom w:val="single" w:sz="4" w:space="0" w:color="auto"/>
              <w:right w:val="single" w:sz="4" w:space="0" w:color="auto"/>
            </w:tcBorders>
            <w:shd w:val="clear" w:color="auto" w:fill="auto"/>
            <w:hideMark/>
          </w:tcPr>
          <w:p w14:paraId="2FC03197" w14:textId="67B90705" w:rsidR="00990DEA" w:rsidRPr="00830F4C" w:rsidRDefault="00990DEA" w:rsidP="00990DEA">
            <w:pPr>
              <w:jc w:val="center"/>
              <w:rPr>
                <w:rFonts w:ascii="Garamond" w:hAnsi="Garamond"/>
                <w:sz w:val="20"/>
              </w:rPr>
            </w:pPr>
            <w:r w:rsidRPr="00830F4C">
              <w:rPr>
                <w:rFonts w:ascii="Garamond" w:hAnsi="Garamond"/>
                <w:sz w:val="20"/>
              </w:rPr>
              <w:t>TAP</w:t>
            </w:r>
            <w:r w:rsidR="00D61E86">
              <w:rPr>
                <w:rFonts w:ascii="Garamond" w:hAnsi="Garamond"/>
                <w:sz w:val="20"/>
              </w:rPr>
              <w:t>-i</w:t>
            </w:r>
            <w:r w:rsidRPr="00830F4C">
              <w:rPr>
                <w:rFonts w:ascii="Garamond" w:hAnsi="Garamond"/>
                <w:sz w:val="20"/>
              </w:rPr>
              <w:t xml:space="preserve"> mbi </w:t>
            </w:r>
            <w:r w:rsidR="00236281" w:rsidRPr="00830F4C">
              <w:rPr>
                <w:rFonts w:ascii="Garamond" w:hAnsi="Garamond"/>
                <w:sz w:val="20"/>
              </w:rPr>
              <w:t>qiranë</w:t>
            </w:r>
          </w:p>
        </w:tc>
        <w:tc>
          <w:tcPr>
            <w:tcW w:w="0" w:type="auto"/>
            <w:tcBorders>
              <w:top w:val="nil"/>
              <w:left w:val="nil"/>
              <w:bottom w:val="single" w:sz="4" w:space="0" w:color="auto"/>
              <w:right w:val="single" w:sz="4" w:space="0" w:color="auto"/>
            </w:tcBorders>
            <w:shd w:val="clear" w:color="auto" w:fill="auto"/>
            <w:hideMark/>
          </w:tcPr>
          <w:p w14:paraId="7B3B37BB" w14:textId="77777777" w:rsidR="00990DEA" w:rsidRPr="00830F4C" w:rsidRDefault="00990DEA" w:rsidP="00990DEA">
            <w:pPr>
              <w:jc w:val="center"/>
              <w:rPr>
                <w:rFonts w:ascii="Garamond" w:hAnsi="Garamond"/>
                <w:sz w:val="20"/>
              </w:rPr>
            </w:pPr>
            <w:r w:rsidRPr="00830F4C">
              <w:rPr>
                <w:rFonts w:ascii="Garamond" w:hAnsi="Garamond"/>
                <w:sz w:val="20"/>
              </w:rPr>
              <w:t>487</w:t>
            </w:r>
          </w:p>
        </w:tc>
        <w:tc>
          <w:tcPr>
            <w:tcW w:w="0" w:type="auto"/>
            <w:tcBorders>
              <w:top w:val="nil"/>
              <w:left w:val="nil"/>
              <w:bottom w:val="single" w:sz="4" w:space="0" w:color="auto"/>
              <w:right w:val="single" w:sz="4" w:space="0" w:color="auto"/>
            </w:tcBorders>
            <w:shd w:val="clear" w:color="auto" w:fill="auto"/>
            <w:hideMark/>
          </w:tcPr>
          <w:p w14:paraId="29D604E2" w14:textId="77777777" w:rsidR="00990DEA" w:rsidRPr="00830F4C" w:rsidRDefault="00990DEA" w:rsidP="00990DEA">
            <w:pPr>
              <w:jc w:val="center"/>
              <w:rPr>
                <w:rFonts w:ascii="Garamond" w:hAnsi="Garamond"/>
                <w:sz w:val="20"/>
              </w:rPr>
            </w:pPr>
            <w:r w:rsidRPr="00830F4C">
              <w:rPr>
                <w:rFonts w:ascii="Garamond" w:hAnsi="Garamond"/>
                <w:sz w:val="20"/>
              </w:rPr>
              <w:t>1,067</w:t>
            </w:r>
          </w:p>
        </w:tc>
        <w:tc>
          <w:tcPr>
            <w:tcW w:w="0" w:type="auto"/>
            <w:tcBorders>
              <w:top w:val="nil"/>
              <w:left w:val="nil"/>
              <w:bottom w:val="single" w:sz="4" w:space="0" w:color="auto"/>
              <w:right w:val="single" w:sz="4" w:space="0" w:color="auto"/>
            </w:tcBorders>
            <w:shd w:val="clear" w:color="auto" w:fill="auto"/>
            <w:hideMark/>
          </w:tcPr>
          <w:p w14:paraId="12862700" w14:textId="77777777" w:rsidR="00990DEA" w:rsidRPr="00830F4C" w:rsidRDefault="00990DEA" w:rsidP="00990DEA">
            <w:pPr>
              <w:jc w:val="center"/>
              <w:rPr>
                <w:rFonts w:ascii="Garamond" w:hAnsi="Garamond"/>
                <w:sz w:val="20"/>
              </w:rPr>
            </w:pPr>
            <w:r w:rsidRPr="00830F4C">
              <w:rPr>
                <w:rFonts w:ascii="Garamond" w:hAnsi="Garamond"/>
                <w:sz w:val="20"/>
              </w:rPr>
              <w:t>1,280</w:t>
            </w:r>
          </w:p>
        </w:tc>
        <w:tc>
          <w:tcPr>
            <w:tcW w:w="0" w:type="auto"/>
            <w:tcBorders>
              <w:top w:val="nil"/>
              <w:left w:val="nil"/>
              <w:bottom w:val="single" w:sz="4" w:space="0" w:color="auto"/>
              <w:right w:val="single" w:sz="4" w:space="0" w:color="auto"/>
            </w:tcBorders>
            <w:shd w:val="clear" w:color="auto" w:fill="auto"/>
            <w:hideMark/>
          </w:tcPr>
          <w:p w14:paraId="3F92D6C2" w14:textId="77777777" w:rsidR="00990DEA" w:rsidRPr="00830F4C" w:rsidRDefault="00990DEA" w:rsidP="00990DEA">
            <w:pPr>
              <w:jc w:val="center"/>
              <w:rPr>
                <w:rFonts w:ascii="Garamond" w:hAnsi="Garamond"/>
                <w:sz w:val="20"/>
              </w:rPr>
            </w:pPr>
            <w:r w:rsidRPr="00830F4C">
              <w:rPr>
                <w:rFonts w:ascii="Garamond" w:hAnsi="Garamond"/>
                <w:sz w:val="20"/>
              </w:rPr>
              <w:t>1,536</w:t>
            </w:r>
          </w:p>
        </w:tc>
        <w:tc>
          <w:tcPr>
            <w:tcW w:w="0" w:type="auto"/>
            <w:tcBorders>
              <w:top w:val="nil"/>
              <w:left w:val="nil"/>
              <w:bottom w:val="single" w:sz="4" w:space="0" w:color="auto"/>
              <w:right w:val="single" w:sz="4" w:space="0" w:color="auto"/>
            </w:tcBorders>
            <w:shd w:val="clear" w:color="auto" w:fill="auto"/>
            <w:hideMark/>
          </w:tcPr>
          <w:p w14:paraId="7F45AD4F" w14:textId="77777777" w:rsidR="00990DEA" w:rsidRPr="00830F4C" w:rsidRDefault="00990DEA" w:rsidP="00990DEA">
            <w:pPr>
              <w:jc w:val="center"/>
              <w:rPr>
                <w:rFonts w:ascii="Garamond" w:hAnsi="Garamond"/>
                <w:sz w:val="20"/>
              </w:rPr>
            </w:pPr>
            <w:r w:rsidRPr="00830F4C">
              <w:rPr>
                <w:rFonts w:ascii="Garamond" w:hAnsi="Garamond"/>
                <w:sz w:val="20"/>
              </w:rPr>
              <w:t>4,369</w:t>
            </w:r>
          </w:p>
        </w:tc>
      </w:tr>
      <w:tr w:rsidR="00990DEA" w:rsidRPr="00830F4C" w14:paraId="0FBDD239" w14:textId="77777777" w:rsidTr="00990DEA">
        <w:trPr>
          <w:trHeight w:val="20"/>
        </w:trPr>
        <w:tc>
          <w:tcPr>
            <w:tcW w:w="0" w:type="auto"/>
            <w:tcBorders>
              <w:top w:val="nil"/>
              <w:left w:val="single" w:sz="4" w:space="0" w:color="auto"/>
              <w:bottom w:val="single" w:sz="4" w:space="0" w:color="auto"/>
              <w:right w:val="single" w:sz="4" w:space="0" w:color="auto"/>
            </w:tcBorders>
            <w:shd w:val="clear" w:color="auto" w:fill="auto"/>
            <w:hideMark/>
          </w:tcPr>
          <w:p w14:paraId="14B49F40" w14:textId="77777777" w:rsidR="00990DEA" w:rsidRPr="00830F4C" w:rsidRDefault="00990DEA" w:rsidP="00990DEA">
            <w:pPr>
              <w:jc w:val="center"/>
              <w:rPr>
                <w:rFonts w:ascii="Garamond" w:hAnsi="Garamond"/>
                <w:b/>
                <w:sz w:val="20"/>
              </w:rPr>
            </w:pPr>
            <w:r w:rsidRPr="00830F4C">
              <w:rPr>
                <w:rFonts w:ascii="Garamond" w:hAnsi="Garamond"/>
                <w:b/>
                <w:sz w:val="20"/>
              </w:rPr>
              <w:t>Totali</w:t>
            </w:r>
          </w:p>
        </w:tc>
        <w:tc>
          <w:tcPr>
            <w:tcW w:w="0" w:type="auto"/>
            <w:tcBorders>
              <w:top w:val="nil"/>
              <w:left w:val="nil"/>
              <w:bottom w:val="single" w:sz="4" w:space="0" w:color="auto"/>
              <w:right w:val="single" w:sz="4" w:space="0" w:color="auto"/>
            </w:tcBorders>
            <w:shd w:val="clear" w:color="auto" w:fill="auto"/>
            <w:hideMark/>
          </w:tcPr>
          <w:p w14:paraId="704E1F08" w14:textId="77777777" w:rsidR="00990DEA" w:rsidRPr="00830F4C" w:rsidRDefault="00990DEA" w:rsidP="00990DEA">
            <w:pPr>
              <w:jc w:val="center"/>
              <w:rPr>
                <w:rFonts w:ascii="Garamond" w:hAnsi="Garamond"/>
                <w:b/>
                <w:sz w:val="20"/>
              </w:rPr>
            </w:pPr>
            <w:r w:rsidRPr="00830F4C">
              <w:rPr>
                <w:rFonts w:ascii="Garamond" w:hAnsi="Garamond"/>
                <w:b/>
                <w:sz w:val="20"/>
              </w:rPr>
              <w:t>5,952</w:t>
            </w:r>
          </w:p>
        </w:tc>
        <w:tc>
          <w:tcPr>
            <w:tcW w:w="0" w:type="auto"/>
            <w:tcBorders>
              <w:top w:val="nil"/>
              <w:left w:val="nil"/>
              <w:bottom w:val="single" w:sz="4" w:space="0" w:color="auto"/>
              <w:right w:val="single" w:sz="4" w:space="0" w:color="auto"/>
            </w:tcBorders>
            <w:shd w:val="clear" w:color="auto" w:fill="auto"/>
            <w:hideMark/>
          </w:tcPr>
          <w:p w14:paraId="00096C5F" w14:textId="77777777" w:rsidR="00990DEA" w:rsidRPr="00830F4C" w:rsidRDefault="00990DEA" w:rsidP="00990DEA">
            <w:pPr>
              <w:jc w:val="center"/>
              <w:rPr>
                <w:rFonts w:ascii="Garamond" w:hAnsi="Garamond"/>
                <w:b/>
                <w:sz w:val="20"/>
              </w:rPr>
            </w:pPr>
            <w:r w:rsidRPr="00830F4C">
              <w:rPr>
                <w:rFonts w:ascii="Garamond" w:hAnsi="Garamond"/>
                <w:b/>
                <w:sz w:val="20"/>
              </w:rPr>
              <w:t>7,097</w:t>
            </w:r>
          </w:p>
        </w:tc>
        <w:tc>
          <w:tcPr>
            <w:tcW w:w="0" w:type="auto"/>
            <w:tcBorders>
              <w:top w:val="nil"/>
              <w:left w:val="nil"/>
              <w:bottom w:val="single" w:sz="4" w:space="0" w:color="auto"/>
              <w:right w:val="single" w:sz="4" w:space="0" w:color="auto"/>
            </w:tcBorders>
            <w:shd w:val="clear" w:color="auto" w:fill="auto"/>
            <w:hideMark/>
          </w:tcPr>
          <w:p w14:paraId="048F32BC" w14:textId="77777777" w:rsidR="00990DEA" w:rsidRPr="00830F4C" w:rsidRDefault="00990DEA" w:rsidP="00990DEA">
            <w:pPr>
              <w:jc w:val="center"/>
              <w:rPr>
                <w:rFonts w:ascii="Garamond" w:hAnsi="Garamond"/>
                <w:b/>
                <w:sz w:val="20"/>
              </w:rPr>
            </w:pPr>
            <w:r w:rsidRPr="00830F4C">
              <w:rPr>
                <w:rFonts w:ascii="Garamond" w:hAnsi="Garamond"/>
                <w:b/>
                <w:sz w:val="20"/>
              </w:rPr>
              <w:t>4,597</w:t>
            </w:r>
          </w:p>
        </w:tc>
        <w:tc>
          <w:tcPr>
            <w:tcW w:w="0" w:type="auto"/>
            <w:tcBorders>
              <w:top w:val="nil"/>
              <w:left w:val="nil"/>
              <w:bottom w:val="single" w:sz="4" w:space="0" w:color="auto"/>
              <w:right w:val="single" w:sz="4" w:space="0" w:color="auto"/>
            </w:tcBorders>
            <w:shd w:val="clear" w:color="auto" w:fill="auto"/>
            <w:hideMark/>
          </w:tcPr>
          <w:p w14:paraId="049A0EF3" w14:textId="77777777" w:rsidR="00990DEA" w:rsidRPr="00830F4C" w:rsidRDefault="00990DEA" w:rsidP="00990DEA">
            <w:pPr>
              <w:jc w:val="center"/>
              <w:rPr>
                <w:rFonts w:ascii="Garamond" w:hAnsi="Garamond"/>
                <w:b/>
                <w:sz w:val="20"/>
              </w:rPr>
            </w:pPr>
            <w:r w:rsidRPr="00830F4C">
              <w:rPr>
                <w:rFonts w:ascii="Garamond" w:hAnsi="Garamond"/>
                <w:b/>
                <w:sz w:val="20"/>
              </w:rPr>
              <w:t>5,018</w:t>
            </w:r>
          </w:p>
        </w:tc>
        <w:tc>
          <w:tcPr>
            <w:tcW w:w="0" w:type="auto"/>
            <w:tcBorders>
              <w:top w:val="nil"/>
              <w:left w:val="nil"/>
              <w:bottom w:val="single" w:sz="4" w:space="0" w:color="auto"/>
              <w:right w:val="single" w:sz="4" w:space="0" w:color="auto"/>
            </w:tcBorders>
            <w:shd w:val="clear" w:color="auto" w:fill="auto"/>
            <w:hideMark/>
          </w:tcPr>
          <w:p w14:paraId="253C2756" w14:textId="77777777" w:rsidR="00990DEA" w:rsidRPr="00830F4C" w:rsidRDefault="00990DEA" w:rsidP="00990DEA">
            <w:pPr>
              <w:jc w:val="center"/>
              <w:rPr>
                <w:rFonts w:ascii="Garamond" w:hAnsi="Garamond"/>
                <w:b/>
                <w:sz w:val="20"/>
              </w:rPr>
            </w:pPr>
            <w:r w:rsidRPr="00830F4C">
              <w:rPr>
                <w:rFonts w:ascii="Garamond" w:hAnsi="Garamond"/>
                <w:b/>
                <w:sz w:val="20"/>
              </w:rPr>
              <w:t>22,664</w:t>
            </w:r>
          </w:p>
        </w:tc>
      </w:tr>
      <w:tr w:rsidR="00990DEA" w:rsidRPr="00830F4C" w14:paraId="4A3260CB" w14:textId="77777777" w:rsidTr="00990DEA">
        <w:trPr>
          <w:trHeight w:val="20"/>
        </w:trPr>
        <w:tc>
          <w:tcPr>
            <w:tcW w:w="0" w:type="auto"/>
            <w:gridSpan w:val="6"/>
            <w:tcBorders>
              <w:top w:val="nil"/>
              <w:left w:val="single" w:sz="8" w:space="0" w:color="F7CAAC"/>
              <w:bottom w:val="nil"/>
              <w:right w:val="single" w:sz="8" w:space="0" w:color="F7CAAC"/>
            </w:tcBorders>
            <w:shd w:val="clear" w:color="auto" w:fill="auto"/>
            <w:noWrap/>
            <w:hideMark/>
          </w:tcPr>
          <w:p w14:paraId="00369D04" w14:textId="1CE83CC5" w:rsidR="00990DEA" w:rsidRPr="00830F4C" w:rsidRDefault="00990DEA" w:rsidP="00990DEA">
            <w:pPr>
              <w:jc w:val="center"/>
              <w:rPr>
                <w:rFonts w:ascii="Garamond" w:hAnsi="Garamond"/>
                <w:i/>
                <w:sz w:val="20"/>
              </w:rPr>
            </w:pPr>
            <w:r w:rsidRPr="00830F4C">
              <w:rPr>
                <w:rFonts w:ascii="Garamond" w:hAnsi="Garamond"/>
                <w:i/>
                <w:sz w:val="20"/>
              </w:rPr>
              <w:t>në % të PPB</w:t>
            </w:r>
            <w:r w:rsidR="00236281" w:rsidRPr="00830F4C">
              <w:rPr>
                <w:rFonts w:ascii="Garamond" w:hAnsi="Garamond"/>
                <w:sz w:val="20"/>
                <w:szCs w:val="20"/>
              </w:rPr>
              <w:t>-së</w:t>
            </w:r>
          </w:p>
        </w:tc>
      </w:tr>
      <w:tr w:rsidR="00990DEA" w:rsidRPr="00830F4C" w14:paraId="4FBE65C8" w14:textId="77777777" w:rsidTr="00990DEA">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9B82A63" w14:textId="77777777" w:rsidR="00990DEA" w:rsidRPr="00830F4C" w:rsidRDefault="00990DEA" w:rsidP="00990DEA">
            <w:pPr>
              <w:jc w:val="center"/>
              <w:rPr>
                <w:rFonts w:ascii="Garamond" w:hAnsi="Garamond"/>
                <w:sz w:val="20"/>
              </w:rPr>
            </w:pPr>
            <w:r w:rsidRPr="00830F4C">
              <w:rPr>
                <w:rFonts w:ascii="Garamond" w:hAnsi="Garamond"/>
                <w:sz w:val="20"/>
              </w:rPr>
              <w:t>Tatim fitimi</w:t>
            </w:r>
          </w:p>
        </w:tc>
        <w:tc>
          <w:tcPr>
            <w:tcW w:w="0" w:type="auto"/>
            <w:tcBorders>
              <w:top w:val="single" w:sz="4" w:space="0" w:color="auto"/>
              <w:left w:val="nil"/>
              <w:bottom w:val="single" w:sz="4" w:space="0" w:color="auto"/>
              <w:right w:val="single" w:sz="4" w:space="0" w:color="auto"/>
            </w:tcBorders>
            <w:shd w:val="clear" w:color="auto" w:fill="auto"/>
            <w:hideMark/>
          </w:tcPr>
          <w:p w14:paraId="793EC345" w14:textId="77777777" w:rsidR="00990DEA" w:rsidRPr="00830F4C" w:rsidRDefault="00990DEA" w:rsidP="00990DEA">
            <w:pPr>
              <w:jc w:val="center"/>
              <w:rPr>
                <w:rFonts w:ascii="Garamond" w:hAnsi="Garamond"/>
                <w:sz w:val="20"/>
              </w:rPr>
            </w:pPr>
            <w:r w:rsidRPr="00830F4C">
              <w:rPr>
                <w:rFonts w:ascii="Garamond" w:hAnsi="Garamond"/>
                <w:sz w:val="20"/>
              </w:rPr>
              <w:t>0.22%</w:t>
            </w:r>
          </w:p>
        </w:tc>
        <w:tc>
          <w:tcPr>
            <w:tcW w:w="0" w:type="auto"/>
            <w:tcBorders>
              <w:top w:val="single" w:sz="4" w:space="0" w:color="auto"/>
              <w:left w:val="nil"/>
              <w:bottom w:val="single" w:sz="4" w:space="0" w:color="auto"/>
              <w:right w:val="single" w:sz="4" w:space="0" w:color="auto"/>
            </w:tcBorders>
            <w:shd w:val="clear" w:color="auto" w:fill="auto"/>
            <w:hideMark/>
          </w:tcPr>
          <w:p w14:paraId="77D62DD1" w14:textId="77777777" w:rsidR="00990DEA" w:rsidRPr="00830F4C" w:rsidRDefault="00990DEA" w:rsidP="00990DEA">
            <w:pPr>
              <w:jc w:val="center"/>
              <w:rPr>
                <w:rFonts w:ascii="Garamond" w:hAnsi="Garamond"/>
                <w:sz w:val="20"/>
              </w:rPr>
            </w:pPr>
            <w:r w:rsidRPr="00830F4C">
              <w:rPr>
                <w:rFonts w:ascii="Garamond" w:hAnsi="Garamond"/>
                <w:sz w:val="20"/>
              </w:rPr>
              <w:t>0.24%</w:t>
            </w:r>
          </w:p>
        </w:tc>
        <w:tc>
          <w:tcPr>
            <w:tcW w:w="0" w:type="auto"/>
            <w:tcBorders>
              <w:top w:val="single" w:sz="4" w:space="0" w:color="auto"/>
              <w:left w:val="nil"/>
              <w:bottom w:val="single" w:sz="4" w:space="0" w:color="auto"/>
              <w:right w:val="single" w:sz="4" w:space="0" w:color="auto"/>
            </w:tcBorders>
            <w:shd w:val="clear" w:color="auto" w:fill="auto"/>
            <w:hideMark/>
          </w:tcPr>
          <w:p w14:paraId="6EA89F96" w14:textId="77777777" w:rsidR="00990DEA" w:rsidRPr="00830F4C" w:rsidRDefault="00990DEA" w:rsidP="00990DEA">
            <w:pPr>
              <w:jc w:val="center"/>
              <w:rPr>
                <w:rFonts w:ascii="Garamond" w:hAnsi="Garamond"/>
                <w:sz w:val="20"/>
              </w:rPr>
            </w:pPr>
            <w:r w:rsidRPr="00830F4C">
              <w:rPr>
                <w:rFonts w:ascii="Garamond" w:hAnsi="Garamond"/>
                <w:sz w:val="20"/>
              </w:rPr>
              <w:t>0.12%</w:t>
            </w:r>
          </w:p>
        </w:tc>
        <w:tc>
          <w:tcPr>
            <w:tcW w:w="0" w:type="auto"/>
            <w:tcBorders>
              <w:top w:val="single" w:sz="4" w:space="0" w:color="auto"/>
              <w:left w:val="nil"/>
              <w:bottom w:val="single" w:sz="4" w:space="0" w:color="auto"/>
              <w:right w:val="single" w:sz="4" w:space="0" w:color="auto"/>
            </w:tcBorders>
            <w:shd w:val="clear" w:color="auto" w:fill="auto"/>
            <w:hideMark/>
          </w:tcPr>
          <w:p w14:paraId="55FF36A6" w14:textId="77777777" w:rsidR="00990DEA" w:rsidRPr="00830F4C" w:rsidRDefault="00990DEA" w:rsidP="00990DEA">
            <w:pPr>
              <w:jc w:val="center"/>
              <w:rPr>
                <w:rFonts w:ascii="Garamond" w:hAnsi="Garamond"/>
                <w:sz w:val="20"/>
              </w:rPr>
            </w:pPr>
            <w:r w:rsidRPr="00830F4C">
              <w:rPr>
                <w:rFonts w:ascii="Garamond" w:hAnsi="Garamond"/>
                <w:sz w:val="20"/>
              </w:rPr>
              <w:t>0.12%</w:t>
            </w:r>
          </w:p>
        </w:tc>
        <w:tc>
          <w:tcPr>
            <w:tcW w:w="0" w:type="auto"/>
            <w:tcBorders>
              <w:top w:val="single" w:sz="4" w:space="0" w:color="auto"/>
              <w:left w:val="nil"/>
              <w:bottom w:val="single" w:sz="4" w:space="0" w:color="auto"/>
              <w:right w:val="single" w:sz="4" w:space="0" w:color="auto"/>
            </w:tcBorders>
            <w:shd w:val="clear" w:color="auto" w:fill="auto"/>
            <w:hideMark/>
          </w:tcPr>
          <w:p w14:paraId="3AE07391" w14:textId="77777777" w:rsidR="00990DEA" w:rsidRPr="00830F4C" w:rsidRDefault="00990DEA" w:rsidP="00990DEA">
            <w:pPr>
              <w:jc w:val="center"/>
              <w:rPr>
                <w:rFonts w:ascii="Garamond" w:hAnsi="Garamond"/>
                <w:sz w:val="20"/>
              </w:rPr>
            </w:pPr>
            <w:r w:rsidRPr="00830F4C">
              <w:rPr>
                <w:rFonts w:ascii="Garamond" w:hAnsi="Garamond"/>
                <w:sz w:val="20"/>
              </w:rPr>
              <w:t>0.71%</w:t>
            </w:r>
          </w:p>
        </w:tc>
      </w:tr>
      <w:tr w:rsidR="00990DEA" w:rsidRPr="00830F4C" w14:paraId="3431D5A5" w14:textId="77777777" w:rsidTr="00990DEA">
        <w:trPr>
          <w:trHeight w:val="20"/>
        </w:trPr>
        <w:tc>
          <w:tcPr>
            <w:tcW w:w="0" w:type="auto"/>
            <w:tcBorders>
              <w:top w:val="nil"/>
              <w:left w:val="single" w:sz="4" w:space="0" w:color="auto"/>
              <w:bottom w:val="single" w:sz="4" w:space="0" w:color="auto"/>
              <w:right w:val="single" w:sz="4" w:space="0" w:color="auto"/>
            </w:tcBorders>
            <w:shd w:val="clear" w:color="auto" w:fill="auto"/>
            <w:hideMark/>
          </w:tcPr>
          <w:p w14:paraId="565376E8" w14:textId="3B3A84CB" w:rsidR="00990DEA" w:rsidRPr="00830F4C" w:rsidRDefault="00990DEA" w:rsidP="00990DEA">
            <w:pPr>
              <w:jc w:val="center"/>
              <w:rPr>
                <w:rFonts w:ascii="Garamond" w:hAnsi="Garamond"/>
                <w:sz w:val="20"/>
              </w:rPr>
            </w:pPr>
            <w:r w:rsidRPr="00830F4C">
              <w:rPr>
                <w:rFonts w:ascii="Garamond" w:hAnsi="Garamond"/>
                <w:sz w:val="20"/>
              </w:rPr>
              <w:t>TAP</w:t>
            </w:r>
            <w:r w:rsidR="00D61E86">
              <w:rPr>
                <w:rFonts w:ascii="Garamond" w:hAnsi="Garamond"/>
                <w:sz w:val="20"/>
              </w:rPr>
              <w:t>-i</w:t>
            </w:r>
            <w:r w:rsidRPr="00830F4C">
              <w:rPr>
                <w:rFonts w:ascii="Garamond" w:hAnsi="Garamond"/>
                <w:sz w:val="20"/>
              </w:rPr>
              <w:t xml:space="preserve"> mbi </w:t>
            </w:r>
            <w:r w:rsidR="00236281" w:rsidRPr="00830F4C">
              <w:rPr>
                <w:rFonts w:ascii="Garamond" w:hAnsi="Garamond"/>
                <w:sz w:val="20"/>
              </w:rPr>
              <w:t>qiranë</w:t>
            </w:r>
          </w:p>
        </w:tc>
        <w:tc>
          <w:tcPr>
            <w:tcW w:w="0" w:type="auto"/>
            <w:tcBorders>
              <w:top w:val="nil"/>
              <w:left w:val="nil"/>
              <w:bottom w:val="single" w:sz="4" w:space="0" w:color="auto"/>
              <w:right w:val="single" w:sz="4" w:space="0" w:color="auto"/>
            </w:tcBorders>
            <w:shd w:val="clear" w:color="auto" w:fill="auto"/>
            <w:hideMark/>
          </w:tcPr>
          <w:p w14:paraId="5B058689" w14:textId="77777777" w:rsidR="00990DEA" w:rsidRPr="00830F4C" w:rsidRDefault="00990DEA" w:rsidP="00990DEA">
            <w:pPr>
              <w:jc w:val="center"/>
              <w:rPr>
                <w:rFonts w:ascii="Garamond" w:hAnsi="Garamond"/>
                <w:sz w:val="20"/>
              </w:rPr>
            </w:pPr>
            <w:r w:rsidRPr="00830F4C">
              <w:rPr>
                <w:rFonts w:ascii="Garamond" w:hAnsi="Garamond"/>
                <w:sz w:val="20"/>
              </w:rPr>
              <w:t>0.02%</w:t>
            </w:r>
          </w:p>
        </w:tc>
        <w:tc>
          <w:tcPr>
            <w:tcW w:w="0" w:type="auto"/>
            <w:tcBorders>
              <w:top w:val="nil"/>
              <w:left w:val="nil"/>
              <w:bottom w:val="single" w:sz="4" w:space="0" w:color="auto"/>
              <w:right w:val="single" w:sz="4" w:space="0" w:color="auto"/>
            </w:tcBorders>
            <w:shd w:val="clear" w:color="auto" w:fill="auto"/>
            <w:hideMark/>
          </w:tcPr>
          <w:p w14:paraId="7E0710F4" w14:textId="77777777" w:rsidR="00990DEA" w:rsidRPr="00830F4C" w:rsidRDefault="00990DEA" w:rsidP="00990DEA">
            <w:pPr>
              <w:jc w:val="center"/>
              <w:rPr>
                <w:rFonts w:ascii="Garamond" w:hAnsi="Garamond"/>
                <w:sz w:val="20"/>
              </w:rPr>
            </w:pPr>
            <w:r w:rsidRPr="00830F4C">
              <w:rPr>
                <w:rFonts w:ascii="Garamond" w:hAnsi="Garamond"/>
                <w:sz w:val="20"/>
              </w:rPr>
              <w:t>0.04%</w:t>
            </w:r>
          </w:p>
        </w:tc>
        <w:tc>
          <w:tcPr>
            <w:tcW w:w="0" w:type="auto"/>
            <w:tcBorders>
              <w:top w:val="nil"/>
              <w:left w:val="nil"/>
              <w:bottom w:val="single" w:sz="4" w:space="0" w:color="auto"/>
              <w:right w:val="single" w:sz="4" w:space="0" w:color="auto"/>
            </w:tcBorders>
            <w:shd w:val="clear" w:color="auto" w:fill="auto"/>
            <w:hideMark/>
          </w:tcPr>
          <w:p w14:paraId="70226303" w14:textId="77777777" w:rsidR="00990DEA" w:rsidRPr="00830F4C" w:rsidRDefault="00990DEA" w:rsidP="00990DEA">
            <w:pPr>
              <w:jc w:val="center"/>
              <w:rPr>
                <w:rFonts w:ascii="Garamond" w:hAnsi="Garamond"/>
                <w:sz w:val="20"/>
              </w:rPr>
            </w:pPr>
            <w:r w:rsidRPr="00830F4C">
              <w:rPr>
                <w:rFonts w:ascii="Garamond" w:hAnsi="Garamond"/>
                <w:sz w:val="20"/>
              </w:rPr>
              <w:t>0.05%</w:t>
            </w:r>
          </w:p>
        </w:tc>
        <w:tc>
          <w:tcPr>
            <w:tcW w:w="0" w:type="auto"/>
            <w:tcBorders>
              <w:top w:val="nil"/>
              <w:left w:val="nil"/>
              <w:bottom w:val="single" w:sz="4" w:space="0" w:color="auto"/>
              <w:right w:val="single" w:sz="4" w:space="0" w:color="auto"/>
            </w:tcBorders>
            <w:shd w:val="clear" w:color="auto" w:fill="auto"/>
            <w:hideMark/>
          </w:tcPr>
          <w:p w14:paraId="723D6C63" w14:textId="77777777" w:rsidR="00990DEA" w:rsidRPr="00830F4C" w:rsidRDefault="00990DEA" w:rsidP="00990DEA">
            <w:pPr>
              <w:jc w:val="center"/>
              <w:rPr>
                <w:rFonts w:ascii="Garamond" w:hAnsi="Garamond"/>
                <w:sz w:val="20"/>
              </w:rPr>
            </w:pPr>
            <w:r w:rsidRPr="00830F4C">
              <w:rPr>
                <w:rFonts w:ascii="Garamond" w:hAnsi="Garamond"/>
                <w:sz w:val="20"/>
              </w:rPr>
              <w:t>0.05%</w:t>
            </w:r>
          </w:p>
        </w:tc>
        <w:tc>
          <w:tcPr>
            <w:tcW w:w="0" w:type="auto"/>
            <w:tcBorders>
              <w:top w:val="nil"/>
              <w:left w:val="nil"/>
              <w:bottom w:val="single" w:sz="4" w:space="0" w:color="auto"/>
              <w:right w:val="single" w:sz="4" w:space="0" w:color="auto"/>
            </w:tcBorders>
            <w:shd w:val="clear" w:color="auto" w:fill="auto"/>
            <w:hideMark/>
          </w:tcPr>
          <w:p w14:paraId="39740D5F" w14:textId="77777777" w:rsidR="00990DEA" w:rsidRPr="00830F4C" w:rsidRDefault="00990DEA" w:rsidP="00990DEA">
            <w:pPr>
              <w:jc w:val="center"/>
              <w:rPr>
                <w:rFonts w:ascii="Garamond" w:hAnsi="Garamond"/>
                <w:sz w:val="20"/>
              </w:rPr>
            </w:pPr>
            <w:r w:rsidRPr="00830F4C">
              <w:rPr>
                <w:rFonts w:ascii="Garamond" w:hAnsi="Garamond"/>
                <w:sz w:val="20"/>
              </w:rPr>
              <w:t>0.16%</w:t>
            </w:r>
          </w:p>
        </w:tc>
      </w:tr>
      <w:tr w:rsidR="00990DEA" w:rsidRPr="00830F4C" w14:paraId="3FCB6A92" w14:textId="77777777" w:rsidTr="00990DEA">
        <w:trPr>
          <w:trHeight w:val="20"/>
        </w:trPr>
        <w:tc>
          <w:tcPr>
            <w:tcW w:w="0" w:type="auto"/>
            <w:tcBorders>
              <w:top w:val="nil"/>
              <w:left w:val="single" w:sz="4" w:space="0" w:color="auto"/>
              <w:bottom w:val="single" w:sz="4" w:space="0" w:color="auto"/>
              <w:right w:val="single" w:sz="4" w:space="0" w:color="auto"/>
            </w:tcBorders>
            <w:shd w:val="clear" w:color="auto" w:fill="auto"/>
            <w:hideMark/>
          </w:tcPr>
          <w:p w14:paraId="76DDF680" w14:textId="77777777" w:rsidR="00990DEA" w:rsidRPr="00830F4C" w:rsidRDefault="00990DEA" w:rsidP="00990DEA">
            <w:pPr>
              <w:jc w:val="center"/>
              <w:rPr>
                <w:rFonts w:ascii="Garamond" w:hAnsi="Garamond"/>
                <w:b/>
                <w:sz w:val="20"/>
              </w:rPr>
            </w:pPr>
            <w:r w:rsidRPr="00830F4C">
              <w:rPr>
                <w:rFonts w:ascii="Garamond" w:hAnsi="Garamond"/>
                <w:b/>
                <w:sz w:val="20"/>
              </w:rPr>
              <w:t>Totali</w:t>
            </w:r>
          </w:p>
        </w:tc>
        <w:tc>
          <w:tcPr>
            <w:tcW w:w="0" w:type="auto"/>
            <w:tcBorders>
              <w:top w:val="nil"/>
              <w:left w:val="nil"/>
              <w:bottom w:val="single" w:sz="4" w:space="0" w:color="auto"/>
              <w:right w:val="single" w:sz="4" w:space="0" w:color="auto"/>
            </w:tcBorders>
            <w:shd w:val="clear" w:color="auto" w:fill="auto"/>
            <w:hideMark/>
          </w:tcPr>
          <w:p w14:paraId="3C468B5B" w14:textId="77777777" w:rsidR="00990DEA" w:rsidRPr="00830F4C" w:rsidRDefault="00990DEA" w:rsidP="00990DEA">
            <w:pPr>
              <w:jc w:val="center"/>
              <w:rPr>
                <w:rFonts w:ascii="Garamond" w:hAnsi="Garamond"/>
                <w:b/>
                <w:sz w:val="20"/>
              </w:rPr>
            </w:pPr>
            <w:r w:rsidRPr="00830F4C">
              <w:rPr>
                <w:rFonts w:ascii="Garamond" w:hAnsi="Garamond"/>
                <w:b/>
                <w:sz w:val="20"/>
              </w:rPr>
              <w:t>0.24%</w:t>
            </w:r>
          </w:p>
        </w:tc>
        <w:tc>
          <w:tcPr>
            <w:tcW w:w="0" w:type="auto"/>
            <w:tcBorders>
              <w:top w:val="nil"/>
              <w:left w:val="nil"/>
              <w:bottom w:val="single" w:sz="4" w:space="0" w:color="auto"/>
              <w:right w:val="single" w:sz="4" w:space="0" w:color="auto"/>
            </w:tcBorders>
            <w:shd w:val="clear" w:color="auto" w:fill="auto"/>
            <w:hideMark/>
          </w:tcPr>
          <w:p w14:paraId="795CE976" w14:textId="77777777" w:rsidR="00990DEA" w:rsidRPr="00830F4C" w:rsidRDefault="00990DEA" w:rsidP="00990DEA">
            <w:pPr>
              <w:jc w:val="center"/>
              <w:rPr>
                <w:rFonts w:ascii="Garamond" w:hAnsi="Garamond"/>
                <w:b/>
                <w:sz w:val="20"/>
              </w:rPr>
            </w:pPr>
            <w:r w:rsidRPr="00830F4C">
              <w:rPr>
                <w:rFonts w:ascii="Garamond" w:hAnsi="Garamond"/>
                <w:b/>
                <w:sz w:val="20"/>
              </w:rPr>
              <w:t>0.28%</w:t>
            </w:r>
          </w:p>
        </w:tc>
        <w:tc>
          <w:tcPr>
            <w:tcW w:w="0" w:type="auto"/>
            <w:tcBorders>
              <w:top w:val="nil"/>
              <w:left w:val="nil"/>
              <w:bottom w:val="single" w:sz="4" w:space="0" w:color="auto"/>
              <w:right w:val="single" w:sz="4" w:space="0" w:color="auto"/>
            </w:tcBorders>
            <w:shd w:val="clear" w:color="auto" w:fill="auto"/>
            <w:hideMark/>
          </w:tcPr>
          <w:p w14:paraId="7C75580A" w14:textId="77777777" w:rsidR="00990DEA" w:rsidRPr="00830F4C" w:rsidRDefault="00990DEA" w:rsidP="00990DEA">
            <w:pPr>
              <w:jc w:val="center"/>
              <w:rPr>
                <w:rFonts w:ascii="Garamond" w:hAnsi="Garamond"/>
                <w:b/>
                <w:sz w:val="20"/>
              </w:rPr>
            </w:pPr>
            <w:r w:rsidRPr="00830F4C">
              <w:rPr>
                <w:rFonts w:ascii="Garamond" w:hAnsi="Garamond"/>
                <w:b/>
                <w:sz w:val="20"/>
              </w:rPr>
              <w:t>0.17%</w:t>
            </w:r>
          </w:p>
        </w:tc>
        <w:tc>
          <w:tcPr>
            <w:tcW w:w="0" w:type="auto"/>
            <w:tcBorders>
              <w:top w:val="nil"/>
              <w:left w:val="nil"/>
              <w:bottom w:val="single" w:sz="4" w:space="0" w:color="auto"/>
              <w:right w:val="single" w:sz="4" w:space="0" w:color="auto"/>
            </w:tcBorders>
            <w:shd w:val="clear" w:color="auto" w:fill="auto"/>
            <w:hideMark/>
          </w:tcPr>
          <w:p w14:paraId="3CBF615B" w14:textId="77777777" w:rsidR="00990DEA" w:rsidRPr="00830F4C" w:rsidRDefault="00990DEA" w:rsidP="00990DEA">
            <w:pPr>
              <w:jc w:val="center"/>
              <w:rPr>
                <w:rFonts w:ascii="Garamond" w:hAnsi="Garamond"/>
                <w:b/>
                <w:sz w:val="20"/>
              </w:rPr>
            </w:pPr>
            <w:r w:rsidRPr="00830F4C">
              <w:rPr>
                <w:rFonts w:ascii="Garamond" w:hAnsi="Garamond"/>
                <w:b/>
                <w:sz w:val="20"/>
              </w:rPr>
              <w:t>0.18%</w:t>
            </w:r>
          </w:p>
        </w:tc>
        <w:tc>
          <w:tcPr>
            <w:tcW w:w="0" w:type="auto"/>
            <w:tcBorders>
              <w:top w:val="nil"/>
              <w:left w:val="nil"/>
              <w:bottom w:val="single" w:sz="4" w:space="0" w:color="auto"/>
              <w:right w:val="single" w:sz="4" w:space="0" w:color="auto"/>
            </w:tcBorders>
            <w:shd w:val="clear" w:color="auto" w:fill="auto"/>
            <w:hideMark/>
          </w:tcPr>
          <w:p w14:paraId="1506C54A" w14:textId="77777777" w:rsidR="00990DEA" w:rsidRPr="00830F4C" w:rsidRDefault="00990DEA" w:rsidP="00990DEA">
            <w:pPr>
              <w:jc w:val="center"/>
              <w:rPr>
                <w:rFonts w:ascii="Garamond" w:hAnsi="Garamond"/>
                <w:b/>
                <w:sz w:val="20"/>
              </w:rPr>
            </w:pPr>
            <w:r w:rsidRPr="00830F4C">
              <w:rPr>
                <w:rFonts w:ascii="Garamond" w:hAnsi="Garamond"/>
                <w:b/>
                <w:sz w:val="20"/>
              </w:rPr>
              <w:t>0.87%</w:t>
            </w:r>
          </w:p>
        </w:tc>
      </w:tr>
    </w:tbl>
    <w:p w14:paraId="79C42FD6" w14:textId="77777777" w:rsidR="00990DEA" w:rsidRPr="00830F4C" w:rsidRDefault="00990DEA" w:rsidP="00990DEA">
      <w:pPr>
        <w:autoSpaceDE w:val="0"/>
        <w:autoSpaceDN w:val="0"/>
        <w:adjustRightInd w:val="0"/>
        <w:ind w:firstLine="284"/>
        <w:jc w:val="both"/>
        <w:rPr>
          <w:rFonts w:ascii="Garamond" w:eastAsia="MS Mincho" w:hAnsi="Garamond"/>
          <w:b/>
        </w:rPr>
      </w:pPr>
      <w:r w:rsidRPr="00830F4C">
        <w:rPr>
          <w:rFonts w:ascii="Garamond" w:eastAsia="MS Mincho" w:hAnsi="Garamond"/>
          <w:b/>
        </w:rPr>
        <w:t>Prioritetet:</w:t>
      </w:r>
    </w:p>
    <w:p w14:paraId="766C2BE9" w14:textId="77CE001E" w:rsidR="00990DEA" w:rsidRPr="00830F4C" w:rsidRDefault="00990DEA" w:rsidP="000E6B7C">
      <w:pPr>
        <w:autoSpaceDE w:val="0"/>
        <w:autoSpaceDN w:val="0"/>
        <w:adjustRightInd w:val="0"/>
        <w:ind w:firstLine="284"/>
        <w:jc w:val="both"/>
        <w:rPr>
          <w:rFonts w:ascii="Garamond" w:eastAsia="MS Mincho" w:hAnsi="Garamond"/>
        </w:rPr>
      </w:pPr>
      <w:r w:rsidRPr="00830F4C">
        <w:rPr>
          <w:rFonts w:ascii="Garamond" w:eastAsia="MS Mincho" w:hAnsi="Garamond"/>
        </w:rPr>
        <w:t>Prioritetet për periudhën</w:t>
      </w:r>
      <w:r w:rsidR="00800B00" w:rsidRPr="00830F4C">
        <w:rPr>
          <w:rFonts w:ascii="Garamond" w:eastAsia="MS Mincho" w:hAnsi="Garamond"/>
        </w:rPr>
        <w:t xml:space="preserve"> </w:t>
      </w:r>
      <w:r w:rsidR="00D22EA5" w:rsidRPr="00830F4C">
        <w:rPr>
          <w:rFonts w:ascii="Garamond" w:eastAsia="MS Mincho" w:hAnsi="Garamond"/>
        </w:rPr>
        <w:t>2024–2027</w:t>
      </w:r>
      <w:r w:rsidRPr="00830F4C">
        <w:rPr>
          <w:rFonts w:ascii="Garamond" w:eastAsia="MS Mincho" w:hAnsi="Garamond"/>
        </w:rPr>
        <w:t xml:space="preserve"> janë:</w:t>
      </w:r>
    </w:p>
    <w:p w14:paraId="2EDD7D8F" w14:textId="77777777" w:rsidR="00990DEA" w:rsidRPr="00830F4C" w:rsidRDefault="00990DEA" w:rsidP="000E6B7C">
      <w:pPr>
        <w:autoSpaceDE w:val="0"/>
        <w:autoSpaceDN w:val="0"/>
        <w:adjustRightInd w:val="0"/>
        <w:ind w:firstLine="284"/>
        <w:jc w:val="both"/>
        <w:rPr>
          <w:rFonts w:ascii="Garamond" w:eastAsia="MS Mincho" w:hAnsi="Garamond"/>
        </w:rPr>
      </w:pPr>
      <w:r w:rsidRPr="00830F4C">
        <w:rPr>
          <w:rFonts w:ascii="Garamond" w:eastAsiaTheme="minorHAnsi" w:hAnsi="Garamond"/>
        </w:rPr>
        <w:t xml:space="preserve">- </w:t>
      </w:r>
      <w:r w:rsidRPr="00830F4C">
        <w:rPr>
          <w:rFonts w:ascii="Garamond" w:eastAsia="MS Mincho" w:hAnsi="Garamond"/>
        </w:rPr>
        <w:t>Zbatimi i kushteve të Planit të Rritjes për hetimet tatimore për rastet e shmangies së taksave, nëpërmjet:</w:t>
      </w:r>
    </w:p>
    <w:p w14:paraId="0226B0CB" w14:textId="6C7F942D" w:rsidR="00990DEA" w:rsidRPr="00830F4C" w:rsidRDefault="00990DEA" w:rsidP="000E6B7C">
      <w:pPr>
        <w:autoSpaceDE w:val="0"/>
        <w:autoSpaceDN w:val="0"/>
        <w:adjustRightInd w:val="0"/>
        <w:ind w:firstLine="284"/>
        <w:jc w:val="both"/>
        <w:rPr>
          <w:rFonts w:ascii="Garamond" w:eastAsia="MS Mincho" w:hAnsi="Garamond"/>
        </w:rPr>
      </w:pPr>
      <w:r w:rsidRPr="00830F4C">
        <w:rPr>
          <w:rFonts w:ascii="Garamond" w:eastAsiaTheme="minorHAnsi" w:hAnsi="Garamond"/>
        </w:rPr>
        <w:t xml:space="preserve">- </w:t>
      </w:r>
      <w:r w:rsidRPr="00830F4C">
        <w:rPr>
          <w:rFonts w:ascii="Garamond" w:eastAsia="MS Mincho" w:hAnsi="Garamond"/>
        </w:rPr>
        <w:t>Kryerj</w:t>
      </w:r>
      <w:r w:rsidR="000E6B7C">
        <w:rPr>
          <w:rFonts w:ascii="Garamond" w:eastAsia="MS Mincho" w:hAnsi="Garamond"/>
        </w:rPr>
        <w:t>es</w:t>
      </w:r>
      <w:r w:rsidRPr="00830F4C">
        <w:rPr>
          <w:rFonts w:ascii="Garamond" w:eastAsia="MS Mincho" w:hAnsi="Garamond"/>
        </w:rPr>
        <w:t xml:space="preserve"> </w:t>
      </w:r>
      <w:r w:rsidR="000E6B7C" w:rsidRPr="00830F4C">
        <w:rPr>
          <w:rFonts w:ascii="Garamond" w:eastAsia="MS Mincho" w:hAnsi="Garamond"/>
        </w:rPr>
        <w:t>së</w:t>
      </w:r>
      <w:r w:rsidRPr="00830F4C">
        <w:rPr>
          <w:rFonts w:ascii="Garamond" w:eastAsia="MS Mincho" w:hAnsi="Garamond"/>
        </w:rPr>
        <w:t xml:space="preserve"> hetimeve ndaj 500 tatimpaguesve, brenda </w:t>
      </w:r>
      <w:r w:rsidR="000E6B7C">
        <w:rPr>
          <w:rFonts w:ascii="Garamond" w:eastAsia="MS Mincho" w:hAnsi="Garamond"/>
        </w:rPr>
        <w:t>q</w:t>
      </w:r>
      <w:r w:rsidRPr="00830F4C">
        <w:rPr>
          <w:rFonts w:ascii="Garamond" w:eastAsia="MS Mincho" w:hAnsi="Garamond"/>
        </w:rPr>
        <w:t>ershorit 2027</w:t>
      </w:r>
      <w:r w:rsidR="000E6B7C">
        <w:rPr>
          <w:rFonts w:ascii="Garamond" w:eastAsia="MS Mincho" w:hAnsi="Garamond"/>
        </w:rPr>
        <w:t>;</w:t>
      </w:r>
      <w:r w:rsidRPr="00830F4C">
        <w:rPr>
          <w:rFonts w:ascii="Garamond" w:eastAsia="MS Mincho" w:hAnsi="Garamond"/>
        </w:rPr>
        <w:t xml:space="preserve"> </w:t>
      </w:r>
    </w:p>
    <w:p w14:paraId="2159070F" w14:textId="7564652D" w:rsidR="00990DEA" w:rsidRPr="00830F4C" w:rsidRDefault="00990DEA" w:rsidP="000E6B7C">
      <w:pPr>
        <w:autoSpaceDE w:val="0"/>
        <w:autoSpaceDN w:val="0"/>
        <w:adjustRightInd w:val="0"/>
        <w:ind w:firstLine="284"/>
        <w:jc w:val="both"/>
        <w:rPr>
          <w:rFonts w:ascii="Garamond" w:eastAsia="MS Mincho" w:hAnsi="Garamond"/>
        </w:rPr>
      </w:pPr>
      <w:r w:rsidRPr="00830F4C">
        <w:rPr>
          <w:rFonts w:ascii="Garamond" w:eastAsiaTheme="minorHAnsi" w:hAnsi="Garamond"/>
        </w:rPr>
        <w:t xml:space="preserve">- </w:t>
      </w:r>
      <w:r w:rsidRPr="00830F4C">
        <w:rPr>
          <w:rFonts w:ascii="Garamond" w:eastAsia="MS Mincho" w:hAnsi="Garamond"/>
        </w:rPr>
        <w:t>Kryerjes së investigimeve për raste të antishmangies tatimore nëpërmjet një liste konkrete masash</w:t>
      </w:r>
      <w:r w:rsidR="000E6B7C">
        <w:rPr>
          <w:rFonts w:ascii="Garamond" w:eastAsia="MS Mincho" w:hAnsi="Garamond"/>
        </w:rPr>
        <w:t>;</w:t>
      </w:r>
    </w:p>
    <w:p w14:paraId="6F707D7A" w14:textId="278A5FAB" w:rsidR="00990DEA" w:rsidRPr="00830F4C" w:rsidRDefault="00990DEA" w:rsidP="000E6B7C">
      <w:pPr>
        <w:autoSpaceDE w:val="0"/>
        <w:autoSpaceDN w:val="0"/>
        <w:adjustRightInd w:val="0"/>
        <w:ind w:firstLine="284"/>
        <w:jc w:val="both"/>
        <w:rPr>
          <w:rFonts w:ascii="Garamond" w:eastAsia="MS Mincho" w:hAnsi="Garamond"/>
        </w:rPr>
      </w:pPr>
      <w:r w:rsidRPr="00830F4C">
        <w:rPr>
          <w:rFonts w:ascii="Garamond" w:eastAsiaTheme="minorHAnsi" w:hAnsi="Garamond"/>
        </w:rPr>
        <w:t xml:space="preserve">- </w:t>
      </w:r>
      <w:r w:rsidRPr="00830F4C">
        <w:rPr>
          <w:rFonts w:ascii="Garamond" w:eastAsia="MS Mincho" w:hAnsi="Garamond"/>
        </w:rPr>
        <w:t>Fuqizimi të investigimeve tatimore</w:t>
      </w:r>
      <w:r w:rsidR="000E6B7C">
        <w:rPr>
          <w:rFonts w:ascii="Garamond" w:eastAsia="MS Mincho" w:hAnsi="Garamond"/>
        </w:rPr>
        <w:t>;</w:t>
      </w:r>
    </w:p>
    <w:p w14:paraId="498A968C" w14:textId="0284E164" w:rsidR="00990DEA" w:rsidRPr="00830F4C" w:rsidRDefault="00990DEA" w:rsidP="000E6B7C">
      <w:pPr>
        <w:autoSpaceDE w:val="0"/>
        <w:autoSpaceDN w:val="0"/>
        <w:adjustRightInd w:val="0"/>
        <w:ind w:firstLine="284"/>
        <w:jc w:val="both"/>
        <w:rPr>
          <w:rFonts w:ascii="Garamond" w:eastAsia="MS Mincho" w:hAnsi="Garamond"/>
        </w:rPr>
      </w:pPr>
      <w:r w:rsidRPr="00830F4C">
        <w:rPr>
          <w:rFonts w:ascii="Garamond" w:eastAsiaTheme="minorHAnsi" w:hAnsi="Garamond"/>
        </w:rPr>
        <w:t xml:space="preserve">- </w:t>
      </w:r>
      <w:r w:rsidRPr="00830F4C">
        <w:rPr>
          <w:rFonts w:ascii="Garamond" w:eastAsia="MS Mincho" w:hAnsi="Garamond"/>
        </w:rPr>
        <w:t>Udhëzimi mbi zbatimin e rregullave për antishmangien tatimore</w:t>
      </w:r>
      <w:r w:rsidR="000E6B7C">
        <w:rPr>
          <w:rFonts w:ascii="Garamond" w:eastAsia="MS Mincho" w:hAnsi="Garamond"/>
        </w:rPr>
        <w:t>;</w:t>
      </w:r>
    </w:p>
    <w:p w14:paraId="64BE61FB" w14:textId="3EC76AA2" w:rsidR="00990DEA" w:rsidRPr="00830F4C" w:rsidRDefault="00990DEA" w:rsidP="000E6B7C">
      <w:pPr>
        <w:autoSpaceDE w:val="0"/>
        <w:autoSpaceDN w:val="0"/>
        <w:adjustRightInd w:val="0"/>
        <w:ind w:firstLine="284"/>
        <w:jc w:val="both"/>
        <w:rPr>
          <w:rFonts w:ascii="Garamond" w:eastAsia="MS Mincho" w:hAnsi="Garamond"/>
        </w:rPr>
      </w:pPr>
      <w:r w:rsidRPr="00830F4C">
        <w:rPr>
          <w:rFonts w:ascii="Garamond" w:eastAsiaTheme="minorHAnsi" w:hAnsi="Garamond"/>
        </w:rPr>
        <w:t xml:space="preserve">- </w:t>
      </w:r>
      <w:r w:rsidRPr="00830F4C">
        <w:rPr>
          <w:rFonts w:ascii="Garamond" w:eastAsia="MS Mincho" w:hAnsi="Garamond"/>
        </w:rPr>
        <w:t xml:space="preserve">Administrata tatimore ka kapacitetet njerëzore dhe </w:t>
      </w:r>
      <w:r w:rsidR="00236281" w:rsidRPr="00830F4C">
        <w:rPr>
          <w:rFonts w:ascii="Garamond" w:eastAsia="MS Mincho" w:hAnsi="Garamond"/>
        </w:rPr>
        <w:t>instrumentet</w:t>
      </w:r>
      <w:r w:rsidRPr="00830F4C">
        <w:rPr>
          <w:rFonts w:ascii="Garamond" w:eastAsia="MS Mincho" w:hAnsi="Garamond"/>
        </w:rPr>
        <w:t xml:space="preserve"> e duhur</w:t>
      </w:r>
      <w:r w:rsidR="000E6B7C">
        <w:rPr>
          <w:rFonts w:ascii="Garamond" w:eastAsia="MS Mincho" w:hAnsi="Garamond"/>
        </w:rPr>
        <w:t>a</w:t>
      </w:r>
      <w:r w:rsidRPr="00830F4C">
        <w:rPr>
          <w:rFonts w:ascii="Garamond" w:eastAsia="MS Mincho" w:hAnsi="Garamond"/>
        </w:rPr>
        <w:t xml:space="preserve"> për të bërë investigime në fushën e antishmangies tatimore;</w:t>
      </w:r>
    </w:p>
    <w:p w14:paraId="76C1D450" w14:textId="117528CB" w:rsidR="00990DEA" w:rsidRPr="00830F4C" w:rsidRDefault="00990DEA" w:rsidP="000E6B7C">
      <w:pPr>
        <w:autoSpaceDE w:val="0"/>
        <w:autoSpaceDN w:val="0"/>
        <w:adjustRightInd w:val="0"/>
        <w:ind w:firstLine="284"/>
        <w:jc w:val="both"/>
        <w:rPr>
          <w:rFonts w:ascii="Garamond" w:eastAsia="MS Mincho" w:hAnsi="Garamond"/>
        </w:rPr>
      </w:pPr>
      <w:r w:rsidRPr="00830F4C">
        <w:rPr>
          <w:rFonts w:ascii="Garamond" w:eastAsiaTheme="minorHAnsi" w:hAnsi="Garamond"/>
        </w:rPr>
        <w:t xml:space="preserve">- </w:t>
      </w:r>
      <w:r w:rsidRPr="00830F4C">
        <w:rPr>
          <w:rFonts w:ascii="Garamond" w:eastAsia="MS Mincho" w:hAnsi="Garamond"/>
        </w:rPr>
        <w:t>Plane sektoriale për rastet e vet</w:t>
      </w:r>
      <w:r w:rsidR="008C0C0F" w:rsidRPr="00830F4C">
        <w:rPr>
          <w:rFonts w:ascii="Garamond" w:eastAsia="MS Mincho" w:hAnsi="Garamond"/>
        </w:rPr>
        <w:t>ë</w:t>
      </w:r>
      <w:r w:rsidRPr="00830F4C">
        <w:rPr>
          <w:rFonts w:ascii="Garamond" w:eastAsia="MS Mincho" w:hAnsi="Garamond"/>
        </w:rPr>
        <w:t>punësimit dhe ndarjes artificiale të bizneseve</w:t>
      </w:r>
      <w:r w:rsidR="000E6B7C">
        <w:rPr>
          <w:rFonts w:ascii="Garamond" w:eastAsia="MS Mincho" w:hAnsi="Garamond"/>
        </w:rPr>
        <w:t>;</w:t>
      </w:r>
    </w:p>
    <w:p w14:paraId="04FB041E" w14:textId="25F7AC34" w:rsidR="00990DEA" w:rsidRPr="00830F4C" w:rsidRDefault="00990DEA" w:rsidP="000E6B7C">
      <w:pPr>
        <w:autoSpaceDE w:val="0"/>
        <w:autoSpaceDN w:val="0"/>
        <w:adjustRightInd w:val="0"/>
        <w:ind w:firstLine="284"/>
        <w:jc w:val="both"/>
        <w:rPr>
          <w:rFonts w:ascii="Garamond" w:eastAsia="MS Mincho" w:hAnsi="Garamond"/>
        </w:rPr>
      </w:pPr>
      <w:r w:rsidRPr="00830F4C">
        <w:rPr>
          <w:rFonts w:ascii="Garamond" w:eastAsiaTheme="minorHAnsi" w:hAnsi="Garamond"/>
        </w:rPr>
        <w:t xml:space="preserve">- </w:t>
      </w:r>
      <w:r w:rsidRPr="00830F4C">
        <w:rPr>
          <w:rFonts w:ascii="Garamond" w:eastAsia="MS Mincho" w:hAnsi="Garamond"/>
        </w:rPr>
        <w:t>Rritja e të ardhurave nga tatimi mbi fitimin me 0.7% e PBB</w:t>
      </w:r>
      <w:r w:rsidR="00236281" w:rsidRPr="00830F4C">
        <w:rPr>
          <w:rFonts w:ascii="Garamond" w:hAnsi="Garamond"/>
        </w:rPr>
        <w:t>-së</w:t>
      </w:r>
      <w:r w:rsidRPr="00830F4C">
        <w:rPr>
          <w:rFonts w:ascii="Garamond" w:eastAsia="MS Mincho" w:hAnsi="Garamond"/>
        </w:rPr>
        <w:t>, për katër vjet;</w:t>
      </w:r>
    </w:p>
    <w:p w14:paraId="2CD99A89" w14:textId="299611F8" w:rsidR="00990DEA" w:rsidRPr="00830F4C" w:rsidRDefault="00990DEA" w:rsidP="000E6B7C">
      <w:pPr>
        <w:autoSpaceDE w:val="0"/>
        <w:autoSpaceDN w:val="0"/>
        <w:adjustRightInd w:val="0"/>
        <w:ind w:firstLine="284"/>
        <w:jc w:val="both"/>
        <w:rPr>
          <w:rFonts w:ascii="Garamond" w:eastAsia="MS Mincho" w:hAnsi="Garamond"/>
        </w:rPr>
      </w:pPr>
      <w:r w:rsidRPr="00830F4C">
        <w:rPr>
          <w:rFonts w:ascii="Garamond" w:eastAsiaTheme="minorHAnsi" w:hAnsi="Garamond"/>
        </w:rPr>
        <w:t xml:space="preserve">- </w:t>
      </w:r>
      <w:r w:rsidRPr="00830F4C">
        <w:rPr>
          <w:rFonts w:ascii="Garamond" w:eastAsia="MS Mincho" w:hAnsi="Garamond"/>
        </w:rPr>
        <w:t xml:space="preserve">Rritja e të ardhurave nga tatimi mbi </w:t>
      </w:r>
      <w:r w:rsidR="00236281" w:rsidRPr="00830F4C">
        <w:rPr>
          <w:rFonts w:ascii="Garamond" w:eastAsia="MS Mincho" w:hAnsi="Garamond"/>
        </w:rPr>
        <w:t>qiratë</w:t>
      </w:r>
      <w:r w:rsidRPr="00830F4C">
        <w:rPr>
          <w:rFonts w:ascii="Garamond" w:eastAsia="MS Mincho" w:hAnsi="Garamond"/>
        </w:rPr>
        <w:t xml:space="preserve"> me 0.16% të PBB</w:t>
      </w:r>
      <w:r w:rsidR="00236281" w:rsidRPr="00830F4C">
        <w:rPr>
          <w:rFonts w:ascii="Garamond" w:hAnsi="Garamond"/>
        </w:rPr>
        <w:t>-së</w:t>
      </w:r>
      <w:r w:rsidRPr="00830F4C">
        <w:rPr>
          <w:rFonts w:ascii="Garamond" w:eastAsia="MS Mincho" w:hAnsi="Garamond"/>
        </w:rPr>
        <w:t>, për katër vjet;</w:t>
      </w:r>
    </w:p>
    <w:p w14:paraId="330A56FB" w14:textId="77777777" w:rsidR="00990DEA" w:rsidRPr="00830F4C" w:rsidRDefault="00990DEA" w:rsidP="00990DEA">
      <w:pPr>
        <w:ind w:left="360"/>
        <w:jc w:val="both"/>
        <w:rPr>
          <w:rFonts w:ascii="Garamond" w:hAnsi="Garamond"/>
          <w:b/>
        </w:rPr>
      </w:pPr>
      <w:r w:rsidRPr="00830F4C">
        <w:rPr>
          <w:rFonts w:ascii="Garamond" w:hAnsi="Garamond"/>
          <w:b/>
        </w:rPr>
        <w:t>Masat dhe aktivitetet</w:t>
      </w:r>
    </w:p>
    <w:tbl>
      <w:tblPr>
        <w:tblStyle w:val="TableGrid"/>
        <w:tblW w:w="0" w:type="auto"/>
        <w:tblLook w:val="04A0" w:firstRow="1" w:lastRow="0" w:firstColumn="1" w:lastColumn="0" w:noHBand="0" w:noVBand="1"/>
      </w:tblPr>
      <w:tblGrid>
        <w:gridCol w:w="2275"/>
        <w:gridCol w:w="3030"/>
        <w:gridCol w:w="813"/>
        <w:gridCol w:w="1343"/>
        <w:gridCol w:w="1555"/>
      </w:tblGrid>
      <w:tr w:rsidR="00990DEA" w:rsidRPr="00CC11D5" w14:paraId="6E75B981" w14:textId="77777777" w:rsidTr="006B61C6">
        <w:trPr>
          <w:trHeight w:val="20"/>
        </w:trPr>
        <w:tc>
          <w:tcPr>
            <w:tcW w:w="2275" w:type="dxa"/>
            <w:vAlign w:val="center"/>
          </w:tcPr>
          <w:p w14:paraId="2EB7B387" w14:textId="77777777" w:rsidR="00990DEA" w:rsidRPr="00CC11D5" w:rsidRDefault="00990DEA" w:rsidP="006B61C6">
            <w:pPr>
              <w:jc w:val="center"/>
              <w:rPr>
                <w:rFonts w:ascii="Garamond" w:hAnsi="Garamond"/>
                <w:b/>
                <w:sz w:val="12"/>
                <w:szCs w:val="12"/>
              </w:rPr>
            </w:pPr>
            <w:r w:rsidRPr="00CC11D5">
              <w:rPr>
                <w:rFonts w:ascii="Garamond" w:hAnsi="Garamond"/>
                <w:b/>
                <w:sz w:val="12"/>
                <w:szCs w:val="12"/>
              </w:rPr>
              <w:t>Masa</w:t>
            </w:r>
          </w:p>
        </w:tc>
        <w:tc>
          <w:tcPr>
            <w:tcW w:w="3030" w:type="dxa"/>
            <w:vAlign w:val="center"/>
          </w:tcPr>
          <w:p w14:paraId="586EFB70" w14:textId="77777777" w:rsidR="00990DEA" w:rsidRPr="00CC11D5" w:rsidRDefault="00990DEA" w:rsidP="006B61C6">
            <w:pPr>
              <w:jc w:val="center"/>
              <w:rPr>
                <w:rFonts w:ascii="Garamond" w:hAnsi="Garamond"/>
                <w:b/>
                <w:sz w:val="12"/>
                <w:szCs w:val="12"/>
              </w:rPr>
            </w:pPr>
            <w:r w:rsidRPr="00CC11D5">
              <w:rPr>
                <w:rFonts w:ascii="Garamond" w:hAnsi="Garamond"/>
                <w:b/>
                <w:sz w:val="12"/>
                <w:szCs w:val="12"/>
              </w:rPr>
              <w:t>Aktivitetet</w:t>
            </w:r>
          </w:p>
        </w:tc>
        <w:tc>
          <w:tcPr>
            <w:tcW w:w="813" w:type="dxa"/>
            <w:vAlign w:val="center"/>
          </w:tcPr>
          <w:p w14:paraId="34B0D6C6" w14:textId="77777777" w:rsidR="00990DEA" w:rsidRPr="00CC11D5" w:rsidRDefault="00990DEA" w:rsidP="006B61C6">
            <w:pPr>
              <w:jc w:val="center"/>
              <w:rPr>
                <w:rFonts w:ascii="Garamond" w:hAnsi="Garamond"/>
                <w:b/>
                <w:sz w:val="12"/>
                <w:szCs w:val="12"/>
              </w:rPr>
            </w:pPr>
            <w:r w:rsidRPr="00CC11D5">
              <w:rPr>
                <w:rFonts w:ascii="Garamond" w:hAnsi="Garamond"/>
                <w:b/>
                <w:sz w:val="12"/>
                <w:szCs w:val="12"/>
              </w:rPr>
              <w:t>Fillimi</w:t>
            </w:r>
          </w:p>
        </w:tc>
        <w:tc>
          <w:tcPr>
            <w:tcW w:w="1343" w:type="dxa"/>
            <w:vAlign w:val="center"/>
          </w:tcPr>
          <w:p w14:paraId="7F2C30A9" w14:textId="77777777" w:rsidR="00990DEA" w:rsidRPr="00CC11D5" w:rsidRDefault="00990DEA" w:rsidP="006B61C6">
            <w:pPr>
              <w:jc w:val="center"/>
              <w:rPr>
                <w:rFonts w:ascii="Garamond" w:hAnsi="Garamond"/>
                <w:b/>
                <w:sz w:val="12"/>
                <w:szCs w:val="12"/>
              </w:rPr>
            </w:pPr>
            <w:r w:rsidRPr="00CC11D5">
              <w:rPr>
                <w:rFonts w:ascii="Garamond" w:hAnsi="Garamond"/>
                <w:b/>
                <w:sz w:val="12"/>
                <w:szCs w:val="12"/>
              </w:rPr>
              <w:t>Mbarimi</w:t>
            </w:r>
          </w:p>
        </w:tc>
        <w:tc>
          <w:tcPr>
            <w:tcW w:w="1555" w:type="dxa"/>
            <w:vAlign w:val="center"/>
          </w:tcPr>
          <w:p w14:paraId="5D53AF37" w14:textId="77777777" w:rsidR="00990DEA" w:rsidRPr="00CC11D5" w:rsidRDefault="00990DEA" w:rsidP="006B61C6">
            <w:pPr>
              <w:jc w:val="center"/>
              <w:rPr>
                <w:rFonts w:ascii="Garamond" w:hAnsi="Garamond"/>
                <w:b/>
                <w:sz w:val="12"/>
                <w:szCs w:val="12"/>
              </w:rPr>
            </w:pPr>
            <w:r w:rsidRPr="00CC11D5">
              <w:rPr>
                <w:rFonts w:ascii="Garamond" w:hAnsi="Garamond"/>
                <w:b/>
                <w:sz w:val="12"/>
                <w:szCs w:val="12"/>
              </w:rPr>
              <w:t>Institucioni përgjegjës</w:t>
            </w:r>
          </w:p>
        </w:tc>
      </w:tr>
      <w:tr w:rsidR="00990DEA" w:rsidRPr="00CC11D5" w14:paraId="705A23C3" w14:textId="77777777" w:rsidTr="006B61C6">
        <w:trPr>
          <w:trHeight w:val="20"/>
        </w:trPr>
        <w:tc>
          <w:tcPr>
            <w:tcW w:w="2275" w:type="dxa"/>
            <w:vAlign w:val="center"/>
          </w:tcPr>
          <w:p w14:paraId="355A729D" w14:textId="6CE3B29C" w:rsidR="00990DEA" w:rsidRPr="00CC11D5" w:rsidRDefault="00990DEA" w:rsidP="006B61C6">
            <w:pPr>
              <w:jc w:val="center"/>
              <w:rPr>
                <w:rFonts w:ascii="Garamond" w:hAnsi="Garamond"/>
                <w:sz w:val="12"/>
                <w:szCs w:val="12"/>
              </w:rPr>
            </w:pPr>
            <w:r w:rsidRPr="00CC11D5">
              <w:rPr>
                <w:rFonts w:ascii="Garamond" w:hAnsi="Garamond"/>
                <w:sz w:val="12"/>
                <w:szCs w:val="12"/>
              </w:rPr>
              <w:t>Masa 2.4.1 Rregulli i përgjithshëm antiabuzim (GAAR) zbatohet në mënyrë efektive dhe të veprojë si frenues për organizimet artificiale tatimore</w:t>
            </w:r>
          </w:p>
        </w:tc>
        <w:tc>
          <w:tcPr>
            <w:tcW w:w="3030" w:type="dxa"/>
            <w:vAlign w:val="center"/>
          </w:tcPr>
          <w:p w14:paraId="69EBC879" w14:textId="36426002" w:rsidR="00990DEA" w:rsidRPr="00CC11D5" w:rsidRDefault="00990DEA" w:rsidP="006B61C6">
            <w:pPr>
              <w:jc w:val="center"/>
              <w:rPr>
                <w:rFonts w:ascii="Garamond" w:hAnsi="Garamond"/>
                <w:sz w:val="12"/>
                <w:szCs w:val="12"/>
              </w:rPr>
            </w:pPr>
            <w:r w:rsidRPr="00CC11D5">
              <w:rPr>
                <w:rFonts w:ascii="Garamond" w:hAnsi="Garamond"/>
                <w:sz w:val="12"/>
                <w:szCs w:val="12"/>
              </w:rPr>
              <w:t xml:space="preserve">Aktiviteti 2.4.1.1: Trajnime për stafin e </w:t>
            </w:r>
            <w:r w:rsidR="00236281" w:rsidRPr="00CC11D5">
              <w:rPr>
                <w:rFonts w:ascii="Garamond" w:hAnsi="Garamond"/>
                <w:sz w:val="12"/>
                <w:szCs w:val="12"/>
              </w:rPr>
              <w:t>administratës</w:t>
            </w:r>
            <w:r w:rsidRPr="00CC11D5">
              <w:rPr>
                <w:rFonts w:ascii="Garamond" w:hAnsi="Garamond"/>
                <w:sz w:val="12"/>
                <w:szCs w:val="12"/>
              </w:rPr>
              <w:t xml:space="preserve"> tatimore mbi rregullat dhe kontrollet për antishmangien tatimore</w:t>
            </w:r>
            <w:r w:rsidR="000E6B7C" w:rsidRPr="00CC11D5">
              <w:rPr>
                <w:rFonts w:ascii="Garamond" w:hAnsi="Garamond"/>
                <w:sz w:val="12"/>
                <w:szCs w:val="12"/>
              </w:rPr>
              <w:t>.</w:t>
            </w:r>
          </w:p>
        </w:tc>
        <w:tc>
          <w:tcPr>
            <w:tcW w:w="813" w:type="dxa"/>
            <w:vAlign w:val="center"/>
          </w:tcPr>
          <w:p w14:paraId="1576C930" w14:textId="77777777" w:rsidR="00990DEA" w:rsidRPr="00CC11D5" w:rsidRDefault="00990DEA" w:rsidP="006B61C6">
            <w:pPr>
              <w:jc w:val="center"/>
              <w:rPr>
                <w:rFonts w:ascii="Garamond" w:hAnsi="Garamond"/>
                <w:sz w:val="12"/>
                <w:szCs w:val="12"/>
              </w:rPr>
            </w:pPr>
            <w:r w:rsidRPr="00CC11D5">
              <w:rPr>
                <w:rFonts w:ascii="Garamond" w:hAnsi="Garamond"/>
                <w:sz w:val="12"/>
                <w:szCs w:val="12"/>
              </w:rPr>
              <w:t>2026</w:t>
            </w:r>
          </w:p>
        </w:tc>
        <w:tc>
          <w:tcPr>
            <w:tcW w:w="1343" w:type="dxa"/>
            <w:vAlign w:val="center"/>
          </w:tcPr>
          <w:p w14:paraId="0910FA40" w14:textId="77777777" w:rsidR="00990DEA" w:rsidRPr="00CC11D5" w:rsidRDefault="00990DEA" w:rsidP="006B61C6">
            <w:pPr>
              <w:jc w:val="center"/>
              <w:rPr>
                <w:rFonts w:ascii="Garamond" w:hAnsi="Garamond"/>
                <w:sz w:val="12"/>
                <w:szCs w:val="12"/>
              </w:rPr>
            </w:pPr>
            <w:r w:rsidRPr="00CC11D5">
              <w:rPr>
                <w:rFonts w:ascii="Garamond" w:hAnsi="Garamond"/>
                <w:sz w:val="12"/>
                <w:szCs w:val="12"/>
              </w:rPr>
              <w:t>2027</w:t>
            </w:r>
          </w:p>
        </w:tc>
        <w:tc>
          <w:tcPr>
            <w:tcW w:w="1555" w:type="dxa"/>
            <w:vAlign w:val="center"/>
          </w:tcPr>
          <w:p w14:paraId="6B5D2B7C" w14:textId="77777777" w:rsidR="00990DEA" w:rsidRPr="00CC11D5" w:rsidRDefault="00990DEA" w:rsidP="006B61C6">
            <w:pPr>
              <w:jc w:val="center"/>
              <w:rPr>
                <w:rFonts w:ascii="Garamond" w:hAnsi="Garamond"/>
                <w:sz w:val="12"/>
                <w:szCs w:val="12"/>
              </w:rPr>
            </w:pPr>
            <w:r w:rsidRPr="00CC11D5">
              <w:rPr>
                <w:rFonts w:ascii="Garamond" w:hAnsi="Garamond"/>
                <w:sz w:val="12"/>
                <w:szCs w:val="12"/>
              </w:rPr>
              <w:t>DPT/MF</w:t>
            </w:r>
          </w:p>
        </w:tc>
      </w:tr>
      <w:tr w:rsidR="00990DEA" w:rsidRPr="00CC11D5" w14:paraId="5A78B20E" w14:textId="77777777" w:rsidTr="006B61C6">
        <w:trPr>
          <w:trHeight w:val="20"/>
        </w:trPr>
        <w:tc>
          <w:tcPr>
            <w:tcW w:w="2275" w:type="dxa"/>
            <w:vAlign w:val="center"/>
          </w:tcPr>
          <w:p w14:paraId="4D1AE973" w14:textId="57F319C3" w:rsidR="00990DEA" w:rsidRPr="00CC11D5" w:rsidRDefault="00990DEA" w:rsidP="006B61C6">
            <w:pPr>
              <w:jc w:val="center"/>
              <w:rPr>
                <w:rFonts w:ascii="Garamond" w:hAnsi="Garamond"/>
                <w:sz w:val="12"/>
                <w:szCs w:val="12"/>
              </w:rPr>
            </w:pPr>
            <w:r w:rsidRPr="00CC11D5">
              <w:rPr>
                <w:rFonts w:ascii="Garamond" w:hAnsi="Garamond"/>
                <w:sz w:val="12"/>
                <w:szCs w:val="12"/>
              </w:rPr>
              <w:t>Masa 2.4.2 Hartimi i masave antievazion për të luftuar organizimet artificiale më të përhapura si të vet</w:t>
            </w:r>
            <w:r w:rsidR="008C0C0F" w:rsidRPr="00CC11D5">
              <w:rPr>
                <w:rFonts w:ascii="Garamond" w:hAnsi="Garamond"/>
                <w:sz w:val="12"/>
                <w:szCs w:val="12"/>
              </w:rPr>
              <w:t>ë</w:t>
            </w:r>
            <w:r w:rsidRPr="00CC11D5">
              <w:rPr>
                <w:rFonts w:ascii="Garamond" w:hAnsi="Garamond"/>
                <w:sz w:val="12"/>
                <w:szCs w:val="12"/>
              </w:rPr>
              <w:t>pun</w:t>
            </w:r>
            <w:r w:rsidR="008C0C0F" w:rsidRPr="00CC11D5">
              <w:rPr>
                <w:rFonts w:ascii="Garamond" w:hAnsi="Garamond"/>
                <w:sz w:val="12"/>
                <w:szCs w:val="12"/>
              </w:rPr>
              <w:t>ë</w:t>
            </w:r>
            <w:r w:rsidRPr="00CC11D5">
              <w:rPr>
                <w:rFonts w:ascii="Garamond" w:hAnsi="Garamond"/>
                <w:sz w:val="12"/>
                <w:szCs w:val="12"/>
              </w:rPr>
              <w:t>suarit fiktiv dhe ndarja artificiale e subjekteve</w:t>
            </w:r>
          </w:p>
          <w:p w14:paraId="1C7AB320" w14:textId="77777777" w:rsidR="00990DEA" w:rsidRPr="00CC11D5" w:rsidRDefault="00990DEA" w:rsidP="006B61C6">
            <w:pPr>
              <w:jc w:val="center"/>
              <w:rPr>
                <w:rFonts w:ascii="Garamond" w:hAnsi="Garamond"/>
                <w:sz w:val="12"/>
                <w:szCs w:val="12"/>
              </w:rPr>
            </w:pPr>
          </w:p>
        </w:tc>
        <w:tc>
          <w:tcPr>
            <w:tcW w:w="3030" w:type="dxa"/>
            <w:vAlign w:val="center"/>
          </w:tcPr>
          <w:p w14:paraId="2A369E01" w14:textId="2B69F94E" w:rsidR="00990DEA" w:rsidRPr="00CC11D5" w:rsidRDefault="00990DEA" w:rsidP="006B61C6">
            <w:pPr>
              <w:jc w:val="center"/>
              <w:rPr>
                <w:rFonts w:ascii="Garamond" w:hAnsi="Garamond"/>
                <w:sz w:val="12"/>
                <w:szCs w:val="12"/>
              </w:rPr>
            </w:pPr>
            <w:r w:rsidRPr="00CC11D5">
              <w:rPr>
                <w:rFonts w:ascii="Garamond" w:hAnsi="Garamond"/>
                <w:sz w:val="12"/>
                <w:szCs w:val="12"/>
              </w:rPr>
              <w:t>Aktiviteti 2.4.2.1</w:t>
            </w:r>
            <w:r w:rsidR="000E6B7C" w:rsidRPr="00CC11D5">
              <w:rPr>
                <w:rFonts w:ascii="Garamond" w:hAnsi="Garamond"/>
                <w:sz w:val="12"/>
                <w:szCs w:val="12"/>
              </w:rPr>
              <w:t>:</w:t>
            </w:r>
            <w:r w:rsidRPr="00CC11D5">
              <w:rPr>
                <w:rFonts w:ascii="Garamond" w:hAnsi="Garamond"/>
                <w:sz w:val="12"/>
                <w:szCs w:val="12"/>
              </w:rPr>
              <w:t xml:space="preserve"> Evidentimi dhe trajtimi i tatimpaguesve që përfitojnë nga vet</w:t>
            </w:r>
            <w:r w:rsidR="008C0C0F" w:rsidRPr="00CC11D5">
              <w:rPr>
                <w:rFonts w:ascii="Garamond" w:hAnsi="Garamond"/>
                <w:sz w:val="12"/>
                <w:szCs w:val="12"/>
              </w:rPr>
              <w:t>ë</w:t>
            </w:r>
            <w:r w:rsidRPr="00CC11D5">
              <w:rPr>
                <w:rFonts w:ascii="Garamond" w:hAnsi="Garamond"/>
                <w:sz w:val="12"/>
                <w:szCs w:val="12"/>
              </w:rPr>
              <w:t>punësimi fiktiv dhe</w:t>
            </w:r>
            <w:r w:rsidR="00D22EA5" w:rsidRPr="00CC11D5">
              <w:rPr>
                <w:rFonts w:ascii="Garamond" w:hAnsi="Garamond"/>
                <w:sz w:val="12"/>
                <w:szCs w:val="12"/>
              </w:rPr>
              <w:t xml:space="preserve"> </w:t>
            </w:r>
            <w:r w:rsidRPr="00CC11D5">
              <w:rPr>
                <w:rFonts w:ascii="Garamond" w:hAnsi="Garamond"/>
                <w:sz w:val="12"/>
                <w:szCs w:val="12"/>
              </w:rPr>
              <w:t>ndarja artificial e subjekteve</w:t>
            </w:r>
            <w:r w:rsidR="000E6B7C" w:rsidRPr="00CC11D5">
              <w:rPr>
                <w:rFonts w:ascii="Garamond" w:hAnsi="Garamond"/>
                <w:sz w:val="12"/>
                <w:szCs w:val="12"/>
              </w:rPr>
              <w:t>;</w:t>
            </w:r>
          </w:p>
          <w:p w14:paraId="0C585BDE" w14:textId="1B8DF13E" w:rsidR="00990DEA" w:rsidRPr="00CC11D5" w:rsidRDefault="00990DEA" w:rsidP="006B61C6">
            <w:pPr>
              <w:jc w:val="center"/>
              <w:rPr>
                <w:rFonts w:ascii="Garamond" w:hAnsi="Garamond"/>
                <w:sz w:val="12"/>
                <w:szCs w:val="12"/>
              </w:rPr>
            </w:pPr>
            <w:r w:rsidRPr="00CC11D5">
              <w:rPr>
                <w:rFonts w:ascii="Garamond" w:hAnsi="Garamond"/>
                <w:sz w:val="12"/>
                <w:szCs w:val="12"/>
              </w:rPr>
              <w:t xml:space="preserve">Aktiviteti 2.4.2.2: Hartimi i një plani sektorial </w:t>
            </w:r>
            <w:r w:rsidR="008C0C0F" w:rsidRPr="00CC11D5">
              <w:rPr>
                <w:rFonts w:ascii="Garamond" w:hAnsi="Garamond"/>
                <w:sz w:val="12"/>
                <w:szCs w:val="12"/>
              </w:rPr>
              <w:t>për</w:t>
            </w:r>
            <w:r w:rsidRPr="00CC11D5">
              <w:rPr>
                <w:rFonts w:ascii="Garamond" w:hAnsi="Garamond"/>
                <w:sz w:val="12"/>
                <w:szCs w:val="12"/>
              </w:rPr>
              <w:t xml:space="preserve"> të evidentuar tatimpaguesit me marzhe të vogla në tatim fitim</w:t>
            </w:r>
            <w:r w:rsidR="000E6B7C" w:rsidRPr="00CC11D5">
              <w:rPr>
                <w:rFonts w:ascii="Garamond" w:hAnsi="Garamond"/>
                <w:sz w:val="12"/>
                <w:szCs w:val="12"/>
              </w:rPr>
              <w:t>;</w:t>
            </w:r>
          </w:p>
          <w:p w14:paraId="34C8FC69" w14:textId="2F6C8B13" w:rsidR="00990DEA" w:rsidRPr="00CC11D5" w:rsidRDefault="00990DEA" w:rsidP="006B61C6">
            <w:pPr>
              <w:jc w:val="center"/>
              <w:rPr>
                <w:rFonts w:ascii="Garamond" w:hAnsi="Garamond"/>
                <w:sz w:val="12"/>
                <w:szCs w:val="12"/>
              </w:rPr>
            </w:pPr>
            <w:r w:rsidRPr="00CC11D5">
              <w:rPr>
                <w:rFonts w:ascii="Garamond" w:hAnsi="Garamond"/>
                <w:sz w:val="12"/>
                <w:szCs w:val="12"/>
              </w:rPr>
              <w:t>Aktiviteti 2.4.2.3: Dig</w:t>
            </w:r>
            <w:r w:rsidR="008C0C0F" w:rsidRPr="00CC11D5">
              <w:rPr>
                <w:rFonts w:ascii="Garamond" w:hAnsi="Garamond"/>
                <w:sz w:val="12"/>
                <w:szCs w:val="12"/>
              </w:rPr>
              <w:t>j</w:t>
            </w:r>
            <w:r w:rsidRPr="00CC11D5">
              <w:rPr>
                <w:rFonts w:ascii="Garamond" w:hAnsi="Garamond"/>
                <w:sz w:val="12"/>
                <w:szCs w:val="12"/>
              </w:rPr>
              <w:t>italizimi i deklarimit të qirave në sistemin CATS dhe kontrollet për çmimet e aplikuara të qirave</w:t>
            </w:r>
            <w:r w:rsidR="000E6B7C" w:rsidRPr="00CC11D5">
              <w:rPr>
                <w:rFonts w:ascii="Garamond" w:hAnsi="Garamond"/>
                <w:sz w:val="12"/>
                <w:szCs w:val="12"/>
              </w:rPr>
              <w:t>.</w:t>
            </w:r>
          </w:p>
        </w:tc>
        <w:tc>
          <w:tcPr>
            <w:tcW w:w="813" w:type="dxa"/>
            <w:vAlign w:val="center"/>
          </w:tcPr>
          <w:p w14:paraId="1D881ACB" w14:textId="77777777" w:rsidR="00990DEA" w:rsidRPr="00CC11D5" w:rsidRDefault="00990DEA" w:rsidP="006B61C6">
            <w:pPr>
              <w:jc w:val="center"/>
              <w:rPr>
                <w:rFonts w:ascii="Garamond" w:hAnsi="Garamond"/>
                <w:sz w:val="12"/>
                <w:szCs w:val="12"/>
              </w:rPr>
            </w:pPr>
            <w:r w:rsidRPr="00CC11D5">
              <w:rPr>
                <w:rFonts w:ascii="Garamond" w:hAnsi="Garamond"/>
                <w:sz w:val="12"/>
                <w:szCs w:val="12"/>
              </w:rPr>
              <w:t>2024</w:t>
            </w:r>
          </w:p>
        </w:tc>
        <w:tc>
          <w:tcPr>
            <w:tcW w:w="1343" w:type="dxa"/>
            <w:vAlign w:val="center"/>
          </w:tcPr>
          <w:p w14:paraId="09789EA3" w14:textId="77777777" w:rsidR="00990DEA" w:rsidRPr="00CC11D5" w:rsidRDefault="00990DEA" w:rsidP="006B61C6">
            <w:pPr>
              <w:jc w:val="center"/>
              <w:rPr>
                <w:rFonts w:ascii="Garamond" w:hAnsi="Garamond"/>
                <w:sz w:val="12"/>
                <w:szCs w:val="12"/>
              </w:rPr>
            </w:pPr>
            <w:r w:rsidRPr="00CC11D5">
              <w:rPr>
                <w:rFonts w:ascii="Garamond" w:hAnsi="Garamond"/>
                <w:sz w:val="12"/>
                <w:szCs w:val="12"/>
              </w:rPr>
              <w:t>2025</w:t>
            </w:r>
          </w:p>
        </w:tc>
        <w:tc>
          <w:tcPr>
            <w:tcW w:w="1555" w:type="dxa"/>
            <w:vAlign w:val="center"/>
          </w:tcPr>
          <w:p w14:paraId="736A923A" w14:textId="77777777" w:rsidR="00990DEA" w:rsidRPr="00CC11D5" w:rsidRDefault="00990DEA" w:rsidP="006B61C6">
            <w:pPr>
              <w:jc w:val="center"/>
              <w:rPr>
                <w:rFonts w:ascii="Garamond" w:hAnsi="Garamond"/>
                <w:sz w:val="12"/>
                <w:szCs w:val="12"/>
              </w:rPr>
            </w:pPr>
            <w:r w:rsidRPr="00CC11D5">
              <w:rPr>
                <w:rFonts w:ascii="Garamond" w:hAnsi="Garamond"/>
                <w:sz w:val="12"/>
                <w:szCs w:val="12"/>
              </w:rPr>
              <w:t>DPT</w:t>
            </w:r>
          </w:p>
        </w:tc>
      </w:tr>
      <w:tr w:rsidR="00990DEA" w:rsidRPr="00CC11D5" w14:paraId="246D7E60" w14:textId="77777777" w:rsidTr="006B61C6">
        <w:trPr>
          <w:trHeight w:val="20"/>
        </w:trPr>
        <w:tc>
          <w:tcPr>
            <w:tcW w:w="2275" w:type="dxa"/>
            <w:vAlign w:val="center"/>
          </w:tcPr>
          <w:p w14:paraId="6353AE02" w14:textId="77777777" w:rsidR="00990DEA" w:rsidRPr="00CC11D5" w:rsidRDefault="00990DEA" w:rsidP="006B61C6">
            <w:pPr>
              <w:jc w:val="center"/>
              <w:rPr>
                <w:rFonts w:ascii="Garamond" w:hAnsi="Garamond"/>
                <w:sz w:val="12"/>
                <w:szCs w:val="12"/>
              </w:rPr>
            </w:pPr>
            <w:r w:rsidRPr="00CC11D5">
              <w:rPr>
                <w:rFonts w:ascii="Garamond" w:hAnsi="Garamond"/>
                <w:sz w:val="12"/>
                <w:szCs w:val="12"/>
              </w:rPr>
              <w:t>Masa 2.4.3 Forcimi i hetimeve kundër mashtrimit tatimor</w:t>
            </w:r>
          </w:p>
        </w:tc>
        <w:tc>
          <w:tcPr>
            <w:tcW w:w="3030" w:type="dxa"/>
            <w:vAlign w:val="center"/>
          </w:tcPr>
          <w:p w14:paraId="1C476449" w14:textId="52BF9B09" w:rsidR="00990DEA" w:rsidRPr="00CC11D5" w:rsidRDefault="00990DEA" w:rsidP="006B61C6">
            <w:pPr>
              <w:jc w:val="center"/>
              <w:rPr>
                <w:rFonts w:ascii="Garamond" w:hAnsi="Garamond"/>
                <w:sz w:val="12"/>
                <w:szCs w:val="12"/>
              </w:rPr>
            </w:pPr>
            <w:r w:rsidRPr="00CC11D5">
              <w:rPr>
                <w:rFonts w:ascii="Garamond" w:hAnsi="Garamond"/>
                <w:sz w:val="12"/>
                <w:szCs w:val="12"/>
              </w:rPr>
              <w:t>Aktiviteti 2.4.3.1</w:t>
            </w:r>
            <w:r w:rsidR="000E6B7C" w:rsidRPr="00CC11D5">
              <w:rPr>
                <w:rFonts w:ascii="Garamond" w:hAnsi="Garamond"/>
                <w:sz w:val="12"/>
                <w:szCs w:val="12"/>
              </w:rPr>
              <w:t>:</w:t>
            </w:r>
            <w:r w:rsidRPr="00CC11D5">
              <w:rPr>
                <w:rFonts w:ascii="Garamond" w:hAnsi="Garamond"/>
                <w:sz w:val="12"/>
                <w:szCs w:val="12"/>
              </w:rPr>
              <w:t xml:space="preserve"> Krijimi i </w:t>
            </w:r>
            <w:r w:rsidR="008C0C0F" w:rsidRPr="00CC11D5">
              <w:rPr>
                <w:rFonts w:ascii="Garamond" w:hAnsi="Garamond"/>
                <w:sz w:val="12"/>
                <w:szCs w:val="12"/>
              </w:rPr>
              <w:t>një</w:t>
            </w:r>
            <w:r w:rsidRPr="00CC11D5">
              <w:rPr>
                <w:rFonts w:ascii="Garamond" w:hAnsi="Garamond"/>
                <w:sz w:val="12"/>
                <w:szCs w:val="12"/>
              </w:rPr>
              <w:t xml:space="preserve"> seti t</w:t>
            </w:r>
            <w:r w:rsidR="008C0C0F" w:rsidRPr="00CC11D5">
              <w:rPr>
                <w:rFonts w:ascii="Garamond" w:hAnsi="Garamond"/>
                <w:sz w:val="12"/>
                <w:szCs w:val="12"/>
              </w:rPr>
              <w:t>ë</w:t>
            </w:r>
            <w:r w:rsidRPr="00CC11D5">
              <w:rPr>
                <w:rFonts w:ascii="Garamond" w:hAnsi="Garamond"/>
                <w:sz w:val="12"/>
                <w:szCs w:val="12"/>
              </w:rPr>
              <w:t xml:space="preserve"> ri</w:t>
            </w:r>
            <w:r w:rsidR="00D22EA5" w:rsidRPr="00CC11D5">
              <w:rPr>
                <w:rFonts w:ascii="Garamond" w:hAnsi="Garamond"/>
                <w:sz w:val="12"/>
                <w:szCs w:val="12"/>
              </w:rPr>
              <w:t xml:space="preserve"> </w:t>
            </w:r>
            <w:r w:rsidRPr="00CC11D5">
              <w:rPr>
                <w:rFonts w:ascii="Garamond" w:hAnsi="Garamond"/>
                <w:sz w:val="12"/>
                <w:szCs w:val="12"/>
              </w:rPr>
              <w:t>kriteresh risku bazuar n</w:t>
            </w:r>
            <w:r w:rsidR="008C0C0F" w:rsidRPr="00CC11D5">
              <w:rPr>
                <w:rFonts w:ascii="Garamond" w:hAnsi="Garamond"/>
                <w:sz w:val="12"/>
                <w:szCs w:val="12"/>
              </w:rPr>
              <w:t>ë</w:t>
            </w:r>
            <w:r w:rsidRPr="00CC11D5">
              <w:rPr>
                <w:rFonts w:ascii="Garamond" w:hAnsi="Garamond"/>
                <w:sz w:val="12"/>
                <w:szCs w:val="12"/>
              </w:rPr>
              <w:t xml:space="preserve"> t</w:t>
            </w:r>
            <w:r w:rsidR="008C0C0F" w:rsidRPr="00CC11D5">
              <w:rPr>
                <w:rFonts w:ascii="Garamond" w:hAnsi="Garamond"/>
                <w:sz w:val="12"/>
                <w:szCs w:val="12"/>
              </w:rPr>
              <w:t>ë</w:t>
            </w:r>
            <w:r w:rsidRPr="00CC11D5">
              <w:rPr>
                <w:rFonts w:ascii="Garamond" w:hAnsi="Garamond"/>
                <w:sz w:val="12"/>
                <w:szCs w:val="12"/>
              </w:rPr>
              <w:t xml:space="preserve"> </w:t>
            </w:r>
            <w:r w:rsidR="008C0C0F" w:rsidRPr="00CC11D5">
              <w:rPr>
                <w:rFonts w:ascii="Garamond" w:hAnsi="Garamond"/>
                <w:sz w:val="12"/>
                <w:szCs w:val="12"/>
              </w:rPr>
              <w:t>dhënat</w:t>
            </w:r>
            <w:r w:rsidRPr="00CC11D5">
              <w:rPr>
                <w:rFonts w:ascii="Garamond" w:hAnsi="Garamond"/>
                <w:sz w:val="12"/>
                <w:szCs w:val="12"/>
              </w:rPr>
              <w:t xml:space="preserve"> q</w:t>
            </w:r>
            <w:r w:rsidR="008C0C0F" w:rsidRPr="00CC11D5">
              <w:rPr>
                <w:rFonts w:ascii="Garamond" w:hAnsi="Garamond"/>
                <w:sz w:val="12"/>
                <w:szCs w:val="12"/>
              </w:rPr>
              <w:t>ë</w:t>
            </w:r>
            <w:r w:rsidRPr="00CC11D5">
              <w:rPr>
                <w:rFonts w:ascii="Garamond" w:hAnsi="Garamond"/>
                <w:sz w:val="12"/>
                <w:szCs w:val="12"/>
              </w:rPr>
              <w:t xml:space="preserve"> sigurohen nga pasqyrat financiare vjetore t</w:t>
            </w:r>
            <w:r w:rsidR="008C0C0F" w:rsidRPr="00CC11D5">
              <w:rPr>
                <w:rFonts w:ascii="Garamond" w:hAnsi="Garamond"/>
                <w:sz w:val="12"/>
                <w:szCs w:val="12"/>
              </w:rPr>
              <w:t>ë</w:t>
            </w:r>
            <w:r w:rsidRPr="00CC11D5">
              <w:rPr>
                <w:rFonts w:ascii="Garamond" w:hAnsi="Garamond"/>
                <w:sz w:val="12"/>
                <w:szCs w:val="12"/>
              </w:rPr>
              <w:t xml:space="preserve"> </w:t>
            </w:r>
            <w:r w:rsidR="008C0C0F" w:rsidRPr="00CC11D5">
              <w:rPr>
                <w:rFonts w:ascii="Garamond" w:hAnsi="Garamond"/>
                <w:sz w:val="12"/>
                <w:szCs w:val="12"/>
              </w:rPr>
              <w:t>dorëzuara</w:t>
            </w:r>
            <w:r w:rsidRPr="00CC11D5">
              <w:rPr>
                <w:rFonts w:ascii="Garamond" w:hAnsi="Garamond"/>
                <w:sz w:val="12"/>
                <w:szCs w:val="12"/>
              </w:rPr>
              <w:t xml:space="preserve"> nga tatimpaguesit, si dhe shkeljeve t</w:t>
            </w:r>
            <w:r w:rsidR="008C0C0F" w:rsidRPr="00CC11D5">
              <w:rPr>
                <w:rFonts w:ascii="Garamond" w:hAnsi="Garamond"/>
                <w:sz w:val="12"/>
                <w:szCs w:val="12"/>
              </w:rPr>
              <w:t>ë</w:t>
            </w:r>
            <w:r w:rsidRPr="00CC11D5">
              <w:rPr>
                <w:rFonts w:ascii="Garamond" w:hAnsi="Garamond"/>
                <w:sz w:val="12"/>
                <w:szCs w:val="12"/>
              </w:rPr>
              <w:t xml:space="preserve"> tjera t</w:t>
            </w:r>
            <w:r w:rsidR="008C0C0F" w:rsidRPr="00CC11D5">
              <w:rPr>
                <w:rFonts w:ascii="Garamond" w:hAnsi="Garamond"/>
                <w:sz w:val="12"/>
                <w:szCs w:val="12"/>
              </w:rPr>
              <w:t>ë</w:t>
            </w:r>
            <w:r w:rsidRPr="00CC11D5">
              <w:rPr>
                <w:rFonts w:ascii="Garamond" w:hAnsi="Garamond"/>
                <w:sz w:val="12"/>
                <w:szCs w:val="12"/>
              </w:rPr>
              <w:t xml:space="preserve"> mundshme t</w:t>
            </w:r>
            <w:r w:rsidR="008C0C0F" w:rsidRPr="00CC11D5">
              <w:rPr>
                <w:rFonts w:ascii="Garamond" w:hAnsi="Garamond"/>
                <w:sz w:val="12"/>
                <w:szCs w:val="12"/>
              </w:rPr>
              <w:t>ë</w:t>
            </w:r>
            <w:r w:rsidRPr="00CC11D5">
              <w:rPr>
                <w:rFonts w:ascii="Garamond" w:hAnsi="Garamond"/>
                <w:sz w:val="12"/>
                <w:szCs w:val="12"/>
              </w:rPr>
              <w:t xml:space="preserve"> legjislacionit tatimor</w:t>
            </w:r>
            <w:r w:rsidR="000E6B7C" w:rsidRPr="00CC11D5">
              <w:rPr>
                <w:rFonts w:ascii="Garamond" w:hAnsi="Garamond"/>
                <w:sz w:val="12"/>
                <w:szCs w:val="12"/>
              </w:rPr>
              <w:t>;</w:t>
            </w:r>
          </w:p>
          <w:p w14:paraId="1BAB8076" w14:textId="77777777" w:rsidR="000E6B7C" w:rsidRPr="00CC11D5" w:rsidRDefault="000E6B7C" w:rsidP="006B61C6">
            <w:pPr>
              <w:jc w:val="center"/>
              <w:rPr>
                <w:rFonts w:ascii="Garamond" w:hAnsi="Garamond"/>
                <w:sz w:val="12"/>
                <w:szCs w:val="12"/>
              </w:rPr>
            </w:pPr>
          </w:p>
          <w:p w14:paraId="79DF0B06" w14:textId="78A7AF38" w:rsidR="00990DEA" w:rsidRPr="00CC11D5" w:rsidRDefault="00990DEA" w:rsidP="006B61C6">
            <w:pPr>
              <w:jc w:val="center"/>
              <w:rPr>
                <w:rFonts w:ascii="Garamond" w:hAnsi="Garamond"/>
                <w:sz w:val="12"/>
                <w:szCs w:val="12"/>
              </w:rPr>
            </w:pPr>
            <w:r w:rsidRPr="00CC11D5">
              <w:rPr>
                <w:rFonts w:ascii="Garamond" w:hAnsi="Garamond"/>
                <w:sz w:val="12"/>
                <w:szCs w:val="12"/>
              </w:rPr>
              <w:t>Aktiviteti 2.4.3.2</w:t>
            </w:r>
            <w:r w:rsidR="000E6B7C" w:rsidRPr="00CC11D5">
              <w:rPr>
                <w:rFonts w:ascii="Garamond" w:hAnsi="Garamond"/>
                <w:sz w:val="12"/>
                <w:szCs w:val="12"/>
              </w:rPr>
              <w:t>:</w:t>
            </w:r>
            <w:r w:rsidR="008C0C0F" w:rsidRPr="00CC11D5">
              <w:rPr>
                <w:rFonts w:ascii="Garamond" w:hAnsi="Garamond"/>
                <w:sz w:val="12"/>
                <w:szCs w:val="12"/>
              </w:rPr>
              <w:t xml:space="preserve"> </w:t>
            </w:r>
            <w:r w:rsidRPr="00CC11D5">
              <w:rPr>
                <w:rFonts w:ascii="Garamond" w:hAnsi="Garamond"/>
                <w:sz w:val="12"/>
                <w:szCs w:val="12"/>
              </w:rPr>
              <w:t>Analiza dhe investigimi i shitjeve fiktive t</w:t>
            </w:r>
            <w:r w:rsidR="008C0C0F" w:rsidRPr="00CC11D5">
              <w:rPr>
                <w:rFonts w:ascii="Garamond" w:hAnsi="Garamond"/>
                <w:sz w:val="12"/>
                <w:szCs w:val="12"/>
              </w:rPr>
              <w:t>ë</w:t>
            </w:r>
            <w:r w:rsidRPr="00CC11D5">
              <w:rPr>
                <w:rFonts w:ascii="Garamond" w:hAnsi="Garamond"/>
                <w:sz w:val="12"/>
                <w:szCs w:val="12"/>
              </w:rPr>
              <w:t xml:space="preserve"> aksioneve t</w:t>
            </w:r>
            <w:r w:rsidR="008C0C0F" w:rsidRPr="00CC11D5">
              <w:rPr>
                <w:rFonts w:ascii="Garamond" w:hAnsi="Garamond"/>
                <w:sz w:val="12"/>
                <w:szCs w:val="12"/>
              </w:rPr>
              <w:t>ë</w:t>
            </w:r>
            <w:r w:rsidRPr="00CC11D5">
              <w:rPr>
                <w:rFonts w:ascii="Garamond" w:hAnsi="Garamond"/>
                <w:sz w:val="12"/>
                <w:szCs w:val="12"/>
              </w:rPr>
              <w:t xml:space="preserve"> kompanive aksionere</w:t>
            </w:r>
            <w:r w:rsidR="000E6B7C" w:rsidRPr="00CC11D5">
              <w:rPr>
                <w:rFonts w:ascii="Garamond" w:hAnsi="Garamond"/>
                <w:sz w:val="12"/>
                <w:szCs w:val="12"/>
              </w:rPr>
              <w:t>;</w:t>
            </w:r>
          </w:p>
          <w:p w14:paraId="22B1C1B0" w14:textId="77777777" w:rsidR="000E6B7C" w:rsidRPr="00CC11D5" w:rsidRDefault="000E6B7C" w:rsidP="006B61C6">
            <w:pPr>
              <w:jc w:val="center"/>
              <w:rPr>
                <w:rFonts w:ascii="Garamond" w:hAnsi="Garamond"/>
                <w:sz w:val="12"/>
                <w:szCs w:val="12"/>
              </w:rPr>
            </w:pPr>
          </w:p>
          <w:p w14:paraId="7CB6E275" w14:textId="55291FDD" w:rsidR="00990DEA" w:rsidRPr="00CC11D5" w:rsidRDefault="00990DEA" w:rsidP="006B61C6">
            <w:pPr>
              <w:jc w:val="center"/>
              <w:rPr>
                <w:rFonts w:ascii="Garamond" w:hAnsi="Garamond"/>
                <w:sz w:val="12"/>
                <w:szCs w:val="12"/>
              </w:rPr>
            </w:pPr>
            <w:r w:rsidRPr="00CC11D5">
              <w:rPr>
                <w:rFonts w:ascii="Garamond" w:hAnsi="Garamond"/>
                <w:sz w:val="12"/>
                <w:szCs w:val="12"/>
              </w:rPr>
              <w:t>Aktiviteti 2.4.3.3</w:t>
            </w:r>
            <w:r w:rsidR="000E6B7C" w:rsidRPr="00CC11D5">
              <w:rPr>
                <w:rFonts w:ascii="Garamond" w:hAnsi="Garamond"/>
                <w:sz w:val="12"/>
                <w:szCs w:val="12"/>
              </w:rPr>
              <w:t>:</w:t>
            </w:r>
            <w:r w:rsidRPr="00CC11D5">
              <w:rPr>
                <w:rFonts w:ascii="Garamond" w:hAnsi="Garamond"/>
                <w:sz w:val="12"/>
                <w:szCs w:val="12"/>
              </w:rPr>
              <w:t xml:space="preserve"> Hetimi i skemave </w:t>
            </w:r>
            <w:r w:rsidR="008C0C0F" w:rsidRPr="00CC11D5">
              <w:rPr>
                <w:rFonts w:ascii="Garamond" w:hAnsi="Garamond"/>
                <w:sz w:val="12"/>
                <w:szCs w:val="12"/>
              </w:rPr>
              <w:t>të</w:t>
            </w:r>
            <w:r w:rsidRPr="00CC11D5">
              <w:rPr>
                <w:rFonts w:ascii="Garamond" w:hAnsi="Garamond"/>
                <w:sz w:val="12"/>
                <w:szCs w:val="12"/>
              </w:rPr>
              <w:t xml:space="preserve"> mashtrimit me</w:t>
            </w:r>
            <w:r w:rsidR="00DE65FB" w:rsidRPr="00CC11D5">
              <w:rPr>
                <w:rFonts w:ascii="Garamond" w:hAnsi="Garamond"/>
                <w:sz w:val="12"/>
                <w:szCs w:val="12"/>
              </w:rPr>
              <w:t xml:space="preserve"> TVSh</w:t>
            </w:r>
            <w:r w:rsidRPr="00CC11D5">
              <w:rPr>
                <w:rFonts w:ascii="Garamond" w:hAnsi="Garamond"/>
                <w:sz w:val="12"/>
                <w:szCs w:val="12"/>
              </w:rPr>
              <w:t>-n</w:t>
            </w:r>
            <w:r w:rsidR="008C0C0F" w:rsidRPr="00CC11D5">
              <w:rPr>
                <w:rFonts w:ascii="Garamond" w:hAnsi="Garamond"/>
                <w:sz w:val="12"/>
                <w:szCs w:val="12"/>
              </w:rPr>
              <w:t>ë</w:t>
            </w:r>
            <w:r w:rsidRPr="00CC11D5">
              <w:rPr>
                <w:rFonts w:ascii="Garamond" w:hAnsi="Garamond"/>
                <w:sz w:val="12"/>
                <w:szCs w:val="12"/>
              </w:rPr>
              <w:t xml:space="preserve"> (Skema karusel)</w:t>
            </w:r>
            <w:r w:rsidR="000E6B7C" w:rsidRPr="00CC11D5">
              <w:rPr>
                <w:rFonts w:ascii="Garamond" w:hAnsi="Garamond"/>
                <w:sz w:val="12"/>
                <w:szCs w:val="12"/>
              </w:rPr>
              <w:t>;</w:t>
            </w:r>
          </w:p>
          <w:p w14:paraId="596DE9E3" w14:textId="77777777" w:rsidR="000E6B7C" w:rsidRPr="00CC11D5" w:rsidRDefault="000E6B7C" w:rsidP="006B61C6">
            <w:pPr>
              <w:jc w:val="center"/>
              <w:rPr>
                <w:rFonts w:ascii="Garamond" w:hAnsi="Garamond"/>
                <w:sz w:val="12"/>
                <w:szCs w:val="12"/>
              </w:rPr>
            </w:pPr>
          </w:p>
          <w:p w14:paraId="0F1A9752" w14:textId="53F9E45D" w:rsidR="00990DEA" w:rsidRPr="00CC11D5" w:rsidRDefault="00990DEA" w:rsidP="006B61C6">
            <w:pPr>
              <w:jc w:val="center"/>
              <w:rPr>
                <w:rFonts w:ascii="Garamond" w:hAnsi="Garamond"/>
                <w:sz w:val="12"/>
                <w:szCs w:val="12"/>
              </w:rPr>
            </w:pPr>
            <w:r w:rsidRPr="00CC11D5">
              <w:rPr>
                <w:rFonts w:ascii="Garamond" w:hAnsi="Garamond"/>
                <w:sz w:val="12"/>
                <w:szCs w:val="12"/>
              </w:rPr>
              <w:t>Aktiviteti 2.4.3.4</w:t>
            </w:r>
            <w:r w:rsidR="000E6B7C" w:rsidRPr="00CC11D5">
              <w:rPr>
                <w:rFonts w:ascii="Garamond" w:hAnsi="Garamond"/>
                <w:sz w:val="12"/>
                <w:szCs w:val="12"/>
              </w:rPr>
              <w:t>:</w:t>
            </w:r>
            <w:r w:rsidR="008C0C0F" w:rsidRPr="00CC11D5">
              <w:rPr>
                <w:rFonts w:ascii="Garamond" w:hAnsi="Garamond"/>
                <w:sz w:val="12"/>
                <w:szCs w:val="12"/>
              </w:rPr>
              <w:t xml:space="preserve"> </w:t>
            </w:r>
            <w:r w:rsidRPr="00CC11D5">
              <w:rPr>
                <w:rFonts w:ascii="Garamond" w:hAnsi="Garamond"/>
                <w:sz w:val="12"/>
                <w:szCs w:val="12"/>
              </w:rPr>
              <w:t>Analizimi i t</w:t>
            </w:r>
            <w:r w:rsidR="008C0C0F" w:rsidRPr="00CC11D5">
              <w:rPr>
                <w:rFonts w:ascii="Garamond" w:hAnsi="Garamond"/>
                <w:sz w:val="12"/>
                <w:szCs w:val="12"/>
              </w:rPr>
              <w:t>ë</w:t>
            </w:r>
            <w:r w:rsidRPr="00CC11D5">
              <w:rPr>
                <w:rFonts w:ascii="Garamond" w:hAnsi="Garamond"/>
                <w:sz w:val="12"/>
                <w:szCs w:val="12"/>
              </w:rPr>
              <w:t xml:space="preserve"> dh</w:t>
            </w:r>
            <w:r w:rsidR="008C0C0F" w:rsidRPr="00CC11D5">
              <w:rPr>
                <w:rFonts w:ascii="Garamond" w:hAnsi="Garamond"/>
                <w:sz w:val="12"/>
                <w:szCs w:val="12"/>
              </w:rPr>
              <w:t>ë</w:t>
            </w:r>
            <w:r w:rsidRPr="00CC11D5">
              <w:rPr>
                <w:rFonts w:ascii="Garamond" w:hAnsi="Garamond"/>
                <w:sz w:val="12"/>
                <w:szCs w:val="12"/>
              </w:rPr>
              <w:t>nave nga pal</w:t>
            </w:r>
            <w:r w:rsidR="008C0C0F" w:rsidRPr="00CC11D5">
              <w:rPr>
                <w:rFonts w:ascii="Garamond" w:hAnsi="Garamond"/>
                <w:sz w:val="12"/>
                <w:szCs w:val="12"/>
              </w:rPr>
              <w:t>ë</w:t>
            </w:r>
            <w:r w:rsidRPr="00CC11D5">
              <w:rPr>
                <w:rFonts w:ascii="Garamond" w:hAnsi="Garamond"/>
                <w:sz w:val="12"/>
                <w:szCs w:val="12"/>
              </w:rPr>
              <w:t>t e treta (Dogana) p</w:t>
            </w:r>
            <w:r w:rsidR="008C0C0F" w:rsidRPr="00CC11D5">
              <w:rPr>
                <w:rFonts w:ascii="Garamond" w:hAnsi="Garamond"/>
                <w:sz w:val="12"/>
                <w:szCs w:val="12"/>
              </w:rPr>
              <w:t>ë</w:t>
            </w:r>
            <w:r w:rsidRPr="00CC11D5">
              <w:rPr>
                <w:rFonts w:ascii="Garamond" w:hAnsi="Garamond"/>
                <w:sz w:val="12"/>
                <w:szCs w:val="12"/>
              </w:rPr>
              <w:t>r evidentimin e skemave t</w:t>
            </w:r>
            <w:r w:rsidR="008C0C0F" w:rsidRPr="00CC11D5">
              <w:rPr>
                <w:rFonts w:ascii="Garamond" w:hAnsi="Garamond"/>
                <w:sz w:val="12"/>
                <w:szCs w:val="12"/>
              </w:rPr>
              <w:t>ë</w:t>
            </w:r>
            <w:r w:rsidRPr="00CC11D5">
              <w:rPr>
                <w:rFonts w:ascii="Garamond" w:hAnsi="Garamond"/>
                <w:sz w:val="12"/>
                <w:szCs w:val="12"/>
              </w:rPr>
              <w:t xml:space="preserve"> masht</w:t>
            </w:r>
            <w:r w:rsidR="00377F8B" w:rsidRPr="00CC11D5">
              <w:rPr>
                <w:rFonts w:ascii="Garamond" w:hAnsi="Garamond"/>
                <w:sz w:val="12"/>
                <w:szCs w:val="12"/>
              </w:rPr>
              <w:t>r</w:t>
            </w:r>
            <w:r w:rsidRPr="00CC11D5">
              <w:rPr>
                <w:rFonts w:ascii="Garamond" w:hAnsi="Garamond"/>
                <w:sz w:val="12"/>
                <w:szCs w:val="12"/>
              </w:rPr>
              <w:t>imit tatimor</w:t>
            </w:r>
            <w:r w:rsidR="000E6B7C" w:rsidRPr="00CC11D5">
              <w:rPr>
                <w:rFonts w:ascii="Garamond" w:hAnsi="Garamond"/>
                <w:sz w:val="12"/>
                <w:szCs w:val="12"/>
              </w:rPr>
              <w:t>;</w:t>
            </w:r>
          </w:p>
          <w:p w14:paraId="34BAA8B7" w14:textId="77777777" w:rsidR="000E6B7C" w:rsidRPr="00CC11D5" w:rsidRDefault="000E6B7C" w:rsidP="006B61C6">
            <w:pPr>
              <w:jc w:val="center"/>
              <w:rPr>
                <w:rFonts w:ascii="Garamond" w:hAnsi="Garamond"/>
                <w:sz w:val="12"/>
                <w:szCs w:val="12"/>
              </w:rPr>
            </w:pPr>
          </w:p>
          <w:p w14:paraId="0A2BDF29" w14:textId="7DCEA750" w:rsidR="00990DEA" w:rsidRPr="00CC11D5" w:rsidRDefault="00990DEA" w:rsidP="006B61C6">
            <w:pPr>
              <w:jc w:val="center"/>
              <w:rPr>
                <w:rFonts w:ascii="Garamond" w:hAnsi="Garamond"/>
                <w:sz w:val="12"/>
                <w:szCs w:val="12"/>
              </w:rPr>
            </w:pPr>
            <w:r w:rsidRPr="00CC11D5">
              <w:rPr>
                <w:rFonts w:ascii="Garamond" w:hAnsi="Garamond"/>
                <w:sz w:val="12"/>
                <w:szCs w:val="12"/>
              </w:rPr>
              <w:t>Aktiviteti 2.4.3.5</w:t>
            </w:r>
            <w:r w:rsidR="000E6B7C" w:rsidRPr="00CC11D5">
              <w:rPr>
                <w:rFonts w:ascii="Garamond" w:hAnsi="Garamond"/>
                <w:sz w:val="12"/>
                <w:szCs w:val="12"/>
              </w:rPr>
              <w:t>:</w:t>
            </w:r>
            <w:r w:rsidRPr="00CC11D5">
              <w:rPr>
                <w:rFonts w:ascii="Garamond" w:hAnsi="Garamond"/>
                <w:sz w:val="12"/>
                <w:szCs w:val="12"/>
              </w:rPr>
              <w:t xml:space="preserve"> Analiza dhe investigimi i sektorëve dhe fenomeneve me risk si informaliteti në paga në sektorët e ndërtimit, industrinë e turizmit,</w:t>
            </w:r>
            <w:r w:rsidR="00D22EA5" w:rsidRPr="00CC11D5">
              <w:rPr>
                <w:rFonts w:ascii="Garamond" w:hAnsi="Garamond"/>
                <w:sz w:val="12"/>
                <w:szCs w:val="12"/>
              </w:rPr>
              <w:t xml:space="preserve"> </w:t>
            </w:r>
            <w:r w:rsidRPr="00CC11D5">
              <w:rPr>
                <w:rFonts w:ascii="Garamond" w:hAnsi="Garamond"/>
                <w:sz w:val="12"/>
                <w:szCs w:val="12"/>
              </w:rPr>
              <w:t>shërbimeve të ndryshme,</w:t>
            </w:r>
            <w:r w:rsidR="00D22EA5" w:rsidRPr="00CC11D5">
              <w:rPr>
                <w:rFonts w:ascii="Garamond" w:hAnsi="Garamond"/>
                <w:sz w:val="12"/>
                <w:szCs w:val="12"/>
              </w:rPr>
              <w:t xml:space="preserve"> </w:t>
            </w:r>
            <w:r w:rsidRPr="00CC11D5">
              <w:rPr>
                <w:rFonts w:ascii="Garamond" w:hAnsi="Garamond"/>
                <w:sz w:val="12"/>
                <w:szCs w:val="12"/>
              </w:rPr>
              <w:t>etj.</w:t>
            </w:r>
            <w:r w:rsidR="000E6B7C" w:rsidRPr="00CC11D5">
              <w:rPr>
                <w:rFonts w:ascii="Garamond" w:hAnsi="Garamond"/>
                <w:sz w:val="12"/>
                <w:szCs w:val="12"/>
              </w:rPr>
              <w:t>;</w:t>
            </w:r>
          </w:p>
          <w:p w14:paraId="501CEE7A" w14:textId="5DE53C76" w:rsidR="00990DEA" w:rsidRPr="00CC11D5" w:rsidRDefault="00990DEA" w:rsidP="006B61C6">
            <w:pPr>
              <w:jc w:val="center"/>
              <w:rPr>
                <w:rFonts w:ascii="Garamond" w:hAnsi="Garamond"/>
                <w:sz w:val="12"/>
                <w:szCs w:val="12"/>
              </w:rPr>
            </w:pPr>
            <w:r w:rsidRPr="00CC11D5">
              <w:rPr>
                <w:rFonts w:ascii="Garamond" w:hAnsi="Garamond"/>
                <w:sz w:val="12"/>
                <w:szCs w:val="12"/>
              </w:rPr>
              <w:t>Aktiviteti 2.4.3.6</w:t>
            </w:r>
            <w:r w:rsidR="000E6B7C" w:rsidRPr="00CC11D5">
              <w:rPr>
                <w:rFonts w:ascii="Garamond" w:hAnsi="Garamond"/>
                <w:sz w:val="12"/>
                <w:szCs w:val="12"/>
              </w:rPr>
              <w:t xml:space="preserve">: </w:t>
            </w:r>
            <w:r w:rsidRPr="00CC11D5">
              <w:rPr>
                <w:rFonts w:ascii="Garamond" w:hAnsi="Garamond"/>
                <w:sz w:val="12"/>
                <w:szCs w:val="12"/>
              </w:rPr>
              <w:t>Analiza dhe investigimi i informalitetit n</w:t>
            </w:r>
            <w:r w:rsidR="008C0C0F" w:rsidRPr="00CC11D5">
              <w:rPr>
                <w:rFonts w:ascii="Garamond" w:hAnsi="Garamond"/>
                <w:sz w:val="12"/>
                <w:szCs w:val="12"/>
              </w:rPr>
              <w:t>ë</w:t>
            </w:r>
            <w:r w:rsidRPr="00CC11D5">
              <w:rPr>
                <w:rFonts w:ascii="Garamond" w:hAnsi="Garamond"/>
                <w:sz w:val="12"/>
                <w:szCs w:val="12"/>
              </w:rPr>
              <w:t xml:space="preserve"> sektorin e fushës së ndërtimit dhe nënkontraktorëve të cilët ofrojnë shërbime dhe aksesorë për këtë fushë</w:t>
            </w:r>
            <w:r w:rsidR="000E6B7C" w:rsidRPr="00CC11D5">
              <w:rPr>
                <w:rFonts w:ascii="Garamond" w:hAnsi="Garamond"/>
                <w:sz w:val="12"/>
                <w:szCs w:val="12"/>
              </w:rPr>
              <w:t>;</w:t>
            </w:r>
          </w:p>
          <w:p w14:paraId="3E4D603F" w14:textId="77777777" w:rsidR="000E6B7C" w:rsidRPr="00CC11D5" w:rsidRDefault="000E6B7C" w:rsidP="006B61C6">
            <w:pPr>
              <w:jc w:val="center"/>
              <w:rPr>
                <w:rFonts w:ascii="Garamond" w:hAnsi="Garamond"/>
                <w:sz w:val="12"/>
                <w:szCs w:val="12"/>
              </w:rPr>
            </w:pPr>
          </w:p>
          <w:p w14:paraId="00F59C36" w14:textId="63ACCB55" w:rsidR="00990DEA" w:rsidRPr="00CC11D5" w:rsidRDefault="00990DEA" w:rsidP="006B61C6">
            <w:pPr>
              <w:jc w:val="center"/>
              <w:rPr>
                <w:rFonts w:ascii="Garamond" w:hAnsi="Garamond"/>
                <w:sz w:val="12"/>
                <w:szCs w:val="12"/>
              </w:rPr>
            </w:pPr>
            <w:r w:rsidRPr="00CC11D5">
              <w:rPr>
                <w:rFonts w:ascii="Garamond" w:hAnsi="Garamond"/>
                <w:sz w:val="12"/>
                <w:szCs w:val="12"/>
              </w:rPr>
              <w:t>Aktiviteti 2.4.3.7</w:t>
            </w:r>
            <w:r w:rsidR="000E6B7C" w:rsidRPr="00CC11D5">
              <w:rPr>
                <w:rFonts w:ascii="Garamond" w:hAnsi="Garamond"/>
                <w:sz w:val="12"/>
                <w:szCs w:val="12"/>
              </w:rPr>
              <w:t xml:space="preserve">: </w:t>
            </w:r>
            <w:r w:rsidRPr="00CC11D5">
              <w:rPr>
                <w:rFonts w:ascii="Garamond" w:hAnsi="Garamond"/>
                <w:sz w:val="12"/>
                <w:szCs w:val="12"/>
              </w:rPr>
              <w:t>Analiza dhe investigimi i informalitetit n</w:t>
            </w:r>
            <w:r w:rsidR="008C0C0F" w:rsidRPr="00CC11D5">
              <w:rPr>
                <w:rFonts w:ascii="Garamond" w:hAnsi="Garamond"/>
                <w:sz w:val="12"/>
                <w:szCs w:val="12"/>
              </w:rPr>
              <w:t>ë</w:t>
            </w:r>
            <w:r w:rsidRPr="00CC11D5">
              <w:rPr>
                <w:rFonts w:ascii="Garamond" w:hAnsi="Garamond"/>
                <w:sz w:val="12"/>
                <w:szCs w:val="12"/>
              </w:rPr>
              <w:t xml:space="preserve"> sektorin e fush</w:t>
            </w:r>
            <w:r w:rsidR="008C0C0F" w:rsidRPr="00CC11D5">
              <w:rPr>
                <w:rFonts w:ascii="Garamond" w:hAnsi="Garamond"/>
                <w:sz w:val="12"/>
                <w:szCs w:val="12"/>
              </w:rPr>
              <w:t>ë</w:t>
            </w:r>
            <w:r w:rsidRPr="00CC11D5">
              <w:rPr>
                <w:rFonts w:ascii="Garamond" w:hAnsi="Garamond"/>
                <w:sz w:val="12"/>
                <w:szCs w:val="12"/>
              </w:rPr>
              <w:t xml:space="preserve">s </w:t>
            </w:r>
            <w:r w:rsidR="008C0C0F" w:rsidRPr="00CC11D5">
              <w:rPr>
                <w:rFonts w:ascii="Garamond" w:hAnsi="Garamond"/>
                <w:sz w:val="12"/>
                <w:szCs w:val="12"/>
              </w:rPr>
              <w:t xml:space="preserve">së </w:t>
            </w:r>
            <w:r w:rsidRPr="00CC11D5">
              <w:rPr>
                <w:rFonts w:ascii="Garamond" w:hAnsi="Garamond"/>
                <w:sz w:val="12"/>
                <w:szCs w:val="12"/>
              </w:rPr>
              <w:t>operator</w:t>
            </w:r>
            <w:r w:rsidR="008C0C0F" w:rsidRPr="00CC11D5">
              <w:rPr>
                <w:rFonts w:ascii="Garamond" w:hAnsi="Garamond"/>
                <w:sz w:val="12"/>
                <w:szCs w:val="12"/>
              </w:rPr>
              <w:t>ë</w:t>
            </w:r>
            <w:r w:rsidRPr="00CC11D5">
              <w:rPr>
                <w:rFonts w:ascii="Garamond" w:hAnsi="Garamond"/>
                <w:sz w:val="12"/>
                <w:szCs w:val="12"/>
              </w:rPr>
              <w:t>ve t</w:t>
            </w:r>
            <w:r w:rsidR="008C0C0F" w:rsidRPr="00CC11D5">
              <w:rPr>
                <w:rFonts w:ascii="Garamond" w:hAnsi="Garamond"/>
                <w:sz w:val="12"/>
                <w:szCs w:val="12"/>
              </w:rPr>
              <w:t>ë</w:t>
            </w:r>
            <w:r w:rsidRPr="00CC11D5">
              <w:rPr>
                <w:rFonts w:ascii="Garamond" w:hAnsi="Garamond"/>
                <w:sz w:val="12"/>
                <w:szCs w:val="12"/>
              </w:rPr>
              <w:t xml:space="preserve"> turizmit</w:t>
            </w:r>
            <w:r w:rsidR="000E6B7C" w:rsidRPr="00CC11D5">
              <w:rPr>
                <w:rFonts w:ascii="Garamond" w:hAnsi="Garamond"/>
                <w:sz w:val="12"/>
                <w:szCs w:val="12"/>
              </w:rPr>
              <w:t>;</w:t>
            </w:r>
          </w:p>
          <w:p w14:paraId="77017389" w14:textId="77777777" w:rsidR="000E6B7C" w:rsidRPr="00CC11D5" w:rsidRDefault="000E6B7C" w:rsidP="006B61C6">
            <w:pPr>
              <w:jc w:val="center"/>
              <w:rPr>
                <w:rFonts w:ascii="Garamond" w:hAnsi="Garamond"/>
                <w:sz w:val="12"/>
                <w:szCs w:val="12"/>
              </w:rPr>
            </w:pPr>
          </w:p>
          <w:p w14:paraId="69766795" w14:textId="72F726C6" w:rsidR="00990DEA" w:rsidRPr="00CC11D5" w:rsidRDefault="00990DEA" w:rsidP="006B61C6">
            <w:pPr>
              <w:jc w:val="center"/>
              <w:rPr>
                <w:rFonts w:ascii="Garamond" w:hAnsi="Garamond"/>
                <w:i/>
                <w:sz w:val="12"/>
                <w:szCs w:val="12"/>
              </w:rPr>
            </w:pPr>
            <w:r w:rsidRPr="00CC11D5">
              <w:rPr>
                <w:rFonts w:ascii="Garamond" w:hAnsi="Garamond"/>
                <w:sz w:val="12"/>
                <w:szCs w:val="12"/>
              </w:rPr>
              <w:t>Aktiviteti 2.4.3.8</w:t>
            </w:r>
            <w:r w:rsidR="000E6B7C" w:rsidRPr="00CC11D5">
              <w:rPr>
                <w:rFonts w:ascii="Garamond" w:hAnsi="Garamond"/>
                <w:sz w:val="12"/>
                <w:szCs w:val="12"/>
              </w:rPr>
              <w:t>:</w:t>
            </w:r>
            <w:r w:rsidR="008C0C0F" w:rsidRPr="00CC11D5">
              <w:rPr>
                <w:rFonts w:ascii="Garamond" w:hAnsi="Garamond"/>
                <w:sz w:val="12"/>
                <w:szCs w:val="12"/>
              </w:rPr>
              <w:t xml:space="preserve"> </w:t>
            </w:r>
            <w:r w:rsidRPr="00CC11D5">
              <w:rPr>
                <w:rFonts w:ascii="Garamond" w:hAnsi="Garamond"/>
                <w:sz w:val="12"/>
                <w:szCs w:val="12"/>
              </w:rPr>
              <w:t>Analiza dhe investigimi i informalitetit n</w:t>
            </w:r>
            <w:r w:rsidR="008C0C0F" w:rsidRPr="00CC11D5">
              <w:rPr>
                <w:rFonts w:ascii="Garamond" w:hAnsi="Garamond"/>
                <w:sz w:val="12"/>
                <w:szCs w:val="12"/>
              </w:rPr>
              <w:t>ë</w:t>
            </w:r>
            <w:r w:rsidRPr="00CC11D5">
              <w:rPr>
                <w:rFonts w:ascii="Garamond" w:hAnsi="Garamond"/>
                <w:sz w:val="12"/>
                <w:szCs w:val="12"/>
              </w:rPr>
              <w:t xml:space="preserve"> sektorin e fushës së shitjeve dhe blerjeve </w:t>
            </w:r>
            <w:r w:rsidRPr="00CC11D5">
              <w:rPr>
                <w:rFonts w:ascii="Garamond" w:hAnsi="Garamond"/>
                <w:i/>
                <w:sz w:val="12"/>
                <w:szCs w:val="12"/>
              </w:rPr>
              <w:t>online</w:t>
            </w:r>
            <w:r w:rsidR="000E6B7C" w:rsidRPr="00CC11D5">
              <w:rPr>
                <w:rFonts w:ascii="Garamond" w:hAnsi="Garamond"/>
                <w:i/>
                <w:sz w:val="12"/>
                <w:szCs w:val="12"/>
              </w:rPr>
              <w:t>;</w:t>
            </w:r>
          </w:p>
          <w:p w14:paraId="0E97751D" w14:textId="77777777" w:rsidR="000E6B7C" w:rsidRPr="00CC11D5" w:rsidRDefault="000E6B7C" w:rsidP="006B61C6">
            <w:pPr>
              <w:jc w:val="center"/>
              <w:rPr>
                <w:rFonts w:ascii="Garamond" w:hAnsi="Garamond"/>
                <w:sz w:val="12"/>
                <w:szCs w:val="12"/>
              </w:rPr>
            </w:pPr>
          </w:p>
          <w:p w14:paraId="7E70A029" w14:textId="4FA17BC0" w:rsidR="00990DEA" w:rsidRPr="00CC11D5" w:rsidRDefault="00990DEA" w:rsidP="006B61C6">
            <w:pPr>
              <w:jc w:val="center"/>
              <w:rPr>
                <w:rFonts w:ascii="Garamond" w:hAnsi="Garamond"/>
                <w:sz w:val="12"/>
                <w:szCs w:val="12"/>
              </w:rPr>
            </w:pPr>
            <w:r w:rsidRPr="00CC11D5">
              <w:rPr>
                <w:rFonts w:ascii="Garamond" w:hAnsi="Garamond"/>
                <w:sz w:val="12"/>
                <w:szCs w:val="12"/>
              </w:rPr>
              <w:t>Aktiviteti 2.4.3.9</w:t>
            </w:r>
            <w:r w:rsidR="000E6B7C" w:rsidRPr="00CC11D5">
              <w:rPr>
                <w:rFonts w:ascii="Garamond" w:hAnsi="Garamond"/>
                <w:sz w:val="12"/>
                <w:szCs w:val="12"/>
              </w:rPr>
              <w:t>:</w:t>
            </w:r>
            <w:r w:rsidR="008C0C0F" w:rsidRPr="00CC11D5">
              <w:rPr>
                <w:rFonts w:ascii="Garamond" w:hAnsi="Garamond"/>
                <w:sz w:val="12"/>
                <w:szCs w:val="12"/>
              </w:rPr>
              <w:t xml:space="preserve"> </w:t>
            </w:r>
            <w:r w:rsidRPr="00CC11D5">
              <w:rPr>
                <w:rFonts w:ascii="Garamond" w:hAnsi="Garamond"/>
                <w:sz w:val="12"/>
                <w:szCs w:val="12"/>
              </w:rPr>
              <w:t xml:space="preserve">Analiza dhe investigimi i informalitetit në sektorin e fushës së subjekteve që ofrojnë shërbime konsulence, </w:t>
            </w:r>
            <w:r w:rsidR="00377F8B" w:rsidRPr="00CC11D5">
              <w:rPr>
                <w:rFonts w:ascii="Garamond" w:hAnsi="Garamond"/>
                <w:sz w:val="12"/>
                <w:szCs w:val="12"/>
              </w:rPr>
              <w:t>shërbime</w:t>
            </w:r>
            <w:r w:rsidRPr="00CC11D5">
              <w:rPr>
                <w:rFonts w:ascii="Garamond" w:hAnsi="Garamond"/>
                <w:sz w:val="12"/>
                <w:szCs w:val="12"/>
              </w:rPr>
              <w:t xml:space="preserve"> IT, shërbime inxhinierie dhe të tjera në teknologjinë e informacionit</w:t>
            </w:r>
            <w:r w:rsidR="000E6B7C" w:rsidRPr="00CC11D5">
              <w:rPr>
                <w:rFonts w:ascii="Garamond" w:hAnsi="Garamond"/>
                <w:sz w:val="12"/>
                <w:szCs w:val="12"/>
              </w:rPr>
              <w:t>;</w:t>
            </w:r>
          </w:p>
          <w:p w14:paraId="01154B39" w14:textId="77777777" w:rsidR="000E6B7C" w:rsidRPr="00CC11D5" w:rsidRDefault="000E6B7C" w:rsidP="006B61C6">
            <w:pPr>
              <w:jc w:val="center"/>
              <w:rPr>
                <w:rFonts w:ascii="Garamond" w:hAnsi="Garamond"/>
                <w:sz w:val="12"/>
                <w:szCs w:val="12"/>
              </w:rPr>
            </w:pPr>
          </w:p>
          <w:p w14:paraId="41BD32D1" w14:textId="2AAD5630" w:rsidR="00990DEA" w:rsidRPr="00CC11D5" w:rsidRDefault="00990DEA" w:rsidP="006B61C6">
            <w:pPr>
              <w:jc w:val="center"/>
              <w:rPr>
                <w:rFonts w:ascii="Garamond" w:hAnsi="Garamond"/>
                <w:sz w:val="12"/>
                <w:szCs w:val="12"/>
              </w:rPr>
            </w:pPr>
            <w:r w:rsidRPr="00CC11D5">
              <w:rPr>
                <w:rFonts w:ascii="Garamond" w:hAnsi="Garamond"/>
                <w:sz w:val="12"/>
                <w:szCs w:val="12"/>
              </w:rPr>
              <w:t>Aktiviteti 2.4.3.10</w:t>
            </w:r>
            <w:r w:rsidR="000E6B7C" w:rsidRPr="00CC11D5">
              <w:rPr>
                <w:rFonts w:ascii="Garamond" w:hAnsi="Garamond"/>
                <w:sz w:val="12"/>
                <w:szCs w:val="12"/>
              </w:rPr>
              <w:t>:</w:t>
            </w:r>
            <w:r w:rsidRPr="00CC11D5">
              <w:rPr>
                <w:rFonts w:ascii="Garamond" w:hAnsi="Garamond"/>
                <w:sz w:val="12"/>
                <w:szCs w:val="12"/>
              </w:rPr>
              <w:t xml:space="preserve"> Analiza dhe investigimi i informalitetit në sektorin e fushës farmaceutikës dhe kozmetikës</w:t>
            </w:r>
            <w:r w:rsidR="000E6B7C" w:rsidRPr="00CC11D5">
              <w:rPr>
                <w:rFonts w:ascii="Garamond" w:hAnsi="Garamond"/>
                <w:sz w:val="12"/>
                <w:szCs w:val="12"/>
              </w:rPr>
              <w:t>;</w:t>
            </w:r>
          </w:p>
          <w:p w14:paraId="12534163" w14:textId="33F348FF" w:rsidR="00990DEA" w:rsidRPr="00CC11D5" w:rsidRDefault="00990DEA" w:rsidP="006B61C6">
            <w:pPr>
              <w:jc w:val="center"/>
              <w:rPr>
                <w:rFonts w:ascii="Garamond" w:hAnsi="Garamond"/>
                <w:sz w:val="12"/>
                <w:szCs w:val="12"/>
              </w:rPr>
            </w:pPr>
            <w:r w:rsidRPr="00CC11D5">
              <w:rPr>
                <w:rFonts w:ascii="Garamond" w:hAnsi="Garamond"/>
                <w:sz w:val="12"/>
                <w:szCs w:val="12"/>
              </w:rPr>
              <w:t>Aktiviteti 2.4.3.11</w:t>
            </w:r>
            <w:r w:rsidR="000E6B7C" w:rsidRPr="00CC11D5">
              <w:rPr>
                <w:rFonts w:ascii="Garamond" w:hAnsi="Garamond"/>
                <w:sz w:val="12"/>
                <w:szCs w:val="12"/>
              </w:rPr>
              <w:t xml:space="preserve">: </w:t>
            </w:r>
            <w:r w:rsidRPr="00CC11D5">
              <w:rPr>
                <w:rFonts w:ascii="Garamond" w:hAnsi="Garamond"/>
                <w:sz w:val="12"/>
                <w:szCs w:val="12"/>
              </w:rPr>
              <w:t>Analiza dhe investigimi i informacioneve të siguruara nga palë të treta si, qytetarë, media, institucione të tjera shtetërore dhe private</w:t>
            </w:r>
            <w:r w:rsidR="000E6B7C" w:rsidRPr="00CC11D5">
              <w:rPr>
                <w:rFonts w:ascii="Garamond" w:hAnsi="Garamond"/>
                <w:sz w:val="12"/>
                <w:szCs w:val="12"/>
              </w:rPr>
              <w:t>;</w:t>
            </w:r>
          </w:p>
          <w:p w14:paraId="174422C0" w14:textId="77777777" w:rsidR="000E6B7C" w:rsidRPr="00CC11D5" w:rsidRDefault="000E6B7C" w:rsidP="006B61C6">
            <w:pPr>
              <w:jc w:val="center"/>
              <w:rPr>
                <w:rFonts w:ascii="Garamond" w:hAnsi="Garamond"/>
                <w:sz w:val="12"/>
                <w:szCs w:val="12"/>
              </w:rPr>
            </w:pPr>
          </w:p>
          <w:p w14:paraId="66001581" w14:textId="4BCB874A" w:rsidR="00990DEA" w:rsidRPr="00CC11D5" w:rsidRDefault="00990DEA" w:rsidP="00D61E86">
            <w:pPr>
              <w:jc w:val="center"/>
              <w:rPr>
                <w:rFonts w:ascii="Garamond" w:hAnsi="Garamond"/>
                <w:sz w:val="12"/>
                <w:szCs w:val="12"/>
              </w:rPr>
            </w:pPr>
            <w:r w:rsidRPr="00CC11D5">
              <w:rPr>
                <w:rFonts w:ascii="Garamond" w:hAnsi="Garamond"/>
                <w:sz w:val="12"/>
                <w:szCs w:val="12"/>
              </w:rPr>
              <w:t>Aktiviteti 2.4.3.12</w:t>
            </w:r>
            <w:r w:rsidR="000E6B7C" w:rsidRPr="00CC11D5">
              <w:rPr>
                <w:rFonts w:ascii="Garamond" w:hAnsi="Garamond"/>
                <w:sz w:val="12"/>
                <w:szCs w:val="12"/>
              </w:rPr>
              <w:t xml:space="preserve">: </w:t>
            </w:r>
            <w:r w:rsidRPr="00CC11D5">
              <w:rPr>
                <w:rFonts w:ascii="Garamond" w:hAnsi="Garamond"/>
                <w:sz w:val="12"/>
                <w:szCs w:val="12"/>
              </w:rPr>
              <w:t>Analiza dhe investigimi i informacioneve të siguruara nga institucione të tjera me trajtim të rasteve që kanë të bëjnë me pastrimin e</w:t>
            </w:r>
            <w:r w:rsidR="00D22EA5" w:rsidRPr="00CC11D5">
              <w:rPr>
                <w:rFonts w:ascii="Garamond" w:hAnsi="Garamond"/>
                <w:sz w:val="12"/>
                <w:szCs w:val="12"/>
              </w:rPr>
              <w:t xml:space="preserve"> </w:t>
            </w:r>
            <w:r w:rsidRPr="00CC11D5">
              <w:rPr>
                <w:rFonts w:ascii="Garamond" w:hAnsi="Garamond"/>
                <w:sz w:val="12"/>
                <w:szCs w:val="12"/>
              </w:rPr>
              <w:t>parave,</w:t>
            </w:r>
            <w:r w:rsidR="00236281" w:rsidRPr="00CC11D5">
              <w:rPr>
                <w:rFonts w:ascii="Garamond" w:hAnsi="Garamond"/>
                <w:sz w:val="12"/>
                <w:szCs w:val="12"/>
              </w:rPr>
              <w:t xml:space="preserve"> </w:t>
            </w:r>
            <w:r w:rsidRPr="00CC11D5">
              <w:rPr>
                <w:rFonts w:ascii="Garamond" w:hAnsi="Garamond"/>
                <w:sz w:val="12"/>
                <w:szCs w:val="12"/>
              </w:rPr>
              <w:t>transaksionet e dyshimta,</w:t>
            </w:r>
            <w:r w:rsidR="00D22EA5" w:rsidRPr="00CC11D5">
              <w:rPr>
                <w:rFonts w:ascii="Garamond" w:hAnsi="Garamond"/>
                <w:sz w:val="12"/>
                <w:szCs w:val="12"/>
              </w:rPr>
              <w:t xml:space="preserve"> </w:t>
            </w:r>
            <w:r w:rsidRPr="00CC11D5">
              <w:rPr>
                <w:rFonts w:ascii="Garamond" w:hAnsi="Garamond"/>
                <w:sz w:val="12"/>
                <w:szCs w:val="12"/>
              </w:rPr>
              <w:t>etj.</w:t>
            </w:r>
          </w:p>
        </w:tc>
        <w:tc>
          <w:tcPr>
            <w:tcW w:w="813" w:type="dxa"/>
            <w:vAlign w:val="center"/>
          </w:tcPr>
          <w:p w14:paraId="2C45D147" w14:textId="77777777" w:rsidR="00990DEA" w:rsidRPr="00CC11D5" w:rsidRDefault="00990DEA" w:rsidP="006B61C6">
            <w:pPr>
              <w:jc w:val="center"/>
              <w:rPr>
                <w:rFonts w:ascii="Garamond" w:hAnsi="Garamond"/>
                <w:sz w:val="12"/>
                <w:szCs w:val="12"/>
              </w:rPr>
            </w:pPr>
            <w:r w:rsidRPr="00CC11D5">
              <w:rPr>
                <w:rFonts w:ascii="Garamond" w:hAnsi="Garamond"/>
                <w:sz w:val="12"/>
                <w:szCs w:val="12"/>
              </w:rPr>
              <w:t>2024</w:t>
            </w:r>
          </w:p>
        </w:tc>
        <w:tc>
          <w:tcPr>
            <w:tcW w:w="1343" w:type="dxa"/>
            <w:vAlign w:val="center"/>
          </w:tcPr>
          <w:p w14:paraId="0D7A5B5A" w14:textId="0D77DEE1" w:rsidR="00990DEA" w:rsidRPr="00CC11D5" w:rsidRDefault="00990DEA" w:rsidP="006B61C6">
            <w:pPr>
              <w:jc w:val="center"/>
              <w:rPr>
                <w:rFonts w:ascii="Garamond" w:hAnsi="Garamond"/>
                <w:sz w:val="12"/>
                <w:szCs w:val="12"/>
              </w:rPr>
            </w:pPr>
            <w:r w:rsidRPr="00CC11D5">
              <w:rPr>
                <w:rFonts w:ascii="Garamond" w:hAnsi="Garamond"/>
                <w:sz w:val="12"/>
                <w:szCs w:val="12"/>
              </w:rPr>
              <w:t>Qershor</w:t>
            </w:r>
            <w:r w:rsidR="00D22EA5" w:rsidRPr="00CC11D5">
              <w:rPr>
                <w:rFonts w:ascii="Garamond" w:hAnsi="Garamond"/>
                <w:sz w:val="12"/>
                <w:szCs w:val="12"/>
              </w:rPr>
              <w:t xml:space="preserve"> </w:t>
            </w:r>
            <w:r w:rsidRPr="00CC11D5">
              <w:rPr>
                <w:rFonts w:ascii="Garamond" w:hAnsi="Garamond"/>
                <w:sz w:val="12"/>
                <w:szCs w:val="12"/>
              </w:rPr>
              <w:t>2027</w:t>
            </w:r>
          </w:p>
        </w:tc>
        <w:tc>
          <w:tcPr>
            <w:tcW w:w="1555" w:type="dxa"/>
            <w:vAlign w:val="center"/>
          </w:tcPr>
          <w:p w14:paraId="2A0F34E8" w14:textId="77777777" w:rsidR="00990DEA" w:rsidRPr="00CC11D5" w:rsidRDefault="00990DEA" w:rsidP="006B61C6">
            <w:pPr>
              <w:jc w:val="center"/>
              <w:rPr>
                <w:rFonts w:ascii="Garamond" w:hAnsi="Garamond"/>
                <w:sz w:val="12"/>
                <w:szCs w:val="12"/>
              </w:rPr>
            </w:pPr>
            <w:r w:rsidRPr="00CC11D5">
              <w:rPr>
                <w:rFonts w:ascii="Garamond" w:hAnsi="Garamond"/>
                <w:sz w:val="12"/>
                <w:szCs w:val="12"/>
              </w:rPr>
              <w:t>DPT</w:t>
            </w:r>
          </w:p>
        </w:tc>
      </w:tr>
    </w:tbl>
    <w:p w14:paraId="1795F767" w14:textId="77777777" w:rsidR="00990DEA" w:rsidRPr="00830F4C" w:rsidRDefault="00990DEA" w:rsidP="00990DEA">
      <w:pPr>
        <w:jc w:val="both"/>
        <w:rPr>
          <w:rFonts w:ascii="Garamond" w:hAnsi="Garamond"/>
          <w:b/>
        </w:rPr>
      </w:pPr>
    </w:p>
    <w:p w14:paraId="6F40EBAE" w14:textId="77777777" w:rsidR="00990DEA" w:rsidRPr="00830F4C" w:rsidRDefault="00990DEA" w:rsidP="00990DEA">
      <w:pPr>
        <w:jc w:val="both"/>
        <w:rPr>
          <w:rFonts w:ascii="Garamond" w:hAnsi="Garamond"/>
          <w:b/>
        </w:rPr>
      </w:pPr>
      <w:r w:rsidRPr="00830F4C">
        <w:rPr>
          <w:rFonts w:ascii="Garamond" w:hAnsi="Garamond"/>
          <w:b/>
        </w:rPr>
        <w:t>Treguesit e performancës dhe vlerat e synuara</w:t>
      </w:r>
    </w:p>
    <w:tbl>
      <w:tblPr>
        <w:tblW w:w="8835" w:type="dxa"/>
        <w:tblLook w:val="04A0" w:firstRow="1" w:lastRow="0" w:firstColumn="1" w:lastColumn="0" w:noHBand="0" w:noVBand="1"/>
      </w:tblPr>
      <w:tblGrid>
        <w:gridCol w:w="2293"/>
        <w:gridCol w:w="1494"/>
        <w:gridCol w:w="1323"/>
        <w:gridCol w:w="1077"/>
        <w:gridCol w:w="1340"/>
        <w:gridCol w:w="1308"/>
      </w:tblGrid>
      <w:tr w:rsidR="00990DEA" w:rsidRPr="00CC11D5" w14:paraId="54D83955" w14:textId="77777777" w:rsidTr="000E6B7C">
        <w:trPr>
          <w:trHeight w:val="20"/>
        </w:trPr>
        <w:tc>
          <w:tcPr>
            <w:tcW w:w="2293" w:type="dxa"/>
            <w:vMerge w:val="restart"/>
            <w:tcBorders>
              <w:top w:val="single" w:sz="4" w:space="0" w:color="auto"/>
              <w:left w:val="single" w:sz="4" w:space="0" w:color="auto"/>
              <w:right w:val="single" w:sz="4" w:space="0" w:color="auto"/>
            </w:tcBorders>
            <w:shd w:val="clear" w:color="FFFFFF" w:fill="FFFFFF"/>
            <w:vAlign w:val="center"/>
          </w:tcPr>
          <w:p w14:paraId="289E5412" w14:textId="77777777" w:rsidR="00990DEA" w:rsidRPr="00CC11D5" w:rsidRDefault="00990DEA" w:rsidP="000E6B7C">
            <w:pPr>
              <w:jc w:val="center"/>
              <w:rPr>
                <w:rFonts w:ascii="Garamond" w:hAnsi="Garamond"/>
                <w:sz w:val="12"/>
                <w:szCs w:val="12"/>
              </w:rPr>
            </w:pPr>
            <w:r w:rsidRPr="00CC11D5">
              <w:rPr>
                <w:rFonts w:ascii="Garamond" w:hAnsi="Garamond"/>
                <w:b/>
                <w:sz w:val="12"/>
                <w:szCs w:val="12"/>
              </w:rPr>
              <w:t>Treguesi</w:t>
            </w:r>
          </w:p>
        </w:tc>
        <w:tc>
          <w:tcPr>
            <w:tcW w:w="1494" w:type="dxa"/>
            <w:vMerge w:val="restart"/>
            <w:tcBorders>
              <w:top w:val="single" w:sz="4" w:space="0" w:color="auto"/>
              <w:left w:val="single" w:sz="4" w:space="0" w:color="auto"/>
              <w:right w:val="single" w:sz="4" w:space="0" w:color="auto"/>
            </w:tcBorders>
            <w:shd w:val="clear" w:color="FFFFFF" w:fill="FFFFFF"/>
            <w:vAlign w:val="center"/>
          </w:tcPr>
          <w:p w14:paraId="6EC6E7C7" w14:textId="77777777" w:rsidR="000E6B7C" w:rsidRPr="00CC11D5" w:rsidRDefault="00990DEA" w:rsidP="000E6B7C">
            <w:pPr>
              <w:jc w:val="center"/>
              <w:rPr>
                <w:rFonts w:ascii="Garamond" w:hAnsi="Garamond"/>
                <w:b/>
                <w:sz w:val="12"/>
                <w:szCs w:val="12"/>
              </w:rPr>
            </w:pPr>
            <w:r w:rsidRPr="00CC11D5">
              <w:rPr>
                <w:rFonts w:ascii="Garamond" w:hAnsi="Garamond"/>
                <w:b/>
                <w:sz w:val="12"/>
                <w:szCs w:val="12"/>
              </w:rPr>
              <w:t xml:space="preserve">Vlera </w:t>
            </w:r>
            <w:r w:rsidR="000E6B7C" w:rsidRPr="00CC11D5">
              <w:rPr>
                <w:rFonts w:ascii="Garamond" w:hAnsi="Garamond"/>
                <w:b/>
                <w:sz w:val="12"/>
                <w:szCs w:val="12"/>
              </w:rPr>
              <w:t>b</w:t>
            </w:r>
            <w:r w:rsidRPr="00CC11D5">
              <w:rPr>
                <w:rFonts w:ascii="Garamond" w:hAnsi="Garamond"/>
                <w:b/>
                <w:sz w:val="12"/>
                <w:szCs w:val="12"/>
              </w:rPr>
              <w:t>azë</w:t>
            </w:r>
          </w:p>
          <w:p w14:paraId="5D0BF2B4" w14:textId="0F3491B8" w:rsidR="00990DEA" w:rsidRPr="00CC11D5" w:rsidRDefault="00990DEA" w:rsidP="000E6B7C">
            <w:pPr>
              <w:jc w:val="center"/>
              <w:rPr>
                <w:rFonts w:ascii="Garamond" w:hAnsi="Garamond"/>
                <w:sz w:val="12"/>
                <w:szCs w:val="12"/>
              </w:rPr>
            </w:pPr>
            <w:r w:rsidRPr="00CC11D5">
              <w:rPr>
                <w:rFonts w:ascii="Garamond" w:hAnsi="Garamond"/>
                <w:b/>
                <w:sz w:val="12"/>
                <w:szCs w:val="12"/>
              </w:rPr>
              <w:t>(viti 2023)</w:t>
            </w:r>
          </w:p>
        </w:tc>
        <w:tc>
          <w:tcPr>
            <w:tcW w:w="5048" w:type="dxa"/>
            <w:gridSpan w:val="4"/>
            <w:tcBorders>
              <w:top w:val="single" w:sz="4" w:space="0" w:color="auto"/>
              <w:left w:val="nil"/>
              <w:bottom w:val="single" w:sz="4" w:space="0" w:color="auto"/>
              <w:right w:val="single" w:sz="4" w:space="0" w:color="auto"/>
            </w:tcBorders>
            <w:shd w:val="clear" w:color="FFFFFF" w:fill="FFFFFF"/>
            <w:vAlign w:val="center"/>
          </w:tcPr>
          <w:p w14:paraId="2E6ADE20" w14:textId="77777777" w:rsidR="00990DEA" w:rsidRPr="00CC11D5" w:rsidRDefault="00990DEA" w:rsidP="000E6B7C">
            <w:pPr>
              <w:jc w:val="center"/>
              <w:rPr>
                <w:rFonts w:ascii="Garamond" w:hAnsi="Garamond"/>
                <w:sz w:val="12"/>
                <w:szCs w:val="12"/>
              </w:rPr>
            </w:pPr>
            <w:r w:rsidRPr="00CC11D5">
              <w:rPr>
                <w:rFonts w:ascii="Garamond" w:hAnsi="Garamond"/>
                <w:b/>
                <w:sz w:val="12"/>
                <w:szCs w:val="12"/>
              </w:rPr>
              <w:t>Vlera e synuar</w:t>
            </w:r>
          </w:p>
        </w:tc>
      </w:tr>
      <w:tr w:rsidR="00990DEA" w:rsidRPr="00CC11D5" w14:paraId="64A69FC6" w14:textId="77777777" w:rsidTr="000E6B7C">
        <w:trPr>
          <w:trHeight w:val="20"/>
        </w:trPr>
        <w:tc>
          <w:tcPr>
            <w:tcW w:w="2293" w:type="dxa"/>
            <w:vMerge/>
            <w:tcBorders>
              <w:left w:val="single" w:sz="4" w:space="0" w:color="auto"/>
              <w:bottom w:val="single" w:sz="4" w:space="0" w:color="auto"/>
              <w:right w:val="single" w:sz="4" w:space="0" w:color="auto"/>
            </w:tcBorders>
            <w:shd w:val="clear" w:color="FFFFFF" w:fill="FFFFFF"/>
            <w:vAlign w:val="center"/>
          </w:tcPr>
          <w:p w14:paraId="061C4534" w14:textId="77777777" w:rsidR="00990DEA" w:rsidRPr="00CC11D5" w:rsidRDefault="00990DEA" w:rsidP="000E6B7C">
            <w:pPr>
              <w:jc w:val="center"/>
              <w:rPr>
                <w:rFonts w:ascii="Garamond" w:hAnsi="Garamond"/>
                <w:sz w:val="12"/>
                <w:szCs w:val="12"/>
              </w:rPr>
            </w:pPr>
          </w:p>
        </w:tc>
        <w:tc>
          <w:tcPr>
            <w:tcW w:w="1494" w:type="dxa"/>
            <w:vMerge/>
            <w:tcBorders>
              <w:left w:val="single" w:sz="4" w:space="0" w:color="auto"/>
              <w:bottom w:val="single" w:sz="4" w:space="0" w:color="auto"/>
              <w:right w:val="single" w:sz="4" w:space="0" w:color="auto"/>
            </w:tcBorders>
            <w:shd w:val="clear" w:color="FFFFFF" w:fill="FFFFFF"/>
            <w:vAlign w:val="center"/>
          </w:tcPr>
          <w:p w14:paraId="05978EC5" w14:textId="77777777" w:rsidR="00990DEA" w:rsidRPr="00CC11D5" w:rsidRDefault="00990DEA" w:rsidP="000E6B7C">
            <w:pPr>
              <w:jc w:val="center"/>
              <w:rPr>
                <w:rFonts w:ascii="Garamond" w:hAnsi="Garamond"/>
                <w:sz w:val="12"/>
                <w:szCs w:val="12"/>
              </w:rPr>
            </w:pPr>
          </w:p>
        </w:tc>
        <w:tc>
          <w:tcPr>
            <w:tcW w:w="1323" w:type="dxa"/>
            <w:tcBorders>
              <w:top w:val="single" w:sz="4" w:space="0" w:color="auto"/>
              <w:left w:val="nil"/>
              <w:bottom w:val="single" w:sz="4" w:space="0" w:color="auto"/>
              <w:right w:val="single" w:sz="4" w:space="0" w:color="auto"/>
            </w:tcBorders>
            <w:shd w:val="clear" w:color="FFFFFF" w:fill="FFFFFF"/>
            <w:vAlign w:val="center"/>
          </w:tcPr>
          <w:p w14:paraId="224CDBDB" w14:textId="77777777" w:rsidR="00990DEA" w:rsidRPr="00CC11D5" w:rsidRDefault="00990DEA" w:rsidP="000E6B7C">
            <w:pPr>
              <w:jc w:val="center"/>
              <w:rPr>
                <w:rFonts w:ascii="Garamond" w:hAnsi="Garamond"/>
                <w:sz w:val="12"/>
                <w:szCs w:val="12"/>
              </w:rPr>
            </w:pPr>
            <w:r w:rsidRPr="00CC11D5">
              <w:rPr>
                <w:rFonts w:ascii="Garamond" w:hAnsi="Garamond"/>
                <w:b/>
                <w:sz w:val="12"/>
                <w:szCs w:val="12"/>
              </w:rPr>
              <w:t>2024</w:t>
            </w:r>
          </w:p>
        </w:tc>
        <w:tc>
          <w:tcPr>
            <w:tcW w:w="1077" w:type="dxa"/>
            <w:tcBorders>
              <w:top w:val="single" w:sz="4" w:space="0" w:color="auto"/>
              <w:left w:val="nil"/>
              <w:bottom w:val="single" w:sz="4" w:space="0" w:color="auto"/>
              <w:right w:val="single" w:sz="4" w:space="0" w:color="auto"/>
            </w:tcBorders>
            <w:shd w:val="clear" w:color="FFFFFF" w:fill="FFFFFF"/>
            <w:vAlign w:val="center"/>
          </w:tcPr>
          <w:p w14:paraId="799B348D" w14:textId="77777777" w:rsidR="00990DEA" w:rsidRPr="00CC11D5" w:rsidRDefault="00990DEA" w:rsidP="000E6B7C">
            <w:pPr>
              <w:jc w:val="center"/>
              <w:rPr>
                <w:rFonts w:ascii="Garamond" w:hAnsi="Garamond"/>
                <w:sz w:val="12"/>
                <w:szCs w:val="12"/>
              </w:rPr>
            </w:pPr>
            <w:r w:rsidRPr="00CC11D5">
              <w:rPr>
                <w:rFonts w:ascii="Garamond" w:hAnsi="Garamond"/>
                <w:b/>
                <w:sz w:val="12"/>
                <w:szCs w:val="12"/>
              </w:rPr>
              <w:t>2025</w:t>
            </w:r>
          </w:p>
        </w:tc>
        <w:tc>
          <w:tcPr>
            <w:tcW w:w="1340" w:type="dxa"/>
            <w:tcBorders>
              <w:top w:val="single" w:sz="4" w:space="0" w:color="auto"/>
              <w:left w:val="nil"/>
              <w:bottom w:val="single" w:sz="4" w:space="0" w:color="auto"/>
              <w:right w:val="single" w:sz="4" w:space="0" w:color="auto"/>
            </w:tcBorders>
            <w:shd w:val="clear" w:color="FFFFFF" w:fill="FFFFFF"/>
            <w:vAlign w:val="center"/>
          </w:tcPr>
          <w:p w14:paraId="523BF6D0" w14:textId="77777777" w:rsidR="00990DEA" w:rsidRPr="00CC11D5" w:rsidRDefault="00990DEA" w:rsidP="000E6B7C">
            <w:pPr>
              <w:jc w:val="center"/>
              <w:rPr>
                <w:rFonts w:ascii="Garamond" w:hAnsi="Garamond"/>
                <w:sz w:val="12"/>
                <w:szCs w:val="12"/>
              </w:rPr>
            </w:pPr>
            <w:r w:rsidRPr="00CC11D5">
              <w:rPr>
                <w:rFonts w:ascii="Garamond" w:hAnsi="Garamond"/>
                <w:b/>
                <w:sz w:val="12"/>
                <w:szCs w:val="12"/>
              </w:rPr>
              <w:t>2026</w:t>
            </w:r>
          </w:p>
        </w:tc>
        <w:tc>
          <w:tcPr>
            <w:tcW w:w="1308" w:type="dxa"/>
            <w:tcBorders>
              <w:top w:val="single" w:sz="4" w:space="0" w:color="auto"/>
              <w:left w:val="nil"/>
              <w:bottom w:val="single" w:sz="4" w:space="0" w:color="auto"/>
              <w:right w:val="single" w:sz="4" w:space="0" w:color="auto"/>
            </w:tcBorders>
            <w:shd w:val="clear" w:color="FFFFFF" w:fill="FFFFFF"/>
            <w:vAlign w:val="center"/>
          </w:tcPr>
          <w:p w14:paraId="6178717C" w14:textId="77777777" w:rsidR="00990DEA" w:rsidRPr="00CC11D5" w:rsidRDefault="00990DEA" w:rsidP="000E6B7C">
            <w:pPr>
              <w:jc w:val="center"/>
              <w:rPr>
                <w:rFonts w:ascii="Garamond" w:hAnsi="Garamond"/>
                <w:sz w:val="12"/>
                <w:szCs w:val="12"/>
              </w:rPr>
            </w:pPr>
            <w:r w:rsidRPr="00CC11D5">
              <w:rPr>
                <w:rFonts w:ascii="Garamond" w:hAnsi="Garamond"/>
                <w:b/>
                <w:sz w:val="12"/>
                <w:szCs w:val="12"/>
              </w:rPr>
              <w:t>2027</w:t>
            </w:r>
          </w:p>
        </w:tc>
      </w:tr>
      <w:tr w:rsidR="00990DEA" w:rsidRPr="00CC11D5" w14:paraId="2276F80E" w14:textId="77777777" w:rsidTr="000E6B7C">
        <w:trPr>
          <w:trHeight w:val="20"/>
        </w:trPr>
        <w:tc>
          <w:tcPr>
            <w:tcW w:w="2293" w:type="dxa"/>
            <w:tcBorders>
              <w:top w:val="single" w:sz="4" w:space="0" w:color="auto"/>
              <w:left w:val="single" w:sz="4" w:space="0" w:color="auto"/>
              <w:bottom w:val="single" w:sz="4" w:space="0" w:color="auto"/>
              <w:right w:val="single" w:sz="4" w:space="0" w:color="auto"/>
            </w:tcBorders>
            <w:shd w:val="clear" w:color="FFFFFF" w:fill="FFFFFF"/>
          </w:tcPr>
          <w:p w14:paraId="674C6730" w14:textId="5FB6C1E1" w:rsidR="00990DEA" w:rsidRPr="00CC11D5" w:rsidRDefault="00990DEA" w:rsidP="00990DEA">
            <w:pPr>
              <w:autoSpaceDE w:val="0"/>
              <w:autoSpaceDN w:val="0"/>
              <w:adjustRightInd w:val="0"/>
              <w:contextualSpacing/>
              <w:jc w:val="center"/>
              <w:rPr>
                <w:rFonts w:ascii="Garamond" w:hAnsi="Garamond"/>
                <w:sz w:val="12"/>
                <w:szCs w:val="12"/>
              </w:rPr>
            </w:pPr>
            <w:r w:rsidRPr="00CC11D5">
              <w:rPr>
                <w:rFonts w:ascii="Garamond" w:hAnsi="Garamond"/>
                <w:sz w:val="12"/>
                <w:szCs w:val="12"/>
              </w:rPr>
              <w:t>Rritja e të ardhurave nga tatimi mbi fitimin me 0.7% e PBB</w:t>
            </w:r>
            <w:r w:rsidR="00236281" w:rsidRPr="00CC11D5">
              <w:rPr>
                <w:rFonts w:ascii="Garamond" w:hAnsi="Garamond"/>
                <w:sz w:val="12"/>
                <w:szCs w:val="12"/>
              </w:rPr>
              <w:t>-së</w:t>
            </w:r>
            <w:r w:rsidRPr="00CC11D5">
              <w:rPr>
                <w:rFonts w:ascii="Garamond" w:hAnsi="Garamond"/>
                <w:sz w:val="12"/>
                <w:szCs w:val="12"/>
              </w:rPr>
              <w:t xml:space="preserve"> brenda 2027</w:t>
            </w:r>
          </w:p>
        </w:tc>
        <w:tc>
          <w:tcPr>
            <w:tcW w:w="1494" w:type="dxa"/>
            <w:tcBorders>
              <w:top w:val="single" w:sz="4" w:space="0" w:color="auto"/>
              <w:left w:val="single" w:sz="4" w:space="0" w:color="auto"/>
              <w:bottom w:val="single" w:sz="4" w:space="0" w:color="auto"/>
              <w:right w:val="single" w:sz="4" w:space="0" w:color="auto"/>
            </w:tcBorders>
            <w:shd w:val="clear" w:color="FFFFFF" w:fill="FFFFFF"/>
          </w:tcPr>
          <w:p w14:paraId="791F8ABB" w14:textId="04434C15" w:rsidR="00990DEA" w:rsidRPr="00CC11D5" w:rsidRDefault="00990DEA" w:rsidP="00990DEA">
            <w:pPr>
              <w:jc w:val="center"/>
              <w:rPr>
                <w:rFonts w:ascii="Garamond" w:hAnsi="Garamond"/>
                <w:sz w:val="12"/>
                <w:szCs w:val="12"/>
              </w:rPr>
            </w:pPr>
            <w:r w:rsidRPr="00CC11D5">
              <w:rPr>
                <w:rFonts w:ascii="Garamond" w:hAnsi="Garamond"/>
                <w:sz w:val="12"/>
                <w:szCs w:val="12"/>
              </w:rPr>
              <w:t>Të ardhurat nga TF 2.4% e PBB</w:t>
            </w:r>
            <w:r w:rsidR="00236281" w:rsidRPr="00CC11D5">
              <w:rPr>
                <w:rFonts w:ascii="Garamond" w:hAnsi="Garamond"/>
                <w:sz w:val="12"/>
                <w:szCs w:val="12"/>
              </w:rPr>
              <w:t>-së</w:t>
            </w:r>
          </w:p>
        </w:tc>
        <w:tc>
          <w:tcPr>
            <w:tcW w:w="1323" w:type="dxa"/>
            <w:tcBorders>
              <w:top w:val="single" w:sz="4" w:space="0" w:color="auto"/>
              <w:left w:val="nil"/>
              <w:bottom w:val="single" w:sz="4" w:space="0" w:color="auto"/>
              <w:right w:val="single" w:sz="4" w:space="0" w:color="auto"/>
            </w:tcBorders>
            <w:shd w:val="clear" w:color="FFFFFF" w:fill="FFFFFF"/>
            <w:vAlign w:val="center"/>
          </w:tcPr>
          <w:p w14:paraId="4A1A1029" w14:textId="77777777" w:rsidR="00990DEA" w:rsidRPr="00CC11D5" w:rsidRDefault="00990DEA" w:rsidP="000E6B7C">
            <w:pPr>
              <w:jc w:val="center"/>
              <w:rPr>
                <w:rFonts w:ascii="Garamond" w:hAnsi="Garamond"/>
                <w:sz w:val="12"/>
                <w:szCs w:val="12"/>
              </w:rPr>
            </w:pPr>
          </w:p>
          <w:p w14:paraId="64EAC1D8" w14:textId="77777777" w:rsidR="00990DEA" w:rsidRPr="00CC11D5" w:rsidRDefault="00990DEA" w:rsidP="000E6B7C">
            <w:pPr>
              <w:jc w:val="center"/>
              <w:rPr>
                <w:rFonts w:ascii="Garamond" w:hAnsi="Garamond"/>
                <w:sz w:val="12"/>
                <w:szCs w:val="12"/>
              </w:rPr>
            </w:pPr>
          </w:p>
          <w:p w14:paraId="1D1B6A37" w14:textId="02C2E4AB" w:rsidR="00990DEA" w:rsidRPr="00CC11D5" w:rsidRDefault="00990DEA" w:rsidP="000E6B7C">
            <w:pPr>
              <w:jc w:val="center"/>
              <w:rPr>
                <w:rFonts w:ascii="Garamond" w:hAnsi="Garamond"/>
                <w:sz w:val="12"/>
                <w:szCs w:val="12"/>
              </w:rPr>
            </w:pPr>
            <w:r w:rsidRPr="00CC11D5">
              <w:rPr>
                <w:rFonts w:ascii="Garamond" w:hAnsi="Garamond"/>
                <w:sz w:val="12"/>
                <w:szCs w:val="12"/>
              </w:rPr>
              <w:t>0.22% e PBB</w:t>
            </w:r>
            <w:r w:rsidR="00236281" w:rsidRPr="00CC11D5">
              <w:rPr>
                <w:rFonts w:ascii="Garamond" w:hAnsi="Garamond"/>
                <w:sz w:val="12"/>
                <w:szCs w:val="12"/>
              </w:rPr>
              <w:t>-së</w:t>
            </w:r>
          </w:p>
        </w:tc>
        <w:tc>
          <w:tcPr>
            <w:tcW w:w="1077" w:type="dxa"/>
            <w:tcBorders>
              <w:top w:val="single" w:sz="4" w:space="0" w:color="auto"/>
              <w:left w:val="nil"/>
              <w:bottom w:val="single" w:sz="4" w:space="0" w:color="auto"/>
              <w:right w:val="single" w:sz="4" w:space="0" w:color="auto"/>
            </w:tcBorders>
            <w:shd w:val="clear" w:color="FFFFFF" w:fill="FFFFFF"/>
            <w:vAlign w:val="center"/>
          </w:tcPr>
          <w:p w14:paraId="3FC6854A" w14:textId="09CB38D5" w:rsidR="00990DEA" w:rsidRPr="00CC11D5" w:rsidRDefault="00990DEA" w:rsidP="000E6B7C">
            <w:pPr>
              <w:jc w:val="center"/>
              <w:rPr>
                <w:rFonts w:ascii="Garamond" w:hAnsi="Garamond"/>
                <w:sz w:val="12"/>
                <w:szCs w:val="12"/>
              </w:rPr>
            </w:pPr>
            <w:r w:rsidRPr="00CC11D5">
              <w:rPr>
                <w:rFonts w:ascii="Garamond" w:hAnsi="Garamond"/>
                <w:sz w:val="12"/>
                <w:szCs w:val="12"/>
              </w:rPr>
              <w:t>0.24% e PBB</w:t>
            </w:r>
            <w:r w:rsidR="00236281" w:rsidRPr="00CC11D5">
              <w:rPr>
                <w:rFonts w:ascii="Garamond" w:hAnsi="Garamond"/>
                <w:sz w:val="12"/>
                <w:szCs w:val="12"/>
              </w:rPr>
              <w:t>-së</w:t>
            </w:r>
          </w:p>
        </w:tc>
        <w:tc>
          <w:tcPr>
            <w:tcW w:w="1340" w:type="dxa"/>
            <w:tcBorders>
              <w:top w:val="single" w:sz="4" w:space="0" w:color="auto"/>
              <w:left w:val="nil"/>
              <w:bottom w:val="single" w:sz="4" w:space="0" w:color="auto"/>
              <w:right w:val="single" w:sz="4" w:space="0" w:color="auto"/>
            </w:tcBorders>
            <w:shd w:val="clear" w:color="FFFFFF" w:fill="FFFFFF"/>
            <w:vAlign w:val="center"/>
          </w:tcPr>
          <w:p w14:paraId="3DF44266" w14:textId="7E38B774" w:rsidR="00990DEA" w:rsidRPr="00CC11D5" w:rsidRDefault="00990DEA" w:rsidP="000E6B7C">
            <w:pPr>
              <w:jc w:val="center"/>
              <w:rPr>
                <w:rFonts w:ascii="Garamond" w:hAnsi="Garamond"/>
                <w:sz w:val="12"/>
                <w:szCs w:val="12"/>
              </w:rPr>
            </w:pPr>
            <w:r w:rsidRPr="00CC11D5">
              <w:rPr>
                <w:rFonts w:ascii="Garamond" w:hAnsi="Garamond"/>
                <w:sz w:val="12"/>
                <w:szCs w:val="12"/>
              </w:rPr>
              <w:t>0.12% e PBB</w:t>
            </w:r>
            <w:r w:rsidR="00236281" w:rsidRPr="00CC11D5">
              <w:rPr>
                <w:rFonts w:ascii="Garamond" w:hAnsi="Garamond"/>
                <w:sz w:val="12"/>
                <w:szCs w:val="12"/>
              </w:rPr>
              <w:t>-së</w:t>
            </w:r>
          </w:p>
        </w:tc>
        <w:tc>
          <w:tcPr>
            <w:tcW w:w="1308" w:type="dxa"/>
            <w:tcBorders>
              <w:top w:val="single" w:sz="4" w:space="0" w:color="auto"/>
              <w:left w:val="nil"/>
              <w:bottom w:val="single" w:sz="4" w:space="0" w:color="auto"/>
              <w:right w:val="single" w:sz="4" w:space="0" w:color="auto"/>
            </w:tcBorders>
            <w:shd w:val="clear" w:color="FFFFFF" w:fill="FFFFFF"/>
            <w:vAlign w:val="center"/>
          </w:tcPr>
          <w:p w14:paraId="5EA406B7" w14:textId="77777777" w:rsidR="00990DEA" w:rsidRPr="00CC11D5" w:rsidRDefault="00990DEA" w:rsidP="000E6B7C">
            <w:pPr>
              <w:jc w:val="center"/>
              <w:rPr>
                <w:rFonts w:ascii="Garamond" w:hAnsi="Garamond"/>
                <w:sz w:val="12"/>
                <w:szCs w:val="12"/>
              </w:rPr>
            </w:pPr>
          </w:p>
          <w:p w14:paraId="55A27525" w14:textId="77777777" w:rsidR="00990DEA" w:rsidRPr="00CC11D5" w:rsidRDefault="00990DEA" w:rsidP="000E6B7C">
            <w:pPr>
              <w:jc w:val="center"/>
              <w:rPr>
                <w:rFonts w:ascii="Garamond" w:hAnsi="Garamond"/>
                <w:sz w:val="12"/>
                <w:szCs w:val="12"/>
              </w:rPr>
            </w:pPr>
          </w:p>
          <w:p w14:paraId="5474DE0A" w14:textId="60E2D972" w:rsidR="00990DEA" w:rsidRPr="00CC11D5" w:rsidRDefault="00990DEA" w:rsidP="000E6B7C">
            <w:pPr>
              <w:jc w:val="center"/>
              <w:rPr>
                <w:rFonts w:ascii="Garamond" w:hAnsi="Garamond"/>
                <w:sz w:val="12"/>
                <w:szCs w:val="12"/>
              </w:rPr>
            </w:pPr>
            <w:r w:rsidRPr="00CC11D5">
              <w:rPr>
                <w:rFonts w:ascii="Garamond" w:hAnsi="Garamond"/>
                <w:sz w:val="12"/>
                <w:szCs w:val="12"/>
              </w:rPr>
              <w:t>0.12% e PBB</w:t>
            </w:r>
            <w:r w:rsidR="00236281" w:rsidRPr="00CC11D5">
              <w:rPr>
                <w:rFonts w:ascii="Garamond" w:hAnsi="Garamond"/>
                <w:sz w:val="12"/>
                <w:szCs w:val="12"/>
              </w:rPr>
              <w:t>-së</w:t>
            </w:r>
          </w:p>
        </w:tc>
      </w:tr>
      <w:tr w:rsidR="00990DEA" w:rsidRPr="00CC11D5" w14:paraId="79EE82DB" w14:textId="77777777" w:rsidTr="000E6B7C">
        <w:trPr>
          <w:trHeight w:val="20"/>
        </w:trPr>
        <w:tc>
          <w:tcPr>
            <w:tcW w:w="2293" w:type="dxa"/>
            <w:tcBorders>
              <w:top w:val="single" w:sz="4" w:space="0" w:color="auto"/>
              <w:left w:val="single" w:sz="4" w:space="0" w:color="auto"/>
              <w:bottom w:val="single" w:sz="4" w:space="0" w:color="auto"/>
              <w:right w:val="single" w:sz="4" w:space="0" w:color="auto"/>
            </w:tcBorders>
            <w:shd w:val="clear" w:color="FFFFFF" w:fill="FFFFFF"/>
          </w:tcPr>
          <w:p w14:paraId="4917036F" w14:textId="0138AB49" w:rsidR="00990DEA" w:rsidRPr="00CC11D5" w:rsidRDefault="00990DEA" w:rsidP="00990DEA">
            <w:pPr>
              <w:jc w:val="center"/>
              <w:rPr>
                <w:rFonts w:ascii="Garamond" w:hAnsi="Garamond"/>
                <w:sz w:val="12"/>
                <w:szCs w:val="12"/>
              </w:rPr>
            </w:pPr>
            <w:r w:rsidRPr="00CC11D5">
              <w:rPr>
                <w:rFonts w:ascii="Garamond" w:hAnsi="Garamond"/>
                <w:sz w:val="12"/>
                <w:szCs w:val="12"/>
              </w:rPr>
              <w:t xml:space="preserve">Rritja e të ardhurave nga tatimi mbi </w:t>
            </w:r>
            <w:r w:rsidR="00236281" w:rsidRPr="00CC11D5">
              <w:rPr>
                <w:rFonts w:ascii="Garamond" w:hAnsi="Garamond"/>
                <w:sz w:val="12"/>
                <w:szCs w:val="12"/>
              </w:rPr>
              <w:t>qiranë</w:t>
            </w:r>
            <w:r w:rsidRPr="00CC11D5">
              <w:rPr>
                <w:rFonts w:ascii="Garamond" w:hAnsi="Garamond"/>
                <w:sz w:val="12"/>
                <w:szCs w:val="12"/>
              </w:rPr>
              <w:t xml:space="preserve"> me 0.16% të PBB</w:t>
            </w:r>
            <w:r w:rsidR="00236281" w:rsidRPr="00CC11D5">
              <w:rPr>
                <w:rFonts w:ascii="Garamond" w:hAnsi="Garamond"/>
                <w:sz w:val="12"/>
                <w:szCs w:val="12"/>
              </w:rPr>
              <w:t>-së</w:t>
            </w:r>
            <w:r w:rsidRPr="00CC11D5">
              <w:rPr>
                <w:rFonts w:ascii="Garamond" w:hAnsi="Garamond"/>
                <w:sz w:val="12"/>
                <w:szCs w:val="12"/>
              </w:rPr>
              <w:t>, brenda 2027</w:t>
            </w:r>
          </w:p>
        </w:tc>
        <w:tc>
          <w:tcPr>
            <w:tcW w:w="1494" w:type="dxa"/>
            <w:tcBorders>
              <w:top w:val="single" w:sz="4" w:space="0" w:color="auto"/>
              <w:left w:val="single" w:sz="4" w:space="0" w:color="auto"/>
              <w:bottom w:val="single" w:sz="4" w:space="0" w:color="auto"/>
              <w:right w:val="single" w:sz="4" w:space="0" w:color="auto"/>
            </w:tcBorders>
            <w:shd w:val="clear" w:color="FFFFFF" w:fill="FFFFFF"/>
            <w:vAlign w:val="center"/>
          </w:tcPr>
          <w:p w14:paraId="12EB84B5" w14:textId="59717E1F" w:rsidR="00990DEA" w:rsidRPr="00CC11D5" w:rsidRDefault="00990DEA" w:rsidP="000E6B7C">
            <w:pPr>
              <w:jc w:val="center"/>
              <w:rPr>
                <w:rFonts w:ascii="Garamond" w:hAnsi="Garamond"/>
                <w:sz w:val="12"/>
                <w:szCs w:val="12"/>
              </w:rPr>
            </w:pPr>
            <w:r w:rsidRPr="00CC11D5">
              <w:rPr>
                <w:rFonts w:ascii="Garamond" w:hAnsi="Garamond"/>
                <w:sz w:val="12"/>
                <w:szCs w:val="12"/>
              </w:rPr>
              <w:t xml:space="preserve">Të ardhurat nga tatimi mbi </w:t>
            </w:r>
            <w:r w:rsidR="00236281" w:rsidRPr="00CC11D5">
              <w:rPr>
                <w:rFonts w:ascii="Garamond" w:hAnsi="Garamond"/>
                <w:sz w:val="12"/>
                <w:szCs w:val="12"/>
              </w:rPr>
              <w:t>qiranë</w:t>
            </w:r>
            <w:r w:rsidRPr="00CC11D5">
              <w:rPr>
                <w:rFonts w:ascii="Garamond" w:hAnsi="Garamond"/>
                <w:sz w:val="12"/>
                <w:szCs w:val="12"/>
              </w:rPr>
              <w:t>, 0.21% e PBB</w:t>
            </w:r>
            <w:r w:rsidR="00236281" w:rsidRPr="00CC11D5">
              <w:rPr>
                <w:rFonts w:ascii="Garamond" w:hAnsi="Garamond"/>
                <w:sz w:val="12"/>
                <w:szCs w:val="12"/>
              </w:rPr>
              <w:t>-së</w:t>
            </w:r>
          </w:p>
        </w:tc>
        <w:tc>
          <w:tcPr>
            <w:tcW w:w="1323" w:type="dxa"/>
            <w:tcBorders>
              <w:top w:val="single" w:sz="4" w:space="0" w:color="auto"/>
              <w:left w:val="nil"/>
              <w:bottom w:val="single" w:sz="4" w:space="0" w:color="auto"/>
              <w:right w:val="single" w:sz="4" w:space="0" w:color="auto"/>
            </w:tcBorders>
            <w:shd w:val="clear" w:color="FFFFFF" w:fill="FFFFFF"/>
            <w:vAlign w:val="center"/>
          </w:tcPr>
          <w:p w14:paraId="704EBCE3" w14:textId="658D8F64" w:rsidR="00990DEA" w:rsidRPr="00CC11D5" w:rsidRDefault="00990DEA" w:rsidP="000E6B7C">
            <w:pPr>
              <w:jc w:val="center"/>
              <w:rPr>
                <w:rFonts w:ascii="Garamond" w:hAnsi="Garamond"/>
                <w:sz w:val="12"/>
                <w:szCs w:val="12"/>
              </w:rPr>
            </w:pPr>
            <w:r w:rsidRPr="00CC11D5">
              <w:rPr>
                <w:rFonts w:ascii="Garamond" w:hAnsi="Garamond"/>
                <w:sz w:val="12"/>
                <w:szCs w:val="12"/>
              </w:rPr>
              <w:t>0.02% e PBB</w:t>
            </w:r>
            <w:r w:rsidR="00236281" w:rsidRPr="00CC11D5">
              <w:rPr>
                <w:rFonts w:ascii="Garamond" w:hAnsi="Garamond"/>
                <w:sz w:val="12"/>
                <w:szCs w:val="12"/>
              </w:rPr>
              <w:t>-së</w:t>
            </w:r>
          </w:p>
          <w:p w14:paraId="17B145F5" w14:textId="13D1754C" w:rsidR="00990DEA" w:rsidRPr="00CC11D5" w:rsidRDefault="00990DEA" w:rsidP="000E6B7C">
            <w:pPr>
              <w:jc w:val="center"/>
              <w:rPr>
                <w:rFonts w:ascii="Garamond" w:hAnsi="Garamond"/>
                <w:sz w:val="12"/>
                <w:szCs w:val="12"/>
              </w:rPr>
            </w:pPr>
            <w:r w:rsidRPr="00CC11D5">
              <w:rPr>
                <w:rFonts w:ascii="Garamond" w:hAnsi="Garamond"/>
                <w:sz w:val="12"/>
                <w:szCs w:val="12"/>
              </w:rPr>
              <w:t xml:space="preserve">ose 15% rritje e të ardhurave nga tatimi mbi </w:t>
            </w:r>
            <w:r w:rsidR="00236281" w:rsidRPr="00CC11D5">
              <w:rPr>
                <w:rFonts w:ascii="Garamond" w:hAnsi="Garamond"/>
                <w:sz w:val="12"/>
                <w:szCs w:val="12"/>
              </w:rPr>
              <w:t>qiratë</w:t>
            </w:r>
          </w:p>
          <w:p w14:paraId="06D5744A" w14:textId="77777777" w:rsidR="00990DEA" w:rsidRPr="00CC11D5" w:rsidRDefault="00990DEA" w:rsidP="000E6B7C">
            <w:pPr>
              <w:jc w:val="center"/>
              <w:rPr>
                <w:rFonts w:ascii="Garamond" w:hAnsi="Garamond"/>
                <w:sz w:val="12"/>
                <w:szCs w:val="12"/>
              </w:rPr>
            </w:pPr>
          </w:p>
        </w:tc>
        <w:tc>
          <w:tcPr>
            <w:tcW w:w="1077" w:type="dxa"/>
            <w:tcBorders>
              <w:top w:val="single" w:sz="4" w:space="0" w:color="auto"/>
              <w:left w:val="nil"/>
              <w:bottom w:val="single" w:sz="4" w:space="0" w:color="auto"/>
              <w:right w:val="single" w:sz="4" w:space="0" w:color="auto"/>
            </w:tcBorders>
            <w:shd w:val="clear" w:color="FFFFFF" w:fill="FFFFFF"/>
            <w:vAlign w:val="center"/>
          </w:tcPr>
          <w:p w14:paraId="45DAFBC5" w14:textId="54500C83" w:rsidR="00990DEA" w:rsidRPr="00CC11D5" w:rsidRDefault="00990DEA" w:rsidP="000E6B7C">
            <w:pPr>
              <w:jc w:val="center"/>
              <w:rPr>
                <w:rFonts w:ascii="Garamond" w:hAnsi="Garamond"/>
                <w:sz w:val="12"/>
                <w:szCs w:val="12"/>
              </w:rPr>
            </w:pPr>
            <w:r w:rsidRPr="00CC11D5">
              <w:rPr>
                <w:rFonts w:ascii="Garamond" w:hAnsi="Garamond"/>
                <w:sz w:val="12"/>
                <w:szCs w:val="12"/>
              </w:rPr>
              <w:t>0.04% e PBB</w:t>
            </w:r>
            <w:r w:rsidR="00236281" w:rsidRPr="00CC11D5">
              <w:rPr>
                <w:rFonts w:ascii="Garamond" w:hAnsi="Garamond"/>
                <w:sz w:val="12"/>
                <w:szCs w:val="12"/>
              </w:rPr>
              <w:t>-së</w:t>
            </w:r>
          </w:p>
          <w:p w14:paraId="7CF999F1" w14:textId="18E6CBBA" w:rsidR="00990DEA" w:rsidRPr="00CC11D5" w:rsidRDefault="00990DEA" w:rsidP="000E6B7C">
            <w:pPr>
              <w:jc w:val="center"/>
              <w:rPr>
                <w:rFonts w:ascii="Garamond" w:hAnsi="Garamond"/>
                <w:sz w:val="12"/>
                <w:szCs w:val="12"/>
              </w:rPr>
            </w:pPr>
            <w:r w:rsidRPr="00CC11D5">
              <w:rPr>
                <w:rFonts w:ascii="Garamond" w:hAnsi="Garamond"/>
                <w:sz w:val="12"/>
                <w:szCs w:val="12"/>
              </w:rPr>
              <w:t xml:space="preserve">ose 20% ardhurave nga tatimi mbi </w:t>
            </w:r>
            <w:r w:rsidR="00236281" w:rsidRPr="00CC11D5">
              <w:rPr>
                <w:rFonts w:ascii="Garamond" w:hAnsi="Garamond"/>
                <w:sz w:val="12"/>
                <w:szCs w:val="12"/>
              </w:rPr>
              <w:t>qiratë</w:t>
            </w:r>
          </w:p>
        </w:tc>
        <w:tc>
          <w:tcPr>
            <w:tcW w:w="1340" w:type="dxa"/>
            <w:tcBorders>
              <w:top w:val="single" w:sz="4" w:space="0" w:color="auto"/>
              <w:left w:val="nil"/>
              <w:bottom w:val="single" w:sz="4" w:space="0" w:color="auto"/>
              <w:right w:val="single" w:sz="4" w:space="0" w:color="auto"/>
            </w:tcBorders>
            <w:shd w:val="clear" w:color="FFFFFF" w:fill="FFFFFF"/>
            <w:vAlign w:val="center"/>
          </w:tcPr>
          <w:p w14:paraId="0E93A98A" w14:textId="1D81236C" w:rsidR="00990DEA" w:rsidRPr="00CC11D5" w:rsidRDefault="00990DEA" w:rsidP="000E6B7C">
            <w:pPr>
              <w:jc w:val="center"/>
              <w:rPr>
                <w:rFonts w:ascii="Garamond" w:hAnsi="Garamond"/>
                <w:sz w:val="12"/>
                <w:szCs w:val="12"/>
              </w:rPr>
            </w:pPr>
            <w:r w:rsidRPr="00CC11D5">
              <w:rPr>
                <w:rFonts w:ascii="Garamond" w:hAnsi="Garamond"/>
                <w:sz w:val="12"/>
                <w:szCs w:val="12"/>
              </w:rPr>
              <w:t>0.05% e PBB</w:t>
            </w:r>
            <w:r w:rsidR="00236281" w:rsidRPr="00CC11D5">
              <w:rPr>
                <w:rFonts w:ascii="Garamond" w:hAnsi="Garamond"/>
                <w:sz w:val="12"/>
                <w:szCs w:val="12"/>
              </w:rPr>
              <w:t>-së</w:t>
            </w:r>
            <w:r w:rsidRPr="00CC11D5">
              <w:rPr>
                <w:rFonts w:ascii="Garamond" w:hAnsi="Garamond"/>
                <w:sz w:val="12"/>
                <w:szCs w:val="12"/>
              </w:rPr>
              <w:t xml:space="preserve"> ose 20% rritje e të ardhurave nga tatimi mbi </w:t>
            </w:r>
            <w:r w:rsidR="00236281" w:rsidRPr="00CC11D5">
              <w:rPr>
                <w:rFonts w:ascii="Garamond" w:hAnsi="Garamond"/>
                <w:sz w:val="12"/>
                <w:szCs w:val="12"/>
              </w:rPr>
              <w:t>qiratë</w:t>
            </w:r>
          </w:p>
        </w:tc>
        <w:tc>
          <w:tcPr>
            <w:tcW w:w="1308" w:type="dxa"/>
            <w:tcBorders>
              <w:top w:val="single" w:sz="4" w:space="0" w:color="auto"/>
              <w:left w:val="nil"/>
              <w:bottom w:val="single" w:sz="4" w:space="0" w:color="auto"/>
              <w:right w:val="single" w:sz="4" w:space="0" w:color="auto"/>
            </w:tcBorders>
            <w:shd w:val="clear" w:color="FFFFFF" w:fill="FFFFFF"/>
            <w:vAlign w:val="center"/>
          </w:tcPr>
          <w:p w14:paraId="51DBD7B1" w14:textId="49D66DD1" w:rsidR="00990DEA" w:rsidRPr="00CC11D5" w:rsidRDefault="00990DEA" w:rsidP="000E6B7C">
            <w:pPr>
              <w:jc w:val="center"/>
              <w:rPr>
                <w:rFonts w:ascii="Garamond" w:hAnsi="Garamond"/>
                <w:sz w:val="12"/>
                <w:szCs w:val="12"/>
              </w:rPr>
            </w:pPr>
            <w:r w:rsidRPr="00CC11D5">
              <w:rPr>
                <w:rFonts w:ascii="Garamond" w:hAnsi="Garamond"/>
                <w:sz w:val="12"/>
                <w:szCs w:val="12"/>
              </w:rPr>
              <w:t>0.05% e PBB</w:t>
            </w:r>
            <w:r w:rsidR="00236281" w:rsidRPr="00CC11D5">
              <w:rPr>
                <w:rFonts w:ascii="Garamond" w:hAnsi="Garamond"/>
                <w:sz w:val="12"/>
                <w:szCs w:val="12"/>
              </w:rPr>
              <w:t>-së</w:t>
            </w:r>
            <w:r w:rsidRPr="00CC11D5">
              <w:rPr>
                <w:rFonts w:ascii="Garamond" w:hAnsi="Garamond"/>
                <w:sz w:val="12"/>
                <w:szCs w:val="12"/>
              </w:rPr>
              <w:t xml:space="preserve"> ose 20% rritje e të ardhurave nga tatimi mbi </w:t>
            </w:r>
            <w:r w:rsidR="00236281" w:rsidRPr="00CC11D5">
              <w:rPr>
                <w:rFonts w:ascii="Garamond" w:hAnsi="Garamond"/>
                <w:sz w:val="12"/>
                <w:szCs w:val="12"/>
              </w:rPr>
              <w:t>qiratë</w:t>
            </w:r>
          </w:p>
        </w:tc>
      </w:tr>
      <w:tr w:rsidR="00990DEA" w:rsidRPr="00CC11D5" w14:paraId="44353958" w14:textId="77777777" w:rsidTr="00990DEA">
        <w:trPr>
          <w:trHeight w:val="20"/>
        </w:trPr>
        <w:tc>
          <w:tcPr>
            <w:tcW w:w="2293" w:type="dxa"/>
            <w:tcBorders>
              <w:top w:val="nil"/>
              <w:left w:val="single" w:sz="4" w:space="0" w:color="auto"/>
              <w:bottom w:val="single" w:sz="4" w:space="0" w:color="auto"/>
              <w:right w:val="single" w:sz="4" w:space="0" w:color="auto"/>
            </w:tcBorders>
            <w:shd w:val="clear" w:color="FFFFFF" w:fill="FFFFFF"/>
          </w:tcPr>
          <w:p w14:paraId="4E1EF86E" w14:textId="6352011E" w:rsidR="00990DEA" w:rsidRPr="00CC11D5" w:rsidRDefault="00990DEA" w:rsidP="00990DEA">
            <w:pPr>
              <w:jc w:val="center"/>
              <w:rPr>
                <w:rFonts w:ascii="Garamond" w:hAnsi="Garamond"/>
                <w:sz w:val="12"/>
                <w:szCs w:val="12"/>
              </w:rPr>
            </w:pPr>
            <w:r w:rsidRPr="00CC11D5">
              <w:rPr>
                <w:rFonts w:ascii="Garamond" w:hAnsi="Garamond"/>
                <w:sz w:val="12"/>
                <w:szCs w:val="12"/>
              </w:rPr>
              <w:t xml:space="preserve">Staf i </w:t>
            </w:r>
            <w:r w:rsidR="00236281" w:rsidRPr="00CC11D5">
              <w:rPr>
                <w:rFonts w:ascii="Garamond" w:hAnsi="Garamond"/>
                <w:sz w:val="12"/>
                <w:szCs w:val="12"/>
              </w:rPr>
              <w:t>trajnuar</w:t>
            </w:r>
            <w:r w:rsidRPr="00CC11D5">
              <w:rPr>
                <w:rFonts w:ascii="Garamond" w:hAnsi="Garamond"/>
                <w:sz w:val="12"/>
                <w:szCs w:val="12"/>
              </w:rPr>
              <w:t xml:space="preserve"> mbi investigimet e shmangieve tatimore</w:t>
            </w:r>
          </w:p>
        </w:tc>
        <w:tc>
          <w:tcPr>
            <w:tcW w:w="1494" w:type="dxa"/>
            <w:tcBorders>
              <w:top w:val="nil"/>
              <w:left w:val="single" w:sz="4" w:space="0" w:color="auto"/>
              <w:bottom w:val="single" w:sz="4" w:space="0" w:color="auto"/>
              <w:right w:val="single" w:sz="4" w:space="0" w:color="auto"/>
            </w:tcBorders>
            <w:shd w:val="clear" w:color="FFFFFF" w:fill="FFFFFF"/>
          </w:tcPr>
          <w:p w14:paraId="152D6AF5" w14:textId="77777777" w:rsidR="00990DEA" w:rsidRPr="00CC11D5" w:rsidRDefault="00990DEA" w:rsidP="00990DEA">
            <w:pPr>
              <w:jc w:val="center"/>
              <w:rPr>
                <w:rFonts w:ascii="Garamond" w:hAnsi="Garamond"/>
                <w:sz w:val="12"/>
                <w:szCs w:val="12"/>
              </w:rPr>
            </w:pPr>
          </w:p>
        </w:tc>
        <w:tc>
          <w:tcPr>
            <w:tcW w:w="1323" w:type="dxa"/>
            <w:tcBorders>
              <w:top w:val="nil"/>
              <w:left w:val="nil"/>
              <w:bottom w:val="single" w:sz="4" w:space="0" w:color="auto"/>
              <w:right w:val="single" w:sz="4" w:space="0" w:color="auto"/>
            </w:tcBorders>
            <w:shd w:val="clear" w:color="FFFFFF" w:fill="FFFFFF"/>
          </w:tcPr>
          <w:p w14:paraId="0A6CE810" w14:textId="77777777" w:rsidR="00990DEA" w:rsidRPr="00CC11D5" w:rsidRDefault="00990DEA" w:rsidP="00990DEA">
            <w:pPr>
              <w:jc w:val="center"/>
              <w:rPr>
                <w:rFonts w:ascii="Garamond" w:hAnsi="Garamond"/>
                <w:sz w:val="12"/>
                <w:szCs w:val="12"/>
              </w:rPr>
            </w:pPr>
            <w:r w:rsidRPr="00CC11D5">
              <w:rPr>
                <w:rFonts w:ascii="Garamond" w:hAnsi="Garamond"/>
                <w:sz w:val="12"/>
                <w:szCs w:val="12"/>
              </w:rPr>
              <w:t>12 inspektorë të trajnuar</w:t>
            </w:r>
          </w:p>
        </w:tc>
        <w:tc>
          <w:tcPr>
            <w:tcW w:w="1077" w:type="dxa"/>
            <w:tcBorders>
              <w:top w:val="nil"/>
              <w:left w:val="nil"/>
              <w:bottom w:val="single" w:sz="4" w:space="0" w:color="auto"/>
              <w:right w:val="single" w:sz="4" w:space="0" w:color="auto"/>
            </w:tcBorders>
            <w:shd w:val="clear" w:color="FFFFFF" w:fill="FFFFFF"/>
          </w:tcPr>
          <w:p w14:paraId="0F0F63FD" w14:textId="77777777" w:rsidR="00990DEA" w:rsidRPr="00CC11D5" w:rsidRDefault="00990DEA" w:rsidP="00990DEA">
            <w:pPr>
              <w:jc w:val="center"/>
              <w:rPr>
                <w:rFonts w:ascii="Garamond" w:hAnsi="Garamond"/>
                <w:sz w:val="12"/>
                <w:szCs w:val="12"/>
              </w:rPr>
            </w:pPr>
          </w:p>
        </w:tc>
        <w:tc>
          <w:tcPr>
            <w:tcW w:w="1340" w:type="dxa"/>
            <w:tcBorders>
              <w:top w:val="nil"/>
              <w:left w:val="nil"/>
              <w:bottom w:val="single" w:sz="4" w:space="0" w:color="auto"/>
              <w:right w:val="single" w:sz="4" w:space="0" w:color="auto"/>
            </w:tcBorders>
            <w:shd w:val="clear" w:color="FFFFFF" w:fill="FFFFFF"/>
          </w:tcPr>
          <w:p w14:paraId="5C7BA0E6" w14:textId="77777777" w:rsidR="00990DEA" w:rsidRPr="00CC11D5" w:rsidRDefault="00990DEA" w:rsidP="00990DEA">
            <w:pPr>
              <w:jc w:val="center"/>
              <w:rPr>
                <w:rFonts w:ascii="Garamond" w:hAnsi="Garamond"/>
                <w:sz w:val="12"/>
                <w:szCs w:val="12"/>
              </w:rPr>
            </w:pPr>
          </w:p>
        </w:tc>
        <w:tc>
          <w:tcPr>
            <w:tcW w:w="1308" w:type="dxa"/>
            <w:tcBorders>
              <w:top w:val="nil"/>
              <w:left w:val="nil"/>
              <w:bottom w:val="single" w:sz="4" w:space="0" w:color="auto"/>
              <w:right w:val="single" w:sz="4" w:space="0" w:color="auto"/>
            </w:tcBorders>
            <w:shd w:val="clear" w:color="FFFFFF" w:fill="FFFFFF"/>
          </w:tcPr>
          <w:p w14:paraId="0DD8760B" w14:textId="77777777" w:rsidR="00990DEA" w:rsidRPr="00CC11D5" w:rsidRDefault="00990DEA" w:rsidP="00990DEA">
            <w:pPr>
              <w:jc w:val="center"/>
              <w:rPr>
                <w:rFonts w:ascii="Garamond" w:hAnsi="Garamond"/>
                <w:sz w:val="12"/>
                <w:szCs w:val="12"/>
              </w:rPr>
            </w:pPr>
            <w:r w:rsidRPr="00CC11D5">
              <w:rPr>
                <w:rFonts w:ascii="Garamond" w:hAnsi="Garamond"/>
                <w:sz w:val="12"/>
                <w:szCs w:val="12"/>
              </w:rPr>
              <w:t>12 inspektorë të trajnuar</w:t>
            </w:r>
          </w:p>
        </w:tc>
      </w:tr>
      <w:tr w:rsidR="00990DEA" w:rsidRPr="00CC11D5" w14:paraId="5073F469" w14:textId="77777777" w:rsidTr="000E6B7C">
        <w:trPr>
          <w:trHeight w:val="20"/>
        </w:trPr>
        <w:tc>
          <w:tcPr>
            <w:tcW w:w="2293" w:type="dxa"/>
            <w:tcBorders>
              <w:top w:val="nil"/>
              <w:left w:val="single" w:sz="4" w:space="0" w:color="auto"/>
              <w:bottom w:val="single" w:sz="4" w:space="0" w:color="auto"/>
              <w:right w:val="single" w:sz="4" w:space="0" w:color="auto"/>
            </w:tcBorders>
          </w:tcPr>
          <w:p w14:paraId="48E5CB65" w14:textId="77777777" w:rsidR="00990DEA" w:rsidRPr="00CC11D5" w:rsidRDefault="00990DEA" w:rsidP="00990DEA">
            <w:pPr>
              <w:jc w:val="center"/>
              <w:rPr>
                <w:rFonts w:ascii="Garamond" w:hAnsi="Garamond"/>
                <w:sz w:val="12"/>
                <w:szCs w:val="12"/>
              </w:rPr>
            </w:pPr>
            <w:r w:rsidRPr="00CC11D5">
              <w:rPr>
                <w:rFonts w:ascii="Garamond" w:hAnsi="Garamond"/>
                <w:sz w:val="12"/>
                <w:szCs w:val="12"/>
              </w:rPr>
              <w:t>Plan veprimi për rastet e ndarjes artificiale të bizneseve</w:t>
            </w:r>
          </w:p>
        </w:tc>
        <w:tc>
          <w:tcPr>
            <w:tcW w:w="1494" w:type="dxa"/>
            <w:tcBorders>
              <w:top w:val="nil"/>
              <w:left w:val="single" w:sz="4" w:space="0" w:color="auto"/>
              <w:bottom w:val="single" w:sz="4" w:space="0" w:color="auto"/>
              <w:right w:val="single" w:sz="4" w:space="0" w:color="auto"/>
            </w:tcBorders>
            <w:shd w:val="clear" w:color="auto" w:fill="auto"/>
            <w:noWrap/>
            <w:vAlign w:val="center"/>
          </w:tcPr>
          <w:p w14:paraId="32B8C725" w14:textId="77777777" w:rsidR="00990DEA" w:rsidRPr="00CC11D5" w:rsidRDefault="00990DEA" w:rsidP="000E6B7C">
            <w:pPr>
              <w:jc w:val="center"/>
              <w:rPr>
                <w:rFonts w:ascii="Garamond" w:hAnsi="Garamond"/>
                <w:sz w:val="12"/>
                <w:szCs w:val="12"/>
              </w:rPr>
            </w:pPr>
            <w:r w:rsidRPr="00CC11D5">
              <w:rPr>
                <w:rFonts w:ascii="Garamond" w:hAnsi="Garamond"/>
                <w:sz w:val="12"/>
                <w:szCs w:val="12"/>
              </w:rPr>
              <w:t>Nuk ka</w:t>
            </w:r>
          </w:p>
        </w:tc>
        <w:tc>
          <w:tcPr>
            <w:tcW w:w="1323" w:type="dxa"/>
            <w:tcBorders>
              <w:top w:val="nil"/>
              <w:left w:val="nil"/>
              <w:bottom w:val="single" w:sz="4" w:space="0" w:color="auto"/>
              <w:right w:val="single" w:sz="4" w:space="0" w:color="auto"/>
            </w:tcBorders>
            <w:shd w:val="clear" w:color="auto" w:fill="auto"/>
            <w:vAlign w:val="center"/>
          </w:tcPr>
          <w:p w14:paraId="75BCAE08" w14:textId="77777777" w:rsidR="00990DEA" w:rsidRPr="00CC11D5" w:rsidRDefault="00990DEA" w:rsidP="000E6B7C">
            <w:pPr>
              <w:jc w:val="center"/>
              <w:rPr>
                <w:rFonts w:ascii="Garamond" w:hAnsi="Garamond"/>
                <w:sz w:val="12"/>
                <w:szCs w:val="12"/>
              </w:rPr>
            </w:pPr>
          </w:p>
        </w:tc>
        <w:tc>
          <w:tcPr>
            <w:tcW w:w="1077" w:type="dxa"/>
            <w:tcBorders>
              <w:top w:val="nil"/>
              <w:left w:val="nil"/>
              <w:bottom w:val="single" w:sz="4" w:space="0" w:color="auto"/>
              <w:right w:val="single" w:sz="4" w:space="0" w:color="auto"/>
            </w:tcBorders>
            <w:shd w:val="clear" w:color="auto" w:fill="auto"/>
            <w:vAlign w:val="center"/>
          </w:tcPr>
          <w:p w14:paraId="626D4FB5" w14:textId="77777777" w:rsidR="00990DEA" w:rsidRPr="00CC11D5" w:rsidRDefault="00990DEA" w:rsidP="000E6B7C">
            <w:pPr>
              <w:jc w:val="center"/>
              <w:rPr>
                <w:rFonts w:ascii="Garamond" w:hAnsi="Garamond"/>
                <w:sz w:val="12"/>
                <w:szCs w:val="12"/>
              </w:rPr>
            </w:pPr>
            <w:r w:rsidRPr="00CC11D5">
              <w:rPr>
                <w:rFonts w:ascii="Garamond" w:hAnsi="Garamond"/>
                <w:sz w:val="12"/>
                <w:szCs w:val="12"/>
              </w:rPr>
              <w:t>Plani i veprimit është miratuar</w:t>
            </w:r>
          </w:p>
        </w:tc>
        <w:tc>
          <w:tcPr>
            <w:tcW w:w="1340" w:type="dxa"/>
            <w:tcBorders>
              <w:top w:val="nil"/>
              <w:left w:val="nil"/>
              <w:bottom w:val="single" w:sz="4" w:space="0" w:color="auto"/>
              <w:right w:val="single" w:sz="4" w:space="0" w:color="auto"/>
            </w:tcBorders>
            <w:shd w:val="clear" w:color="auto" w:fill="auto"/>
            <w:vAlign w:val="center"/>
          </w:tcPr>
          <w:p w14:paraId="1697B4B0" w14:textId="77777777" w:rsidR="00990DEA" w:rsidRPr="00CC11D5" w:rsidRDefault="00990DEA" w:rsidP="000E6B7C">
            <w:pPr>
              <w:jc w:val="center"/>
              <w:rPr>
                <w:rFonts w:ascii="Garamond" w:hAnsi="Garamond"/>
                <w:sz w:val="12"/>
                <w:szCs w:val="12"/>
              </w:rPr>
            </w:pPr>
          </w:p>
        </w:tc>
        <w:tc>
          <w:tcPr>
            <w:tcW w:w="1308" w:type="dxa"/>
            <w:tcBorders>
              <w:top w:val="nil"/>
              <w:left w:val="nil"/>
              <w:bottom w:val="single" w:sz="4" w:space="0" w:color="auto"/>
              <w:right w:val="single" w:sz="4" w:space="0" w:color="auto"/>
            </w:tcBorders>
            <w:shd w:val="clear" w:color="auto" w:fill="auto"/>
          </w:tcPr>
          <w:p w14:paraId="54FB86EC" w14:textId="77777777" w:rsidR="00990DEA" w:rsidRPr="00CC11D5" w:rsidRDefault="00990DEA" w:rsidP="00990DEA">
            <w:pPr>
              <w:jc w:val="center"/>
              <w:rPr>
                <w:rFonts w:ascii="Garamond" w:hAnsi="Garamond"/>
                <w:sz w:val="12"/>
                <w:szCs w:val="12"/>
              </w:rPr>
            </w:pPr>
          </w:p>
        </w:tc>
      </w:tr>
      <w:tr w:rsidR="00990DEA" w:rsidRPr="00CC11D5" w14:paraId="1515D459" w14:textId="77777777" w:rsidTr="000E6B7C">
        <w:trPr>
          <w:trHeight w:val="20"/>
        </w:trPr>
        <w:tc>
          <w:tcPr>
            <w:tcW w:w="2293" w:type="dxa"/>
            <w:tcBorders>
              <w:top w:val="nil"/>
              <w:left w:val="single" w:sz="4" w:space="0" w:color="auto"/>
              <w:bottom w:val="single" w:sz="4" w:space="0" w:color="auto"/>
              <w:right w:val="single" w:sz="4" w:space="0" w:color="auto"/>
            </w:tcBorders>
            <w:shd w:val="clear" w:color="FFFFFF" w:fill="FFFFFF"/>
          </w:tcPr>
          <w:p w14:paraId="0B743079" w14:textId="77777777" w:rsidR="00990DEA" w:rsidRPr="00CC11D5" w:rsidRDefault="00990DEA" w:rsidP="00990DEA">
            <w:pPr>
              <w:jc w:val="center"/>
              <w:rPr>
                <w:rFonts w:ascii="Garamond" w:hAnsi="Garamond"/>
                <w:sz w:val="12"/>
                <w:szCs w:val="12"/>
              </w:rPr>
            </w:pPr>
            <w:r w:rsidRPr="00CC11D5">
              <w:rPr>
                <w:rFonts w:ascii="Garamond" w:hAnsi="Garamond"/>
                <w:sz w:val="12"/>
                <w:szCs w:val="12"/>
              </w:rPr>
              <w:t>Numri i hetimeve tatimore të kryera nga administrata tatimore</w:t>
            </w:r>
            <w:r w:rsidRPr="00CC11D5">
              <w:rPr>
                <w:rStyle w:val="FootnoteReference"/>
                <w:rFonts w:ascii="Garamond" w:hAnsi="Garamond"/>
                <w:sz w:val="12"/>
                <w:szCs w:val="12"/>
              </w:rPr>
              <w:footnoteReference w:id="8"/>
            </w:r>
          </w:p>
        </w:tc>
        <w:tc>
          <w:tcPr>
            <w:tcW w:w="1494" w:type="dxa"/>
            <w:tcBorders>
              <w:top w:val="nil"/>
              <w:left w:val="single" w:sz="4" w:space="0" w:color="auto"/>
              <w:bottom w:val="single" w:sz="4" w:space="0" w:color="auto"/>
              <w:right w:val="single" w:sz="4" w:space="0" w:color="auto"/>
            </w:tcBorders>
            <w:shd w:val="clear" w:color="auto" w:fill="auto"/>
            <w:noWrap/>
            <w:vAlign w:val="center"/>
          </w:tcPr>
          <w:p w14:paraId="03743AA6" w14:textId="77777777" w:rsidR="00990DEA" w:rsidRPr="00CC11D5" w:rsidRDefault="00990DEA" w:rsidP="000E6B7C">
            <w:pPr>
              <w:jc w:val="center"/>
              <w:rPr>
                <w:rFonts w:ascii="Garamond" w:hAnsi="Garamond"/>
                <w:sz w:val="12"/>
                <w:szCs w:val="12"/>
              </w:rPr>
            </w:pPr>
            <w:r w:rsidRPr="00CC11D5">
              <w:rPr>
                <w:rFonts w:ascii="Garamond" w:hAnsi="Garamond"/>
                <w:sz w:val="12"/>
                <w:szCs w:val="12"/>
              </w:rPr>
              <w:t>193</w:t>
            </w:r>
          </w:p>
        </w:tc>
        <w:tc>
          <w:tcPr>
            <w:tcW w:w="1323" w:type="dxa"/>
            <w:tcBorders>
              <w:top w:val="nil"/>
              <w:left w:val="nil"/>
              <w:bottom w:val="single" w:sz="4" w:space="0" w:color="auto"/>
              <w:right w:val="single" w:sz="4" w:space="0" w:color="auto"/>
            </w:tcBorders>
            <w:shd w:val="clear" w:color="auto" w:fill="auto"/>
            <w:vAlign w:val="center"/>
          </w:tcPr>
          <w:p w14:paraId="1CFA979F" w14:textId="77777777" w:rsidR="00990DEA" w:rsidRPr="00CC11D5" w:rsidRDefault="00990DEA" w:rsidP="000E6B7C">
            <w:pPr>
              <w:jc w:val="center"/>
              <w:rPr>
                <w:rFonts w:ascii="Garamond" w:hAnsi="Garamond"/>
                <w:sz w:val="12"/>
                <w:szCs w:val="12"/>
              </w:rPr>
            </w:pPr>
          </w:p>
          <w:p w14:paraId="549773C5" w14:textId="77777777" w:rsidR="00990DEA" w:rsidRPr="00CC11D5" w:rsidRDefault="00990DEA" w:rsidP="000E6B7C">
            <w:pPr>
              <w:jc w:val="center"/>
              <w:rPr>
                <w:rFonts w:ascii="Garamond" w:hAnsi="Garamond"/>
                <w:sz w:val="12"/>
                <w:szCs w:val="12"/>
              </w:rPr>
            </w:pPr>
          </w:p>
          <w:p w14:paraId="51413192" w14:textId="77777777" w:rsidR="00990DEA" w:rsidRPr="00CC11D5" w:rsidRDefault="00990DEA" w:rsidP="000E6B7C">
            <w:pPr>
              <w:jc w:val="center"/>
              <w:rPr>
                <w:rFonts w:ascii="Garamond" w:hAnsi="Garamond"/>
                <w:sz w:val="12"/>
                <w:szCs w:val="12"/>
              </w:rPr>
            </w:pPr>
            <w:r w:rsidRPr="00CC11D5">
              <w:rPr>
                <w:rFonts w:ascii="Garamond" w:hAnsi="Garamond"/>
                <w:sz w:val="12"/>
                <w:szCs w:val="12"/>
              </w:rPr>
              <w:t>50</w:t>
            </w:r>
          </w:p>
        </w:tc>
        <w:tc>
          <w:tcPr>
            <w:tcW w:w="1077" w:type="dxa"/>
            <w:tcBorders>
              <w:top w:val="nil"/>
              <w:left w:val="nil"/>
              <w:bottom w:val="single" w:sz="4" w:space="0" w:color="auto"/>
              <w:right w:val="single" w:sz="4" w:space="0" w:color="auto"/>
            </w:tcBorders>
            <w:shd w:val="clear" w:color="auto" w:fill="auto"/>
            <w:vAlign w:val="center"/>
          </w:tcPr>
          <w:p w14:paraId="4D17822F" w14:textId="77777777" w:rsidR="00990DEA" w:rsidRPr="00CC11D5" w:rsidRDefault="00990DEA" w:rsidP="000E6B7C">
            <w:pPr>
              <w:jc w:val="center"/>
              <w:rPr>
                <w:rFonts w:ascii="Garamond" w:hAnsi="Garamond"/>
                <w:sz w:val="12"/>
                <w:szCs w:val="12"/>
              </w:rPr>
            </w:pPr>
            <w:r w:rsidRPr="00CC11D5">
              <w:rPr>
                <w:rFonts w:ascii="Garamond" w:hAnsi="Garamond"/>
                <w:sz w:val="12"/>
                <w:szCs w:val="12"/>
              </w:rPr>
              <w:t>150</w:t>
            </w:r>
          </w:p>
        </w:tc>
        <w:tc>
          <w:tcPr>
            <w:tcW w:w="1340" w:type="dxa"/>
            <w:tcBorders>
              <w:top w:val="nil"/>
              <w:left w:val="nil"/>
              <w:bottom w:val="single" w:sz="4" w:space="0" w:color="auto"/>
              <w:right w:val="single" w:sz="4" w:space="0" w:color="auto"/>
            </w:tcBorders>
            <w:shd w:val="clear" w:color="auto" w:fill="auto"/>
            <w:vAlign w:val="center"/>
          </w:tcPr>
          <w:p w14:paraId="19EA1E3E" w14:textId="77777777" w:rsidR="00990DEA" w:rsidRPr="00CC11D5" w:rsidRDefault="00990DEA" w:rsidP="000E6B7C">
            <w:pPr>
              <w:jc w:val="center"/>
              <w:rPr>
                <w:rFonts w:ascii="Garamond" w:hAnsi="Garamond"/>
                <w:sz w:val="12"/>
                <w:szCs w:val="12"/>
              </w:rPr>
            </w:pPr>
            <w:r w:rsidRPr="00CC11D5">
              <w:rPr>
                <w:rFonts w:ascii="Garamond" w:hAnsi="Garamond"/>
                <w:sz w:val="12"/>
                <w:szCs w:val="12"/>
              </w:rPr>
              <w:t>150</w:t>
            </w:r>
          </w:p>
        </w:tc>
        <w:tc>
          <w:tcPr>
            <w:tcW w:w="1308" w:type="dxa"/>
            <w:tcBorders>
              <w:top w:val="nil"/>
              <w:left w:val="nil"/>
              <w:bottom w:val="single" w:sz="4" w:space="0" w:color="auto"/>
              <w:right w:val="single" w:sz="4" w:space="0" w:color="auto"/>
            </w:tcBorders>
            <w:shd w:val="clear" w:color="auto" w:fill="auto"/>
            <w:vAlign w:val="center"/>
          </w:tcPr>
          <w:p w14:paraId="4596E9D8" w14:textId="77777777" w:rsidR="00990DEA" w:rsidRPr="00CC11D5" w:rsidRDefault="00990DEA" w:rsidP="000E6B7C">
            <w:pPr>
              <w:jc w:val="center"/>
              <w:rPr>
                <w:rFonts w:ascii="Garamond" w:hAnsi="Garamond"/>
                <w:sz w:val="12"/>
                <w:szCs w:val="12"/>
              </w:rPr>
            </w:pPr>
          </w:p>
          <w:p w14:paraId="4995DB96" w14:textId="77777777" w:rsidR="00990DEA" w:rsidRPr="00CC11D5" w:rsidRDefault="00990DEA" w:rsidP="000E6B7C">
            <w:pPr>
              <w:jc w:val="center"/>
              <w:rPr>
                <w:rFonts w:ascii="Garamond" w:hAnsi="Garamond"/>
                <w:sz w:val="12"/>
                <w:szCs w:val="12"/>
              </w:rPr>
            </w:pPr>
            <w:r w:rsidRPr="00CC11D5">
              <w:rPr>
                <w:rFonts w:ascii="Garamond" w:hAnsi="Garamond"/>
                <w:sz w:val="12"/>
                <w:szCs w:val="12"/>
              </w:rPr>
              <w:t>150</w:t>
            </w:r>
          </w:p>
        </w:tc>
      </w:tr>
    </w:tbl>
    <w:p w14:paraId="01801F6C" w14:textId="77777777" w:rsidR="00990DEA" w:rsidRPr="00830F4C" w:rsidRDefault="00990DEA" w:rsidP="00990DEA">
      <w:pPr>
        <w:ind w:firstLine="284"/>
        <w:jc w:val="both"/>
        <w:rPr>
          <w:rFonts w:ascii="Garamond" w:hAnsi="Garamond"/>
        </w:rPr>
      </w:pPr>
      <w:r w:rsidRPr="00830F4C">
        <w:rPr>
          <w:rFonts w:ascii="Garamond" w:hAnsi="Garamond"/>
        </w:rPr>
        <w:t>Gjithashtu, nga masat e marra nën këtë komponent vlerësohet të arrihet rritje në të ardhurat tatimore nga masat që do të merren nga plani i veprimit, por efekti statistikor në të ardhura nuk mund të vlerësohet.</w:t>
      </w:r>
    </w:p>
    <w:p w14:paraId="2B42117B" w14:textId="79E641C2" w:rsidR="00990DEA" w:rsidRPr="00830F4C" w:rsidRDefault="00990DEA" w:rsidP="00990DEA">
      <w:pPr>
        <w:ind w:firstLine="284"/>
        <w:rPr>
          <w:rFonts w:ascii="Garamond" w:hAnsi="Garamond"/>
          <w:b/>
          <w:bCs/>
        </w:rPr>
      </w:pPr>
      <w:r w:rsidRPr="00830F4C">
        <w:rPr>
          <w:rFonts w:ascii="Garamond" w:hAnsi="Garamond"/>
          <w:b/>
          <w:bCs/>
        </w:rPr>
        <w:t>Masa 2.4.1 Rregulli i përgjithshëm antiabuzim (GAAR) zbatohet në mënyrë efektive dhe të veprojë si frenues për organizimet artificiale tatimore</w:t>
      </w:r>
    </w:p>
    <w:p w14:paraId="20A56BB6" w14:textId="1175ADCF" w:rsidR="00990DEA" w:rsidRPr="00830F4C" w:rsidRDefault="00990DEA" w:rsidP="00990DEA">
      <w:pPr>
        <w:ind w:firstLine="284"/>
        <w:jc w:val="both"/>
        <w:rPr>
          <w:rFonts w:ascii="Garamond" w:hAnsi="Garamond"/>
        </w:rPr>
      </w:pPr>
      <w:r w:rsidRPr="00830F4C">
        <w:rPr>
          <w:rFonts w:ascii="Garamond" w:hAnsi="Garamond"/>
        </w:rPr>
        <w:t>Me ligjin e tatimin mbi të ardhurat dhe në ligjin e procedurave tatimore ka përcaktime të rëndësishme ligjore</w:t>
      </w:r>
      <w:r w:rsidR="000E6B7C">
        <w:rPr>
          <w:rFonts w:ascii="Garamond" w:hAnsi="Garamond"/>
        </w:rPr>
        <w:t>,</w:t>
      </w:r>
      <w:r w:rsidRPr="00830F4C">
        <w:rPr>
          <w:rFonts w:ascii="Garamond" w:hAnsi="Garamond"/>
        </w:rPr>
        <w:t xml:space="preserve"> lidhur me rregullin e përgjithshëm antiabuzim. Zbatimi i drejtë i këtyre dispozitave kërkon së pari një staf të trajnuar. Për këtë arsye, një theks i rëndësishëm në këtë masë është trajnimi i 12 inspektorëve vetëm për rastet e shmangieve tatimore, </w:t>
      </w:r>
      <w:r w:rsidR="00D61E86" w:rsidRPr="00830F4C">
        <w:rPr>
          <w:rFonts w:ascii="Garamond" w:hAnsi="Garamond"/>
        </w:rPr>
        <w:t>për</w:t>
      </w:r>
      <w:r w:rsidRPr="00830F4C">
        <w:rPr>
          <w:rFonts w:ascii="Garamond" w:hAnsi="Garamond"/>
        </w:rPr>
        <w:t xml:space="preserve"> </w:t>
      </w:r>
      <w:r w:rsidR="00D61E86" w:rsidRPr="00830F4C">
        <w:rPr>
          <w:rFonts w:ascii="Garamond" w:hAnsi="Garamond"/>
        </w:rPr>
        <w:t>të</w:t>
      </w:r>
      <w:r w:rsidRPr="00830F4C">
        <w:rPr>
          <w:rFonts w:ascii="Garamond" w:hAnsi="Garamond"/>
        </w:rPr>
        <w:t xml:space="preserve"> cilin është përcaktuar Aktiviteti 2.4.1.1: Trajnime për stafin e </w:t>
      </w:r>
      <w:r w:rsidR="00D61E86" w:rsidRPr="00830F4C">
        <w:rPr>
          <w:rFonts w:ascii="Garamond" w:hAnsi="Garamond"/>
        </w:rPr>
        <w:t>administratës</w:t>
      </w:r>
      <w:r w:rsidRPr="00830F4C">
        <w:rPr>
          <w:rFonts w:ascii="Garamond" w:hAnsi="Garamond"/>
        </w:rPr>
        <w:t xml:space="preserve"> tatimore mbi rregullat dhe kontrollet për antishmangien tatimore.</w:t>
      </w:r>
    </w:p>
    <w:p w14:paraId="0521E3CC" w14:textId="1D3C98B7" w:rsidR="00990DEA" w:rsidRPr="00830F4C" w:rsidRDefault="00990DEA" w:rsidP="000E6B7C">
      <w:pPr>
        <w:ind w:firstLine="284"/>
        <w:jc w:val="both"/>
        <w:rPr>
          <w:rFonts w:ascii="Garamond" w:hAnsi="Garamond"/>
          <w:b/>
          <w:bCs/>
        </w:rPr>
      </w:pPr>
      <w:r w:rsidRPr="00830F4C">
        <w:rPr>
          <w:rFonts w:ascii="Garamond" w:hAnsi="Garamond"/>
          <w:b/>
          <w:bCs/>
        </w:rPr>
        <w:t>Masa 2.4.2 Hartimi i masave antievazion për të luftuar organizimet artificiale më të përhapura si të vet</w:t>
      </w:r>
      <w:r w:rsidR="008C0C0F" w:rsidRPr="00830F4C">
        <w:rPr>
          <w:rFonts w:ascii="Garamond" w:hAnsi="Garamond"/>
          <w:b/>
          <w:bCs/>
        </w:rPr>
        <w:t>ë</w:t>
      </w:r>
      <w:r w:rsidRPr="00830F4C">
        <w:rPr>
          <w:rFonts w:ascii="Garamond" w:hAnsi="Garamond"/>
          <w:b/>
          <w:bCs/>
        </w:rPr>
        <w:t>punësuarit fiktiv dhe ndarja artificiale e subjekteve</w:t>
      </w:r>
    </w:p>
    <w:p w14:paraId="002CCD90" w14:textId="203D7D7B" w:rsidR="00990DEA" w:rsidRPr="00830F4C" w:rsidRDefault="00990DEA" w:rsidP="000E6B7C">
      <w:pPr>
        <w:ind w:firstLine="284"/>
        <w:jc w:val="both"/>
        <w:rPr>
          <w:rFonts w:ascii="Garamond" w:eastAsiaTheme="minorHAnsi" w:hAnsi="Garamond"/>
        </w:rPr>
      </w:pPr>
      <w:r w:rsidRPr="00830F4C">
        <w:rPr>
          <w:rFonts w:ascii="Garamond" w:eastAsiaTheme="minorHAnsi" w:hAnsi="Garamond"/>
        </w:rPr>
        <w:t xml:space="preserve">Me qëllim lehtësimin e barrës tatimore të bizneseve të vogla dhe të mesme, që të rriten dhe zgjerohen, kemi aplikuar prej vitesh një politikë përjashtimi nga tatimi të ardhurat individuale të personave fizikë të kategorizuar si biznese të vogla. Bazuar në politikën fiskale të përjashtimit nga tatimi i </w:t>
      </w:r>
      <w:r w:rsidR="008C0C0F" w:rsidRPr="00830F4C">
        <w:rPr>
          <w:rFonts w:ascii="Garamond" w:eastAsiaTheme="minorHAnsi" w:hAnsi="Garamond"/>
        </w:rPr>
        <w:t>bizneseve</w:t>
      </w:r>
      <w:r w:rsidRPr="00830F4C">
        <w:rPr>
          <w:rFonts w:ascii="Garamond" w:eastAsiaTheme="minorHAnsi" w:hAnsi="Garamond"/>
        </w:rPr>
        <w:t xml:space="preserve"> me të ardhura deri në 14 milionë lekë, rezulton se 90% e bizneseve janë të </w:t>
      </w:r>
      <w:r w:rsidR="008C0C0F" w:rsidRPr="00830F4C">
        <w:rPr>
          <w:rFonts w:ascii="Garamond" w:eastAsiaTheme="minorHAnsi" w:hAnsi="Garamond"/>
        </w:rPr>
        <w:t>përjashtuar</w:t>
      </w:r>
      <w:r w:rsidRPr="00830F4C">
        <w:rPr>
          <w:rFonts w:ascii="Garamond" w:eastAsiaTheme="minorHAnsi" w:hAnsi="Garamond"/>
        </w:rPr>
        <w:t xml:space="preserve"> nga tatimi. Mbi pragun prej 14 milionë lek</w:t>
      </w:r>
      <w:r w:rsidR="008C0C0F" w:rsidRPr="00830F4C">
        <w:rPr>
          <w:rFonts w:ascii="Garamond" w:eastAsiaTheme="minorHAnsi" w:hAnsi="Garamond"/>
        </w:rPr>
        <w:t>ë</w:t>
      </w:r>
      <w:r w:rsidRPr="00830F4C">
        <w:rPr>
          <w:rFonts w:ascii="Garamond" w:eastAsiaTheme="minorHAnsi" w:hAnsi="Garamond"/>
        </w:rPr>
        <w:t>, aplikohet norma 15% e tatimfitimit.</w:t>
      </w:r>
    </w:p>
    <w:p w14:paraId="51D6AADF" w14:textId="38BB55EF" w:rsidR="00990DEA" w:rsidRPr="00830F4C" w:rsidRDefault="00990DEA" w:rsidP="00990DEA">
      <w:pPr>
        <w:ind w:firstLine="284"/>
        <w:jc w:val="both"/>
        <w:rPr>
          <w:rFonts w:ascii="Garamond" w:hAnsi="Garamond"/>
        </w:rPr>
      </w:pPr>
      <w:r w:rsidRPr="00830F4C">
        <w:rPr>
          <w:rFonts w:ascii="Garamond" w:hAnsi="Garamond"/>
        </w:rPr>
        <w:t>Megjithatë, ky progresivitet i tatimit mbi të ardhurat në disa momente ka krijuar një incentivë të gabuar</w:t>
      </w:r>
      <w:r w:rsidR="000E6B7C">
        <w:rPr>
          <w:rFonts w:ascii="Garamond" w:hAnsi="Garamond"/>
        </w:rPr>
        <w:t>,</w:t>
      </w:r>
      <w:r w:rsidRPr="00830F4C">
        <w:rPr>
          <w:rFonts w:ascii="Garamond" w:hAnsi="Garamond"/>
        </w:rPr>
        <w:t xml:space="preserve"> në lidhje me favorizimin e trajtimit të të vetëpunësuarve jashtë skemës së tatimit mbi të ardhurat personale nga puna ose ndarje artificiale të subjekteve.</w:t>
      </w:r>
    </w:p>
    <w:p w14:paraId="33660CE3" w14:textId="783A5230" w:rsidR="00990DEA" w:rsidRPr="00830F4C" w:rsidRDefault="00990DEA" w:rsidP="00990DEA">
      <w:pPr>
        <w:ind w:firstLine="284"/>
        <w:jc w:val="both"/>
        <w:rPr>
          <w:rFonts w:ascii="Garamond" w:hAnsi="Garamond"/>
        </w:rPr>
      </w:pPr>
      <w:r w:rsidRPr="00830F4C">
        <w:rPr>
          <w:rFonts w:ascii="Garamond" w:hAnsi="Garamond"/>
        </w:rPr>
        <w:t>Pragu i skemës së prog</w:t>
      </w:r>
      <w:r w:rsidR="00D61E86">
        <w:rPr>
          <w:rFonts w:ascii="Garamond" w:hAnsi="Garamond"/>
        </w:rPr>
        <w:t>r</w:t>
      </w:r>
      <w:r w:rsidRPr="00830F4C">
        <w:rPr>
          <w:rFonts w:ascii="Garamond" w:hAnsi="Garamond"/>
        </w:rPr>
        <w:t>esivitetit nxit shmangie të tatimeve që tatimpaguesit të qëndrojnë poshtë këtij pragu dhe për rrjedh</w:t>
      </w:r>
      <w:r w:rsidR="00D61E86">
        <w:rPr>
          <w:rFonts w:ascii="Garamond" w:hAnsi="Garamond"/>
        </w:rPr>
        <w:t>o</w:t>
      </w:r>
      <w:r w:rsidRPr="00830F4C">
        <w:rPr>
          <w:rFonts w:ascii="Garamond" w:hAnsi="Garamond"/>
        </w:rPr>
        <w:t>jë</w:t>
      </w:r>
      <w:r w:rsidR="0052377F" w:rsidRPr="00830F4C">
        <w:rPr>
          <w:rFonts w:ascii="Garamond" w:hAnsi="Garamond"/>
        </w:rPr>
        <w:t xml:space="preserve"> </w:t>
      </w:r>
      <w:r w:rsidR="006A23E9" w:rsidRPr="00830F4C">
        <w:rPr>
          <w:rFonts w:ascii="Garamond" w:hAnsi="Garamond"/>
        </w:rPr>
        <w:t>t’i</w:t>
      </w:r>
      <w:r w:rsidR="0052377F" w:rsidRPr="00830F4C">
        <w:rPr>
          <w:rFonts w:ascii="Garamond" w:hAnsi="Garamond"/>
        </w:rPr>
        <w:t xml:space="preserve"> </w:t>
      </w:r>
      <w:r w:rsidRPr="00830F4C">
        <w:rPr>
          <w:rFonts w:ascii="Garamond" w:hAnsi="Garamond"/>
        </w:rPr>
        <w:t>shmangen tatimeve. Ose ka raste kur bizneset që arrijnë pragun me qarkullim mbi 14 milionë lek</w:t>
      </w:r>
      <w:r w:rsidR="000E6B7C">
        <w:rPr>
          <w:rFonts w:ascii="Garamond" w:hAnsi="Garamond"/>
        </w:rPr>
        <w:t>ë</w:t>
      </w:r>
      <w:r w:rsidRPr="00830F4C">
        <w:rPr>
          <w:rFonts w:ascii="Garamond" w:hAnsi="Garamond"/>
        </w:rPr>
        <w:t>, copëzohen me qëllim që të shmangin tatimet</w:t>
      </w:r>
      <w:r w:rsidR="000E6B7C">
        <w:rPr>
          <w:rFonts w:ascii="Garamond" w:hAnsi="Garamond"/>
        </w:rPr>
        <w:t>.</w:t>
      </w:r>
    </w:p>
    <w:p w14:paraId="6D091ECE" w14:textId="77777777" w:rsidR="00990DEA" w:rsidRPr="00830F4C" w:rsidRDefault="00990DEA" w:rsidP="00990DEA">
      <w:pPr>
        <w:ind w:firstLine="284"/>
        <w:jc w:val="both"/>
        <w:rPr>
          <w:rFonts w:ascii="Garamond" w:hAnsi="Garamond"/>
        </w:rPr>
      </w:pPr>
      <w:r w:rsidRPr="00830F4C">
        <w:rPr>
          <w:rFonts w:ascii="Garamond" w:hAnsi="Garamond"/>
        </w:rPr>
        <w:t>Për të adresuar këto fenomene, gjatë kohës së kësaj Strategjie, administrata tatimore do të jetë e fokusuar në:</w:t>
      </w:r>
    </w:p>
    <w:p w14:paraId="11EFA379" w14:textId="6561B889" w:rsidR="00990DEA" w:rsidRPr="00830F4C" w:rsidRDefault="00990DEA" w:rsidP="008C0C0F">
      <w:pPr>
        <w:autoSpaceDE w:val="0"/>
        <w:autoSpaceDN w:val="0"/>
        <w:adjustRightInd w:val="0"/>
        <w:ind w:firstLine="284"/>
        <w:jc w:val="both"/>
        <w:rPr>
          <w:rFonts w:ascii="Garamond" w:eastAsiaTheme="minorHAnsi" w:hAnsi="Garamond"/>
        </w:rPr>
      </w:pPr>
      <w:r w:rsidRPr="00830F4C">
        <w:rPr>
          <w:rFonts w:ascii="Garamond" w:eastAsiaTheme="minorHAnsi" w:hAnsi="Garamond"/>
        </w:rPr>
        <w:t>- Aktiviteti</w:t>
      </w:r>
      <w:r w:rsidR="000E6B7C">
        <w:rPr>
          <w:rFonts w:ascii="Garamond" w:eastAsiaTheme="minorHAnsi" w:hAnsi="Garamond"/>
        </w:rPr>
        <w:t>n</w:t>
      </w:r>
      <w:r w:rsidRPr="00830F4C">
        <w:rPr>
          <w:rFonts w:ascii="Garamond" w:eastAsiaTheme="minorHAnsi" w:hAnsi="Garamond"/>
        </w:rPr>
        <w:t xml:space="preserve"> 2.4.2.1</w:t>
      </w:r>
      <w:r w:rsidR="000E6B7C">
        <w:rPr>
          <w:rFonts w:ascii="Garamond" w:eastAsiaTheme="minorHAnsi" w:hAnsi="Garamond"/>
        </w:rPr>
        <w:t>:</w:t>
      </w:r>
      <w:r w:rsidRPr="00830F4C">
        <w:rPr>
          <w:rFonts w:ascii="Garamond" w:eastAsiaTheme="minorHAnsi" w:hAnsi="Garamond"/>
        </w:rPr>
        <w:t xml:space="preserve"> Evidentimi dhe trajtimi i tatimpaguesve që përfitojnë nga vet</w:t>
      </w:r>
      <w:r w:rsidR="008C0C0F" w:rsidRPr="00830F4C">
        <w:rPr>
          <w:rFonts w:ascii="Garamond" w:eastAsiaTheme="minorHAnsi" w:hAnsi="Garamond"/>
        </w:rPr>
        <w:t>ë</w:t>
      </w:r>
      <w:r w:rsidRPr="00830F4C">
        <w:rPr>
          <w:rFonts w:ascii="Garamond" w:eastAsiaTheme="minorHAnsi" w:hAnsi="Garamond"/>
        </w:rPr>
        <w:t>punësimi fiktiv dhe</w:t>
      </w:r>
      <w:r w:rsidR="00D22EA5" w:rsidRPr="00830F4C">
        <w:rPr>
          <w:rFonts w:ascii="Garamond" w:eastAsiaTheme="minorHAnsi" w:hAnsi="Garamond"/>
        </w:rPr>
        <w:t xml:space="preserve"> </w:t>
      </w:r>
      <w:r w:rsidRPr="00830F4C">
        <w:rPr>
          <w:rFonts w:ascii="Garamond" w:eastAsiaTheme="minorHAnsi" w:hAnsi="Garamond"/>
        </w:rPr>
        <w:t>ndarja artificial</w:t>
      </w:r>
      <w:r w:rsidR="008C0C0F" w:rsidRPr="00830F4C">
        <w:rPr>
          <w:rFonts w:ascii="Garamond" w:eastAsiaTheme="minorHAnsi" w:hAnsi="Garamond"/>
        </w:rPr>
        <w:t>e</w:t>
      </w:r>
      <w:r w:rsidRPr="00830F4C">
        <w:rPr>
          <w:rFonts w:ascii="Garamond" w:eastAsiaTheme="minorHAnsi" w:hAnsi="Garamond"/>
        </w:rPr>
        <w:t xml:space="preserve"> e subjekteve</w:t>
      </w:r>
      <w:r w:rsidR="000E6B7C">
        <w:rPr>
          <w:rFonts w:ascii="Garamond" w:eastAsiaTheme="minorHAnsi" w:hAnsi="Garamond"/>
        </w:rPr>
        <w:t>;</w:t>
      </w:r>
    </w:p>
    <w:p w14:paraId="315F1C52" w14:textId="73808D38" w:rsidR="00990DEA" w:rsidRPr="00830F4C" w:rsidRDefault="00990DEA" w:rsidP="008C0C0F">
      <w:pPr>
        <w:autoSpaceDE w:val="0"/>
        <w:autoSpaceDN w:val="0"/>
        <w:adjustRightInd w:val="0"/>
        <w:ind w:firstLine="284"/>
        <w:jc w:val="both"/>
        <w:rPr>
          <w:rFonts w:ascii="Garamond" w:eastAsiaTheme="minorHAnsi" w:hAnsi="Garamond"/>
        </w:rPr>
      </w:pPr>
      <w:r w:rsidRPr="00830F4C">
        <w:rPr>
          <w:rFonts w:ascii="Garamond" w:eastAsiaTheme="minorHAnsi" w:hAnsi="Garamond"/>
        </w:rPr>
        <w:t>- Aktiviteti</w:t>
      </w:r>
      <w:r w:rsidR="000E6B7C">
        <w:rPr>
          <w:rFonts w:ascii="Garamond" w:eastAsiaTheme="minorHAnsi" w:hAnsi="Garamond"/>
        </w:rPr>
        <w:t>n</w:t>
      </w:r>
      <w:r w:rsidRPr="00830F4C">
        <w:rPr>
          <w:rFonts w:ascii="Garamond" w:eastAsiaTheme="minorHAnsi" w:hAnsi="Garamond"/>
        </w:rPr>
        <w:t xml:space="preserve"> 2.4.2.2: Hartimi i një plani sektorial </w:t>
      </w:r>
      <w:r w:rsidR="008C0C0F" w:rsidRPr="00830F4C">
        <w:rPr>
          <w:rFonts w:ascii="Garamond" w:eastAsiaTheme="minorHAnsi" w:hAnsi="Garamond"/>
        </w:rPr>
        <w:t>për</w:t>
      </w:r>
      <w:r w:rsidRPr="00830F4C">
        <w:rPr>
          <w:rFonts w:ascii="Garamond" w:eastAsiaTheme="minorHAnsi" w:hAnsi="Garamond"/>
        </w:rPr>
        <w:t xml:space="preserve"> të evidentuar tatimpaguesit me marzhe të vogla në tatim fitim</w:t>
      </w:r>
      <w:r w:rsidR="000E6B7C">
        <w:rPr>
          <w:rFonts w:ascii="Garamond" w:eastAsiaTheme="minorHAnsi" w:hAnsi="Garamond"/>
        </w:rPr>
        <w:t>;</w:t>
      </w:r>
    </w:p>
    <w:p w14:paraId="28CE3495" w14:textId="5224204B" w:rsidR="00990DEA" w:rsidRPr="00830F4C" w:rsidRDefault="00990DEA" w:rsidP="008C0C0F">
      <w:pPr>
        <w:autoSpaceDE w:val="0"/>
        <w:autoSpaceDN w:val="0"/>
        <w:adjustRightInd w:val="0"/>
        <w:ind w:firstLine="284"/>
        <w:jc w:val="both"/>
        <w:rPr>
          <w:rFonts w:ascii="Garamond" w:eastAsiaTheme="minorHAnsi" w:hAnsi="Garamond"/>
        </w:rPr>
      </w:pPr>
      <w:r w:rsidRPr="00830F4C">
        <w:rPr>
          <w:rFonts w:ascii="Garamond" w:eastAsiaTheme="minorHAnsi" w:hAnsi="Garamond"/>
        </w:rPr>
        <w:t>- Aktiviteti</w:t>
      </w:r>
      <w:r w:rsidR="000E6B7C">
        <w:rPr>
          <w:rFonts w:ascii="Garamond" w:eastAsiaTheme="minorHAnsi" w:hAnsi="Garamond"/>
        </w:rPr>
        <w:t>n</w:t>
      </w:r>
      <w:r w:rsidRPr="00830F4C">
        <w:rPr>
          <w:rFonts w:ascii="Garamond" w:eastAsiaTheme="minorHAnsi" w:hAnsi="Garamond"/>
        </w:rPr>
        <w:t xml:space="preserve"> 2.4.2.3: Dig</w:t>
      </w:r>
      <w:r w:rsidR="008C0C0F" w:rsidRPr="00830F4C">
        <w:rPr>
          <w:rFonts w:ascii="Garamond" w:eastAsiaTheme="minorHAnsi" w:hAnsi="Garamond"/>
        </w:rPr>
        <w:t>j</w:t>
      </w:r>
      <w:r w:rsidRPr="00830F4C">
        <w:rPr>
          <w:rFonts w:ascii="Garamond" w:eastAsiaTheme="minorHAnsi" w:hAnsi="Garamond"/>
        </w:rPr>
        <w:t>italizimi i deklarimit të qirave në sistemin CATS dhe kontrollet për çmimet e aplikuara të qirave.</w:t>
      </w:r>
    </w:p>
    <w:p w14:paraId="09C3F3DA" w14:textId="77777777" w:rsidR="00990DEA" w:rsidRPr="00830F4C" w:rsidRDefault="00990DEA" w:rsidP="008C0C0F">
      <w:pPr>
        <w:ind w:firstLine="284"/>
        <w:jc w:val="both"/>
        <w:rPr>
          <w:rFonts w:ascii="Garamond" w:hAnsi="Garamond"/>
          <w:b/>
          <w:bCs/>
        </w:rPr>
      </w:pPr>
      <w:r w:rsidRPr="00830F4C">
        <w:rPr>
          <w:rFonts w:ascii="Garamond" w:hAnsi="Garamond"/>
          <w:b/>
          <w:bCs/>
        </w:rPr>
        <w:t>Masa 2.4.3 Forcimi i hetimeve kundër mashtrimit tatimor</w:t>
      </w:r>
    </w:p>
    <w:p w14:paraId="3D6E9CC1" w14:textId="3F542E09" w:rsidR="00990DEA" w:rsidRPr="00830F4C" w:rsidRDefault="00990DEA" w:rsidP="00990DEA">
      <w:pPr>
        <w:ind w:firstLine="284"/>
        <w:jc w:val="both"/>
        <w:rPr>
          <w:rFonts w:ascii="Garamond" w:hAnsi="Garamond"/>
        </w:rPr>
      </w:pPr>
      <w:r w:rsidRPr="00830F4C">
        <w:rPr>
          <w:rFonts w:ascii="Garamond" w:hAnsi="Garamond"/>
        </w:rPr>
        <w:t xml:space="preserve">Në kuadër të planit të </w:t>
      </w:r>
      <w:r w:rsidR="00DE65FB">
        <w:rPr>
          <w:rFonts w:ascii="Garamond" w:hAnsi="Garamond"/>
        </w:rPr>
        <w:t>r</w:t>
      </w:r>
      <w:r w:rsidRPr="00830F4C">
        <w:rPr>
          <w:rFonts w:ascii="Garamond" w:hAnsi="Garamond"/>
        </w:rPr>
        <w:t>ritjes janë parashikuar të kryhen 500 hetime ndaj tatimpaguesve, brenda qershor</w:t>
      </w:r>
      <w:r w:rsidR="00DE65FB">
        <w:rPr>
          <w:rFonts w:ascii="Garamond" w:hAnsi="Garamond"/>
        </w:rPr>
        <w:t>it</w:t>
      </w:r>
      <w:r w:rsidRPr="00830F4C">
        <w:rPr>
          <w:rFonts w:ascii="Garamond" w:hAnsi="Garamond"/>
        </w:rPr>
        <w:t xml:space="preserve"> 2027. Realizimi i këtij indikatori do të bazohet në fenomenet, sektorët dhe llojet e taksave të përcaktuar në një listë prej 12 aktivite</w:t>
      </w:r>
      <w:r w:rsidR="008C0C0F" w:rsidRPr="00830F4C">
        <w:rPr>
          <w:rFonts w:ascii="Garamond" w:hAnsi="Garamond"/>
        </w:rPr>
        <w:t>te</w:t>
      </w:r>
      <w:r w:rsidRPr="00830F4C">
        <w:rPr>
          <w:rFonts w:ascii="Garamond" w:hAnsi="Garamond"/>
        </w:rPr>
        <w:t>sh</w:t>
      </w:r>
      <w:r w:rsidR="008C0C0F" w:rsidRPr="00830F4C">
        <w:rPr>
          <w:rFonts w:ascii="Garamond" w:hAnsi="Garamond"/>
        </w:rPr>
        <w:t>,</w:t>
      </w:r>
      <w:r w:rsidRPr="00830F4C">
        <w:rPr>
          <w:rFonts w:ascii="Garamond" w:hAnsi="Garamond"/>
        </w:rPr>
        <w:t xml:space="preserve"> si më poshtë vijon.</w:t>
      </w:r>
    </w:p>
    <w:p w14:paraId="5780788B" w14:textId="58E71B64" w:rsidR="00990DEA" w:rsidRPr="00830F4C" w:rsidRDefault="00990DEA" w:rsidP="00990DEA">
      <w:pPr>
        <w:autoSpaceDE w:val="0"/>
        <w:autoSpaceDN w:val="0"/>
        <w:adjustRightInd w:val="0"/>
        <w:ind w:firstLine="284"/>
        <w:jc w:val="both"/>
        <w:rPr>
          <w:rFonts w:ascii="Garamond" w:eastAsiaTheme="minorHAnsi" w:hAnsi="Garamond"/>
        </w:rPr>
      </w:pPr>
      <w:bookmarkStart w:id="53" w:name="_Toc167123151"/>
      <w:bookmarkStart w:id="54" w:name="_Toc168066227"/>
      <w:bookmarkStart w:id="55" w:name="_Toc172271637"/>
      <w:bookmarkStart w:id="56" w:name="_Toc185235097"/>
      <w:r w:rsidRPr="00830F4C">
        <w:rPr>
          <w:rFonts w:ascii="Garamond" w:eastAsiaTheme="minorHAnsi" w:hAnsi="Garamond"/>
        </w:rPr>
        <w:t>1. Aktiviteti 2.4.3.1</w:t>
      </w:r>
      <w:r w:rsidR="00DE65FB">
        <w:rPr>
          <w:rFonts w:ascii="Garamond" w:eastAsiaTheme="minorHAnsi" w:hAnsi="Garamond"/>
        </w:rPr>
        <w:t>:</w:t>
      </w:r>
      <w:r w:rsidRPr="00830F4C">
        <w:rPr>
          <w:rFonts w:ascii="Garamond" w:eastAsiaTheme="minorHAnsi" w:hAnsi="Garamond"/>
        </w:rPr>
        <w:t xml:space="preserve"> Krijimi i nj</w:t>
      </w:r>
      <w:r w:rsidR="008C0C0F" w:rsidRPr="00830F4C">
        <w:rPr>
          <w:rFonts w:ascii="Garamond" w:hAnsi="Garamond"/>
        </w:rPr>
        <w:t>ë</w:t>
      </w:r>
      <w:r w:rsidRPr="00830F4C">
        <w:rPr>
          <w:rFonts w:ascii="Garamond" w:eastAsiaTheme="minorHAnsi" w:hAnsi="Garamond"/>
        </w:rPr>
        <w:t xml:space="preserve"> seti t</w:t>
      </w:r>
      <w:r w:rsidR="008C0C0F" w:rsidRPr="00830F4C">
        <w:rPr>
          <w:rFonts w:ascii="Garamond" w:hAnsi="Garamond"/>
        </w:rPr>
        <w:t>ë</w:t>
      </w:r>
      <w:r w:rsidRPr="00830F4C">
        <w:rPr>
          <w:rFonts w:ascii="Garamond" w:eastAsiaTheme="minorHAnsi" w:hAnsi="Garamond"/>
        </w:rPr>
        <w:t xml:space="preserve"> ri</w:t>
      </w:r>
      <w:r w:rsidR="00D22EA5" w:rsidRPr="00830F4C">
        <w:rPr>
          <w:rFonts w:ascii="Garamond" w:eastAsiaTheme="minorHAnsi" w:hAnsi="Garamond"/>
        </w:rPr>
        <w:t xml:space="preserve"> </w:t>
      </w:r>
      <w:r w:rsidRPr="00830F4C">
        <w:rPr>
          <w:rFonts w:ascii="Garamond" w:eastAsiaTheme="minorHAnsi" w:hAnsi="Garamond"/>
        </w:rPr>
        <w:t>kriteresh risku bazuar n</w:t>
      </w:r>
      <w:r w:rsidR="008C0C0F" w:rsidRPr="00830F4C">
        <w:rPr>
          <w:rFonts w:ascii="Garamond" w:hAnsi="Garamond"/>
        </w:rPr>
        <w:t>ë</w:t>
      </w:r>
      <w:r w:rsidRPr="00830F4C">
        <w:rPr>
          <w:rFonts w:ascii="Garamond" w:eastAsiaTheme="minorHAnsi" w:hAnsi="Garamond"/>
        </w:rPr>
        <w:t xml:space="preserve"> t</w:t>
      </w:r>
      <w:r w:rsidR="008C0C0F" w:rsidRPr="00830F4C">
        <w:rPr>
          <w:rFonts w:ascii="Garamond" w:hAnsi="Garamond"/>
        </w:rPr>
        <w:t>ë</w:t>
      </w:r>
      <w:r w:rsidRPr="00830F4C">
        <w:rPr>
          <w:rFonts w:ascii="Garamond" w:eastAsiaTheme="minorHAnsi" w:hAnsi="Garamond"/>
        </w:rPr>
        <w:t xml:space="preserve"> dh</w:t>
      </w:r>
      <w:r w:rsidR="008C0C0F" w:rsidRPr="00830F4C">
        <w:rPr>
          <w:rFonts w:ascii="Garamond" w:hAnsi="Garamond"/>
        </w:rPr>
        <w:t>ë</w:t>
      </w:r>
      <w:r w:rsidRPr="00830F4C">
        <w:rPr>
          <w:rFonts w:ascii="Garamond" w:eastAsiaTheme="minorHAnsi" w:hAnsi="Garamond"/>
        </w:rPr>
        <w:t>nat q</w:t>
      </w:r>
      <w:r w:rsidR="008C0C0F" w:rsidRPr="00830F4C">
        <w:rPr>
          <w:rFonts w:ascii="Garamond" w:hAnsi="Garamond"/>
        </w:rPr>
        <w:t>ë</w:t>
      </w:r>
      <w:r w:rsidRPr="00830F4C">
        <w:rPr>
          <w:rFonts w:ascii="Garamond" w:eastAsiaTheme="minorHAnsi" w:hAnsi="Garamond"/>
        </w:rPr>
        <w:t xml:space="preserve"> sigurohen nga pasqyrat financiare vjetore t</w:t>
      </w:r>
      <w:r w:rsidR="008C0C0F" w:rsidRPr="00830F4C">
        <w:rPr>
          <w:rFonts w:ascii="Garamond" w:hAnsi="Garamond"/>
        </w:rPr>
        <w:t>ë</w:t>
      </w:r>
      <w:r w:rsidRPr="00830F4C">
        <w:rPr>
          <w:rFonts w:ascii="Garamond" w:eastAsiaTheme="minorHAnsi" w:hAnsi="Garamond"/>
        </w:rPr>
        <w:t xml:space="preserve"> dor</w:t>
      </w:r>
      <w:r w:rsidR="008C0C0F" w:rsidRPr="00830F4C">
        <w:rPr>
          <w:rFonts w:ascii="Garamond" w:hAnsi="Garamond"/>
        </w:rPr>
        <w:t>ë</w:t>
      </w:r>
      <w:r w:rsidRPr="00830F4C">
        <w:rPr>
          <w:rFonts w:ascii="Garamond" w:eastAsiaTheme="minorHAnsi" w:hAnsi="Garamond"/>
        </w:rPr>
        <w:t>zuara nga tatimpaguesit, si dhe shkeljeve t</w:t>
      </w:r>
      <w:r w:rsidR="008C0C0F" w:rsidRPr="00830F4C">
        <w:rPr>
          <w:rFonts w:ascii="Garamond" w:hAnsi="Garamond"/>
        </w:rPr>
        <w:t>ë</w:t>
      </w:r>
      <w:r w:rsidRPr="00830F4C">
        <w:rPr>
          <w:rFonts w:ascii="Garamond" w:eastAsiaTheme="minorHAnsi" w:hAnsi="Garamond"/>
        </w:rPr>
        <w:t xml:space="preserve"> tjera t</w:t>
      </w:r>
      <w:r w:rsidR="008C0C0F" w:rsidRPr="00830F4C">
        <w:rPr>
          <w:rFonts w:ascii="Garamond" w:hAnsi="Garamond"/>
        </w:rPr>
        <w:t>ë</w:t>
      </w:r>
      <w:r w:rsidRPr="00830F4C">
        <w:rPr>
          <w:rFonts w:ascii="Garamond" w:eastAsiaTheme="minorHAnsi" w:hAnsi="Garamond"/>
        </w:rPr>
        <w:t xml:space="preserve"> mundshme t</w:t>
      </w:r>
      <w:r w:rsidR="008C0C0F" w:rsidRPr="00830F4C">
        <w:rPr>
          <w:rFonts w:ascii="Garamond" w:hAnsi="Garamond"/>
        </w:rPr>
        <w:t>ë</w:t>
      </w:r>
      <w:r w:rsidRPr="00830F4C">
        <w:rPr>
          <w:rFonts w:ascii="Garamond" w:eastAsiaTheme="minorHAnsi" w:hAnsi="Garamond"/>
        </w:rPr>
        <w:t xml:space="preserve"> legjislacionit tatimor</w:t>
      </w:r>
      <w:r w:rsidR="00DE65FB">
        <w:rPr>
          <w:rFonts w:ascii="Garamond" w:eastAsiaTheme="minorHAnsi" w:hAnsi="Garamond"/>
        </w:rPr>
        <w:t>;</w:t>
      </w:r>
    </w:p>
    <w:p w14:paraId="769D63EE" w14:textId="66EF6A2C" w:rsidR="00990DEA" w:rsidRPr="00830F4C" w:rsidRDefault="00990DEA" w:rsidP="00990DEA">
      <w:pPr>
        <w:autoSpaceDE w:val="0"/>
        <w:autoSpaceDN w:val="0"/>
        <w:adjustRightInd w:val="0"/>
        <w:ind w:firstLine="284"/>
        <w:jc w:val="both"/>
        <w:rPr>
          <w:rFonts w:ascii="Garamond" w:eastAsiaTheme="minorHAnsi" w:hAnsi="Garamond"/>
        </w:rPr>
      </w:pPr>
      <w:r w:rsidRPr="00830F4C">
        <w:rPr>
          <w:rFonts w:ascii="Garamond" w:eastAsiaTheme="minorHAnsi" w:hAnsi="Garamond"/>
        </w:rPr>
        <w:t>2. Aktiviteti 2.4.3.2</w:t>
      </w:r>
      <w:r w:rsidR="00DE65FB">
        <w:rPr>
          <w:rFonts w:ascii="Garamond" w:eastAsiaTheme="minorHAnsi" w:hAnsi="Garamond"/>
        </w:rPr>
        <w:t>:</w:t>
      </w:r>
      <w:r w:rsidR="008C0C0F" w:rsidRPr="00830F4C">
        <w:rPr>
          <w:rFonts w:ascii="Garamond" w:eastAsiaTheme="minorHAnsi" w:hAnsi="Garamond"/>
        </w:rPr>
        <w:t xml:space="preserve"> </w:t>
      </w:r>
      <w:r w:rsidRPr="00830F4C">
        <w:rPr>
          <w:rFonts w:ascii="Garamond" w:eastAsiaTheme="minorHAnsi" w:hAnsi="Garamond"/>
        </w:rPr>
        <w:t>Analiza dhe investigimi i shitjeve fiktive t</w:t>
      </w:r>
      <w:r w:rsidR="008C0C0F" w:rsidRPr="00830F4C">
        <w:rPr>
          <w:rFonts w:ascii="Garamond" w:hAnsi="Garamond"/>
        </w:rPr>
        <w:t>ë</w:t>
      </w:r>
      <w:r w:rsidRPr="00830F4C">
        <w:rPr>
          <w:rFonts w:ascii="Garamond" w:eastAsiaTheme="minorHAnsi" w:hAnsi="Garamond"/>
        </w:rPr>
        <w:t xml:space="preserve"> aksioneve t</w:t>
      </w:r>
      <w:r w:rsidR="008C0C0F" w:rsidRPr="00830F4C">
        <w:rPr>
          <w:rFonts w:ascii="Garamond" w:hAnsi="Garamond"/>
        </w:rPr>
        <w:t>ë</w:t>
      </w:r>
      <w:r w:rsidRPr="00830F4C">
        <w:rPr>
          <w:rFonts w:ascii="Garamond" w:eastAsiaTheme="minorHAnsi" w:hAnsi="Garamond"/>
        </w:rPr>
        <w:t xml:space="preserve"> kompanive aksionere</w:t>
      </w:r>
      <w:r w:rsidR="00DE65FB">
        <w:rPr>
          <w:rFonts w:ascii="Garamond" w:eastAsiaTheme="minorHAnsi" w:hAnsi="Garamond"/>
        </w:rPr>
        <w:t>;</w:t>
      </w:r>
    </w:p>
    <w:p w14:paraId="0F0F8FD5" w14:textId="7F7299FB" w:rsidR="00990DEA" w:rsidRPr="00830F4C" w:rsidRDefault="00990DEA" w:rsidP="00990DEA">
      <w:pPr>
        <w:autoSpaceDE w:val="0"/>
        <w:autoSpaceDN w:val="0"/>
        <w:adjustRightInd w:val="0"/>
        <w:ind w:firstLine="284"/>
        <w:jc w:val="both"/>
        <w:rPr>
          <w:rFonts w:ascii="Garamond" w:eastAsiaTheme="minorHAnsi" w:hAnsi="Garamond"/>
        </w:rPr>
      </w:pPr>
      <w:r w:rsidRPr="00830F4C">
        <w:rPr>
          <w:rFonts w:ascii="Garamond" w:eastAsiaTheme="minorHAnsi" w:hAnsi="Garamond"/>
        </w:rPr>
        <w:t>3. Aktiviteti 2.4.3.3</w:t>
      </w:r>
      <w:r w:rsidR="00DE65FB">
        <w:rPr>
          <w:rFonts w:ascii="Garamond" w:eastAsiaTheme="minorHAnsi" w:hAnsi="Garamond"/>
        </w:rPr>
        <w:t>:</w:t>
      </w:r>
      <w:r w:rsidRPr="00830F4C">
        <w:rPr>
          <w:rFonts w:ascii="Garamond" w:eastAsiaTheme="minorHAnsi" w:hAnsi="Garamond"/>
        </w:rPr>
        <w:t xml:space="preserve"> Hetimi i skemave t</w:t>
      </w:r>
      <w:r w:rsidR="008C0C0F" w:rsidRPr="00830F4C">
        <w:rPr>
          <w:rFonts w:ascii="Garamond" w:hAnsi="Garamond"/>
        </w:rPr>
        <w:t>ë</w:t>
      </w:r>
      <w:r w:rsidRPr="00830F4C">
        <w:rPr>
          <w:rFonts w:ascii="Garamond" w:eastAsiaTheme="minorHAnsi" w:hAnsi="Garamond"/>
        </w:rPr>
        <w:t xml:space="preserve"> mashtrimit me</w:t>
      </w:r>
      <w:r w:rsidR="00DE65FB">
        <w:rPr>
          <w:rFonts w:ascii="Garamond" w:eastAsiaTheme="minorHAnsi" w:hAnsi="Garamond"/>
        </w:rPr>
        <w:t xml:space="preserve"> TVSh</w:t>
      </w:r>
      <w:r w:rsidRPr="00830F4C">
        <w:rPr>
          <w:rFonts w:ascii="Garamond" w:eastAsiaTheme="minorHAnsi" w:hAnsi="Garamond"/>
        </w:rPr>
        <w:t>-n</w:t>
      </w:r>
      <w:r w:rsidR="008C0C0F" w:rsidRPr="00830F4C">
        <w:rPr>
          <w:rFonts w:ascii="Garamond" w:hAnsi="Garamond"/>
        </w:rPr>
        <w:t>ë</w:t>
      </w:r>
      <w:r w:rsidRPr="00830F4C">
        <w:rPr>
          <w:rFonts w:ascii="Garamond" w:eastAsiaTheme="minorHAnsi" w:hAnsi="Garamond"/>
        </w:rPr>
        <w:t xml:space="preserve"> (Skema </w:t>
      </w:r>
      <w:r w:rsidRPr="00830F4C">
        <w:rPr>
          <w:rFonts w:ascii="Garamond" w:eastAsiaTheme="minorHAnsi" w:hAnsi="Garamond"/>
          <w:i/>
        </w:rPr>
        <w:t>karusel</w:t>
      </w:r>
      <w:r w:rsidRPr="00830F4C">
        <w:rPr>
          <w:rFonts w:ascii="Garamond" w:eastAsiaTheme="minorHAnsi" w:hAnsi="Garamond"/>
        </w:rPr>
        <w:t>)</w:t>
      </w:r>
      <w:r w:rsidR="00DE65FB">
        <w:rPr>
          <w:rFonts w:ascii="Garamond" w:eastAsiaTheme="minorHAnsi" w:hAnsi="Garamond"/>
        </w:rPr>
        <w:t>;</w:t>
      </w:r>
    </w:p>
    <w:p w14:paraId="630DA748" w14:textId="72EA3B41" w:rsidR="00990DEA" w:rsidRPr="00830F4C" w:rsidRDefault="00990DEA" w:rsidP="00990DEA">
      <w:pPr>
        <w:autoSpaceDE w:val="0"/>
        <w:autoSpaceDN w:val="0"/>
        <w:adjustRightInd w:val="0"/>
        <w:ind w:firstLine="284"/>
        <w:jc w:val="both"/>
        <w:rPr>
          <w:rFonts w:ascii="Garamond" w:eastAsiaTheme="minorHAnsi" w:hAnsi="Garamond"/>
        </w:rPr>
      </w:pPr>
      <w:r w:rsidRPr="00830F4C">
        <w:rPr>
          <w:rFonts w:ascii="Garamond" w:eastAsiaTheme="minorHAnsi" w:hAnsi="Garamond"/>
        </w:rPr>
        <w:t>4. Aktiviteti 2.4.3.4</w:t>
      </w:r>
      <w:r w:rsidR="00DE65FB">
        <w:rPr>
          <w:rFonts w:ascii="Garamond" w:eastAsiaTheme="minorHAnsi" w:hAnsi="Garamond"/>
        </w:rPr>
        <w:t>:</w:t>
      </w:r>
      <w:r w:rsidR="008C0C0F" w:rsidRPr="00830F4C">
        <w:rPr>
          <w:rFonts w:ascii="Garamond" w:eastAsiaTheme="minorHAnsi" w:hAnsi="Garamond"/>
        </w:rPr>
        <w:t xml:space="preserve"> </w:t>
      </w:r>
      <w:r w:rsidRPr="00830F4C">
        <w:rPr>
          <w:rFonts w:ascii="Garamond" w:eastAsiaTheme="minorHAnsi" w:hAnsi="Garamond"/>
        </w:rPr>
        <w:t>Analizimi i t</w:t>
      </w:r>
      <w:r w:rsidR="008C0C0F" w:rsidRPr="00830F4C">
        <w:rPr>
          <w:rFonts w:ascii="Garamond" w:hAnsi="Garamond"/>
        </w:rPr>
        <w:t>ë</w:t>
      </w:r>
      <w:r w:rsidRPr="00830F4C">
        <w:rPr>
          <w:rFonts w:ascii="Garamond" w:eastAsiaTheme="minorHAnsi" w:hAnsi="Garamond"/>
        </w:rPr>
        <w:t xml:space="preserve"> </w:t>
      </w:r>
      <w:r w:rsidR="008C0C0F" w:rsidRPr="00830F4C">
        <w:rPr>
          <w:rFonts w:ascii="Garamond" w:eastAsiaTheme="minorHAnsi" w:hAnsi="Garamond"/>
        </w:rPr>
        <w:t>dhënave</w:t>
      </w:r>
      <w:r w:rsidRPr="00830F4C">
        <w:rPr>
          <w:rFonts w:ascii="Garamond" w:eastAsiaTheme="minorHAnsi" w:hAnsi="Garamond"/>
        </w:rPr>
        <w:t xml:space="preserve"> nga pal</w:t>
      </w:r>
      <w:r w:rsidR="008C0C0F" w:rsidRPr="00830F4C">
        <w:rPr>
          <w:rFonts w:ascii="Garamond" w:hAnsi="Garamond"/>
        </w:rPr>
        <w:t>ë</w:t>
      </w:r>
      <w:r w:rsidRPr="00830F4C">
        <w:rPr>
          <w:rFonts w:ascii="Garamond" w:eastAsiaTheme="minorHAnsi" w:hAnsi="Garamond"/>
        </w:rPr>
        <w:t>t e treta (Dogana) p</w:t>
      </w:r>
      <w:r w:rsidR="008C0C0F" w:rsidRPr="00830F4C">
        <w:rPr>
          <w:rFonts w:ascii="Garamond" w:hAnsi="Garamond"/>
        </w:rPr>
        <w:t>ë</w:t>
      </w:r>
      <w:r w:rsidRPr="00830F4C">
        <w:rPr>
          <w:rFonts w:ascii="Garamond" w:eastAsiaTheme="minorHAnsi" w:hAnsi="Garamond"/>
        </w:rPr>
        <w:t>r evidentimin e skemave t</w:t>
      </w:r>
      <w:r w:rsidR="008C0C0F" w:rsidRPr="00830F4C">
        <w:rPr>
          <w:rFonts w:ascii="Garamond" w:hAnsi="Garamond"/>
        </w:rPr>
        <w:t>ë</w:t>
      </w:r>
      <w:r w:rsidRPr="00830F4C">
        <w:rPr>
          <w:rFonts w:ascii="Garamond" w:eastAsiaTheme="minorHAnsi" w:hAnsi="Garamond"/>
        </w:rPr>
        <w:t xml:space="preserve"> masht</w:t>
      </w:r>
      <w:r w:rsidR="008C0C0F" w:rsidRPr="00830F4C">
        <w:rPr>
          <w:rFonts w:ascii="Garamond" w:eastAsiaTheme="minorHAnsi" w:hAnsi="Garamond"/>
        </w:rPr>
        <w:t>r</w:t>
      </w:r>
      <w:r w:rsidRPr="00830F4C">
        <w:rPr>
          <w:rFonts w:ascii="Garamond" w:eastAsiaTheme="minorHAnsi" w:hAnsi="Garamond"/>
        </w:rPr>
        <w:t>imit tatimor</w:t>
      </w:r>
      <w:r w:rsidR="00DE65FB">
        <w:rPr>
          <w:rFonts w:ascii="Garamond" w:eastAsiaTheme="minorHAnsi" w:hAnsi="Garamond"/>
        </w:rPr>
        <w:t>;</w:t>
      </w:r>
    </w:p>
    <w:p w14:paraId="1DD76B3F" w14:textId="25B8555A" w:rsidR="00990DEA" w:rsidRPr="00830F4C" w:rsidRDefault="00990DEA" w:rsidP="00990DEA">
      <w:pPr>
        <w:autoSpaceDE w:val="0"/>
        <w:autoSpaceDN w:val="0"/>
        <w:adjustRightInd w:val="0"/>
        <w:ind w:firstLine="284"/>
        <w:jc w:val="both"/>
        <w:rPr>
          <w:rFonts w:ascii="Garamond" w:eastAsiaTheme="minorHAnsi" w:hAnsi="Garamond"/>
        </w:rPr>
      </w:pPr>
      <w:r w:rsidRPr="00830F4C">
        <w:rPr>
          <w:rFonts w:ascii="Garamond" w:eastAsiaTheme="minorHAnsi" w:hAnsi="Garamond"/>
        </w:rPr>
        <w:t>5. Aktiviteti 2.4.3.5</w:t>
      </w:r>
      <w:r w:rsidR="00DE65FB">
        <w:rPr>
          <w:rFonts w:ascii="Garamond" w:eastAsiaTheme="minorHAnsi" w:hAnsi="Garamond"/>
        </w:rPr>
        <w:t>:</w:t>
      </w:r>
      <w:r w:rsidRPr="00830F4C">
        <w:rPr>
          <w:rFonts w:ascii="Garamond" w:eastAsiaTheme="minorHAnsi" w:hAnsi="Garamond"/>
        </w:rPr>
        <w:t xml:space="preserve"> Analiza dhe investigimi i sektor</w:t>
      </w:r>
      <w:r w:rsidR="008C0C0F" w:rsidRPr="00830F4C">
        <w:rPr>
          <w:rFonts w:ascii="Garamond" w:hAnsi="Garamond"/>
        </w:rPr>
        <w:t>ë</w:t>
      </w:r>
      <w:r w:rsidRPr="00830F4C">
        <w:rPr>
          <w:rFonts w:ascii="Garamond" w:eastAsiaTheme="minorHAnsi" w:hAnsi="Garamond"/>
        </w:rPr>
        <w:t>ve dhe fenomeneve me risk si informaliteti n</w:t>
      </w:r>
      <w:r w:rsidR="008C0C0F" w:rsidRPr="00830F4C">
        <w:rPr>
          <w:rFonts w:ascii="Garamond" w:hAnsi="Garamond"/>
        </w:rPr>
        <w:t>ë</w:t>
      </w:r>
      <w:r w:rsidRPr="00830F4C">
        <w:rPr>
          <w:rFonts w:ascii="Garamond" w:eastAsiaTheme="minorHAnsi" w:hAnsi="Garamond"/>
        </w:rPr>
        <w:t xml:space="preserve"> paga n</w:t>
      </w:r>
      <w:r w:rsidR="008C0C0F" w:rsidRPr="00830F4C">
        <w:rPr>
          <w:rFonts w:ascii="Garamond" w:hAnsi="Garamond"/>
        </w:rPr>
        <w:t>ë</w:t>
      </w:r>
      <w:r w:rsidRPr="00830F4C">
        <w:rPr>
          <w:rFonts w:ascii="Garamond" w:eastAsiaTheme="minorHAnsi" w:hAnsi="Garamond"/>
        </w:rPr>
        <w:t xml:space="preserve"> sektor</w:t>
      </w:r>
      <w:r w:rsidR="008C0C0F" w:rsidRPr="00830F4C">
        <w:rPr>
          <w:rFonts w:ascii="Garamond" w:hAnsi="Garamond"/>
        </w:rPr>
        <w:t>ë</w:t>
      </w:r>
      <w:r w:rsidRPr="00830F4C">
        <w:rPr>
          <w:rFonts w:ascii="Garamond" w:eastAsiaTheme="minorHAnsi" w:hAnsi="Garamond"/>
        </w:rPr>
        <w:t>t e nd</w:t>
      </w:r>
      <w:r w:rsidR="008C0C0F" w:rsidRPr="00830F4C">
        <w:rPr>
          <w:rFonts w:ascii="Garamond" w:hAnsi="Garamond"/>
        </w:rPr>
        <w:t>ë</w:t>
      </w:r>
      <w:r w:rsidRPr="00830F4C">
        <w:rPr>
          <w:rFonts w:ascii="Garamond" w:eastAsiaTheme="minorHAnsi" w:hAnsi="Garamond"/>
        </w:rPr>
        <w:t>rtimit, industrin</w:t>
      </w:r>
      <w:r w:rsidR="008C0C0F" w:rsidRPr="00830F4C">
        <w:rPr>
          <w:rFonts w:ascii="Garamond" w:hAnsi="Garamond"/>
        </w:rPr>
        <w:t>ë</w:t>
      </w:r>
      <w:r w:rsidRPr="00830F4C">
        <w:rPr>
          <w:rFonts w:ascii="Garamond" w:eastAsiaTheme="minorHAnsi" w:hAnsi="Garamond"/>
        </w:rPr>
        <w:t xml:space="preserve"> e turizmit,</w:t>
      </w:r>
      <w:r w:rsidR="00D22EA5" w:rsidRPr="00830F4C">
        <w:rPr>
          <w:rFonts w:ascii="Garamond" w:eastAsiaTheme="minorHAnsi" w:hAnsi="Garamond"/>
        </w:rPr>
        <w:t xml:space="preserve"> </w:t>
      </w:r>
      <w:r w:rsidRPr="00830F4C">
        <w:rPr>
          <w:rFonts w:ascii="Garamond" w:eastAsiaTheme="minorHAnsi" w:hAnsi="Garamond"/>
        </w:rPr>
        <w:t>sh</w:t>
      </w:r>
      <w:r w:rsidR="008C0C0F" w:rsidRPr="00830F4C">
        <w:rPr>
          <w:rFonts w:ascii="Garamond" w:hAnsi="Garamond"/>
        </w:rPr>
        <w:t>ë</w:t>
      </w:r>
      <w:r w:rsidRPr="00830F4C">
        <w:rPr>
          <w:rFonts w:ascii="Garamond" w:eastAsiaTheme="minorHAnsi" w:hAnsi="Garamond"/>
        </w:rPr>
        <w:t>rbimeve t</w:t>
      </w:r>
      <w:r w:rsidR="008C0C0F" w:rsidRPr="00830F4C">
        <w:rPr>
          <w:rFonts w:ascii="Garamond" w:hAnsi="Garamond"/>
        </w:rPr>
        <w:t>ë</w:t>
      </w:r>
      <w:r w:rsidRPr="00830F4C">
        <w:rPr>
          <w:rFonts w:ascii="Garamond" w:eastAsiaTheme="minorHAnsi" w:hAnsi="Garamond"/>
        </w:rPr>
        <w:t xml:space="preserve"> ndryshme,</w:t>
      </w:r>
      <w:r w:rsidR="00D22EA5" w:rsidRPr="00830F4C">
        <w:rPr>
          <w:rFonts w:ascii="Garamond" w:eastAsiaTheme="minorHAnsi" w:hAnsi="Garamond"/>
        </w:rPr>
        <w:t xml:space="preserve"> </w:t>
      </w:r>
      <w:r w:rsidRPr="00830F4C">
        <w:rPr>
          <w:rFonts w:ascii="Garamond" w:eastAsiaTheme="minorHAnsi" w:hAnsi="Garamond"/>
        </w:rPr>
        <w:t>etj.</w:t>
      </w:r>
      <w:r w:rsidR="00DE65FB">
        <w:rPr>
          <w:rFonts w:ascii="Garamond" w:eastAsiaTheme="minorHAnsi" w:hAnsi="Garamond"/>
        </w:rPr>
        <w:t>;</w:t>
      </w:r>
    </w:p>
    <w:p w14:paraId="6C3A0D8D" w14:textId="78465EBA" w:rsidR="00990DEA" w:rsidRPr="00830F4C" w:rsidRDefault="00990DEA" w:rsidP="00990DEA">
      <w:pPr>
        <w:autoSpaceDE w:val="0"/>
        <w:autoSpaceDN w:val="0"/>
        <w:adjustRightInd w:val="0"/>
        <w:ind w:firstLine="284"/>
        <w:jc w:val="both"/>
        <w:rPr>
          <w:rFonts w:ascii="Garamond" w:eastAsiaTheme="minorHAnsi" w:hAnsi="Garamond"/>
        </w:rPr>
      </w:pPr>
      <w:r w:rsidRPr="00830F4C">
        <w:rPr>
          <w:rFonts w:ascii="Garamond" w:eastAsiaTheme="minorHAnsi" w:hAnsi="Garamond"/>
        </w:rPr>
        <w:t>6. Aktiviteti 2.4.3.6</w:t>
      </w:r>
      <w:r w:rsidR="00DE65FB">
        <w:rPr>
          <w:rFonts w:ascii="Garamond" w:eastAsiaTheme="minorHAnsi" w:hAnsi="Garamond"/>
        </w:rPr>
        <w:t>:</w:t>
      </w:r>
      <w:r w:rsidR="008C0C0F" w:rsidRPr="00830F4C">
        <w:rPr>
          <w:rFonts w:ascii="Garamond" w:eastAsiaTheme="minorHAnsi" w:hAnsi="Garamond"/>
        </w:rPr>
        <w:t xml:space="preserve"> </w:t>
      </w:r>
      <w:r w:rsidRPr="00830F4C">
        <w:rPr>
          <w:rFonts w:ascii="Garamond" w:eastAsiaTheme="minorHAnsi" w:hAnsi="Garamond"/>
        </w:rPr>
        <w:t>Analiza dhe investigimi i informalitetit n</w:t>
      </w:r>
      <w:r w:rsidR="008C0C0F" w:rsidRPr="00830F4C">
        <w:rPr>
          <w:rFonts w:ascii="Garamond" w:hAnsi="Garamond"/>
        </w:rPr>
        <w:t>ë</w:t>
      </w:r>
      <w:r w:rsidRPr="00830F4C">
        <w:rPr>
          <w:rFonts w:ascii="Garamond" w:eastAsiaTheme="minorHAnsi" w:hAnsi="Garamond"/>
        </w:rPr>
        <w:t xml:space="preserve"> sektorin e fush</w:t>
      </w:r>
      <w:r w:rsidR="008C0C0F" w:rsidRPr="00830F4C">
        <w:rPr>
          <w:rFonts w:ascii="Garamond" w:hAnsi="Garamond"/>
        </w:rPr>
        <w:t>ë</w:t>
      </w:r>
      <w:r w:rsidRPr="00830F4C">
        <w:rPr>
          <w:rFonts w:ascii="Garamond" w:eastAsiaTheme="minorHAnsi" w:hAnsi="Garamond"/>
        </w:rPr>
        <w:t>s s</w:t>
      </w:r>
      <w:r w:rsidR="008C0C0F" w:rsidRPr="00830F4C">
        <w:rPr>
          <w:rFonts w:ascii="Garamond" w:hAnsi="Garamond"/>
        </w:rPr>
        <w:t>ë</w:t>
      </w:r>
      <w:r w:rsidRPr="00830F4C">
        <w:rPr>
          <w:rFonts w:ascii="Garamond" w:eastAsiaTheme="minorHAnsi" w:hAnsi="Garamond"/>
        </w:rPr>
        <w:t xml:space="preserve"> nd</w:t>
      </w:r>
      <w:r w:rsidR="008C0C0F" w:rsidRPr="00830F4C">
        <w:rPr>
          <w:rFonts w:ascii="Garamond" w:hAnsi="Garamond"/>
        </w:rPr>
        <w:t>ë</w:t>
      </w:r>
      <w:r w:rsidRPr="00830F4C">
        <w:rPr>
          <w:rFonts w:ascii="Garamond" w:eastAsiaTheme="minorHAnsi" w:hAnsi="Garamond"/>
        </w:rPr>
        <w:t>rtimit dhe n</w:t>
      </w:r>
      <w:r w:rsidR="008C0C0F" w:rsidRPr="00830F4C">
        <w:rPr>
          <w:rFonts w:ascii="Garamond" w:hAnsi="Garamond"/>
        </w:rPr>
        <w:t>ë</w:t>
      </w:r>
      <w:r w:rsidRPr="00830F4C">
        <w:rPr>
          <w:rFonts w:ascii="Garamond" w:eastAsiaTheme="minorHAnsi" w:hAnsi="Garamond"/>
        </w:rPr>
        <w:t>nkontraktor</w:t>
      </w:r>
      <w:r w:rsidR="008C0C0F" w:rsidRPr="00830F4C">
        <w:rPr>
          <w:rFonts w:ascii="Garamond" w:hAnsi="Garamond"/>
        </w:rPr>
        <w:t>ë</w:t>
      </w:r>
      <w:r w:rsidRPr="00830F4C">
        <w:rPr>
          <w:rFonts w:ascii="Garamond" w:eastAsiaTheme="minorHAnsi" w:hAnsi="Garamond"/>
        </w:rPr>
        <w:t>ve t</w:t>
      </w:r>
      <w:r w:rsidR="008C0C0F" w:rsidRPr="00830F4C">
        <w:rPr>
          <w:rFonts w:ascii="Garamond" w:hAnsi="Garamond"/>
        </w:rPr>
        <w:t>ë</w:t>
      </w:r>
      <w:r w:rsidRPr="00830F4C">
        <w:rPr>
          <w:rFonts w:ascii="Garamond" w:eastAsiaTheme="minorHAnsi" w:hAnsi="Garamond"/>
        </w:rPr>
        <w:t xml:space="preserve"> cil</w:t>
      </w:r>
      <w:r w:rsidR="008C0C0F" w:rsidRPr="00830F4C">
        <w:rPr>
          <w:rFonts w:ascii="Garamond" w:hAnsi="Garamond"/>
        </w:rPr>
        <w:t>ë</w:t>
      </w:r>
      <w:r w:rsidRPr="00830F4C">
        <w:rPr>
          <w:rFonts w:ascii="Garamond" w:eastAsiaTheme="minorHAnsi" w:hAnsi="Garamond"/>
        </w:rPr>
        <w:t>t ofrojn</w:t>
      </w:r>
      <w:r w:rsidR="008C0C0F" w:rsidRPr="00830F4C">
        <w:rPr>
          <w:rFonts w:ascii="Garamond" w:hAnsi="Garamond"/>
        </w:rPr>
        <w:t>ë</w:t>
      </w:r>
      <w:r w:rsidRPr="00830F4C">
        <w:rPr>
          <w:rFonts w:ascii="Garamond" w:eastAsiaTheme="minorHAnsi" w:hAnsi="Garamond"/>
        </w:rPr>
        <w:t xml:space="preserve"> sh</w:t>
      </w:r>
      <w:r w:rsidR="008C0C0F" w:rsidRPr="00830F4C">
        <w:rPr>
          <w:rFonts w:ascii="Garamond" w:hAnsi="Garamond"/>
        </w:rPr>
        <w:t>ë</w:t>
      </w:r>
      <w:r w:rsidRPr="00830F4C">
        <w:rPr>
          <w:rFonts w:ascii="Garamond" w:eastAsiaTheme="minorHAnsi" w:hAnsi="Garamond"/>
        </w:rPr>
        <w:t>rbime dhe aksesor</w:t>
      </w:r>
      <w:r w:rsidR="008C0C0F" w:rsidRPr="00830F4C">
        <w:rPr>
          <w:rFonts w:ascii="Garamond" w:hAnsi="Garamond"/>
        </w:rPr>
        <w:t>ë</w:t>
      </w:r>
      <w:r w:rsidRPr="00830F4C">
        <w:rPr>
          <w:rFonts w:ascii="Garamond" w:eastAsiaTheme="minorHAnsi" w:hAnsi="Garamond"/>
        </w:rPr>
        <w:t xml:space="preserve"> p</w:t>
      </w:r>
      <w:r w:rsidR="008C0C0F" w:rsidRPr="00830F4C">
        <w:rPr>
          <w:rFonts w:ascii="Garamond" w:hAnsi="Garamond"/>
        </w:rPr>
        <w:t>ë</w:t>
      </w:r>
      <w:r w:rsidRPr="00830F4C">
        <w:rPr>
          <w:rFonts w:ascii="Garamond" w:eastAsiaTheme="minorHAnsi" w:hAnsi="Garamond"/>
        </w:rPr>
        <w:t>r k</w:t>
      </w:r>
      <w:r w:rsidR="008C0C0F" w:rsidRPr="00830F4C">
        <w:rPr>
          <w:rFonts w:ascii="Garamond" w:hAnsi="Garamond"/>
        </w:rPr>
        <w:t>ë</w:t>
      </w:r>
      <w:r w:rsidRPr="00830F4C">
        <w:rPr>
          <w:rFonts w:ascii="Garamond" w:eastAsiaTheme="minorHAnsi" w:hAnsi="Garamond"/>
        </w:rPr>
        <w:t>t</w:t>
      </w:r>
      <w:r w:rsidR="008C0C0F" w:rsidRPr="00830F4C">
        <w:rPr>
          <w:rFonts w:ascii="Garamond" w:hAnsi="Garamond"/>
        </w:rPr>
        <w:t>ë</w:t>
      </w:r>
      <w:r w:rsidRPr="00830F4C">
        <w:rPr>
          <w:rFonts w:ascii="Garamond" w:eastAsiaTheme="minorHAnsi" w:hAnsi="Garamond"/>
        </w:rPr>
        <w:t xml:space="preserve"> fush</w:t>
      </w:r>
      <w:r w:rsidR="008C0C0F" w:rsidRPr="00830F4C">
        <w:rPr>
          <w:rFonts w:ascii="Garamond" w:hAnsi="Garamond"/>
        </w:rPr>
        <w:t>ë</w:t>
      </w:r>
      <w:r w:rsidR="00DE65FB">
        <w:rPr>
          <w:rFonts w:ascii="Garamond" w:eastAsiaTheme="minorHAnsi" w:hAnsi="Garamond"/>
        </w:rPr>
        <w:t>;</w:t>
      </w:r>
    </w:p>
    <w:p w14:paraId="0A26C6DF" w14:textId="0F6CE720" w:rsidR="00990DEA" w:rsidRPr="00830F4C" w:rsidRDefault="00990DEA" w:rsidP="00990DEA">
      <w:pPr>
        <w:autoSpaceDE w:val="0"/>
        <w:autoSpaceDN w:val="0"/>
        <w:adjustRightInd w:val="0"/>
        <w:ind w:firstLine="284"/>
        <w:jc w:val="both"/>
        <w:rPr>
          <w:rFonts w:ascii="Garamond" w:eastAsiaTheme="minorHAnsi" w:hAnsi="Garamond"/>
        </w:rPr>
      </w:pPr>
      <w:r w:rsidRPr="00830F4C">
        <w:rPr>
          <w:rFonts w:ascii="Garamond" w:eastAsiaTheme="minorHAnsi" w:hAnsi="Garamond"/>
        </w:rPr>
        <w:t>7. Aktiviteti 2.4.3.7</w:t>
      </w:r>
      <w:r w:rsidR="00DE65FB">
        <w:rPr>
          <w:rFonts w:ascii="Garamond" w:eastAsiaTheme="minorHAnsi" w:hAnsi="Garamond"/>
        </w:rPr>
        <w:t>:</w:t>
      </w:r>
      <w:r w:rsidRPr="00830F4C">
        <w:rPr>
          <w:rFonts w:ascii="Garamond" w:eastAsiaTheme="minorHAnsi" w:hAnsi="Garamond"/>
        </w:rPr>
        <w:t xml:space="preserve"> Analiza dhe investigimi i informalitetit n</w:t>
      </w:r>
      <w:r w:rsidR="008C0C0F" w:rsidRPr="00830F4C">
        <w:rPr>
          <w:rFonts w:ascii="Garamond" w:hAnsi="Garamond"/>
        </w:rPr>
        <w:t>ë</w:t>
      </w:r>
      <w:r w:rsidRPr="00830F4C">
        <w:rPr>
          <w:rFonts w:ascii="Garamond" w:eastAsiaTheme="minorHAnsi" w:hAnsi="Garamond"/>
        </w:rPr>
        <w:t xml:space="preserve"> sektorin e fush</w:t>
      </w:r>
      <w:r w:rsidR="008C0C0F" w:rsidRPr="00830F4C">
        <w:rPr>
          <w:rFonts w:ascii="Garamond" w:hAnsi="Garamond"/>
        </w:rPr>
        <w:t>ë</w:t>
      </w:r>
      <w:r w:rsidRPr="00830F4C">
        <w:rPr>
          <w:rFonts w:ascii="Garamond" w:eastAsiaTheme="minorHAnsi" w:hAnsi="Garamond"/>
        </w:rPr>
        <w:t xml:space="preserve">s </w:t>
      </w:r>
      <w:r w:rsidR="008C0C0F" w:rsidRPr="00830F4C">
        <w:rPr>
          <w:rFonts w:ascii="Garamond" w:eastAsiaTheme="minorHAnsi" w:hAnsi="Garamond"/>
        </w:rPr>
        <w:t>s</w:t>
      </w:r>
      <w:r w:rsidR="008C0C0F" w:rsidRPr="00830F4C">
        <w:rPr>
          <w:rFonts w:ascii="Garamond" w:hAnsi="Garamond"/>
        </w:rPr>
        <w:t xml:space="preserve">ë </w:t>
      </w:r>
      <w:r w:rsidRPr="00830F4C">
        <w:rPr>
          <w:rFonts w:ascii="Garamond" w:eastAsiaTheme="minorHAnsi" w:hAnsi="Garamond"/>
        </w:rPr>
        <w:t>operator</w:t>
      </w:r>
      <w:r w:rsidR="008C0C0F" w:rsidRPr="00830F4C">
        <w:rPr>
          <w:rFonts w:ascii="Garamond" w:hAnsi="Garamond"/>
        </w:rPr>
        <w:t>ë</w:t>
      </w:r>
      <w:r w:rsidRPr="00830F4C">
        <w:rPr>
          <w:rFonts w:ascii="Garamond" w:eastAsiaTheme="minorHAnsi" w:hAnsi="Garamond"/>
        </w:rPr>
        <w:t>ve t</w:t>
      </w:r>
      <w:r w:rsidR="008C0C0F" w:rsidRPr="00830F4C">
        <w:rPr>
          <w:rFonts w:ascii="Garamond" w:hAnsi="Garamond"/>
        </w:rPr>
        <w:t>ë</w:t>
      </w:r>
      <w:r w:rsidRPr="00830F4C">
        <w:rPr>
          <w:rFonts w:ascii="Garamond" w:eastAsiaTheme="minorHAnsi" w:hAnsi="Garamond"/>
        </w:rPr>
        <w:t xml:space="preserve"> turizmit</w:t>
      </w:r>
      <w:r w:rsidR="00DE65FB">
        <w:rPr>
          <w:rFonts w:ascii="Garamond" w:eastAsiaTheme="minorHAnsi" w:hAnsi="Garamond"/>
        </w:rPr>
        <w:t>;</w:t>
      </w:r>
    </w:p>
    <w:p w14:paraId="0CA81B2D" w14:textId="15DC4783" w:rsidR="00990DEA" w:rsidRPr="00830F4C" w:rsidRDefault="00990DEA" w:rsidP="00990DEA">
      <w:pPr>
        <w:autoSpaceDE w:val="0"/>
        <w:autoSpaceDN w:val="0"/>
        <w:adjustRightInd w:val="0"/>
        <w:ind w:firstLine="284"/>
        <w:jc w:val="both"/>
        <w:rPr>
          <w:rFonts w:ascii="Garamond" w:eastAsiaTheme="minorHAnsi" w:hAnsi="Garamond"/>
        </w:rPr>
      </w:pPr>
      <w:r w:rsidRPr="00830F4C">
        <w:rPr>
          <w:rFonts w:ascii="Garamond" w:eastAsiaTheme="minorHAnsi" w:hAnsi="Garamond"/>
        </w:rPr>
        <w:t>8. Aktiviteti 2.4.3.8</w:t>
      </w:r>
      <w:r w:rsidR="00DE65FB">
        <w:rPr>
          <w:rFonts w:ascii="Garamond" w:eastAsiaTheme="minorHAnsi" w:hAnsi="Garamond"/>
        </w:rPr>
        <w:t>:</w:t>
      </w:r>
      <w:r w:rsidR="008C0C0F" w:rsidRPr="00830F4C">
        <w:rPr>
          <w:rFonts w:ascii="Garamond" w:eastAsiaTheme="minorHAnsi" w:hAnsi="Garamond"/>
        </w:rPr>
        <w:t xml:space="preserve"> </w:t>
      </w:r>
      <w:r w:rsidRPr="00830F4C">
        <w:rPr>
          <w:rFonts w:ascii="Garamond" w:eastAsiaTheme="minorHAnsi" w:hAnsi="Garamond"/>
        </w:rPr>
        <w:t>Analiza dhe investigimi i informalitetit n</w:t>
      </w:r>
      <w:r w:rsidR="008C0C0F" w:rsidRPr="00830F4C">
        <w:rPr>
          <w:rFonts w:ascii="Garamond" w:hAnsi="Garamond"/>
        </w:rPr>
        <w:t>ë</w:t>
      </w:r>
      <w:r w:rsidRPr="00830F4C">
        <w:rPr>
          <w:rFonts w:ascii="Garamond" w:eastAsiaTheme="minorHAnsi" w:hAnsi="Garamond"/>
        </w:rPr>
        <w:t xml:space="preserve"> sektorin e fush</w:t>
      </w:r>
      <w:r w:rsidR="008C0C0F" w:rsidRPr="00830F4C">
        <w:rPr>
          <w:rFonts w:ascii="Garamond" w:hAnsi="Garamond"/>
        </w:rPr>
        <w:t>ë</w:t>
      </w:r>
      <w:r w:rsidRPr="00830F4C">
        <w:rPr>
          <w:rFonts w:ascii="Garamond" w:eastAsiaTheme="minorHAnsi" w:hAnsi="Garamond"/>
        </w:rPr>
        <w:t xml:space="preserve">s </w:t>
      </w:r>
      <w:r w:rsidR="008C0C0F" w:rsidRPr="00830F4C">
        <w:rPr>
          <w:rFonts w:ascii="Garamond" w:eastAsiaTheme="minorHAnsi" w:hAnsi="Garamond"/>
        </w:rPr>
        <w:t>s</w:t>
      </w:r>
      <w:r w:rsidR="008C0C0F" w:rsidRPr="00830F4C">
        <w:rPr>
          <w:rFonts w:ascii="Garamond" w:hAnsi="Garamond"/>
        </w:rPr>
        <w:t xml:space="preserve">ë </w:t>
      </w:r>
      <w:r w:rsidRPr="00830F4C">
        <w:rPr>
          <w:rFonts w:ascii="Garamond" w:eastAsiaTheme="minorHAnsi" w:hAnsi="Garamond"/>
        </w:rPr>
        <w:t xml:space="preserve">shitjeve dhe blerjeve </w:t>
      </w:r>
      <w:r w:rsidRPr="00830F4C">
        <w:rPr>
          <w:rFonts w:ascii="Garamond" w:eastAsiaTheme="minorHAnsi" w:hAnsi="Garamond"/>
          <w:i/>
        </w:rPr>
        <w:t>online</w:t>
      </w:r>
      <w:r w:rsidR="00DE65FB">
        <w:rPr>
          <w:rFonts w:ascii="Garamond" w:eastAsiaTheme="minorHAnsi" w:hAnsi="Garamond"/>
        </w:rPr>
        <w:t>;</w:t>
      </w:r>
    </w:p>
    <w:p w14:paraId="28274FBC" w14:textId="6BFC2C91" w:rsidR="00990DEA" w:rsidRPr="00830F4C" w:rsidRDefault="00990DEA" w:rsidP="00990DEA">
      <w:pPr>
        <w:autoSpaceDE w:val="0"/>
        <w:autoSpaceDN w:val="0"/>
        <w:adjustRightInd w:val="0"/>
        <w:ind w:firstLine="284"/>
        <w:jc w:val="both"/>
        <w:rPr>
          <w:rFonts w:ascii="Garamond" w:eastAsiaTheme="minorHAnsi" w:hAnsi="Garamond"/>
        </w:rPr>
      </w:pPr>
      <w:r w:rsidRPr="00830F4C">
        <w:rPr>
          <w:rFonts w:ascii="Garamond" w:eastAsiaTheme="minorHAnsi" w:hAnsi="Garamond"/>
        </w:rPr>
        <w:t>9. Aktiviteti 2.4.3.9</w:t>
      </w:r>
      <w:r w:rsidR="00DE65FB">
        <w:rPr>
          <w:rFonts w:ascii="Garamond" w:eastAsiaTheme="minorHAnsi" w:hAnsi="Garamond"/>
        </w:rPr>
        <w:t>:</w:t>
      </w:r>
      <w:r w:rsidR="008C0C0F" w:rsidRPr="00830F4C">
        <w:rPr>
          <w:rFonts w:ascii="Garamond" w:eastAsiaTheme="minorHAnsi" w:hAnsi="Garamond"/>
        </w:rPr>
        <w:t xml:space="preserve"> </w:t>
      </w:r>
      <w:r w:rsidRPr="00830F4C">
        <w:rPr>
          <w:rFonts w:ascii="Garamond" w:eastAsiaTheme="minorHAnsi" w:hAnsi="Garamond"/>
        </w:rPr>
        <w:t xml:space="preserve">Analiza dhe investigimi i informalitetit në sektorin e fushës së subjekteve që ofrojnë shërbime konsulence, shërbime IT, shërbime </w:t>
      </w:r>
      <w:r w:rsidR="00DE65FB">
        <w:rPr>
          <w:rFonts w:ascii="Garamond" w:eastAsiaTheme="minorHAnsi" w:hAnsi="Garamond"/>
        </w:rPr>
        <w:t>i</w:t>
      </w:r>
      <w:r w:rsidR="008C0C0F" w:rsidRPr="00830F4C">
        <w:rPr>
          <w:rFonts w:ascii="Garamond" w:eastAsiaTheme="minorHAnsi" w:hAnsi="Garamond"/>
        </w:rPr>
        <w:t>nxhinierie</w:t>
      </w:r>
      <w:r w:rsidRPr="00830F4C">
        <w:rPr>
          <w:rFonts w:ascii="Garamond" w:eastAsiaTheme="minorHAnsi" w:hAnsi="Garamond"/>
        </w:rPr>
        <w:t xml:space="preserve"> dhe të tjera të </w:t>
      </w:r>
      <w:r w:rsidR="008C0C0F" w:rsidRPr="00830F4C">
        <w:rPr>
          <w:rFonts w:ascii="Garamond" w:eastAsiaTheme="minorHAnsi" w:hAnsi="Garamond"/>
        </w:rPr>
        <w:t>teknologjisë</w:t>
      </w:r>
      <w:r w:rsidRPr="00830F4C">
        <w:rPr>
          <w:rFonts w:ascii="Garamond" w:eastAsiaTheme="minorHAnsi" w:hAnsi="Garamond"/>
        </w:rPr>
        <w:t xml:space="preserve"> së informacionit</w:t>
      </w:r>
      <w:r w:rsidR="00DE65FB">
        <w:rPr>
          <w:rFonts w:ascii="Garamond" w:eastAsiaTheme="minorHAnsi" w:hAnsi="Garamond"/>
        </w:rPr>
        <w:t>;</w:t>
      </w:r>
    </w:p>
    <w:p w14:paraId="072AB698" w14:textId="32CBA748" w:rsidR="00990DEA" w:rsidRPr="00830F4C" w:rsidRDefault="00990DEA" w:rsidP="00990DEA">
      <w:pPr>
        <w:autoSpaceDE w:val="0"/>
        <w:autoSpaceDN w:val="0"/>
        <w:adjustRightInd w:val="0"/>
        <w:ind w:firstLine="284"/>
        <w:jc w:val="both"/>
        <w:rPr>
          <w:rFonts w:ascii="Garamond" w:eastAsiaTheme="minorHAnsi" w:hAnsi="Garamond"/>
        </w:rPr>
      </w:pPr>
      <w:r w:rsidRPr="00830F4C">
        <w:rPr>
          <w:rFonts w:ascii="Garamond" w:eastAsiaTheme="minorHAnsi" w:hAnsi="Garamond"/>
        </w:rPr>
        <w:t>10. Aktiviteti 2.4.3.10</w:t>
      </w:r>
      <w:r w:rsidR="00DE65FB">
        <w:rPr>
          <w:rFonts w:ascii="Garamond" w:eastAsiaTheme="minorHAnsi" w:hAnsi="Garamond"/>
        </w:rPr>
        <w:t>:</w:t>
      </w:r>
      <w:r w:rsidRPr="00830F4C">
        <w:rPr>
          <w:rFonts w:ascii="Garamond" w:eastAsiaTheme="minorHAnsi" w:hAnsi="Garamond"/>
        </w:rPr>
        <w:t xml:space="preserve"> Analiza dhe investigimi i informalitetit në sektorin e fushës farmaceutik</w:t>
      </w:r>
      <w:r w:rsidR="00DE65FB">
        <w:rPr>
          <w:rFonts w:ascii="Garamond" w:eastAsiaTheme="minorHAnsi" w:hAnsi="Garamond"/>
        </w:rPr>
        <w:t>ë</w:t>
      </w:r>
      <w:r w:rsidRPr="00830F4C">
        <w:rPr>
          <w:rFonts w:ascii="Garamond" w:eastAsiaTheme="minorHAnsi" w:hAnsi="Garamond"/>
        </w:rPr>
        <w:t>s dhe kozmetikes.</w:t>
      </w:r>
    </w:p>
    <w:p w14:paraId="0CAB89CA" w14:textId="133FC5DF" w:rsidR="00990DEA" w:rsidRPr="00830F4C" w:rsidRDefault="00990DEA" w:rsidP="00990DEA">
      <w:pPr>
        <w:autoSpaceDE w:val="0"/>
        <w:autoSpaceDN w:val="0"/>
        <w:adjustRightInd w:val="0"/>
        <w:ind w:firstLine="284"/>
        <w:jc w:val="both"/>
        <w:rPr>
          <w:rFonts w:ascii="Garamond" w:eastAsiaTheme="minorHAnsi" w:hAnsi="Garamond"/>
        </w:rPr>
      </w:pPr>
      <w:r w:rsidRPr="00830F4C">
        <w:rPr>
          <w:rFonts w:ascii="Garamond" w:eastAsiaTheme="minorHAnsi" w:hAnsi="Garamond"/>
        </w:rPr>
        <w:t>11. Aktiviteti 2.4.3.11</w:t>
      </w:r>
      <w:r w:rsidR="00DE65FB">
        <w:rPr>
          <w:rFonts w:ascii="Garamond" w:eastAsiaTheme="minorHAnsi" w:hAnsi="Garamond"/>
        </w:rPr>
        <w:t>:</w:t>
      </w:r>
      <w:r w:rsidR="008C0C0F" w:rsidRPr="00830F4C">
        <w:rPr>
          <w:rFonts w:ascii="Garamond" w:eastAsiaTheme="minorHAnsi" w:hAnsi="Garamond"/>
        </w:rPr>
        <w:t xml:space="preserve"> </w:t>
      </w:r>
      <w:r w:rsidRPr="00830F4C">
        <w:rPr>
          <w:rFonts w:ascii="Garamond" w:eastAsiaTheme="minorHAnsi" w:hAnsi="Garamond"/>
        </w:rPr>
        <w:t>Analiza dhe investigimi i informacioneve t</w:t>
      </w:r>
      <w:r w:rsidR="008C0C0F" w:rsidRPr="00830F4C">
        <w:rPr>
          <w:rFonts w:ascii="Garamond" w:hAnsi="Garamond"/>
        </w:rPr>
        <w:t>ë</w:t>
      </w:r>
      <w:r w:rsidRPr="00830F4C">
        <w:rPr>
          <w:rFonts w:ascii="Garamond" w:eastAsiaTheme="minorHAnsi" w:hAnsi="Garamond"/>
        </w:rPr>
        <w:t xml:space="preserve"> siguruara nga pal</w:t>
      </w:r>
      <w:r w:rsidR="008C0C0F" w:rsidRPr="00830F4C">
        <w:rPr>
          <w:rFonts w:ascii="Garamond" w:hAnsi="Garamond"/>
        </w:rPr>
        <w:t>ë</w:t>
      </w:r>
      <w:r w:rsidRPr="00830F4C">
        <w:rPr>
          <w:rFonts w:ascii="Garamond" w:eastAsiaTheme="minorHAnsi" w:hAnsi="Garamond"/>
        </w:rPr>
        <w:t xml:space="preserve"> t</w:t>
      </w:r>
      <w:r w:rsidR="008C0C0F" w:rsidRPr="00830F4C">
        <w:rPr>
          <w:rFonts w:ascii="Garamond" w:hAnsi="Garamond"/>
        </w:rPr>
        <w:t>ë</w:t>
      </w:r>
      <w:r w:rsidRPr="00830F4C">
        <w:rPr>
          <w:rFonts w:ascii="Garamond" w:eastAsiaTheme="minorHAnsi" w:hAnsi="Garamond"/>
        </w:rPr>
        <w:t xml:space="preserve"> treta si, qytetare, media, institucione t</w:t>
      </w:r>
      <w:r w:rsidR="008C0C0F" w:rsidRPr="00830F4C">
        <w:rPr>
          <w:rFonts w:ascii="Garamond" w:hAnsi="Garamond"/>
        </w:rPr>
        <w:t>ë</w:t>
      </w:r>
      <w:r w:rsidRPr="00830F4C">
        <w:rPr>
          <w:rFonts w:ascii="Garamond" w:eastAsiaTheme="minorHAnsi" w:hAnsi="Garamond"/>
        </w:rPr>
        <w:t xml:space="preserve"> tjera shtet</w:t>
      </w:r>
      <w:r w:rsidR="008C0C0F" w:rsidRPr="00830F4C">
        <w:rPr>
          <w:rFonts w:ascii="Garamond" w:hAnsi="Garamond"/>
        </w:rPr>
        <w:t>ë</w:t>
      </w:r>
      <w:r w:rsidRPr="00830F4C">
        <w:rPr>
          <w:rFonts w:ascii="Garamond" w:eastAsiaTheme="minorHAnsi" w:hAnsi="Garamond"/>
        </w:rPr>
        <w:t>rore dhe private</w:t>
      </w:r>
      <w:r w:rsidR="00DE65FB">
        <w:rPr>
          <w:rFonts w:ascii="Garamond" w:eastAsiaTheme="minorHAnsi" w:hAnsi="Garamond"/>
        </w:rPr>
        <w:t>;</w:t>
      </w:r>
    </w:p>
    <w:p w14:paraId="2BD1B013" w14:textId="0DEAD454" w:rsidR="00990DEA" w:rsidRPr="00830F4C" w:rsidRDefault="00990DEA" w:rsidP="00990DEA">
      <w:pPr>
        <w:autoSpaceDE w:val="0"/>
        <w:autoSpaceDN w:val="0"/>
        <w:adjustRightInd w:val="0"/>
        <w:ind w:firstLine="284"/>
        <w:jc w:val="both"/>
        <w:rPr>
          <w:rFonts w:ascii="Garamond" w:eastAsiaTheme="minorHAnsi" w:hAnsi="Garamond"/>
        </w:rPr>
      </w:pPr>
      <w:r w:rsidRPr="00830F4C">
        <w:rPr>
          <w:rFonts w:ascii="Garamond" w:eastAsiaTheme="minorHAnsi" w:hAnsi="Garamond"/>
        </w:rPr>
        <w:t>12. Aktiviteti 2.4.3.12</w:t>
      </w:r>
      <w:r w:rsidR="00DE65FB">
        <w:rPr>
          <w:rFonts w:ascii="Garamond" w:eastAsiaTheme="minorHAnsi" w:hAnsi="Garamond"/>
        </w:rPr>
        <w:t xml:space="preserve">: </w:t>
      </w:r>
      <w:r w:rsidRPr="00830F4C">
        <w:rPr>
          <w:rFonts w:ascii="Garamond" w:eastAsiaTheme="minorHAnsi" w:hAnsi="Garamond"/>
        </w:rPr>
        <w:t>Analiza dhe investigimi i informacioneve t</w:t>
      </w:r>
      <w:r w:rsidR="008C0C0F" w:rsidRPr="00830F4C">
        <w:rPr>
          <w:rFonts w:ascii="Garamond" w:hAnsi="Garamond"/>
        </w:rPr>
        <w:t>ë</w:t>
      </w:r>
      <w:r w:rsidRPr="00830F4C">
        <w:rPr>
          <w:rFonts w:ascii="Garamond" w:eastAsiaTheme="minorHAnsi" w:hAnsi="Garamond"/>
        </w:rPr>
        <w:t xml:space="preserve"> siguruara nga institucione t</w:t>
      </w:r>
      <w:r w:rsidR="008C0C0F" w:rsidRPr="00830F4C">
        <w:rPr>
          <w:rFonts w:ascii="Garamond" w:hAnsi="Garamond"/>
        </w:rPr>
        <w:t>ë</w:t>
      </w:r>
      <w:r w:rsidRPr="00830F4C">
        <w:rPr>
          <w:rFonts w:ascii="Garamond" w:eastAsiaTheme="minorHAnsi" w:hAnsi="Garamond"/>
        </w:rPr>
        <w:t xml:space="preserve"> tjera me trajtim t</w:t>
      </w:r>
      <w:r w:rsidR="008C0C0F" w:rsidRPr="00830F4C">
        <w:rPr>
          <w:rFonts w:ascii="Garamond" w:hAnsi="Garamond"/>
        </w:rPr>
        <w:t>ë</w:t>
      </w:r>
      <w:r w:rsidRPr="00830F4C">
        <w:rPr>
          <w:rFonts w:ascii="Garamond" w:eastAsiaTheme="minorHAnsi" w:hAnsi="Garamond"/>
        </w:rPr>
        <w:t xml:space="preserve"> rasteve q</w:t>
      </w:r>
      <w:r w:rsidR="008C0C0F" w:rsidRPr="00830F4C">
        <w:rPr>
          <w:rFonts w:ascii="Garamond" w:hAnsi="Garamond"/>
        </w:rPr>
        <w:t>ë</w:t>
      </w:r>
      <w:r w:rsidRPr="00830F4C">
        <w:rPr>
          <w:rFonts w:ascii="Garamond" w:eastAsiaTheme="minorHAnsi" w:hAnsi="Garamond"/>
        </w:rPr>
        <w:t xml:space="preserve"> kan</w:t>
      </w:r>
      <w:r w:rsidR="008C0C0F" w:rsidRPr="00830F4C">
        <w:rPr>
          <w:rFonts w:ascii="Garamond" w:hAnsi="Garamond"/>
        </w:rPr>
        <w:t>ë</w:t>
      </w:r>
      <w:r w:rsidRPr="00830F4C">
        <w:rPr>
          <w:rFonts w:ascii="Garamond" w:eastAsiaTheme="minorHAnsi" w:hAnsi="Garamond"/>
        </w:rPr>
        <w:t xml:space="preserve"> t</w:t>
      </w:r>
      <w:r w:rsidR="008C0C0F" w:rsidRPr="00830F4C">
        <w:rPr>
          <w:rFonts w:ascii="Garamond" w:hAnsi="Garamond"/>
        </w:rPr>
        <w:t>ë</w:t>
      </w:r>
      <w:r w:rsidRPr="00830F4C">
        <w:rPr>
          <w:rFonts w:ascii="Garamond" w:eastAsiaTheme="minorHAnsi" w:hAnsi="Garamond"/>
        </w:rPr>
        <w:t xml:space="preserve"> b</w:t>
      </w:r>
      <w:r w:rsidR="008C0C0F" w:rsidRPr="00830F4C">
        <w:rPr>
          <w:rFonts w:ascii="Garamond" w:hAnsi="Garamond"/>
        </w:rPr>
        <w:t>ë</w:t>
      </w:r>
      <w:r w:rsidRPr="00830F4C">
        <w:rPr>
          <w:rFonts w:ascii="Garamond" w:eastAsiaTheme="minorHAnsi" w:hAnsi="Garamond"/>
        </w:rPr>
        <w:t>jn</w:t>
      </w:r>
      <w:r w:rsidR="008C0C0F" w:rsidRPr="00830F4C">
        <w:rPr>
          <w:rFonts w:ascii="Garamond" w:hAnsi="Garamond"/>
        </w:rPr>
        <w:t>ë</w:t>
      </w:r>
      <w:r w:rsidRPr="00830F4C">
        <w:rPr>
          <w:rFonts w:ascii="Garamond" w:eastAsiaTheme="minorHAnsi" w:hAnsi="Garamond"/>
        </w:rPr>
        <w:t xml:space="preserve"> me pastrimi</w:t>
      </w:r>
      <w:r w:rsidR="008C0C0F" w:rsidRPr="00830F4C">
        <w:rPr>
          <w:rFonts w:ascii="Garamond" w:eastAsiaTheme="minorHAnsi" w:hAnsi="Garamond"/>
        </w:rPr>
        <w:t>n</w:t>
      </w:r>
      <w:r w:rsidRPr="00830F4C">
        <w:rPr>
          <w:rFonts w:ascii="Garamond" w:eastAsiaTheme="minorHAnsi" w:hAnsi="Garamond"/>
        </w:rPr>
        <w:t xml:space="preserve"> </w:t>
      </w:r>
      <w:r w:rsidR="008C0C0F" w:rsidRPr="00830F4C">
        <w:rPr>
          <w:rFonts w:ascii="Garamond" w:eastAsiaTheme="minorHAnsi" w:hAnsi="Garamond"/>
        </w:rPr>
        <w:t>e</w:t>
      </w:r>
      <w:r w:rsidRPr="00830F4C">
        <w:rPr>
          <w:rFonts w:ascii="Garamond" w:eastAsiaTheme="minorHAnsi" w:hAnsi="Garamond"/>
        </w:rPr>
        <w:t xml:space="preserve"> parave,</w:t>
      </w:r>
      <w:r w:rsidR="00236281" w:rsidRPr="00830F4C">
        <w:rPr>
          <w:rFonts w:ascii="Garamond" w:eastAsiaTheme="minorHAnsi" w:hAnsi="Garamond"/>
        </w:rPr>
        <w:t xml:space="preserve"> </w:t>
      </w:r>
      <w:r w:rsidRPr="00830F4C">
        <w:rPr>
          <w:rFonts w:ascii="Garamond" w:eastAsiaTheme="minorHAnsi" w:hAnsi="Garamond"/>
        </w:rPr>
        <w:t>transaksionet e dyshimta</w:t>
      </w:r>
      <w:r w:rsidR="00D22EA5" w:rsidRPr="00830F4C">
        <w:rPr>
          <w:rFonts w:ascii="Garamond" w:eastAsiaTheme="minorHAnsi" w:hAnsi="Garamond"/>
        </w:rPr>
        <w:t xml:space="preserve"> </w:t>
      </w:r>
      <w:r w:rsidRPr="00830F4C">
        <w:rPr>
          <w:rFonts w:ascii="Garamond" w:eastAsiaTheme="minorHAnsi" w:hAnsi="Garamond"/>
        </w:rPr>
        <w:t>etj.</w:t>
      </w:r>
    </w:p>
    <w:p w14:paraId="265C8A64" w14:textId="6078BC06" w:rsidR="00990DEA" w:rsidRPr="00830F4C" w:rsidRDefault="00990DEA" w:rsidP="00990DEA">
      <w:pPr>
        <w:pStyle w:val="Heading2"/>
        <w:spacing w:before="0"/>
        <w:ind w:firstLine="284"/>
        <w:jc w:val="both"/>
        <w:rPr>
          <w:rFonts w:ascii="Garamond" w:hAnsi="Garamond" w:cs="Times New Roman"/>
          <w:b/>
          <w:color w:val="auto"/>
          <w:sz w:val="24"/>
          <w:szCs w:val="24"/>
        </w:rPr>
      </w:pPr>
      <w:r w:rsidRPr="00830F4C">
        <w:rPr>
          <w:rFonts w:ascii="Garamond" w:hAnsi="Garamond" w:cs="Times New Roman"/>
          <w:b/>
          <w:color w:val="auto"/>
          <w:sz w:val="24"/>
          <w:szCs w:val="24"/>
        </w:rPr>
        <w:t>V.5 Komponenti 2.5 Reduktimi i punës së padeklaruar dhe nëndeklarimit të pagës</w:t>
      </w:r>
      <w:bookmarkEnd w:id="53"/>
      <w:bookmarkEnd w:id="54"/>
      <w:r w:rsidRPr="00830F4C">
        <w:rPr>
          <w:rFonts w:ascii="Garamond" w:hAnsi="Garamond" w:cs="Times New Roman"/>
          <w:b/>
          <w:color w:val="auto"/>
          <w:sz w:val="24"/>
          <w:szCs w:val="24"/>
        </w:rPr>
        <w:t xml:space="preserve"> reale</w:t>
      </w:r>
      <w:bookmarkEnd w:id="55"/>
      <w:bookmarkEnd w:id="56"/>
    </w:p>
    <w:p w14:paraId="4735EEBA" w14:textId="77777777" w:rsidR="00990DEA" w:rsidRPr="00830F4C" w:rsidRDefault="00990DEA" w:rsidP="00990DEA">
      <w:pPr>
        <w:ind w:firstLine="284"/>
        <w:jc w:val="both"/>
        <w:rPr>
          <w:rFonts w:ascii="Garamond" w:hAnsi="Garamond"/>
          <w:b/>
        </w:rPr>
      </w:pPr>
      <w:r w:rsidRPr="00830F4C">
        <w:rPr>
          <w:rFonts w:ascii="Garamond" w:hAnsi="Garamond"/>
          <w:b/>
        </w:rPr>
        <w:t>Objektivi</w:t>
      </w:r>
    </w:p>
    <w:p w14:paraId="7B142B96" w14:textId="6B3465A6" w:rsidR="00990DEA" w:rsidRPr="00830F4C" w:rsidRDefault="00990DEA" w:rsidP="00990DEA">
      <w:pPr>
        <w:ind w:firstLine="284"/>
        <w:jc w:val="both"/>
        <w:rPr>
          <w:rFonts w:ascii="Garamond" w:eastAsiaTheme="minorHAnsi" w:hAnsi="Garamond"/>
        </w:rPr>
      </w:pPr>
      <w:r w:rsidRPr="00830F4C">
        <w:rPr>
          <w:rFonts w:ascii="Garamond" w:eastAsiaTheme="minorHAnsi" w:hAnsi="Garamond"/>
        </w:rPr>
        <w:t>Synimi</w:t>
      </w:r>
      <w:r w:rsidRPr="00830F4C">
        <w:rPr>
          <w:rFonts w:ascii="Garamond" w:eastAsiaTheme="minorHAnsi" w:hAnsi="Garamond"/>
          <w:b/>
        </w:rPr>
        <w:t xml:space="preserve"> </w:t>
      </w:r>
      <w:r w:rsidRPr="00830F4C">
        <w:rPr>
          <w:rFonts w:ascii="Garamond" w:eastAsiaTheme="minorHAnsi" w:hAnsi="Garamond"/>
        </w:rPr>
        <w:t>në lidhje me komponentin 2.2 konsiston në rritjen në skemën e kontributeve me 5.5% të punonjësve (pozicioneve të punës) dhe rritjen e deklarimit të pagës reale të 16% të punësuarve. Në saj të masave që do të ndërmerren nën këtë komponent, synohet që të rriten të ardhurat nga tatimi mbi pagën dhe kontributet, me 0.18% të PPB</w:t>
      </w:r>
      <w:r w:rsidR="00DE65FB">
        <w:rPr>
          <w:rFonts w:ascii="Garamond" w:eastAsia="MS Mincho" w:hAnsi="Garamond"/>
        </w:rPr>
        <w:t>-</w:t>
      </w:r>
      <w:r w:rsidR="00DE65FB" w:rsidRPr="00830F4C">
        <w:rPr>
          <w:rFonts w:ascii="Garamond" w:eastAsia="MS Mincho" w:hAnsi="Garamond"/>
        </w:rPr>
        <w:t>së</w:t>
      </w:r>
      <w:r w:rsidRPr="00830F4C">
        <w:rPr>
          <w:rFonts w:ascii="Garamond" w:eastAsiaTheme="minorHAnsi" w:hAnsi="Garamond"/>
        </w:rPr>
        <w:t xml:space="preserve"> ose 4.9 </w:t>
      </w:r>
      <w:r w:rsidR="00D22EA5" w:rsidRPr="00830F4C">
        <w:rPr>
          <w:rFonts w:ascii="Garamond" w:eastAsiaTheme="minorHAnsi" w:hAnsi="Garamond"/>
        </w:rPr>
        <w:t xml:space="preserve">miliardë </w:t>
      </w:r>
      <w:r w:rsidRPr="00830F4C">
        <w:rPr>
          <w:rFonts w:ascii="Garamond" w:eastAsiaTheme="minorHAnsi" w:hAnsi="Garamond"/>
        </w:rPr>
        <w:t>lekë, për një periudhë 4</w:t>
      </w:r>
      <w:r w:rsidR="00DE65FB">
        <w:rPr>
          <w:rFonts w:ascii="Garamond" w:eastAsiaTheme="minorHAnsi" w:hAnsi="Garamond"/>
        </w:rPr>
        <w:t>-</w:t>
      </w:r>
      <w:r w:rsidRPr="00830F4C">
        <w:rPr>
          <w:rFonts w:ascii="Garamond" w:eastAsiaTheme="minorHAnsi" w:hAnsi="Garamond"/>
        </w:rPr>
        <w:t>vjecare.</w:t>
      </w:r>
    </w:p>
    <w:p w14:paraId="4FD90769" w14:textId="77777777" w:rsidR="00990DEA" w:rsidRPr="00830F4C" w:rsidRDefault="00990DEA" w:rsidP="00990DEA">
      <w:pPr>
        <w:ind w:firstLine="284"/>
        <w:jc w:val="both"/>
        <w:rPr>
          <w:rFonts w:ascii="Garamond" w:hAnsi="Garamond"/>
          <w:b/>
        </w:rPr>
      </w:pPr>
      <w:r w:rsidRPr="00830F4C">
        <w:rPr>
          <w:rFonts w:ascii="Garamond" w:hAnsi="Garamond"/>
          <w:b/>
        </w:rPr>
        <w:t>Konteksti</w:t>
      </w:r>
    </w:p>
    <w:p w14:paraId="53FE32F7" w14:textId="1184EDC2" w:rsidR="00990DEA" w:rsidRPr="00830F4C" w:rsidRDefault="00990DEA" w:rsidP="00990DEA">
      <w:pPr>
        <w:ind w:firstLine="284"/>
        <w:jc w:val="both"/>
        <w:rPr>
          <w:rFonts w:ascii="Garamond" w:eastAsiaTheme="minorHAnsi" w:hAnsi="Garamond"/>
        </w:rPr>
      </w:pPr>
      <w:r w:rsidRPr="00830F4C">
        <w:rPr>
          <w:rFonts w:ascii="Garamond" w:eastAsiaTheme="minorHAnsi" w:hAnsi="Garamond"/>
        </w:rPr>
        <w:t xml:space="preserve">Punësimi informal i punonjësve përfshin 4 komponentë: mosregjistrim i punonjësve, mosdeklarim </w:t>
      </w:r>
      <w:r w:rsidR="00DE65FB">
        <w:rPr>
          <w:rFonts w:ascii="Garamond" w:eastAsiaTheme="minorHAnsi" w:hAnsi="Garamond"/>
        </w:rPr>
        <w:t>i</w:t>
      </w:r>
      <w:r w:rsidR="00AF1255">
        <w:rPr>
          <w:rFonts w:ascii="Garamond" w:eastAsiaTheme="minorHAnsi" w:hAnsi="Garamond"/>
        </w:rPr>
        <w:t xml:space="preserve"> </w:t>
      </w:r>
      <w:r w:rsidRPr="00830F4C">
        <w:rPr>
          <w:rFonts w:ascii="Garamond" w:eastAsiaTheme="minorHAnsi" w:hAnsi="Garamond"/>
        </w:rPr>
        <w:t>saktë i pagës, mosdeklarim i saktë i kohës së punës dhe mosdeklarim i saktë i kategorisë së punësimit ose profesionit.</w:t>
      </w:r>
      <w:r w:rsidR="00D22EA5" w:rsidRPr="00830F4C">
        <w:rPr>
          <w:rFonts w:ascii="Garamond" w:eastAsiaTheme="minorHAnsi" w:hAnsi="Garamond"/>
        </w:rPr>
        <w:t xml:space="preserve"> </w:t>
      </w:r>
      <w:r w:rsidRPr="00830F4C">
        <w:rPr>
          <w:rFonts w:ascii="Garamond" w:eastAsiaTheme="minorHAnsi" w:hAnsi="Garamond"/>
        </w:rPr>
        <w:t>Në saj të zhvillimit ekonomik të vendit dhe punës së administratës tatimore, gjatë periudhës 2019</w:t>
      </w:r>
      <w:r w:rsidR="00DE65FB">
        <w:rPr>
          <w:rFonts w:ascii="Garamond" w:eastAsiaTheme="minorHAnsi" w:hAnsi="Garamond"/>
        </w:rPr>
        <w:t>–</w:t>
      </w:r>
      <w:r w:rsidRPr="00830F4C">
        <w:rPr>
          <w:rFonts w:ascii="Garamond" w:eastAsiaTheme="minorHAnsi" w:hAnsi="Garamond"/>
        </w:rPr>
        <w:t xml:space="preserve">2023, numri i pozicioneve të punës është rritur me 33,343 ose 5%, ndërsa të ardhurat nga kontributet janë rritur me 45 </w:t>
      </w:r>
      <w:r w:rsidR="00D22EA5" w:rsidRPr="00830F4C">
        <w:rPr>
          <w:rFonts w:ascii="Garamond" w:eastAsiaTheme="minorHAnsi" w:hAnsi="Garamond"/>
        </w:rPr>
        <w:t xml:space="preserve">miliardë </w:t>
      </w:r>
      <w:r w:rsidRPr="00830F4C">
        <w:rPr>
          <w:rFonts w:ascii="Garamond" w:eastAsiaTheme="minorHAnsi" w:hAnsi="Garamond"/>
        </w:rPr>
        <w:t>lek</w:t>
      </w:r>
      <w:r w:rsidR="00DE65FB">
        <w:rPr>
          <w:rFonts w:ascii="Garamond" w:eastAsiaTheme="minorHAnsi" w:hAnsi="Garamond"/>
        </w:rPr>
        <w:t>ë</w:t>
      </w:r>
      <w:r w:rsidRPr="00830F4C">
        <w:rPr>
          <w:rFonts w:ascii="Garamond" w:eastAsiaTheme="minorHAnsi" w:hAnsi="Garamond"/>
        </w:rPr>
        <w:t xml:space="preserve"> ose 47%. Ndikim në normën e lartë të rritjes së kontributeve kanë ndikuar reformat e pagave në administratën publike pra rritja e pagave ndjekur edhe nga sektori privat. Të dhënat e deri tanishme tregojnë për rritje të konsiderueshme ndër vite të numrit të pozicioneve të punës paraqitet si më poshtë: </w:t>
      </w:r>
    </w:p>
    <w:p w14:paraId="59F6162E" w14:textId="77777777" w:rsidR="00990DEA" w:rsidRDefault="00990DEA" w:rsidP="00990DEA">
      <w:pPr>
        <w:pStyle w:val="Caption"/>
        <w:keepNext/>
        <w:spacing w:after="0"/>
        <w:ind w:firstLine="284"/>
        <w:jc w:val="both"/>
        <w:rPr>
          <w:rFonts w:ascii="Garamond" w:hAnsi="Garamond"/>
          <w:color w:val="auto"/>
        </w:rPr>
      </w:pPr>
    </w:p>
    <w:p w14:paraId="1FFE5D73" w14:textId="77777777" w:rsidR="004121A3" w:rsidRPr="004121A3" w:rsidRDefault="004121A3" w:rsidP="004121A3"/>
    <w:p w14:paraId="50BDC47E" w14:textId="40D96958" w:rsidR="00A53A79" w:rsidRPr="00830F4C" w:rsidRDefault="00A53A79" w:rsidP="00A53A79">
      <w:pPr>
        <w:pStyle w:val="Caption"/>
        <w:keepNext/>
        <w:spacing w:after="0"/>
        <w:jc w:val="both"/>
        <w:rPr>
          <w:rFonts w:ascii="Garamond" w:hAnsi="Garamond"/>
          <w:color w:val="auto"/>
          <w:sz w:val="20"/>
          <w:szCs w:val="20"/>
        </w:rPr>
      </w:pPr>
      <w:bookmarkStart w:id="57" w:name="_Toc185235140"/>
      <w:r w:rsidRPr="00830F4C">
        <w:rPr>
          <w:rFonts w:ascii="Garamond" w:hAnsi="Garamond"/>
          <w:color w:val="auto"/>
          <w:sz w:val="20"/>
          <w:szCs w:val="20"/>
        </w:rPr>
        <w:t xml:space="preserve">Tabela </w:t>
      </w:r>
      <w:r w:rsidR="00974EA6">
        <w:rPr>
          <w:rFonts w:ascii="Garamond" w:hAnsi="Garamond"/>
          <w:color w:val="auto"/>
          <w:sz w:val="20"/>
          <w:szCs w:val="20"/>
        </w:rPr>
        <w:t>16</w:t>
      </w:r>
      <w:r w:rsidRPr="00830F4C">
        <w:rPr>
          <w:rFonts w:ascii="Garamond" w:hAnsi="Garamond"/>
          <w:color w:val="auto"/>
          <w:sz w:val="20"/>
          <w:szCs w:val="20"/>
        </w:rPr>
        <w:t>:</w:t>
      </w:r>
      <w:r w:rsidRPr="00830F4C">
        <w:rPr>
          <w:rFonts w:ascii="Garamond" w:hAnsi="Garamond" w:cs="Times New Roman"/>
          <w:color w:val="auto"/>
          <w:sz w:val="20"/>
          <w:szCs w:val="20"/>
        </w:rPr>
        <w:t xml:space="preserve"> Numri i pozicioneve të punës, 2019-2023</w:t>
      </w:r>
      <w:bookmarkEnd w:id="57"/>
    </w:p>
    <w:tbl>
      <w:tblPr>
        <w:tblStyle w:val="GridTable1Light-Accent21"/>
        <w:tblW w:w="9016" w:type="dxa"/>
        <w:tblLayout w:type="fixed"/>
        <w:tblLook w:val="04A0" w:firstRow="1" w:lastRow="0" w:firstColumn="1" w:lastColumn="0" w:noHBand="0" w:noVBand="1"/>
      </w:tblPr>
      <w:tblGrid>
        <w:gridCol w:w="1762"/>
        <w:gridCol w:w="1588"/>
        <w:gridCol w:w="1588"/>
        <w:gridCol w:w="1087"/>
        <w:gridCol w:w="1403"/>
        <w:gridCol w:w="1588"/>
      </w:tblGrid>
      <w:tr w:rsidR="00A53A79" w:rsidRPr="00830F4C" w14:paraId="76ADC1D1" w14:textId="77777777" w:rsidTr="00A53A7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62" w:type="dxa"/>
            <w:noWrap/>
            <w:hideMark/>
          </w:tcPr>
          <w:p w14:paraId="1B27F130" w14:textId="77777777" w:rsidR="00A53A79" w:rsidRPr="00830F4C" w:rsidRDefault="00A53A79" w:rsidP="00A53A79">
            <w:pPr>
              <w:jc w:val="center"/>
              <w:rPr>
                <w:rFonts w:ascii="Garamond" w:hAnsi="Garamond"/>
                <w:sz w:val="20"/>
              </w:rPr>
            </w:pPr>
            <w:r w:rsidRPr="00830F4C">
              <w:rPr>
                <w:rFonts w:ascii="Garamond" w:hAnsi="Garamond"/>
                <w:sz w:val="20"/>
                <w:szCs w:val="20"/>
              </w:rPr>
              <w:t>Vitet</w:t>
            </w:r>
          </w:p>
        </w:tc>
        <w:tc>
          <w:tcPr>
            <w:tcW w:w="1588" w:type="dxa"/>
            <w:noWrap/>
            <w:hideMark/>
          </w:tcPr>
          <w:p w14:paraId="665C88FD" w14:textId="77777777" w:rsidR="00A53A79" w:rsidRPr="00830F4C" w:rsidRDefault="00A53A79" w:rsidP="00A53A79">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szCs w:val="20"/>
              </w:rPr>
              <w:t>2019</w:t>
            </w:r>
          </w:p>
        </w:tc>
        <w:tc>
          <w:tcPr>
            <w:tcW w:w="1588" w:type="dxa"/>
            <w:noWrap/>
            <w:hideMark/>
          </w:tcPr>
          <w:p w14:paraId="070047DA" w14:textId="77777777" w:rsidR="00A53A79" w:rsidRPr="00830F4C" w:rsidRDefault="00A53A79" w:rsidP="00A53A79">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szCs w:val="20"/>
              </w:rPr>
              <w:t>2020</w:t>
            </w:r>
          </w:p>
        </w:tc>
        <w:tc>
          <w:tcPr>
            <w:tcW w:w="1087" w:type="dxa"/>
            <w:noWrap/>
            <w:hideMark/>
          </w:tcPr>
          <w:p w14:paraId="30D125ED" w14:textId="77777777" w:rsidR="00A53A79" w:rsidRPr="00830F4C" w:rsidRDefault="00A53A79" w:rsidP="00A53A79">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szCs w:val="20"/>
              </w:rPr>
              <w:t>2021</w:t>
            </w:r>
          </w:p>
        </w:tc>
        <w:tc>
          <w:tcPr>
            <w:tcW w:w="1403" w:type="dxa"/>
            <w:noWrap/>
            <w:hideMark/>
          </w:tcPr>
          <w:p w14:paraId="62A8C39F" w14:textId="77777777" w:rsidR="00A53A79" w:rsidRPr="00830F4C" w:rsidRDefault="00A53A79" w:rsidP="00A53A79">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szCs w:val="20"/>
              </w:rPr>
              <w:t>2022</w:t>
            </w:r>
          </w:p>
        </w:tc>
        <w:tc>
          <w:tcPr>
            <w:tcW w:w="1588" w:type="dxa"/>
            <w:noWrap/>
            <w:hideMark/>
          </w:tcPr>
          <w:p w14:paraId="7F659262" w14:textId="77777777" w:rsidR="00A53A79" w:rsidRPr="00830F4C" w:rsidRDefault="00A53A79" w:rsidP="00A53A79">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szCs w:val="20"/>
              </w:rPr>
              <w:t>2023</w:t>
            </w:r>
          </w:p>
        </w:tc>
      </w:tr>
      <w:tr w:rsidR="00A53A79" w:rsidRPr="00830F4C" w14:paraId="0CF11797" w14:textId="77777777" w:rsidTr="00A53A79">
        <w:trPr>
          <w:trHeight w:val="20"/>
        </w:trPr>
        <w:tc>
          <w:tcPr>
            <w:cnfStyle w:val="001000000000" w:firstRow="0" w:lastRow="0" w:firstColumn="1" w:lastColumn="0" w:oddVBand="0" w:evenVBand="0" w:oddHBand="0" w:evenHBand="0" w:firstRowFirstColumn="0" w:firstRowLastColumn="0" w:lastRowFirstColumn="0" w:lastRowLastColumn="0"/>
            <w:tcW w:w="1762" w:type="dxa"/>
            <w:noWrap/>
            <w:hideMark/>
          </w:tcPr>
          <w:p w14:paraId="02F177D3" w14:textId="77777777" w:rsidR="00A53A79" w:rsidRPr="00830F4C" w:rsidRDefault="00A53A79" w:rsidP="00A53A79">
            <w:pPr>
              <w:jc w:val="center"/>
              <w:rPr>
                <w:rFonts w:ascii="Garamond" w:hAnsi="Garamond"/>
                <w:sz w:val="20"/>
              </w:rPr>
            </w:pPr>
            <w:r w:rsidRPr="00830F4C">
              <w:rPr>
                <w:rFonts w:ascii="Garamond" w:hAnsi="Garamond"/>
                <w:sz w:val="20"/>
                <w:szCs w:val="20"/>
              </w:rPr>
              <w:t>Numri i pozicioneve të punës</w:t>
            </w:r>
          </w:p>
        </w:tc>
        <w:tc>
          <w:tcPr>
            <w:tcW w:w="1588" w:type="dxa"/>
            <w:noWrap/>
            <w:hideMark/>
          </w:tcPr>
          <w:p w14:paraId="048E87BD" w14:textId="77777777" w:rsidR="00A53A79" w:rsidRPr="00830F4C" w:rsidRDefault="00A53A79" w:rsidP="00A53A79">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szCs w:val="20"/>
              </w:rPr>
              <w:t>699,801</w:t>
            </w:r>
          </w:p>
        </w:tc>
        <w:tc>
          <w:tcPr>
            <w:tcW w:w="1588" w:type="dxa"/>
            <w:noWrap/>
            <w:hideMark/>
          </w:tcPr>
          <w:p w14:paraId="6AFA05F9" w14:textId="77777777" w:rsidR="00A53A79" w:rsidRPr="00830F4C" w:rsidRDefault="00A53A79" w:rsidP="00A53A79">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szCs w:val="20"/>
              </w:rPr>
              <w:t>686,271</w:t>
            </w:r>
          </w:p>
        </w:tc>
        <w:tc>
          <w:tcPr>
            <w:tcW w:w="1087" w:type="dxa"/>
            <w:noWrap/>
            <w:hideMark/>
          </w:tcPr>
          <w:p w14:paraId="14C407A7" w14:textId="77777777" w:rsidR="00A53A79" w:rsidRPr="00830F4C" w:rsidRDefault="00A53A79" w:rsidP="00A53A79">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szCs w:val="20"/>
              </w:rPr>
              <w:t>701,736</w:t>
            </w:r>
          </w:p>
        </w:tc>
        <w:tc>
          <w:tcPr>
            <w:tcW w:w="1403" w:type="dxa"/>
            <w:noWrap/>
            <w:hideMark/>
          </w:tcPr>
          <w:p w14:paraId="3F665315" w14:textId="77777777" w:rsidR="00A53A79" w:rsidRPr="00830F4C" w:rsidRDefault="00A53A79" w:rsidP="00A53A79">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szCs w:val="20"/>
              </w:rPr>
              <w:t>719,696</w:t>
            </w:r>
          </w:p>
        </w:tc>
        <w:tc>
          <w:tcPr>
            <w:tcW w:w="1588" w:type="dxa"/>
            <w:noWrap/>
            <w:hideMark/>
          </w:tcPr>
          <w:p w14:paraId="538E160F" w14:textId="77777777" w:rsidR="00A53A79" w:rsidRPr="00830F4C" w:rsidRDefault="00A53A79" w:rsidP="00A53A79">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szCs w:val="20"/>
              </w:rPr>
              <w:t>733,144</w:t>
            </w:r>
          </w:p>
        </w:tc>
      </w:tr>
    </w:tbl>
    <w:p w14:paraId="1822C30A" w14:textId="77777777" w:rsidR="00A53A79" w:rsidRPr="00830F4C" w:rsidRDefault="00A53A79" w:rsidP="00A53A79">
      <w:pPr>
        <w:jc w:val="both"/>
        <w:rPr>
          <w:rFonts w:ascii="Garamond" w:eastAsiaTheme="minorHAnsi" w:hAnsi="Garamond"/>
          <w:sz w:val="20"/>
        </w:rPr>
      </w:pPr>
      <w:r w:rsidRPr="00830F4C">
        <w:rPr>
          <w:rFonts w:ascii="Garamond" w:eastAsiaTheme="minorHAnsi" w:hAnsi="Garamond"/>
          <w:sz w:val="20"/>
        </w:rPr>
        <w:t>Ecuria e të ardhurave nga kontributet paraqitet si më poshtë:</w:t>
      </w:r>
    </w:p>
    <w:p w14:paraId="158B88BC" w14:textId="77777777" w:rsidR="00974EA6" w:rsidRDefault="00974EA6" w:rsidP="00DE65FB">
      <w:pPr>
        <w:pStyle w:val="Caption"/>
        <w:keepNext/>
        <w:spacing w:after="0"/>
        <w:rPr>
          <w:rFonts w:ascii="Garamond" w:hAnsi="Garamond"/>
          <w:color w:val="auto"/>
          <w:sz w:val="20"/>
          <w:szCs w:val="20"/>
        </w:rPr>
      </w:pPr>
      <w:bookmarkStart w:id="58" w:name="_Toc185235141"/>
      <w:bookmarkStart w:id="59" w:name="_Toc172043346"/>
    </w:p>
    <w:p w14:paraId="111AAB29" w14:textId="04F28E49" w:rsidR="00DE65FB" w:rsidRDefault="00A53A79" w:rsidP="00DE65FB">
      <w:pPr>
        <w:pStyle w:val="Caption"/>
        <w:keepNext/>
        <w:spacing w:after="0"/>
        <w:rPr>
          <w:rFonts w:ascii="Garamond" w:hAnsi="Garamond" w:cs="Times New Roman"/>
          <w:color w:val="auto"/>
          <w:sz w:val="20"/>
          <w:szCs w:val="20"/>
        </w:rPr>
      </w:pPr>
      <w:r w:rsidRPr="00830F4C">
        <w:rPr>
          <w:rFonts w:ascii="Garamond" w:hAnsi="Garamond"/>
          <w:color w:val="auto"/>
          <w:sz w:val="20"/>
          <w:szCs w:val="20"/>
        </w:rPr>
        <w:t xml:space="preserve">Tabela </w:t>
      </w:r>
      <w:r w:rsidR="00974EA6">
        <w:rPr>
          <w:rFonts w:ascii="Garamond" w:hAnsi="Garamond"/>
          <w:color w:val="auto"/>
          <w:sz w:val="20"/>
          <w:szCs w:val="20"/>
        </w:rPr>
        <w:t>17</w:t>
      </w:r>
      <w:r w:rsidRPr="00830F4C">
        <w:rPr>
          <w:rFonts w:ascii="Garamond" w:hAnsi="Garamond" w:cs="Times New Roman"/>
          <w:color w:val="auto"/>
          <w:sz w:val="20"/>
          <w:szCs w:val="20"/>
        </w:rPr>
        <w:t>: Të ardhurat nga kontributet e sigurimeve shoqërore dhe shëndetësore, që mblidhen nga AT, 2019</w:t>
      </w:r>
      <w:r w:rsidR="00DE65FB">
        <w:rPr>
          <w:rFonts w:ascii="Garamond" w:hAnsi="Garamond" w:cs="Times New Roman"/>
          <w:color w:val="auto"/>
          <w:sz w:val="20"/>
          <w:szCs w:val="20"/>
        </w:rPr>
        <w:t>–</w:t>
      </w:r>
      <w:r w:rsidRPr="00830F4C">
        <w:rPr>
          <w:rFonts w:ascii="Garamond" w:hAnsi="Garamond" w:cs="Times New Roman"/>
          <w:color w:val="auto"/>
          <w:sz w:val="20"/>
          <w:szCs w:val="20"/>
        </w:rPr>
        <w:t>2023</w:t>
      </w:r>
      <w:bookmarkEnd w:id="58"/>
      <w:bookmarkEnd w:id="59"/>
    </w:p>
    <w:p w14:paraId="2843C0DC" w14:textId="01F0E1FF" w:rsidR="00A53A79" w:rsidRPr="00DE65FB" w:rsidRDefault="00DE65FB" w:rsidP="00DE65FB">
      <w:pPr>
        <w:pStyle w:val="Caption"/>
        <w:keepNext/>
        <w:spacing w:after="0"/>
        <w:jc w:val="right"/>
        <w:rPr>
          <w:rFonts w:ascii="Garamond" w:hAnsi="Garamond"/>
          <w:color w:val="auto"/>
          <w:sz w:val="20"/>
          <w:szCs w:val="20"/>
        </w:rPr>
      </w:pPr>
      <w:r>
        <w:rPr>
          <w:rFonts w:ascii="Garamond" w:eastAsiaTheme="minorHAnsi" w:hAnsi="Garamond"/>
          <w:i w:val="0"/>
          <w:sz w:val="20"/>
        </w:rPr>
        <w:tab/>
      </w:r>
      <w:r w:rsidR="00A53A79" w:rsidRPr="00830F4C">
        <w:rPr>
          <w:rFonts w:ascii="Garamond" w:eastAsiaTheme="minorHAnsi" w:hAnsi="Garamond"/>
          <w:i w:val="0"/>
          <w:sz w:val="20"/>
        </w:rPr>
        <w:t>Në % të PBB</w:t>
      </w:r>
      <w:r w:rsidR="00236281" w:rsidRPr="00830F4C">
        <w:rPr>
          <w:rFonts w:ascii="Garamond" w:hAnsi="Garamond"/>
          <w:sz w:val="20"/>
          <w:szCs w:val="20"/>
        </w:rPr>
        <w:t>-së</w:t>
      </w:r>
    </w:p>
    <w:tbl>
      <w:tblPr>
        <w:tblStyle w:val="GridTable1Light-Accent21"/>
        <w:tblW w:w="8893" w:type="dxa"/>
        <w:tblLook w:val="04A0" w:firstRow="1" w:lastRow="0" w:firstColumn="1" w:lastColumn="0" w:noHBand="0" w:noVBand="1"/>
      </w:tblPr>
      <w:tblGrid>
        <w:gridCol w:w="4343"/>
        <w:gridCol w:w="910"/>
        <w:gridCol w:w="910"/>
        <w:gridCol w:w="910"/>
        <w:gridCol w:w="910"/>
        <w:gridCol w:w="910"/>
      </w:tblGrid>
      <w:tr w:rsidR="00A53A79" w:rsidRPr="00830F4C" w14:paraId="5B615A28" w14:textId="77777777" w:rsidTr="005D2226">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4A4A7596" w14:textId="77777777" w:rsidR="00A53A79" w:rsidRPr="00830F4C" w:rsidRDefault="00A53A79" w:rsidP="005D2226">
            <w:pPr>
              <w:jc w:val="center"/>
              <w:rPr>
                <w:rFonts w:ascii="Garamond" w:hAnsi="Garamond"/>
                <w:sz w:val="20"/>
              </w:rPr>
            </w:pPr>
            <w:r w:rsidRPr="00830F4C">
              <w:rPr>
                <w:rFonts w:ascii="Garamond" w:hAnsi="Garamond"/>
                <w:sz w:val="20"/>
              </w:rPr>
              <w:t>Viti</w:t>
            </w:r>
          </w:p>
        </w:tc>
        <w:tc>
          <w:tcPr>
            <w:tcW w:w="0" w:type="auto"/>
            <w:hideMark/>
          </w:tcPr>
          <w:p w14:paraId="258DE824" w14:textId="77777777" w:rsidR="00A53A79" w:rsidRPr="00830F4C" w:rsidRDefault="00A53A79" w:rsidP="005D2226">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2019</w:t>
            </w:r>
          </w:p>
        </w:tc>
        <w:tc>
          <w:tcPr>
            <w:tcW w:w="0" w:type="auto"/>
            <w:hideMark/>
          </w:tcPr>
          <w:p w14:paraId="500F6F17" w14:textId="77777777" w:rsidR="00A53A79" w:rsidRPr="00830F4C" w:rsidRDefault="00A53A79" w:rsidP="005D2226">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2020</w:t>
            </w:r>
          </w:p>
        </w:tc>
        <w:tc>
          <w:tcPr>
            <w:tcW w:w="0" w:type="auto"/>
            <w:hideMark/>
          </w:tcPr>
          <w:p w14:paraId="7B25A02A" w14:textId="77777777" w:rsidR="00A53A79" w:rsidRPr="00830F4C" w:rsidRDefault="00A53A79" w:rsidP="005D2226">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2021</w:t>
            </w:r>
          </w:p>
        </w:tc>
        <w:tc>
          <w:tcPr>
            <w:tcW w:w="0" w:type="auto"/>
            <w:hideMark/>
          </w:tcPr>
          <w:p w14:paraId="6D7E7127" w14:textId="77777777" w:rsidR="00A53A79" w:rsidRPr="00830F4C" w:rsidRDefault="00A53A79" w:rsidP="005D2226">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2022</w:t>
            </w:r>
          </w:p>
        </w:tc>
        <w:tc>
          <w:tcPr>
            <w:tcW w:w="0" w:type="auto"/>
            <w:hideMark/>
          </w:tcPr>
          <w:p w14:paraId="26C7D5C9" w14:textId="77777777" w:rsidR="00A53A79" w:rsidRPr="00830F4C" w:rsidRDefault="00A53A79" w:rsidP="005D2226">
            <w:pPr>
              <w:jc w:val="center"/>
              <w:cnfStyle w:val="100000000000" w:firstRow="1"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2023</w:t>
            </w:r>
          </w:p>
        </w:tc>
      </w:tr>
      <w:tr w:rsidR="00A53A79" w:rsidRPr="00830F4C" w14:paraId="39E62425" w14:textId="77777777" w:rsidTr="005D2226">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40CC9E14" w14:textId="77777777" w:rsidR="00A53A79" w:rsidRPr="00830F4C" w:rsidRDefault="00A53A79" w:rsidP="005D2226">
            <w:pPr>
              <w:jc w:val="center"/>
              <w:rPr>
                <w:rFonts w:ascii="Garamond" w:hAnsi="Garamond"/>
                <w:sz w:val="20"/>
              </w:rPr>
            </w:pPr>
            <w:r w:rsidRPr="00830F4C">
              <w:rPr>
                <w:rFonts w:ascii="Garamond" w:hAnsi="Garamond"/>
                <w:sz w:val="20"/>
              </w:rPr>
              <w:t>Të ardhurat ndër vite nga kontributet</w:t>
            </w:r>
          </w:p>
        </w:tc>
        <w:tc>
          <w:tcPr>
            <w:tcW w:w="0" w:type="auto"/>
            <w:hideMark/>
          </w:tcPr>
          <w:p w14:paraId="04D92E2D" w14:textId="77777777" w:rsidR="00A53A79" w:rsidRPr="00830F4C" w:rsidRDefault="00A53A79" w:rsidP="005D2226">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5.57%</w:t>
            </w:r>
          </w:p>
        </w:tc>
        <w:tc>
          <w:tcPr>
            <w:tcW w:w="0" w:type="auto"/>
            <w:hideMark/>
          </w:tcPr>
          <w:p w14:paraId="1ACD1DB6" w14:textId="77777777" w:rsidR="00A53A79" w:rsidRPr="00830F4C" w:rsidRDefault="00A53A79" w:rsidP="005D2226">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5.71%</w:t>
            </w:r>
          </w:p>
        </w:tc>
        <w:tc>
          <w:tcPr>
            <w:tcW w:w="0" w:type="auto"/>
            <w:hideMark/>
          </w:tcPr>
          <w:p w14:paraId="49F98CC8" w14:textId="77777777" w:rsidR="00A53A79" w:rsidRPr="00830F4C" w:rsidRDefault="00A53A79" w:rsidP="005D2226">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5.73%</w:t>
            </w:r>
          </w:p>
        </w:tc>
        <w:tc>
          <w:tcPr>
            <w:tcW w:w="0" w:type="auto"/>
            <w:hideMark/>
          </w:tcPr>
          <w:p w14:paraId="059AC14E" w14:textId="77777777" w:rsidR="00A53A79" w:rsidRPr="00830F4C" w:rsidRDefault="00A53A79" w:rsidP="005D2226">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5.54%</w:t>
            </w:r>
          </w:p>
        </w:tc>
        <w:tc>
          <w:tcPr>
            <w:tcW w:w="0" w:type="auto"/>
            <w:hideMark/>
          </w:tcPr>
          <w:p w14:paraId="1CF68F5A" w14:textId="77777777" w:rsidR="00A53A79" w:rsidRPr="00830F4C" w:rsidRDefault="00A53A79" w:rsidP="005D2226">
            <w:pPr>
              <w:jc w:val="center"/>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830F4C">
              <w:rPr>
                <w:rFonts w:ascii="Garamond" w:hAnsi="Garamond"/>
                <w:sz w:val="20"/>
              </w:rPr>
              <w:t>6.02%</w:t>
            </w:r>
          </w:p>
        </w:tc>
      </w:tr>
    </w:tbl>
    <w:p w14:paraId="4D057EF9" w14:textId="77777777" w:rsidR="00A53A79" w:rsidRPr="00DE65FB" w:rsidRDefault="00A53A79" w:rsidP="00A53A79">
      <w:pPr>
        <w:rPr>
          <w:rFonts w:ascii="Garamond" w:eastAsiaTheme="minorHAnsi" w:hAnsi="Garamond"/>
          <w:i/>
          <w:sz w:val="20"/>
          <w:szCs w:val="20"/>
        </w:rPr>
      </w:pPr>
      <w:r w:rsidRPr="00DE65FB">
        <w:rPr>
          <w:rFonts w:ascii="Garamond" w:eastAsiaTheme="minorHAnsi" w:hAnsi="Garamond"/>
          <w:i/>
          <w:sz w:val="20"/>
          <w:szCs w:val="20"/>
        </w:rPr>
        <w:t>Burimi: Drejtoria e Përgjithshme e Tatimeve</w:t>
      </w:r>
    </w:p>
    <w:p w14:paraId="66E506FF" w14:textId="77777777" w:rsidR="00A53A79" w:rsidRPr="00830F4C" w:rsidRDefault="00A53A79" w:rsidP="00A53A79">
      <w:pPr>
        <w:ind w:firstLine="284"/>
        <w:jc w:val="both"/>
        <w:rPr>
          <w:rFonts w:ascii="Garamond" w:eastAsiaTheme="minorHAnsi" w:hAnsi="Garamond"/>
          <w:b/>
          <w:szCs w:val="20"/>
        </w:rPr>
      </w:pPr>
      <w:r w:rsidRPr="00830F4C">
        <w:rPr>
          <w:rFonts w:ascii="Garamond" w:eastAsiaTheme="minorHAnsi" w:hAnsi="Garamond"/>
          <w:b/>
          <w:szCs w:val="20"/>
        </w:rPr>
        <w:t>Punësimi informal nënraportimi</w:t>
      </w:r>
    </w:p>
    <w:p w14:paraId="7B4A5E18" w14:textId="1F3053B3" w:rsidR="00A53A79" w:rsidRPr="00830F4C" w:rsidRDefault="00A53A79" w:rsidP="00A53A79">
      <w:pPr>
        <w:ind w:firstLine="284"/>
        <w:jc w:val="both"/>
        <w:rPr>
          <w:rFonts w:ascii="Garamond" w:eastAsiaTheme="minorHAnsi" w:hAnsi="Garamond"/>
          <w:szCs w:val="20"/>
        </w:rPr>
      </w:pPr>
      <w:r w:rsidRPr="00830F4C">
        <w:rPr>
          <w:rFonts w:ascii="Garamond" w:eastAsiaTheme="minorHAnsi" w:hAnsi="Garamond"/>
          <w:szCs w:val="20"/>
        </w:rPr>
        <w:t>Në kuadër të luftës kundër informalitetit në tregun e punës, AT</w:t>
      </w:r>
      <w:r w:rsidR="00DE65FB">
        <w:rPr>
          <w:rFonts w:ascii="Garamond" w:eastAsiaTheme="minorHAnsi" w:hAnsi="Garamond"/>
          <w:szCs w:val="20"/>
        </w:rPr>
        <w:t>-ja</w:t>
      </w:r>
      <w:r w:rsidRPr="00830F4C">
        <w:rPr>
          <w:rFonts w:ascii="Garamond" w:eastAsiaTheme="minorHAnsi" w:hAnsi="Garamond"/>
          <w:szCs w:val="20"/>
        </w:rPr>
        <w:t xml:space="preserve"> monitoron problematikën e pagës mesatare në nivel </w:t>
      </w:r>
      <w:r w:rsidR="00DE65FB" w:rsidRPr="00830F4C">
        <w:rPr>
          <w:rFonts w:ascii="Garamond" w:eastAsiaTheme="minorHAnsi" w:hAnsi="Garamond"/>
          <w:szCs w:val="20"/>
        </w:rPr>
        <w:t>drejtorie rajo</w:t>
      </w:r>
      <w:r w:rsidRPr="00830F4C">
        <w:rPr>
          <w:rFonts w:ascii="Garamond" w:eastAsiaTheme="minorHAnsi" w:hAnsi="Garamond"/>
          <w:szCs w:val="20"/>
        </w:rPr>
        <w:t xml:space="preserve">nale. Rritja e deklarimit të pagës reale është prioritet i </w:t>
      </w:r>
      <w:r w:rsidR="008C0C0F" w:rsidRPr="00830F4C">
        <w:rPr>
          <w:rFonts w:ascii="Garamond" w:eastAsiaTheme="minorHAnsi" w:hAnsi="Garamond"/>
          <w:szCs w:val="20"/>
        </w:rPr>
        <w:t>administratës</w:t>
      </w:r>
      <w:r w:rsidRPr="00830F4C">
        <w:rPr>
          <w:rFonts w:ascii="Garamond" w:eastAsiaTheme="minorHAnsi" w:hAnsi="Garamond"/>
          <w:szCs w:val="20"/>
        </w:rPr>
        <w:t xml:space="preserve"> tatimore e cila është e angazhuar maksimalisht për evidentimin e çdo </w:t>
      </w:r>
      <w:r w:rsidR="005C7FB7" w:rsidRPr="00830F4C">
        <w:rPr>
          <w:rFonts w:ascii="Garamond" w:eastAsiaTheme="minorHAnsi" w:hAnsi="Garamond"/>
          <w:szCs w:val="20"/>
        </w:rPr>
        <w:t>mosregjistrimi</w:t>
      </w:r>
      <w:r w:rsidRPr="00830F4C">
        <w:rPr>
          <w:rFonts w:ascii="Garamond" w:eastAsiaTheme="minorHAnsi" w:hAnsi="Garamond"/>
          <w:szCs w:val="20"/>
        </w:rPr>
        <w:t xml:space="preserve"> apo nëndeklarimi.</w:t>
      </w:r>
    </w:p>
    <w:p w14:paraId="6F08A96A" w14:textId="7177B2EA" w:rsidR="00A53A79" w:rsidRPr="00830F4C" w:rsidRDefault="00A53A79" w:rsidP="00A53A79">
      <w:pPr>
        <w:ind w:firstLine="284"/>
        <w:jc w:val="both"/>
        <w:rPr>
          <w:rFonts w:ascii="Garamond" w:eastAsiaTheme="minorHAnsi" w:hAnsi="Garamond"/>
          <w:szCs w:val="20"/>
        </w:rPr>
      </w:pPr>
      <w:r w:rsidRPr="00830F4C">
        <w:rPr>
          <w:rFonts w:ascii="Garamond" w:eastAsiaTheme="minorHAnsi" w:hAnsi="Garamond"/>
          <w:szCs w:val="20"/>
        </w:rPr>
        <w:t>Gjatë vitit 2023, administrata tatimore ka pasur një fokus të shtuar tek element</w:t>
      </w:r>
      <w:r w:rsidR="008C0C0F" w:rsidRPr="00830F4C">
        <w:rPr>
          <w:rFonts w:ascii="Garamond" w:eastAsiaTheme="minorHAnsi" w:hAnsi="Garamond"/>
          <w:szCs w:val="20"/>
        </w:rPr>
        <w:t>e</w:t>
      </w:r>
      <w:r w:rsidRPr="00830F4C">
        <w:rPr>
          <w:rFonts w:ascii="Garamond" w:eastAsiaTheme="minorHAnsi" w:hAnsi="Garamond"/>
          <w:szCs w:val="20"/>
        </w:rPr>
        <w:t>t e pagës, duke evidentuar çdo detyrim në kontributet sociale dhe shëndetësore</w:t>
      </w:r>
      <w:r w:rsidR="00DE65FB">
        <w:rPr>
          <w:rFonts w:ascii="Garamond" w:eastAsiaTheme="minorHAnsi" w:hAnsi="Garamond"/>
          <w:szCs w:val="20"/>
        </w:rPr>
        <w:t>,</w:t>
      </w:r>
      <w:r w:rsidRPr="00830F4C">
        <w:rPr>
          <w:rFonts w:ascii="Garamond" w:eastAsiaTheme="minorHAnsi" w:hAnsi="Garamond"/>
          <w:szCs w:val="20"/>
        </w:rPr>
        <w:t xml:space="preserve"> dhe duke gjurmuar e hetuar skemat e mundshme të ngritura nga këto subjekte për mospagesë të kontributeve të sigurimeve shoqërore dhe shëndetësore. Periodikisht, në mënyrë mujore evidentohen tatimpaguesit të cilët nuk deklarojnë, deklarojnë me zero ose ndryshojnë deklaratat e mëparshme me ulje.</w:t>
      </w:r>
    </w:p>
    <w:p w14:paraId="3A583A86" w14:textId="1817B871" w:rsidR="00A53A79" w:rsidRPr="00830F4C" w:rsidRDefault="00A53A79" w:rsidP="00A53A79">
      <w:pPr>
        <w:ind w:firstLine="284"/>
        <w:jc w:val="both"/>
        <w:rPr>
          <w:rFonts w:ascii="Garamond" w:eastAsiaTheme="minorHAnsi" w:hAnsi="Garamond"/>
          <w:szCs w:val="20"/>
        </w:rPr>
      </w:pPr>
      <w:r w:rsidRPr="00830F4C">
        <w:rPr>
          <w:rFonts w:ascii="Garamond" w:eastAsiaTheme="minorHAnsi" w:hAnsi="Garamond"/>
          <w:szCs w:val="20"/>
        </w:rPr>
        <w:t xml:space="preserve">Në kuadër të kësaj strategjie, nën këtë komponent janë parashikuar 7 masa që do ndërmerren për të adresuar fenomenin. Ndërmarrja e këtyre masave pritet të sjellë një rritje të të ardhurave tatimore me 4.9 </w:t>
      </w:r>
      <w:r w:rsidR="00D22EA5" w:rsidRPr="00830F4C">
        <w:rPr>
          <w:rFonts w:ascii="Garamond" w:eastAsiaTheme="minorHAnsi" w:hAnsi="Garamond"/>
          <w:szCs w:val="20"/>
        </w:rPr>
        <w:t xml:space="preserve">miliardë </w:t>
      </w:r>
      <w:r w:rsidRPr="00830F4C">
        <w:rPr>
          <w:rFonts w:ascii="Garamond" w:eastAsiaTheme="minorHAnsi" w:hAnsi="Garamond"/>
          <w:szCs w:val="20"/>
        </w:rPr>
        <w:t>lek</w:t>
      </w:r>
      <w:r w:rsidR="00DE65FB">
        <w:rPr>
          <w:rFonts w:ascii="Garamond" w:eastAsiaTheme="minorHAnsi" w:hAnsi="Garamond"/>
          <w:szCs w:val="20"/>
        </w:rPr>
        <w:t>ë</w:t>
      </w:r>
      <w:r w:rsidRPr="00830F4C">
        <w:rPr>
          <w:rFonts w:ascii="Garamond" w:eastAsiaTheme="minorHAnsi" w:hAnsi="Garamond"/>
          <w:szCs w:val="20"/>
        </w:rPr>
        <w:t xml:space="preserve"> për tatimin mbi të ardhurat personale dhe kontributet e sigurimeve shoqërore dhe shëndetësore.</w:t>
      </w:r>
    </w:p>
    <w:p w14:paraId="65C9F9A0" w14:textId="23FDF133" w:rsidR="00A53A79" w:rsidRPr="00830F4C" w:rsidRDefault="00A53A79" w:rsidP="00A53A79">
      <w:pPr>
        <w:pStyle w:val="Caption"/>
        <w:keepNext/>
        <w:spacing w:after="0"/>
        <w:rPr>
          <w:rFonts w:ascii="Garamond" w:hAnsi="Garamond"/>
          <w:color w:val="auto"/>
          <w:sz w:val="20"/>
          <w:szCs w:val="20"/>
        </w:rPr>
      </w:pPr>
      <w:bookmarkStart w:id="60" w:name="_Toc185235142"/>
      <w:bookmarkStart w:id="61" w:name="_Toc172043347"/>
      <w:r w:rsidRPr="00830F4C">
        <w:rPr>
          <w:rFonts w:ascii="Garamond" w:hAnsi="Garamond"/>
          <w:color w:val="auto"/>
          <w:sz w:val="20"/>
          <w:szCs w:val="20"/>
        </w:rPr>
        <w:t xml:space="preserve">Tabela </w:t>
      </w:r>
      <w:r w:rsidRPr="00830F4C">
        <w:rPr>
          <w:rFonts w:ascii="Garamond" w:hAnsi="Garamond"/>
          <w:color w:val="auto"/>
          <w:sz w:val="20"/>
          <w:szCs w:val="20"/>
        </w:rPr>
        <w:fldChar w:fldCharType="begin"/>
      </w:r>
      <w:r w:rsidRPr="00830F4C">
        <w:rPr>
          <w:rFonts w:ascii="Garamond" w:hAnsi="Garamond"/>
          <w:color w:val="auto"/>
          <w:sz w:val="20"/>
          <w:szCs w:val="20"/>
        </w:rPr>
        <w:instrText xml:space="preserve"> SEQ Tabela \* ARABIC </w:instrText>
      </w:r>
      <w:r w:rsidRPr="00830F4C">
        <w:rPr>
          <w:rFonts w:ascii="Garamond" w:hAnsi="Garamond"/>
          <w:color w:val="auto"/>
          <w:sz w:val="20"/>
          <w:szCs w:val="20"/>
        </w:rPr>
        <w:fldChar w:fldCharType="separate"/>
      </w:r>
      <w:r w:rsidRPr="00830F4C">
        <w:rPr>
          <w:rFonts w:ascii="Garamond" w:hAnsi="Garamond"/>
          <w:color w:val="auto"/>
          <w:sz w:val="20"/>
          <w:szCs w:val="20"/>
        </w:rPr>
        <w:t>17</w:t>
      </w:r>
      <w:r w:rsidRPr="00830F4C">
        <w:rPr>
          <w:rFonts w:ascii="Garamond" w:hAnsi="Garamond"/>
          <w:color w:val="auto"/>
          <w:sz w:val="20"/>
          <w:szCs w:val="20"/>
        </w:rPr>
        <w:fldChar w:fldCharType="end"/>
      </w:r>
      <w:r w:rsidRPr="00830F4C">
        <w:rPr>
          <w:rFonts w:ascii="Garamond" w:hAnsi="Garamond" w:cs="Times New Roman"/>
          <w:color w:val="auto"/>
          <w:sz w:val="20"/>
          <w:szCs w:val="20"/>
        </w:rPr>
        <w:t>:</w:t>
      </w:r>
      <w:r w:rsidR="00DE65FB">
        <w:rPr>
          <w:rFonts w:ascii="Garamond" w:hAnsi="Garamond" w:cs="Times New Roman"/>
          <w:color w:val="auto"/>
          <w:sz w:val="20"/>
          <w:szCs w:val="20"/>
        </w:rPr>
        <w:t xml:space="preserve"> </w:t>
      </w:r>
      <w:r w:rsidRPr="00830F4C">
        <w:rPr>
          <w:rFonts w:ascii="Garamond" w:hAnsi="Garamond" w:cs="Times New Roman"/>
          <w:color w:val="auto"/>
          <w:sz w:val="20"/>
          <w:szCs w:val="20"/>
        </w:rPr>
        <w:t xml:space="preserve">Të ardhurat shtesë nga </w:t>
      </w:r>
      <w:r w:rsidR="00DE65FB">
        <w:rPr>
          <w:rFonts w:ascii="Garamond" w:hAnsi="Garamond" w:cs="Times New Roman"/>
          <w:color w:val="auto"/>
          <w:sz w:val="20"/>
          <w:szCs w:val="20"/>
        </w:rPr>
        <w:t>k</w:t>
      </w:r>
      <w:r w:rsidRPr="00830F4C">
        <w:rPr>
          <w:rFonts w:ascii="Garamond" w:hAnsi="Garamond" w:cs="Times New Roman"/>
          <w:color w:val="auto"/>
          <w:sz w:val="20"/>
          <w:szCs w:val="20"/>
        </w:rPr>
        <w:t>omponenti 2.2 sipas zërave të taksave</w:t>
      </w:r>
      <w:bookmarkEnd w:id="60"/>
    </w:p>
    <w:tbl>
      <w:tblPr>
        <w:tblW w:w="0" w:type="auto"/>
        <w:tblLook w:val="04A0" w:firstRow="1" w:lastRow="0" w:firstColumn="1" w:lastColumn="0" w:noHBand="0" w:noVBand="1"/>
      </w:tblPr>
      <w:tblGrid>
        <w:gridCol w:w="4379"/>
        <w:gridCol w:w="800"/>
        <w:gridCol w:w="716"/>
        <w:gridCol w:w="716"/>
        <w:gridCol w:w="716"/>
        <w:gridCol w:w="1625"/>
      </w:tblGrid>
      <w:tr w:rsidR="00A53A79" w:rsidRPr="00830F4C" w14:paraId="3EBE185C" w14:textId="77777777" w:rsidTr="00A53A79">
        <w:trPr>
          <w:trHeight w:val="20"/>
        </w:trPr>
        <w:tc>
          <w:tcPr>
            <w:tcW w:w="0" w:type="auto"/>
            <w:gridSpan w:val="6"/>
            <w:tcBorders>
              <w:top w:val="single" w:sz="8" w:space="0" w:color="F7CAAC"/>
              <w:left w:val="single" w:sz="8" w:space="0" w:color="F7CAAC"/>
              <w:bottom w:val="single" w:sz="12" w:space="0" w:color="F4B083"/>
              <w:right w:val="single" w:sz="8" w:space="0" w:color="F7CAAC"/>
            </w:tcBorders>
            <w:shd w:val="clear" w:color="auto" w:fill="auto"/>
            <w:noWrap/>
            <w:vAlign w:val="center"/>
            <w:hideMark/>
          </w:tcPr>
          <w:bookmarkEnd w:id="61"/>
          <w:p w14:paraId="107A4BE4" w14:textId="09E4F408" w:rsidR="00A53A79" w:rsidRPr="00830F4C" w:rsidRDefault="00A53A79" w:rsidP="00A53A79">
            <w:pPr>
              <w:jc w:val="right"/>
              <w:rPr>
                <w:rFonts w:ascii="Garamond" w:hAnsi="Garamond"/>
                <w:i/>
                <w:sz w:val="20"/>
              </w:rPr>
            </w:pPr>
            <w:r w:rsidRPr="00830F4C">
              <w:rPr>
                <w:rFonts w:ascii="Garamond" w:hAnsi="Garamond"/>
                <w:i/>
                <w:sz w:val="20"/>
              </w:rPr>
              <w:t xml:space="preserve">Në </w:t>
            </w:r>
            <w:r w:rsidR="00236281" w:rsidRPr="00830F4C">
              <w:rPr>
                <w:rFonts w:ascii="Garamond" w:hAnsi="Garamond"/>
                <w:i/>
                <w:sz w:val="20"/>
              </w:rPr>
              <w:t>milionë</w:t>
            </w:r>
            <w:r w:rsidR="0052377F" w:rsidRPr="00830F4C">
              <w:rPr>
                <w:rFonts w:ascii="Garamond" w:hAnsi="Garamond"/>
                <w:i/>
                <w:sz w:val="20"/>
              </w:rPr>
              <w:t xml:space="preserve"> </w:t>
            </w:r>
            <w:r w:rsidRPr="00830F4C">
              <w:rPr>
                <w:rFonts w:ascii="Garamond" w:hAnsi="Garamond"/>
                <w:i/>
                <w:sz w:val="20"/>
              </w:rPr>
              <w:t>lekë</w:t>
            </w:r>
          </w:p>
        </w:tc>
      </w:tr>
      <w:tr w:rsidR="00A53A79" w:rsidRPr="00830F4C" w14:paraId="758911E0" w14:textId="77777777" w:rsidTr="00A53A79">
        <w:trPr>
          <w:trHeight w:val="20"/>
        </w:trPr>
        <w:tc>
          <w:tcPr>
            <w:tcW w:w="0" w:type="auto"/>
            <w:tcBorders>
              <w:top w:val="nil"/>
              <w:left w:val="single" w:sz="8" w:space="0" w:color="F7CAAC"/>
              <w:bottom w:val="single" w:sz="8" w:space="0" w:color="F7CAAC"/>
              <w:right w:val="single" w:sz="8" w:space="0" w:color="F7CAAC"/>
            </w:tcBorders>
            <w:shd w:val="clear" w:color="auto" w:fill="auto"/>
            <w:vAlign w:val="center"/>
            <w:hideMark/>
          </w:tcPr>
          <w:p w14:paraId="1DB9538C" w14:textId="1D7E324A" w:rsidR="00A53A79" w:rsidRPr="00830F4C" w:rsidRDefault="00A53A79" w:rsidP="00A53A79">
            <w:pPr>
              <w:rPr>
                <w:rFonts w:ascii="Garamond" w:hAnsi="Garamond"/>
                <w:b/>
                <w:sz w:val="20"/>
              </w:rPr>
            </w:pPr>
            <w:r w:rsidRPr="00830F4C">
              <w:rPr>
                <w:rFonts w:ascii="Garamond" w:hAnsi="Garamond"/>
                <w:b/>
                <w:sz w:val="20"/>
              </w:rPr>
              <w:t xml:space="preserve">Të ardhurat nga </w:t>
            </w:r>
            <w:r w:rsidR="00377F8B" w:rsidRPr="00830F4C">
              <w:rPr>
                <w:rFonts w:ascii="Garamond" w:hAnsi="Garamond"/>
                <w:b/>
                <w:sz w:val="20"/>
              </w:rPr>
              <w:t>k</w:t>
            </w:r>
            <w:r w:rsidRPr="00830F4C">
              <w:rPr>
                <w:rFonts w:ascii="Garamond" w:hAnsi="Garamond"/>
                <w:b/>
                <w:sz w:val="20"/>
              </w:rPr>
              <w:t>omponenti 2.2</w:t>
            </w:r>
          </w:p>
        </w:tc>
        <w:tc>
          <w:tcPr>
            <w:tcW w:w="0" w:type="auto"/>
            <w:tcBorders>
              <w:top w:val="nil"/>
              <w:left w:val="nil"/>
              <w:bottom w:val="single" w:sz="8" w:space="0" w:color="F7CAAC"/>
              <w:right w:val="single" w:sz="8" w:space="0" w:color="F7CAAC"/>
            </w:tcBorders>
            <w:shd w:val="clear" w:color="auto" w:fill="auto"/>
            <w:vAlign w:val="center"/>
            <w:hideMark/>
          </w:tcPr>
          <w:p w14:paraId="69C6D854" w14:textId="77777777" w:rsidR="00A53A79" w:rsidRPr="00830F4C" w:rsidRDefault="00A53A79" w:rsidP="00A53A79">
            <w:pPr>
              <w:jc w:val="right"/>
              <w:rPr>
                <w:rFonts w:ascii="Garamond" w:hAnsi="Garamond"/>
                <w:b/>
                <w:sz w:val="20"/>
              </w:rPr>
            </w:pPr>
            <w:r w:rsidRPr="00830F4C">
              <w:rPr>
                <w:rFonts w:ascii="Garamond" w:hAnsi="Garamond"/>
                <w:b/>
                <w:sz w:val="20"/>
              </w:rPr>
              <w:t>2024</w:t>
            </w:r>
          </w:p>
        </w:tc>
        <w:tc>
          <w:tcPr>
            <w:tcW w:w="0" w:type="auto"/>
            <w:tcBorders>
              <w:top w:val="nil"/>
              <w:left w:val="nil"/>
              <w:bottom w:val="single" w:sz="8" w:space="0" w:color="F7CAAC"/>
              <w:right w:val="single" w:sz="8" w:space="0" w:color="F7CAAC"/>
            </w:tcBorders>
            <w:shd w:val="clear" w:color="auto" w:fill="auto"/>
            <w:vAlign w:val="center"/>
            <w:hideMark/>
          </w:tcPr>
          <w:p w14:paraId="0C6610BF" w14:textId="77777777" w:rsidR="00A53A79" w:rsidRPr="00830F4C" w:rsidRDefault="00A53A79" w:rsidP="00A53A79">
            <w:pPr>
              <w:jc w:val="right"/>
              <w:rPr>
                <w:rFonts w:ascii="Garamond" w:hAnsi="Garamond"/>
                <w:b/>
                <w:sz w:val="20"/>
              </w:rPr>
            </w:pPr>
            <w:r w:rsidRPr="00830F4C">
              <w:rPr>
                <w:rFonts w:ascii="Garamond" w:hAnsi="Garamond"/>
                <w:b/>
                <w:sz w:val="20"/>
              </w:rPr>
              <w:t>2025</w:t>
            </w:r>
          </w:p>
        </w:tc>
        <w:tc>
          <w:tcPr>
            <w:tcW w:w="0" w:type="auto"/>
            <w:tcBorders>
              <w:top w:val="nil"/>
              <w:left w:val="nil"/>
              <w:bottom w:val="single" w:sz="8" w:space="0" w:color="F7CAAC"/>
              <w:right w:val="single" w:sz="8" w:space="0" w:color="F7CAAC"/>
            </w:tcBorders>
            <w:shd w:val="clear" w:color="auto" w:fill="auto"/>
            <w:vAlign w:val="center"/>
            <w:hideMark/>
          </w:tcPr>
          <w:p w14:paraId="429D1706" w14:textId="77777777" w:rsidR="00A53A79" w:rsidRPr="00830F4C" w:rsidRDefault="00A53A79" w:rsidP="00A53A79">
            <w:pPr>
              <w:jc w:val="right"/>
              <w:rPr>
                <w:rFonts w:ascii="Garamond" w:hAnsi="Garamond"/>
                <w:b/>
                <w:sz w:val="20"/>
              </w:rPr>
            </w:pPr>
            <w:r w:rsidRPr="00830F4C">
              <w:rPr>
                <w:rFonts w:ascii="Garamond" w:hAnsi="Garamond"/>
                <w:b/>
                <w:sz w:val="20"/>
              </w:rPr>
              <w:t>2026</w:t>
            </w:r>
          </w:p>
        </w:tc>
        <w:tc>
          <w:tcPr>
            <w:tcW w:w="0" w:type="auto"/>
            <w:tcBorders>
              <w:top w:val="nil"/>
              <w:left w:val="nil"/>
              <w:bottom w:val="single" w:sz="8" w:space="0" w:color="F7CAAC"/>
              <w:right w:val="single" w:sz="8" w:space="0" w:color="F7CAAC"/>
            </w:tcBorders>
            <w:shd w:val="clear" w:color="auto" w:fill="auto"/>
            <w:vAlign w:val="center"/>
            <w:hideMark/>
          </w:tcPr>
          <w:p w14:paraId="1F891E65" w14:textId="77777777" w:rsidR="00A53A79" w:rsidRPr="00830F4C" w:rsidRDefault="00A53A79" w:rsidP="00A53A79">
            <w:pPr>
              <w:jc w:val="right"/>
              <w:rPr>
                <w:rFonts w:ascii="Garamond" w:hAnsi="Garamond"/>
                <w:b/>
                <w:sz w:val="20"/>
              </w:rPr>
            </w:pPr>
            <w:r w:rsidRPr="00830F4C">
              <w:rPr>
                <w:rFonts w:ascii="Garamond" w:hAnsi="Garamond"/>
                <w:b/>
                <w:sz w:val="20"/>
              </w:rPr>
              <w:t>2027</w:t>
            </w:r>
          </w:p>
        </w:tc>
        <w:tc>
          <w:tcPr>
            <w:tcW w:w="0" w:type="auto"/>
            <w:tcBorders>
              <w:top w:val="nil"/>
              <w:left w:val="nil"/>
              <w:bottom w:val="single" w:sz="8" w:space="0" w:color="F7CAAC"/>
              <w:right w:val="single" w:sz="8" w:space="0" w:color="F7CAAC"/>
            </w:tcBorders>
            <w:shd w:val="clear" w:color="auto" w:fill="auto"/>
            <w:vAlign w:val="center"/>
            <w:hideMark/>
          </w:tcPr>
          <w:p w14:paraId="6A5FBAAB" w14:textId="2CEA7DE3" w:rsidR="00A53A79" w:rsidRPr="00830F4C" w:rsidRDefault="00A53A79" w:rsidP="00A53A79">
            <w:pPr>
              <w:rPr>
                <w:rFonts w:ascii="Garamond" w:hAnsi="Garamond"/>
                <w:b/>
                <w:sz w:val="20"/>
              </w:rPr>
            </w:pPr>
            <w:r w:rsidRPr="00830F4C">
              <w:rPr>
                <w:rFonts w:ascii="Garamond" w:hAnsi="Garamond"/>
                <w:b/>
                <w:sz w:val="20"/>
              </w:rPr>
              <w:t>Totali</w:t>
            </w:r>
            <w:r w:rsidR="00800B00" w:rsidRPr="00830F4C">
              <w:rPr>
                <w:rFonts w:ascii="Garamond" w:hAnsi="Garamond"/>
                <w:b/>
                <w:sz w:val="20"/>
              </w:rPr>
              <w:t xml:space="preserve"> </w:t>
            </w:r>
            <w:r w:rsidR="00D22EA5" w:rsidRPr="00830F4C">
              <w:rPr>
                <w:rFonts w:ascii="Garamond" w:hAnsi="Garamond"/>
                <w:b/>
                <w:sz w:val="20"/>
              </w:rPr>
              <w:t>2024–2027</w:t>
            </w:r>
          </w:p>
        </w:tc>
      </w:tr>
      <w:tr w:rsidR="00A53A79" w:rsidRPr="00830F4C" w14:paraId="1C1BB26B" w14:textId="77777777" w:rsidTr="00A53A79">
        <w:trPr>
          <w:trHeight w:val="20"/>
        </w:trPr>
        <w:tc>
          <w:tcPr>
            <w:tcW w:w="0" w:type="auto"/>
            <w:tcBorders>
              <w:top w:val="nil"/>
              <w:left w:val="single" w:sz="8" w:space="0" w:color="F7CAAC"/>
              <w:bottom w:val="single" w:sz="8" w:space="0" w:color="F7CAAC"/>
              <w:right w:val="single" w:sz="8" w:space="0" w:color="F7CAAC"/>
            </w:tcBorders>
            <w:shd w:val="clear" w:color="auto" w:fill="auto"/>
            <w:hideMark/>
          </w:tcPr>
          <w:p w14:paraId="267FC3D3" w14:textId="77777777" w:rsidR="00A53A79" w:rsidRPr="00830F4C" w:rsidRDefault="00A53A79" w:rsidP="00A53A79">
            <w:pPr>
              <w:rPr>
                <w:rFonts w:ascii="Garamond" w:hAnsi="Garamond"/>
                <w:sz w:val="20"/>
              </w:rPr>
            </w:pPr>
            <w:r w:rsidRPr="00830F4C">
              <w:rPr>
                <w:rFonts w:ascii="Garamond" w:hAnsi="Garamond"/>
                <w:sz w:val="20"/>
              </w:rPr>
              <w:t>Tatimi mbi pagën</w:t>
            </w:r>
          </w:p>
        </w:tc>
        <w:tc>
          <w:tcPr>
            <w:tcW w:w="0" w:type="auto"/>
            <w:tcBorders>
              <w:top w:val="nil"/>
              <w:left w:val="nil"/>
              <w:bottom w:val="single" w:sz="8" w:space="0" w:color="F7CAAC"/>
              <w:right w:val="single" w:sz="8" w:space="0" w:color="F7CAAC"/>
            </w:tcBorders>
            <w:shd w:val="clear" w:color="auto" w:fill="auto"/>
            <w:vAlign w:val="center"/>
            <w:hideMark/>
          </w:tcPr>
          <w:p w14:paraId="0E883C77" w14:textId="3B1430F4" w:rsidR="00A53A79" w:rsidRPr="00830F4C" w:rsidRDefault="00D22EA5" w:rsidP="00A53A79">
            <w:pPr>
              <w:jc w:val="center"/>
              <w:rPr>
                <w:rFonts w:ascii="Garamond" w:hAnsi="Garamond"/>
                <w:sz w:val="20"/>
              </w:rPr>
            </w:pPr>
            <w:r w:rsidRPr="00830F4C">
              <w:rPr>
                <w:rFonts w:ascii="Garamond" w:hAnsi="Garamond"/>
                <w:sz w:val="20"/>
              </w:rPr>
              <w:t xml:space="preserve"> </w:t>
            </w:r>
            <w:r w:rsidR="00A53A79" w:rsidRPr="00830F4C">
              <w:rPr>
                <w:rFonts w:ascii="Garamond" w:hAnsi="Garamond"/>
                <w:sz w:val="20"/>
              </w:rPr>
              <w:t xml:space="preserve">82 </w:t>
            </w:r>
          </w:p>
        </w:tc>
        <w:tc>
          <w:tcPr>
            <w:tcW w:w="0" w:type="auto"/>
            <w:tcBorders>
              <w:top w:val="nil"/>
              <w:left w:val="nil"/>
              <w:bottom w:val="single" w:sz="8" w:space="0" w:color="F7CAAC"/>
              <w:right w:val="single" w:sz="8" w:space="0" w:color="F7CAAC"/>
            </w:tcBorders>
            <w:shd w:val="clear" w:color="auto" w:fill="auto"/>
            <w:vAlign w:val="center"/>
            <w:hideMark/>
          </w:tcPr>
          <w:p w14:paraId="1B84474C" w14:textId="11CDB1CB" w:rsidR="00A53A79" w:rsidRPr="00830F4C" w:rsidRDefault="00D22EA5" w:rsidP="00A53A79">
            <w:pPr>
              <w:jc w:val="center"/>
              <w:rPr>
                <w:rFonts w:ascii="Garamond" w:hAnsi="Garamond"/>
                <w:sz w:val="20"/>
              </w:rPr>
            </w:pPr>
            <w:r w:rsidRPr="00830F4C">
              <w:rPr>
                <w:rFonts w:ascii="Garamond" w:hAnsi="Garamond"/>
                <w:sz w:val="20"/>
              </w:rPr>
              <w:t xml:space="preserve"> </w:t>
            </w:r>
            <w:r w:rsidR="00A53A79" w:rsidRPr="00830F4C">
              <w:rPr>
                <w:rFonts w:ascii="Garamond" w:hAnsi="Garamond"/>
                <w:sz w:val="20"/>
              </w:rPr>
              <w:t xml:space="preserve">273 </w:t>
            </w:r>
          </w:p>
        </w:tc>
        <w:tc>
          <w:tcPr>
            <w:tcW w:w="0" w:type="auto"/>
            <w:tcBorders>
              <w:top w:val="nil"/>
              <w:left w:val="nil"/>
              <w:bottom w:val="single" w:sz="8" w:space="0" w:color="F7CAAC"/>
              <w:right w:val="single" w:sz="8" w:space="0" w:color="F7CAAC"/>
            </w:tcBorders>
            <w:shd w:val="clear" w:color="auto" w:fill="auto"/>
            <w:vAlign w:val="center"/>
            <w:hideMark/>
          </w:tcPr>
          <w:p w14:paraId="3CAFEC93" w14:textId="275BCCAB" w:rsidR="00A53A79" w:rsidRPr="00830F4C" w:rsidRDefault="00D22EA5" w:rsidP="00A53A79">
            <w:pPr>
              <w:jc w:val="center"/>
              <w:rPr>
                <w:rFonts w:ascii="Garamond" w:hAnsi="Garamond"/>
                <w:sz w:val="20"/>
              </w:rPr>
            </w:pPr>
            <w:r w:rsidRPr="00830F4C">
              <w:rPr>
                <w:rFonts w:ascii="Garamond" w:hAnsi="Garamond"/>
                <w:sz w:val="20"/>
              </w:rPr>
              <w:t xml:space="preserve"> </w:t>
            </w:r>
            <w:r w:rsidR="00A53A79" w:rsidRPr="00830F4C">
              <w:rPr>
                <w:rFonts w:ascii="Garamond" w:hAnsi="Garamond"/>
                <w:sz w:val="20"/>
              </w:rPr>
              <w:t xml:space="preserve">382 </w:t>
            </w:r>
          </w:p>
        </w:tc>
        <w:tc>
          <w:tcPr>
            <w:tcW w:w="0" w:type="auto"/>
            <w:tcBorders>
              <w:top w:val="nil"/>
              <w:left w:val="nil"/>
              <w:bottom w:val="single" w:sz="8" w:space="0" w:color="F7CAAC"/>
              <w:right w:val="single" w:sz="8" w:space="0" w:color="F7CAAC"/>
            </w:tcBorders>
            <w:shd w:val="clear" w:color="auto" w:fill="auto"/>
            <w:vAlign w:val="center"/>
            <w:hideMark/>
          </w:tcPr>
          <w:p w14:paraId="4413A58F" w14:textId="0C108FBA" w:rsidR="00A53A79" w:rsidRPr="00830F4C" w:rsidRDefault="00D22EA5" w:rsidP="00A53A79">
            <w:pPr>
              <w:jc w:val="center"/>
              <w:rPr>
                <w:rFonts w:ascii="Garamond" w:hAnsi="Garamond"/>
                <w:sz w:val="20"/>
              </w:rPr>
            </w:pPr>
            <w:r w:rsidRPr="00830F4C">
              <w:rPr>
                <w:rFonts w:ascii="Garamond" w:hAnsi="Garamond"/>
                <w:sz w:val="20"/>
              </w:rPr>
              <w:t xml:space="preserve"> </w:t>
            </w:r>
            <w:r w:rsidR="00A53A79" w:rsidRPr="00830F4C">
              <w:rPr>
                <w:rFonts w:ascii="Garamond" w:hAnsi="Garamond"/>
                <w:sz w:val="20"/>
              </w:rPr>
              <w:t xml:space="preserve">491 </w:t>
            </w:r>
          </w:p>
        </w:tc>
        <w:tc>
          <w:tcPr>
            <w:tcW w:w="0" w:type="auto"/>
            <w:tcBorders>
              <w:top w:val="nil"/>
              <w:left w:val="nil"/>
              <w:bottom w:val="single" w:sz="8" w:space="0" w:color="F7CAAC"/>
              <w:right w:val="single" w:sz="8" w:space="0" w:color="F7CAAC"/>
            </w:tcBorders>
            <w:shd w:val="clear" w:color="auto" w:fill="auto"/>
            <w:vAlign w:val="center"/>
            <w:hideMark/>
          </w:tcPr>
          <w:p w14:paraId="40C336D7" w14:textId="7B346D1E" w:rsidR="00A53A79" w:rsidRPr="00830F4C" w:rsidRDefault="00D22EA5" w:rsidP="00A53A79">
            <w:pPr>
              <w:jc w:val="center"/>
              <w:rPr>
                <w:rFonts w:ascii="Garamond" w:hAnsi="Garamond"/>
                <w:sz w:val="20"/>
              </w:rPr>
            </w:pPr>
            <w:r w:rsidRPr="00830F4C">
              <w:rPr>
                <w:rFonts w:ascii="Garamond" w:hAnsi="Garamond"/>
                <w:sz w:val="20"/>
              </w:rPr>
              <w:t xml:space="preserve"> </w:t>
            </w:r>
            <w:r w:rsidR="00A53A79" w:rsidRPr="00830F4C">
              <w:rPr>
                <w:rFonts w:ascii="Garamond" w:hAnsi="Garamond"/>
                <w:sz w:val="20"/>
              </w:rPr>
              <w:t xml:space="preserve">1,229 </w:t>
            </w:r>
          </w:p>
        </w:tc>
      </w:tr>
      <w:tr w:rsidR="00A53A79" w:rsidRPr="00830F4C" w14:paraId="28C84376" w14:textId="77777777" w:rsidTr="00A53A79">
        <w:trPr>
          <w:trHeight w:val="20"/>
        </w:trPr>
        <w:tc>
          <w:tcPr>
            <w:tcW w:w="0" w:type="auto"/>
            <w:tcBorders>
              <w:top w:val="nil"/>
              <w:left w:val="single" w:sz="8" w:space="0" w:color="F7CAAC"/>
              <w:bottom w:val="single" w:sz="8" w:space="0" w:color="F7CAAC"/>
              <w:right w:val="single" w:sz="8" w:space="0" w:color="F7CAAC"/>
            </w:tcBorders>
            <w:shd w:val="clear" w:color="auto" w:fill="auto"/>
            <w:hideMark/>
          </w:tcPr>
          <w:p w14:paraId="6D988451" w14:textId="77777777" w:rsidR="00A53A79" w:rsidRPr="00830F4C" w:rsidRDefault="00A53A79" w:rsidP="00A53A79">
            <w:pPr>
              <w:rPr>
                <w:rFonts w:ascii="Garamond" w:hAnsi="Garamond"/>
                <w:sz w:val="20"/>
              </w:rPr>
            </w:pPr>
            <w:r w:rsidRPr="00830F4C">
              <w:rPr>
                <w:rFonts w:ascii="Garamond" w:hAnsi="Garamond"/>
                <w:sz w:val="20"/>
              </w:rPr>
              <w:t>Kontributet e sigurimeve shoqërore dhe shëndetësore</w:t>
            </w:r>
          </w:p>
        </w:tc>
        <w:tc>
          <w:tcPr>
            <w:tcW w:w="0" w:type="auto"/>
            <w:tcBorders>
              <w:top w:val="nil"/>
              <w:left w:val="nil"/>
              <w:bottom w:val="single" w:sz="8" w:space="0" w:color="F7CAAC"/>
              <w:right w:val="single" w:sz="8" w:space="0" w:color="F7CAAC"/>
            </w:tcBorders>
            <w:shd w:val="clear" w:color="auto" w:fill="auto"/>
            <w:vAlign w:val="center"/>
            <w:hideMark/>
          </w:tcPr>
          <w:p w14:paraId="0F190247" w14:textId="63F497BA" w:rsidR="00A53A79" w:rsidRPr="00830F4C" w:rsidRDefault="00D22EA5" w:rsidP="00A53A79">
            <w:pPr>
              <w:jc w:val="center"/>
              <w:rPr>
                <w:rFonts w:ascii="Garamond" w:hAnsi="Garamond"/>
                <w:sz w:val="20"/>
              </w:rPr>
            </w:pPr>
            <w:r w:rsidRPr="00830F4C">
              <w:rPr>
                <w:rFonts w:ascii="Garamond" w:hAnsi="Garamond"/>
                <w:sz w:val="20"/>
              </w:rPr>
              <w:t xml:space="preserve"> </w:t>
            </w:r>
            <w:r w:rsidR="00A53A79" w:rsidRPr="00830F4C">
              <w:rPr>
                <w:rFonts w:ascii="Garamond" w:hAnsi="Garamond"/>
                <w:sz w:val="20"/>
              </w:rPr>
              <w:t xml:space="preserve">390 </w:t>
            </w:r>
          </w:p>
        </w:tc>
        <w:tc>
          <w:tcPr>
            <w:tcW w:w="0" w:type="auto"/>
            <w:tcBorders>
              <w:top w:val="nil"/>
              <w:left w:val="nil"/>
              <w:bottom w:val="single" w:sz="8" w:space="0" w:color="F7CAAC"/>
              <w:right w:val="single" w:sz="8" w:space="0" w:color="F7CAAC"/>
            </w:tcBorders>
            <w:shd w:val="clear" w:color="auto" w:fill="auto"/>
            <w:vAlign w:val="center"/>
            <w:hideMark/>
          </w:tcPr>
          <w:p w14:paraId="4D79122B" w14:textId="4694CC39" w:rsidR="00A53A79" w:rsidRPr="00830F4C" w:rsidRDefault="00D22EA5" w:rsidP="00A53A79">
            <w:pPr>
              <w:jc w:val="center"/>
              <w:rPr>
                <w:rFonts w:ascii="Garamond" w:hAnsi="Garamond"/>
                <w:sz w:val="20"/>
              </w:rPr>
            </w:pPr>
            <w:r w:rsidRPr="00830F4C">
              <w:rPr>
                <w:rFonts w:ascii="Garamond" w:hAnsi="Garamond"/>
                <w:sz w:val="20"/>
              </w:rPr>
              <w:t xml:space="preserve"> </w:t>
            </w:r>
            <w:r w:rsidR="00A53A79" w:rsidRPr="00830F4C">
              <w:rPr>
                <w:rFonts w:ascii="Garamond" w:hAnsi="Garamond"/>
                <w:sz w:val="20"/>
              </w:rPr>
              <w:t xml:space="preserve">907 </w:t>
            </w:r>
          </w:p>
        </w:tc>
        <w:tc>
          <w:tcPr>
            <w:tcW w:w="0" w:type="auto"/>
            <w:tcBorders>
              <w:top w:val="nil"/>
              <w:left w:val="nil"/>
              <w:bottom w:val="single" w:sz="8" w:space="0" w:color="F7CAAC"/>
              <w:right w:val="single" w:sz="8" w:space="0" w:color="F7CAAC"/>
            </w:tcBorders>
            <w:shd w:val="clear" w:color="auto" w:fill="auto"/>
            <w:vAlign w:val="center"/>
            <w:hideMark/>
          </w:tcPr>
          <w:p w14:paraId="38BAD430" w14:textId="22E236A1" w:rsidR="00A53A79" w:rsidRPr="00830F4C" w:rsidRDefault="00D22EA5" w:rsidP="00A53A79">
            <w:pPr>
              <w:jc w:val="center"/>
              <w:rPr>
                <w:rFonts w:ascii="Garamond" w:hAnsi="Garamond"/>
                <w:sz w:val="20"/>
              </w:rPr>
            </w:pPr>
            <w:r w:rsidRPr="00830F4C">
              <w:rPr>
                <w:rFonts w:ascii="Garamond" w:hAnsi="Garamond"/>
                <w:sz w:val="20"/>
              </w:rPr>
              <w:t xml:space="preserve"> </w:t>
            </w:r>
            <w:r w:rsidR="00A53A79" w:rsidRPr="00830F4C">
              <w:rPr>
                <w:rFonts w:ascii="Garamond" w:hAnsi="Garamond"/>
                <w:sz w:val="20"/>
              </w:rPr>
              <w:t xml:space="preserve">1,088 </w:t>
            </w:r>
          </w:p>
        </w:tc>
        <w:tc>
          <w:tcPr>
            <w:tcW w:w="0" w:type="auto"/>
            <w:tcBorders>
              <w:top w:val="nil"/>
              <w:left w:val="nil"/>
              <w:bottom w:val="single" w:sz="8" w:space="0" w:color="F7CAAC"/>
              <w:right w:val="single" w:sz="8" w:space="0" w:color="F7CAAC"/>
            </w:tcBorders>
            <w:shd w:val="clear" w:color="auto" w:fill="auto"/>
            <w:vAlign w:val="center"/>
            <w:hideMark/>
          </w:tcPr>
          <w:p w14:paraId="726B03BC" w14:textId="22BA303A" w:rsidR="00A53A79" w:rsidRPr="00830F4C" w:rsidRDefault="00D22EA5" w:rsidP="00A53A79">
            <w:pPr>
              <w:jc w:val="center"/>
              <w:rPr>
                <w:rFonts w:ascii="Garamond" w:hAnsi="Garamond"/>
                <w:sz w:val="20"/>
              </w:rPr>
            </w:pPr>
            <w:r w:rsidRPr="00830F4C">
              <w:rPr>
                <w:rFonts w:ascii="Garamond" w:hAnsi="Garamond"/>
                <w:sz w:val="20"/>
              </w:rPr>
              <w:t xml:space="preserve"> </w:t>
            </w:r>
            <w:r w:rsidR="00A53A79" w:rsidRPr="00830F4C">
              <w:rPr>
                <w:rFonts w:ascii="Garamond" w:hAnsi="Garamond"/>
                <w:sz w:val="20"/>
              </w:rPr>
              <w:t xml:space="preserve">1,322 </w:t>
            </w:r>
          </w:p>
        </w:tc>
        <w:tc>
          <w:tcPr>
            <w:tcW w:w="0" w:type="auto"/>
            <w:tcBorders>
              <w:top w:val="nil"/>
              <w:left w:val="nil"/>
              <w:bottom w:val="single" w:sz="8" w:space="0" w:color="F7CAAC"/>
              <w:right w:val="single" w:sz="8" w:space="0" w:color="F7CAAC"/>
            </w:tcBorders>
            <w:shd w:val="clear" w:color="auto" w:fill="auto"/>
            <w:vAlign w:val="center"/>
            <w:hideMark/>
          </w:tcPr>
          <w:p w14:paraId="0E7B3C62" w14:textId="105641C2" w:rsidR="00A53A79" w:rsidRPr="00830F4C" w:rsidRDefault="00D22EA5" w:rsidP="00A53A79">
            <w:pPr>
              <w:jc w:val="center"/>
              <w:rPr>
                <w:rFonts w:ascii="Garamond" w:hAnsi="Garamond"/>
                <w:sz w:val="20"/>
              </w:rPr>
            </w:pPr>
            <w:r w:rsidRPr="00830F4C">
              <w:rPr>
                <w:rFonts w:ascii="Garamond" w:hAnsi="Garamond"/>
                <w:sz w:val="20"/>
              </w:rPr>
              <w:t xml:space="preserve"> </w:t>
            </w:r>
            <w:r w:rsidR="00A53A79" w:rsidRPr="00830F4C">
              <w:rPr>
                <w:rFonts w:ascii="Garamond" w:hAnsi="Garamond"/>
                <w:sz w:val="20"/>
              </w:rPr>
              <w:t xml:space="preserve">3,708 </w:t>
            </w:r>
          </w:p>
        </w:tc>
      </w:tr>
      <w:tr w:rsidR="00A53A79" w:rsidRPr="00830F4C" w14:paraId="778AF121" w14:textId="77777777" w:rsidTr="00A53A79">
        <w:trPr>
          <w:trHeight w:val="20"/>
        </w:trPr>
        <w:tc>
          <w:tcPr>
            <w:tcW w:w="0" w:type="auto"/>
            <w:tcBorders>
              <w:top w:val="nil"/>
              <w:left w:val="single" w:sz="8" w:space="0" w:color="F7CAAC"/>
              <w:bottom w:val="single" w:sz="8" w:space="0" w:color="F7CAAC"/>
              <w:right w:val="single" w:sz="8" w:space="0" w:color="F7CAAC"/>
            </w:tcBorders>
            <w:shd w:val="clear" w:color="auto" w:fill="auto"/>
            <w:vAlign w:val="center"/>
            <w:hideMark/>
          </w:tcPr>
          <w:p w14:paraId="25D0C0C3" w14:textId="77777777" w:rsidR="00A53A79" w:rsidRPr="00830F4C" w:rsidRDefault="00A53A79" w:rsidP="00A53A79">
            <w:pPr>
              <w:rPr>
                <w:rFonts w:ascii="Garamond" w:hAnsi="Garamond"/>
                <w:b/>
                <w:sz w:val="20"/>
              </w:rPr>
            </w:pPr>
            <w:r w:rsidRPr="00830F4C">
              <w:rPr>
                <w:rFonts w:ascii="Garamond" w:hAnsi="Garamond"/>
                <w:b/>
                <w:sz w:val="20"/>
              </w:rPr>
              <w:t>Totali</w:t>
            </w:r>
          </w:p>
        </w:tc>
        <w:tc>
          <w:tcPr>
            <w:tcW w:w="0" w:type="auto"/>
            <w:tcBorders>
              <w:top w:val="nil"/>
              <w:left w:val="nil"/>
              <w:bottom w:val="single" w:sz="8" w:space="0" w:color="F7CAAC"/>
              <w:right w:val="single" w:sz="8" w:space="0" w:color="F7CAAC"/>
            </w:tcBorders>
            <w:shd w:val="clear" w:color="auto" w:fill="auto"/>
            <w:vAlign w:val="center"/>
            <w:hideMark/>
          </w:tcPr>
          <w:p w14:paraId="547FC9D6" w14:textId="2A24FC19" w:rsidR="00A53A79" w:rsidRPr="00830F4C" w:rsidRDefault="00D22EA5" w:rsidP="00A53A79">
            <w:pPr>
              <w:jc w:val="center"/>
              <w:rPr>
                <w:rFonts w:ascii="Garamond" w:hAnsi="Garamond"/>
                <w:b/>
                <w:sz w:val="20"/>
              </w:rPr>
            </w:pPr>
            <w:r w:rsidRPr="00830F4C">
              <w:rPr>
                <w:rFonts w:ascii="Garamond" w:hAnsi="Garamond"/>
                <w:b/>
                <w:sz w:val="20"/>
              </w:rPr>
              <w:t xml:space="preserve"> </w:t>
            </w:r>
            <w:r w:rsidR="00A53A79" w:rsidRPr="00830F4C">
              <w:rPr>
                <w:rFonts w:ascii="Garamond" w:hAnsi="Garamond"/>
                <w:b/>
                <w:sz w:val="20"/>
              </w:rPr>
              <w:t xml:space="preserve">472 </w:t>
            </w:r>
          </w:p>
        </w:tc>
        <w:tc>
          <w:tcPr>
            <w:tcW w:w="0" w:type="auto"/>
            <w:tcBorders>
              <w:top w:val="nil"/>
              <w:left w:val="nil"/>
              <w:bottom w:val="single" w:sz="8" w:space="0" w:color="F7CAAC"/>
              <w:right w:val="single" w:sz="8" w:space="0" w:color="F7CAAC"/>
            </w:tcBorders>
            <w:shd w:val="clear" w:color="auto" w:fill="auto"/>
            <w:vAlign w:val="center"/>
            <w:hideMark/>
          </w:tcPr>
          <w:p w14:paraId="456EFE25" w14:textId="178E53C7" w:rsidR="00A53A79" w:rsidRPr="00830F4C" w:rsidRDefault="00D22EA5" w:rsidP="00A53A79">
            <w:pPr>
              <w:jc w:val="center"/>
              <w:rPr>
                <w:rFonts w:ascii="Garamond" w:hAnsi="Garamond"/>
                <w:b/>
                <w:sz w:val="20"/>
              </w:rPr>
            </w:pPr>
            <w:r w:rsidRPr="00830F4C">
              <w:rPr>
                <w:rFonts w:ascii="Garamond" w:hAnsi="Garamond"/>
                <w:b/>
                <w:sz w:val="20"/>
              </w:rPr>
              <w:t xml:space="preserve"> </w:t>
            </w:r>
            <w:r w:rsidR="00A53A79" w:rsidRPr="00830F4C">
              <w:rPr>
                <w:rFonts w:ascii="Garamond" w:hAnsi="Garamond"/>
                <w:b/>
                <w:sz w:val="20"/>
              </w:rPr>
              <w:t xml:space="preserve">1,180 </w:t>
            </w:r>
          </w:p>
        </w:tc>
        <w:tc>
          <w:tcPr>
            <w:tcW w:w="0" w:type="auto"/>
            <w:tcBorders>
              <w:top w:val="nil"/>
              <w:left w:val="nil"/>
              <w:bottom w:val="single" w:sz="8" w:space="0" w:color="F7CAAC"/>
              <w:right w:val="single" w:sz="8" w:space="0" w:color="F7CAAC"/>
            </w:tcBorders>
            <w:shd w:val="clear" w:color="auto" w:fill="auto"/>
            <w:vAlign w:val="center"/>
            <w:hideMark/>
          </w:tcPr>
          <w:p w14:paraId="4E189E64" w14:textId="5374D5D5" w:rsidR="00A53A79" w:rsidRPr="00830F4C" w:rsidRDefault="00D22EA5" w:rsidP="00A53A79">
            <w:pPr>
              <w:jc w:val="center"/>
              <w:rPr>
                <w:rFonts w:ascii="Garamond" w:hAnsi="Garamond"/>
                <w:b/>
                <w:sz w:val="20"/>
              </w:rPr>
            </w:pPr>
            <w:r w:rsidRPr="00830F4C">
              <w:rPr>
                <w:rFonts w:ascii="Garamond" w:hAnsi="Garamond"/>
                <w:b/>
                <w:sz w:val="20"/>
              </w:rPr>
              <w:t xml:space="preserve"> </w:t>
            </w:r>
            <w:r w:rsidR="00A53A79" w:rsidRPr="00830F4C">
              <w:rPr>
                <w:rFonts w:ascii="Garamond" w:hAnsi="Garamond"/>
                <w:b/>
                <w:sz w:val="20"/>
              </w:rPr>
              <w:t xml:space="preserve">1,470 </w:t>
            </w:r>
          </w:p>
        </w:tc>
        <w:tc>
          <w:tcPr>
            <w:tcW w:w="0" w:type="auto"/>
            <w:tcBorders>
              <w:top w:val="nil"/>
              <w:left w:val="nil"/>
              <w:bottom w:val="single" w:sz="8" w:space="0" w:color="F7CAAC"/>
              <w:right w:val="single" w:sz="8" w:space="0" w:color="F7CAAC"/>
            </w:tcBorders>
            <w:shd w:val="clear" w:color="auto" w:fill="auto"/>
            <w:vAlign w:val="center"/>
            <w:hideMark/>
          </w:tcPr>
          <w:p w14:paraId="21815113" w14:textId="51FD8ABD" w:rsidR="00A53A79" w:rsidRPr="00830F4C" w:rsidRDefault="00D22EA5" w:rsidP="00A53A79">
            <w:pPr>
              <w:jc w:val="center"/>
              <w:rPr>
                <w:rFonts w:ascii="Garamond" w:hAnsi="Garamond"/>
                <w:b/>
                <w:sz w:val="20"/>
              </w:rPr>
            </w:pPr>
            <w:r w:rsidRPr="00830F4C">
              <w:rPr>
                <w:rFonts w:ascii="Garamond" w:hAnsi="Garamond"/>
                <w:b/>
                <w:sz w:val="20"/>
              </w:rPr>
              <w:t xml:space="preserve"> </w:t>
            </w:r>
            <w:r w:rsidR="00A53A79" w:rsidRPr="00830F4C">
              <w:rPr>
                <w:rFonts w:ascii="Garamond" w:hAnsi="Garamond"/>
                <w:b/>
                <w:sz w:val="20"/>
              </w:rPr>
              <w:t xml:space="preserve">1,814 </w:t>
            </w:r>
          </w:p>
        </w:tc>
        <w:tc>
          <w:tcPr>
            <w:tcW w:w="0" w:type="auto"/>
            <w:tcBorders>
              <w:top w:val="nil"/>
              <w:left w:val="nil"/>
              <w:bottom w:val="single" w:sz="8" w:space="0" w:color="F7CAAC"/>
              <w:right w:val="single" w:sz="8" w:space="0" w:color="F7CAAC"/>
            </w:tcBorders>
            <w:shd w:val="clear" w:color="auto" w:fill="auto"/>
            <w:vAlign w:val="center"/>
            <w:hideMark/>
          </w:tcPr>
          <w:p w14:paraId="79100B35" w14:textId="56452906" w:rsidR="00A53A79" w:rsidRPr="00830F4C" w:rsidRDefault="00D22EA5" w:rsidP="00A53A79">
            <w:pPr>
              <w:jc w:val="center"/>
              <w:rPr>
                <w:rFonts w:ascii="Garamond" w:hAnsi="Garamond"/>
                <w:b/>
                <w:sz w:val="20"/>
              </w:rPr>
            </w:pPr>
            <w:r w:rsidRPr="00830F4C">
              <w:rPr>
                <w:rFonts w:ascii="Garamond" w:hAnsi="Garamond"/>
                <w:b/>
                <w:sz w:val="20"/>
              </w:rPr>
              <w:t xml:space="preserve"> </w:t>
            </w:r>
            <w:r w:rsidR="00A53A79" w:rsidRPr="00830F4C">
              <w:rPr>
                <w:rFonts w:ascii="Garamond" w:hAnsi="Garamond"/>
                <w:b/>
                <w:sz w:val="20"/>
              </w:rPr>
              <w:t xml:space="preserve">4,936 </w:t>
            </w:r>
          </w:p>
        </w:tc>
      </w:tr>
      <w:tr w:rsidR="00A53A79" w:rsidRPr="00830F4C" w14:paraId="563672D4" w14:textId="77777777" w:rsidTr="00A53A79">
        <w:trPr>
          <w:trHeight w:val="20"/>
        </w:trPr>
        <w:tc>
          <w:tcPr>
            <w:tcW w:w="0" w:type="auto"/>
            <w:gridSpan w:val="6"/>
            <w:tcBorders>
              <w:top w:val="single" w:sz="8" w:space="0" w:color="F7CAAC"/>
              <w:left w:val="single" w:sz="8" w:space="0" w:color="F7CAAC"/>
              <w:bottom w:val="single" w:sz="8" w:space="0" w:color="F7CAAC"/>
              <w:right w:val="single" w:sz="8" w:space="0" w:color="F7CAAC"/>
            </w:tcBorders>
            <w:shd w:val="clear" w:color="auto" w:fill="auto"/>
            <w:noWrap/>
            <w:vAlign w:val="center"/>
            <w:hideMark/>
          </w:tcPr>
          <w:p w14:paraId="28516903" w14:textId="39AB9E9A" w:rsidR="00A53A79" w:rsidRPr="00830F4C" w:rsidRDefault="00A53A79" w:rsidP="00A53A79">
            <w:pPr>
              <w:jc w:val="right"/>
              <w:rPr>
                <w:rFonts w:ascii="Garamond" w:hAnsi="Garamond"/>
                <w:i/>
                <w:sz w:val="20"/>
              </w:rPr>
            </w:pPr>
            <w:r w:rsidRPr="00830F4C">
              <w:rPr>
                <w:rFonts w:ascii="Garamond" w:hAnsi="Garamond"/>
                <w:i/>
                <w:sz w:val="20"/>
              </w:rPr>
              <w:t>në % të PPB</w:t>
            </w:r>
            <w:r w:rsidR="00DE65FB">
              <w:rPr>
                <w:rFonts w:ascii="Garamond" w:hAnsi="Garamond"/>
                <w:i/>
                <w:sz w:val="20"/>
              </w:rPr>
              <w:t>-së</w:t>
            </w:r>
          </w:p>
        </w:tc>
      </w:tr>
      <w:tr w:rsidR="00A53A79" w:rsidRPr="00830F4C" w14:paraId="4E0C4F85" w14:textId="77777777" w:rsidTr="00A53A79">
        <w:trPr>
          <w:trHeight w:val="20"/>
        </w:trPr>
        <w:tc>
          <w:tcPr>
            <w:tcW w:w="0" w:type="auto"/>
            <w:tcBorders>
              <w:top w:val="nil"/>
              <w:left w:val="single" w:sz="8" w:space="0" w:color="F7CAAC"/>
              <w:bottom w:val="single" w:sz="8" w:space="0" w:color="F7CAAC"/>
              <w:right w:val="single" w:sz="8" w:space="0" w:color="F7CAAC"/>
            </w:tcBorders>
            <w:shd w:val="clear" w:color="auto" w:fill="auto"/>
            <w:hideMark/>
          </w:tcPr>
          <w:p w14:paraId="01E00796" w14:textId="77777777" w:rsidR="00A53A79" w:rsidRPr="00830F4C" w:rsidRDefault="00A53A79" w:rsidP="00A53A79">
            <w:pPr>
              <w:rPr>
                <w:rFonts w:ascii="Garamond" w:hAnsi="Garamond"/>
                <w:sz w:val="20"/>
              </w:rPr>
            </w:pPr>
            <w:r w:rsidRPr="00830F4C">
              <w:rPr>
                <w:rFonts w:ascii="Garamond" w:hAnsi="Garamond"/>
                <w:sz w:val="20"/>
              </w:rPr>
              <w:t>Tatimi mbi pagën</w:t>
            </w:r>
          </w:p>
        </w:tc>
        <w:tc>
          <w:tcPr>
            <w:tcW w:w="0" w:type="auto"/>
            <w:tcBorders>
              <w:top w:val="nil"/>
              <w:left w:val="nil"/>
              <w:bottom w:val="single" w:sz="8" w:space="0" w:color="F7CAAC"/>
              <w:right w:val="single" w:sz="8" w:space="0" w:color="F7CAAC"/>
            </w:tcBorders>
            <w:shd w:val="clear" w:color="auto" w:fill="auto"/>
            <w:vAlign w:val="center"/>
            <w:hideMark/>
          </w:tcPr>
          <w:p w14:paraId="0A8FAD6F" w14:textId="77777777" w:rsidR="00A53A79" w:rsidRPr="00830F4C" w:rsidRDefault="00A53A79" w:rsidP="00A53A79">
            <w:pPr>
              <w:jc w:val="right"/>
              <w:rPr>
                <w:rFonts w:ascii="Garamond" w:hAnsi="Garamond"/>
                <w:sz w:val="20"/>
              </w:rPr>
            </w:pPr>
            <w:r w:rsidRPr="00830F4C">
              <w:rPr>
                <w:rFonts w:ascii="Garamond" w:hAnsi="Garamond"/>
                <w:sz w:val="20"/>
              </w:rPr>
              <w:t>0.003%</w:t>
            </w:r>
          </w:p>
        </w:tc>
        <w:tc>
          <w:tcPr>
            <w:tcW w:w="0" w:type="auto"/>
            <w:tcBorders>
              <w:top w:val="nil"/>
              <w:left w:val="nil"/>
              <w:bottom w:val="single" w:sz="8" w:space="0" w:color="F7CAAC"/>
              <w:right w:val="single" w:sz="8" w:space="0" w:color="F7CAAC"/>
            </w:tcBorders>
            <w:shd w:val="clear" w:color="auto" w:fill="auto"/>
            <w:vAlign w:val="center"/>
            <w:hideMark/>
          </w:tcPr>
          <w:p w14:paraId="44FD27AF" w14:textId="77777777" w:rsidR="00A53A79" w:rsidRPr="00830F4C" w:rsidRDefault="00A53A79" w:rsidP="00A53A79">
            <w:pPr>
              <w:jc w:val="right"/>
              <w:rPr>
                <w:rFonts w:ascii="Garamond" w:hAnsi="Garamond"/>
                <w:sz w:val="20"/>
              </w:rPr>
            </w:pPr>
            <w:r w:rsidRPr="00830F4C">
              <w:rPr>
                <w:rFonts w:ascii="Garamond" w:hAnsi="Garamond"/>
                <w:sz w:val="20"/>
              </w:rPr>
              <w:t>0.01%</w:t>
            </w:r>
          </w:p>
        </w:tc>
        <w:tc>
          <w:tcPr>
            <w:tcW w:w="0" w:type="auto"/>
            <w:tcBorders>
              <w:top w:val="nil"/>
              <w:left w:val="nil"/>
              <w:bottom w:val="single" w:sz="8" w:space="0" w:color="F7CAAC"/>
              <w:right w:val="single" w:sz="8" w:space="0" w:color="F7CAAC"/>
            </w:tcBorders>
            <w:shd w:val="clear" w:color="auto" w:fill="auto"/>
            <w:vAlign w:val="center"/>
            <w:hideMark/>
          </w:tcPr>
          <w:p w14:paraId="3EE8436D" w14:textId="77777777" w:rsidR="00A53A79" w:rsidRPr="00830F4C" w:rsidRDefault="00A53A79" w:rsidP="00A53A79">
            <w:pPr>
              <w:jc w:val="right"/>
              <w:rPr>
                <w:rFonts w:ascii="Garamond" w:hAnsi="Garamond"/>
                <w:sz w:val="20"/>
              </w:rPr>
            </w:pPr>
            <w:r w:rsidRPr="00830F4C">
              <w:rPr>
                <w:rFonts w:ascii="Garamond" w:hAnsi="Garamond"/>
                <w:sz w:val="20"/>
              </w:rPr>
              <w:t>0.01%</w:t>
            </w:r>
          </w:p>
        </w:tc>
        <w:tc>
          <w:tcPr>
            <w:tcW w:w="0" w:type="auto"/>
            <w:tcBorders>
              <w:top w:val="nil"/>
              <w:left w:val="nil"/>
              <w:bottom w:val="single" w:sz="8" w:space="0" w:color="F7CAAC"/>
              <w:right w:val="single" w:sz="8" w:space="0" w:color="F7CAAC"/>
            </w:tcBorders>
            <w:shd w:val="clear" w:color="auto" w:fill="auto"/>
            <w:vAlign w:val="center"/>
            <w:hideMark/>
          </w:tcPr>
          <w:p w14:paraId="6F6F7580" w14:textId="77777777" w:rsidR="00A53A79" w:rsidRPr="00830F4C" w:rsidRDefault="00A53A79" w:rsidP="00A53A79">
            <w:pPr>
              <w:jc w:val="right"/>
              <w:rPr>
                <w:rFonts w:ascii="Garamond" w:hAnsi="Garamond"/>
                <w:sz w:val="20"/>
              </w:rPr>
            </w:pPr>
            <w:r w:rsidRPr="00830F4C">
              <w:rPr>
                <w:rFonts w:ascii="Garamond" w:hAnsi="Garamond"/>
                <w:sz w:val="20"/>
              </w:rPr>
              <w:t>0.02%</w:t>
            </w:r>
          </w:p>
        </w:tc>
        <w:tc>
          <w:tcPr>
            <w:tcW w:w="0" w:type="auto"/>
            <w:tcBorders>
              <w:top w:val="nil"/>
              <w:left w:val="nil"/>
              <w:bottom w:val="single" w:sz="8" w:space="0" w:color="F7CAAC"/>
              <w:right w:val="single" w:sz="8" w:space="0" w:color="F7CAAC"/>
            </w:tcBorders>
            <w:shd w:val="clear" w:color="auto" w:fill="auto"/>
            <w:vAlign w:val="center"/>
            <w:hideMark/>
          </w:tcPr>
          <w:p w14:paraId="21FBA597" w14:textId="77777777" w:rsidR="00A53A79" w:rsidRPr="00830F4C" w:rsidRDefault="00A53A79" w:rsidP="00A53A79">
            <w:pPr>
              <w:jc w:val="right"/>
              <w:rPr>
                <w:rFonts w:ascii="Garamond" w:hAnsi="Garamond"/>
                <w:sz w:val="20"/>
              </w:rPr>
            </w:pPr>
            <w:r w:rsidRPr="00830F4C">
              <w:rPr>
                <w:rFonts w:ascii="Garamond" w:hAnsi="Garamond"/>
                <w:sz w:val="20"/>
              </w:rPr>
              <w:t>0.05%</w:t>
            </w:r>
          </w:p>
        </w:tc>
      </w:tr>
      <w:tr w:rsidR="00A53A79" w:rsidRPr="00830F4C" w14:paraId="322AF5EC" w14:textId="77777777" w:rsidTr="00A53A79">
        <w:trPr>
          <w:trHeight w:val="20"/>
        </w:trPr>
        <w:tc>
          <w:tcPr>
            <w:tcW w:w="0" w:type="auto"/>
            <w:tcBorders>
              <w:top w:val="nil"/>
              <w:left w:val="single" w:sz="8" w:space="0" w:color="F7CAAC"/>
              <w:bottom w:val="single" w:sz="8" w:space="0" w:color="F7CAAC"/>
              <w:right w:val="single" w:sz="8" w:space="0" w:color="F7CAAC"/>
            </w:tcBorders>
            <w:shd w:val="clear" w:color="auto" w:fill="auto"/>
            <w:hideMark/>
          </w:tcPr>
          <w:p w14:paraId="49538DF6" w14:textId="77777777" w:rsidR="00A53A79" w:rsidRPr="00830F4C" w:rsidRDefault="00A53A79" w:rsidP="00A53A79">
            <w:pPr>
              <w:rPr>
                <w:rFonts w:ascii="Garamond" w:hAnsi="Garamond"/>
                <w:sz w:val="20"/>
              </w:rPr>
            </w:pPr>
            <w:r w:rsidRPr="00830F4C">
              <w:rPr>
                <w:rFonts w:ascii="Garamond" w:hAnsi="Garamond"/>
                <w:sz w:val="20"/>
              </w:rPr>
              <w:t>Kontributet e sigurimeve shoqërore dhe shëndetësore</w:t>
            </w:r>
          </w:p>
        </w:tc>
        <w:tc>
          <w:tcPr>
            <w:tcW w:w="0" w:type="auto"/>
            <w:tcBorders>
              <w:top w:val="nil"/>
              <w:left w:val="nil"/>
              <w:bottom w:val="single" w:sz="8" w:space="0" w:color="F7CAAC"/>
              <w:right w:val="single" w:sz="8" w:space="0" w:color="F7CAAC"/>
            </w:tcBorders>
            <w:shd w:val="clear" w:color="auto" w:fill="auto"/>
            <w:vAlign w:val="center"/>
            <w:hideMark/>
          </w:tcPr>
          <w:p w14:paraId="2579FEBF" w14:textId="77777777" w:rsidR="00A53A79" w:rsidRPr="00830F4C" w:rsidRDefault="00A53A79" w:rsidP="00A53A79">
            <w:pPr>
              <w:jc w:val="right"/>
              <w:rPr>
                <w:rFonts w:ascii="Garamond" w:hAnsi="Garamond"/>
                <w:sz w:val="20"/>
              </w:rPr>
            </w:pPr>
            <w:r w:rsidRPr="00830F4C">
              <w:rPr>
                <w:rFonts w:ascii="Garamond" w:hAnsi="Garamond"/>
                <w:sz w:val="20"/>
              </w:rPr>
              <w:t>0.02%</w:t>
            </w:r>
          </w:p>
        </w:tc>
        <w:tc>
          <w:tcPr>
            <w:tcW w:w="0" w:type="auto"/>
            <w:tcBorders>
              <w:top w:val="nil"/>
              <w:left w:val="nil"/>
              <w:bottom w:val="single" w:sz="8" w:space="0" w:color="F7CAAC"/>
              <w:right w:val="single" w:sz="8" w:space="0" w:color="F7CAAC"/>
            </w:tcBorders>
            <w:shd w:val="clear" w:color="auto" w:fill="auto"/>
            <w:vAlign w:val="center"/>
            <w:hideMark/>
          </w:tcPr>
          <w:p w14:paraId="542E99D6" w14:textId="77777777" w:rsidR="00A53A79" w:rsidRPr="00830F4C" w:rsidRDefault="00A53A79" w:rsidP="00A53A79">
            <w:pPr>
              <w:jc w:val="right"/>
              <w:rPr>
                <w:rFonts w:ascii="Garamond" w:hAnsi="Garamond"/>
                <w:sz w:val="20"/>
              </w:rPr>
            </w:pPr>
            <w:r w:rsidRPr="00830F4C">
              <w:rPr>
                <w:rFonts w:ascii="Garamond" w:hAnsi="Garamond"/>
                <w:sz w:val="20"/>
              </w:rPr>
              <w:t>0.04%</w:t>
            </w:r>
          </w:p>
        </w:tc>
        <w:tc>
          <w:tcPr>
            <w:tcW w:w="0" w:type="auto"/>
            <w:tcBorders>
              <w:top w:val="nil"/>
              <w:left w:val="nil"/>
              <w:bottom w:val="single" w:sz="8" w:space="0" w:color="F7CAAC"/>
              <w:right w:val="single" w:sz="8" w:space="0" w:color="F7CAAC"/>
            </w:tcBorders>
            <w:shd w:val="clear" w:color="auto" w:fill="auto"/>
            <w:vAlign w:val="center"/>
            <w:hideMark/>
          </w:tcPr>
          <w:p w14:paraId="1AD08647" w14:textId="77777777" w:rsidR="00A53A79" w:rsidRPr="00830F4C" w:rsidRDefault="00A53A79" w:rsidP="00A53A79">
            <w:pPr>
              <w:jc w:val="right"/>
              <w:rPr>
                <w:rFonts w:ascii="Garamond" w:hAnsi="Garamond"/>
                <w:sz w:val="20"/>
              </w:rPr>
            </w:pPr>
            <w:r w:rsidRPr="00830F4C">
              <w:rPr>
                <w:rFonts w:ascii="Garamond" w:hAnsi="Garamond"/>
                <w:sz w:val="20"/>
              </w:rPr>
              <w:t>0.04%</w:t>
            </w:r>
          </w:p>
        </w:tc>
        <w:tc>
          <w:tcPr>
            <w:tcW w:w="0" w:type="auto"/>
            <w:tcBorders>
              <w:top w:val="nil"/>
              <w:left w:val="nil"/>
              <w:bottom w:val="single" w:sz="8" w:space="0" w:color="F7CAAC"/>
              <w:right w:val="single" w:sz="8" w:space="0" w:color="F7CAAC"/>
            </w:tcBorders>
            <w:shd w:val="clear" w:color="auto" w:fill="auto"/>
            <w:vAlign w:val="center"/>
            <w:hideMark/>
          </w:tcPr>
          <w:p w14:paraId="4CBC1BF9" w14:textId="77777777" w:rsidR="00A53A79" w:rsidRPr="00830F4C" w:rsidRDefault="00A53A79" w:rsidP="00A53A79">
            <w:pPr>
              <w:jc w:val="right"/>
              <w:rPr>
                <w:rFonts w:ascii="Garamond" w:hAnsi="Garamond"/>
                <w:sz w:val="20"/>
              </w:rPr>
            </w:pPr>
            <w:r w:rsidRPr="00830F4C">
              <w:rPr>
                <w:rFonts w:ascii="Garamond" w:hAnsi="Garamond"/>
                <w:sz w:val="20"/>
              </w:rPr>
              <w:t>0.05%</w:t>
            </w:r>
          </w:p>
        </w:tc>
        <w:tc>
          <w:tcPr>
            <w:tcW w:w="0" w:type="auto"/>
            <w:tcBorders>
              <w:top w:val="nil"/>
              <w:left w:val="nil"/>
              <w:bottom w:val="single" w:sz="8" w:space="0" w:color="F7CAAC"/>
              <w:right w:val="single" w:sz="8" w:space="0" w:color="F7CAAC"/>
            </w:tcBorders>
            <w:shd w:val="clear" w:color="auto" w:fill="auto"/>
            <w:vAlign w:val="center"/>
            <w:hideMark/>
          </w:tcPr>
          <w:p w14:paraId="6789F28D" w14:textId="77777777" w:rsidR="00A53A79" w:rsidRPr="00830F4C" w:rsidRDefault="00A53A79" w:rsidP="00A53A79">
            <w:pPr>
              <w:jc w:val="right"/>
              <w:rPr>
                <w:rFonts w:ascii="Garamond" w:hAnsi="Garamond"/>
                <w:sz w:val="20"/>
              </w:rPr>
            </w:pPr>
            <w:r w:rsidRPr="00830F4C">
              <w:rPr>
                <w:rFonts w:ascii="Garamond" w:hAnsi="Garamond"/>
                <w:sz w:val="20"/>
              </w:rPr>
              <w:t>0.14%</w:t>
            </w:r>
          </w:p>
        </w:tc>
      </w:tr>
      <w:tr w:rsidR="00A53A79" w:rsidRPr="00830F4C" w14:paraId="44EBE36B" w14:textId="77777777" w:rsidTr="00A53A79">
        <w:trPr>
          <w:trHeight w:val="20"/>
        </w:trPr>
        <w:tc>
          <w:tcPr>
            <w:tcW w:w="0" w:type="auto"/>
            <w:tcBorders>
              <w:top w:val="nil"/>
              <w:left w:val="single" w:sz="8" w:space="0" w:color="F7CAAC"/>
              <w:bottom w:val="single" w:sz="8" w:space="0" w:color="F7CAAC"/>
              <w:right w:val="single" w:sz="8" w:space="0" w:color="F7CAAC"/>
            </w:tcBorders>
            <w:shd w:val="clear" w:color="auto" w:fill="auto"/>
            <w:vAlign w:val="center"/>
            <w:hideMark/>
          </w:tcPr>
          <w:p w14:paraId="35292B63" w14:textId="77777777" w:rsidR="00A53A79" w:rsidRPr="00830F4C" w:rsidRDefault="00A53A79" w:rsidP="00A53A79">
            <w:pPr>
              <w:rPr>
                <w:rFonts w:ascii="Garamond" w:hAnsi="Garamond"/>
                <w:b/>
                <w:sz w:val="20"/>
              </w:rPr>
            </w:pPr>
            <w:r w:rsidRPr="00830F4C">
              <w:rPr>
                <w:rFonts w:ascii="Garamond" w:hAnsi="Garamond"/>
                <w:b/>
                <w:sz w:val="20"/>
              </w:rPr>
              <w:t>Totali</w:t>
            </w:r>
          </w:p>
        </w:tc>
        <w:tc>
          <w:tcPr>
            <w:tcW w:w="0" w:type="auto"/>
            <w:tcBorders>
              <w:top w:val="nil"/>
              <w:left w:val="nil"/>
              <w:bottom w:val="single" w:sz="8" w:space="0" w:color="F7CAAC"/>
              <w:right w:val="single" w:sz="8" w:space="0" w:color="F7CAAC"/>
            </w:tcBorders>
            <w:shd w:val="clear" w:color="auto" w:fill="auto"/>
            <w:vAlign w:val="center"/>
            <w:hideMark/>
          </w:tcPr>
          <w:p w14:paraId="077247D7" w14:textId="77777777" w:rsidR="00A53A79" w:rsidRPr="00830F4C" w:rsidRDefault="00A53A79" w:rsidP="00A53A79">
            <w:pPr>
              <w:jc w:val="right"/>
              <w:rPr>
                <w:rFonts w:ascii="Garamond" w:hAnsi="Garamond"/>
                <w:b/>
                <w:sz w:val="20"/>
              </w:rPr>
            </w:pPr>
            <w:r w:rsidRPr="00830F4C">
              <w:rPr>
                <w:rFonts w:ascii="Garamond" w:hAnsi="Garamond"/>
                <w:b/>
                <w:sz w:val="20"/>
              </w:rPr>
              <w:t>0.02%</w:t>
            </w:r>
          </w:p>
        </w:tc>
        <w:tc>
          <w:tcPr>
            <w:tcW w:w="0" w:type="auto"/>
            <w:tcBorders>
              <w:top w:val="nil"/>
              <w:left w:val="nil"/>
              <w:bottom w:val="single" w:sz="8" w:space="0" w:color="F7CAAC"/>
              <w:right w:val="single" w:sz="8" w:space="0" w:color="F7CAAC"/>
            </w:tcBorders>
            <w:shd w:val="clear" w:color="auto" w:fill="auto"/>
            <w:vAlign w:val="center"/>
            <w:hideMark/>
          </w:tcPr>
          <w:p w14:paraId="463AB289" w14:textId="77777777" w:rsidR="00A53A79" w:rsidRPr="00830F4C" w:rsidRDefault="00A53A79" w:rsidP="00A53A79">
            <w:pPr>
              <w:jc w:val="right"/>
              <w:rPr>
                <w:rFonts w:ascii="Garamond" w:hAnsi="Garamond"/>
                <w:b/>
                <w:sz w:val="20"/>
              </w:rPr>
            </w:pPr>
            <w:r w:rsidRPr="00830F4C">
              <w:rPr>
                <w:rFonts w:ascii="Garamond" w:hAnsi="Garamond"/>
                <w:b/>
                <w:sz w:val="20"/>
              </w:rPr>
              <w:t>0.05%</w:t>
            </w:r>
          </w:p>
        </w:tc>
        <w:tc>
          <w:tcPr>
            <w:tcW w:w="0" w:type="auto"/>
            <w:tcBorders>
              <w:top w:val="nil"/>
              <w:left w:val="nil"/>
              <w:bottom w:val="single" w:sz="8" w:space="0" w:color="F7CAAC"/>
              <w:right w:val="single" w:sz="8" w:space="0" w:color="F7CAAC"/>
            </w:tcBorders>
            <w:shd w:val="clear" w:color="auto" w:fill="auto"/>
            <w:vAlign w:val="center"/>
            <w:hideMark/>
          </w:tcPr>
          <w:p w14:paraId="54E00AC9" w14:textId="77777777" w:rsidR="00A53A79" w:rsidRPr="00830F4C" w:rsidRDefault="00A53A79" w:rsidP="00A53A79">
            <w:pPr>
              <w:jc w:val="right"/>
              <w:rPr>
                <w:rFonts w:ascii="Garamond" w:hAnsi="Garamond"/>
                <w:b/>
                <w:sz w:val="20"/>
              </w:rPr>
            </w:pPr>
            <w:r w:rsidRPr="00830F4C">
              <w:rPr>
                <w:rFonts w:ascii="Garamond" w:hAnsi="Garamond"/>
                <w:b/>
                <w:sz w:val="20"/>
              </w:rPr>
              <w:t>0.05%</w:t>
            </w:r>
          </w:p>
        </w:tc>
        <w:tc>
          <w:tcPr>
            <w:tcW w:w="0" w:type="auto"/>
            <w:tcBorders>
              <w:top w:val="nil"/>
              <w:left w:val="nil"/>
              <w:bottom w:val="single" w:sz="8" w:space="0" w:color="F7CAAC"/>
              <w:right w:val="single" w:sz="8" w:space="0" w:color="F7CAAC"/>
            </w:tcBorders>
            <w:shd w:val="clear" w:color="auto" w:fill="auto"/>
            <w:vAlign w:val="center"/>
            <w:hideMark/>
          </w:tcPr>
          <w:p w14:paraId="320A92C4" w14:textId="77777777" w:rsidR="00A53A79" w:rsidRPr="00830F4C" w:rsidRDefault="00A53A79" w:rsidP="00A53A79">
            <w:pPr>
              <w:jc w:val="right"/>
              <w:rPr>
                <w:rFonts w:ascii="Garamond" w:hAnsi="Garamond"/>
                <w:b/>
                <w:sz w:val="20"/>
              </w:rPr>
            </w:pPr>
            <w:r w:rsidRPr="00830F4C">
              <w:rPr>
                <w:rFonts w:ascii="Garamond" w:hAnsi="Garamond"/>
                <w:b/>
                <w:sz w:val="20"/>
              </w:rPr>
              <w:t>0.06%</w:t>
            </w:r>
          </w:p>
        </w:tc>
        <w:tc>
          <w:tcPr>
            <w:tcW w:w="0" w:type="auto"/>
            <w:tcBorders>
              <w:top w:val="nil"/>
              <w:left w:val="nil"/>
              <w:bottom w:val="single" w:sz="8" w:space="0" w:color="F7CAAC"/>
              <w:right w:val="single" w:sz="8" w:space="0" w:color="F7CAAC"/>
            </w:tcBorders>
            <w:shd w:val="clear" w:color="auto" w:fill="auto"/>
            <w:vAlign w:val="center"/>
            <w:hideMark/>
          </w:tcPr>
          <w:p w14:paraId="5AAD498F" w14:textId="77777777" w:rsidR="00A53A79" w:rsidRPr="00830F4C" w:rsidRDefault="00A53A79" w:rsidP="00A53A79">
            <w:pPr>
              <w:jc w:val="right"/>
              <w:rPr>
                <w:rFonts w:ascii="Garamond" w:hAnsi="Garamond"/>
                <w:b/>
                <w:sz w:val="20"/>
              </w:rPr>
            </w:pPr>
            <w:r w:rsidRPr="00830F4C">
              <w:rPr>
                <w:rFonts w:ascii="Garamond" w:hAnsi="Garamond"/>
                <w:b/>
                <w:sz w:val="20"/>
              </w:rPr>
              <w:t>0.18%</w:t>
            </w:r>
          </w:p>
        </w:tc>
      </w:tr>
    </w:tbl>
    <w:p w14:paraId="28804C00" w14:textId="77777777" w:rsidR="00A53A79" w:rsidRPr="00830F4C" w:rsidRDefault="00A53A79" w:rsidP="00A53A79">
      <w:pPr>
        <w:autoSpaceDE w:val="0"/>
        <w:autoSpaceDN w:val="0"/>
        <w:adjustRightInd w:val="0"/>
        <w:ind w:firstLine="284"/>
        <w:jc w:val="both"/>
        <w:rPr>
          <w:rFonts w:ascii="Garamond" w:eastAsiaTheme="minorHAnsi" w:hAnsi="Garamond"/>
          <w:b/>
        </w:rPr>
      </w:pPr>
      <w:r w:rsidRPr="00830F4C">
        <w:rPr>
          <w:rFonts w:ascii="Garamond" w:eastAsiaTheme="minorHAnsi" w:hAnsi="Garamond"/>
          <w:b/>
        </w:rPr>
        <w:t>Prioritetet:</w:t>
      </w:r>
    </w:p>
    <w:p w14:paraId="5CF06474" w14:textId="146CF90A" w:rsidR="00A53A79" w:rsidRPr="00830F4C" w:rsidRDefault="00A53A79" w:rsidP="00A53A79">
      <w:pPr>
        <w:autoSpaceDE w:val="0"/>
        <w:autoSpaceDN w:val="0"/>
        <w:adjustRightInd w:val="0"/>
        <w:ind w:firstLine="284"/>
        <w:jc w:val="both"/>
        <w:rPr>
          <w:rFonts w:ascii="Garamond" w:eastAsiaTheme="minorHAnsi" w:hAnsi="Garamond"/>
        </w:rPr>
      </w:pPr>
      <w:r w:rsidRPr="00830F4C">
        <w:rPr>
          <w:rFonts w:ascii="Garamond" w:eastAsiaTheme="minorHAnsi" w:hAnsi="Garamond"/>
        </w:rPr>
        <w:t>Prioritetet për periudhën</w:t>
      </w:r>
      <w:r w:rsidR="00800B00" w:rsidRPr="00830F4C">
        <w:rPr>
          <w:rFonts w:ascii="Garamond" w:eastAsiaTheme="minorHAnsi" w:hAnsi="Garamond"/>
        </w:rPr>
        <w:t xml:space="preserve"> </w:t>
      </w:r>
      <w:r w:rsidR="00D22EA5" w:rsidRPr="00830F4C">
        <w:rPr>
          <w:rFonts w:ascii="Garamond" w:eastAsiaTheme="minorHAnsi" w:hAnsi="Garamond"/>
        </w:rPr>
        <w:t>2024–2027</w:t>
      </w:r>
      <w:r w:rsidRPr="00830F4C">
        <w:rPr>
          <w:rFonts w:ascii="Garamond" w:eastAsiaTheme="minorHAnsi" w:hAnsi="Garamond"/>
        </w:rPr>
        <w:t xml:space="preserve"> janë:</w:t>
      </w:r>
    </w:p>
    <w:p w14:paraId="0D4AA8C9" w14:textId="2522AA84" w:rsidR="00A53A79" w:rsidRPr="00830F4C" w:rsidRDefault="00A53A79" w:rsidP="00A53A79">
      <w:pPr>
        <w:autoSpaceDE w:val="0"/>
        <w:autoSpaceDN w:val="0"/>
        <w:adjustRightInd w:val="0"/>
        <w:ind w:firstLine="284"/>
        <w:rPr>
          <w:rFonts w:ascii="Garamond" w:eastAsiaTheme="minorHAnsi" w:hAnsi="Garamond"/>
        </w:rPr>
      </w:pPr>
      <w:r w:rsidRPr="00830F4C">
        <w:rPr>
          <w:rFonts w:ascii="Garamond" w:eastAsiaTheme="minorHAnsi" w:hAnsi="Garamond"/>
        </w:rPr>
        <w:t>1. Rritja me 0.18% e PPB</w:t>
      </w:r>
      <w:r w:rsidR="00DE65FB">
        <w:rPr>
          <w:rFonts w:ascii="Garamond" w:eastAsia="MS Mincho" w:hAnsi="Garamond"/>
        </w:rPr>
        <w:t>-</w:t>
      </w:r>
      <w:r w:rsidR="00DE65FB" w:rsidRPr="00830F4C">
        <w:rPr>
          <w:rFonts w:ascii="Garamond" w:eastAsia="MS Mincho" w:hAnsi="Garamond"/>
        </w:rPr>
        <w:t>së</w:t>
      </w:r>
      <w:r w:rsidRPr="00830F4C">
        <w:rPr>
          <w:rFonts w:ascii="Garamond" w:eastAsiaTheme="minorHAnsi" w:hAnsi="Garamond"/>
        </w:rPr>
        <w:t xml:space="preserve"> </w:t>
      </w:r>
      <w:r w:rsidR="00DE65FB">
        <w:rPr>
          <w:rFonts w:ascii="Garamond" w:eastAsiaTheme="minorHAnsi" w:hAnsi="Garamond"/>
        </w:rPr>
        <w:t>s</w:t>
      </w:r>
      <w:r w:rsidRPr="00830F4C">
        <w:rPr>
          <w:rFonts w:ascii="Garamond" w:eastAsiaTheme="minorHAnsi" w:hAnsi="Garamond"/>
        </w:rPr>
        <w:t>ë të ardhurave nga tatimi mbi pagën dhe kontributet e sigurimeve shoqërore dhe shëndetësore;</w:t>
      </w:r>
    </w:p>
    <w:p w14:paraId="0439D70D" w14:textId="77777777" w:rsidR="00A53A79" w:rsidRPr="00830F4C" w:rsidRDefault="00A53A79" w:rsidP="00A53A79">
      <w:pPr>
        <w:autoSpaceDE w:val="0"/>
        <w:autoSpaceDN w:val="0"/>
        <w:adjustRightInd w:val="0"/>
        <w:ind w:firstLine="284"/>
        <w:rPr>
          <w:rFonts w:ascii="Garamond" w:eastAsiaTheme="minorHAnsi" w:hAnsi="Garamond"/>
        </w:rPr>
      </w:pPr>
      <w:r w:rsidRPr="00830F4C">
        <w:rPr>
          <w:rFonts w:ascii="Garamond" w:eastAsiaTheme="minorHAnsi" w:hAnsi="Garamond"/>
        </w:rPr>
        <w:t>2. Rritja e deklarimit të pagës reale të 16 % të punësuarve;</w:t>
      </w:r>
    </w:p>
    <w:p w14:paraId="39FBD1C2" w14:textId="77777777" w:rsidR="00A53A79" w:rsidRPr="00830F4C" w:rsidRDefault="00A53A79" w:rsidP="00A53A79">
      <w:pPr>
        <w:autoSpaceDE w:val="0"/>
        <w:autoSpaceDN w:val="0"/>
        <w:adjustRightInd w:val="0"/>
        <w:ind w:firstLine="284"/>
        <w:rPr>
          <w:rFonts w:ascii="Garamond" w:eastAsiaTheme="minorHAnsi" w:hAnsi="Garamond"/>
        </w:rPr>
      </w:pPr>
      <w:r w:rsidRPr="00830F4C">
        <w:rPr>
          <w:rFonts w:ascii="Garamond" w:eastAsiaTheme="minorHAnsi" w:hAnsi="Garamond"/>
        </w:rPr>
        <w:t>3. Përfshirja në skemën e kontribuesve me 5.5 % pozicione të rinj pune;</w:t>
      </w:r>
    </w:p>
    <w:p w14:paraId="0CAAD69F" w14:textId="77777777" w:rsidR="00A53A79" w:rsidRPr="00830F4C" w:rsidRDefault="00A53A79" w:rsidP="00A53A79">
      <w:pPr>
        <w:autoSpaceDE w:val="0"/>
        <w:autoSpaceDN w:val="0"/>
        <w:adjustRightInd w:val="0"/>
        <w:ind w:firstLine="284"/>
        <w:rPr>
          <w:rFonts w:ascii="Garamond" w:eastAsiaTheme="minorHAnsi" w:hAnsi="Garamond"/>
        </w:rPr>
      </w:pPr>
      <w:r w:rsidRPr="00830F4C">
        <w:rPr>
          <w:rFonts w:ascii="Garamond" w:eastAsiaTheme="minorHAnsi" w:hAnsi="Garamond"/>
        </w:rPr>
        <w:t>4. Hartimi i planit sektorial për identifikimin e punës së padeklaruar dhe nëndeklaruar.</w:t>
      </w:r>
    </w:p>
    <w:p w14:paraId="10F84EC2" w14:textId="77777777" w:rsidR="00A53A79" w:rsidRPr="00830F4C" w:rsidRDefault="00A53A79" w:rsidP="00A53A79">
      <w:pPr>
        <w:autoSpaceDE w:val="0"/>
        <w:autoSpaceDN w:val="0"/>
        <w:adjustRightInd w:val="0"/>
        <w:ind w:firstLine="284"/>
        <w:rPr>
          <w:rFonts w:ascii="Garamond" w:eastAsiaTheme="minorHAnsi" w:hAnsi="Garamond"/>
        </w:rPr>
      </w:pPr>
      <w:r w:rsidRPr="00830F4C">
        <w:rPr>
          <w:rFonts w:ascii="Garamond" w:eastAsiaTheme="minorHAnsi" w:hAnsi="Garamond"/>
        </w:rPr>
        <w:t>5. Zhvillimi i një fushate të gjerë ndërgjegjësimi mbi përfitimet e punës së deklaruar.</w:t>
      </w:r>
    </w:p>
    <w:p w14:paraId="20F21669" w14:textId="77777777" w:rsidR="00A53A79" w:rsidRPr="00830F4C" w:rsidRDefault="00A53A79" w:rsidP="00A53A79">
      <w:pPr>
        <w:jc w:val="both"/>
        <w:rPr>
          <w:rFonts w:ascii="Garamond" w:hAnsi="Garamond"/>
          <w:b/>
        </w:rPr>
      </w:pPr>
      <w:r w:rsidRPr="00830F4C">
        <w:rPr>
          <w:rFonts w:ascii="Garamond" w:hAnsi="Garamond"/>
          <w:b/>
        </w:rPr>
        <w:t>Masat dhe aktivitetet</w:t>
      </w:r>
    </w:p>
    <w:tbl>
      <w:tblPr>
        <w:tblStyle w:val="TableGrid"/>
        <w:tblW w:w="0" w:type="auto"/>
        <w:tblLook w:val="04A0" w:firstRow="1" w:lastRow="0" w:firstColumn="1" w:lastColumn="0" w:noHBand="0" w:noVBand="1"/>
      </w:tblPr>
      <w:tblGrid>
        <w:gridCol w:w="2290"/>
        <w:gridCol w:w="2579"/>
        <w:gridCol w:w="1143"/>
        <w:gridCol w:w="1343"/>
        <w:gridCol w:w="1661"/>
      </w:tblGrid>
      <w:tr w:rsidR="00A53A79" w:rsidRPr="00CC11D5" w14:paraId="3A637414" w14:textId="77777777" w:rsidTr="00377F8B">
        <w:trPr>
          <w:trHeight w:val="20"/>
        </w:trPr>
        <w:tc>
          <w:tcPr>
            <w:tcW w:w="2290" w:type="dxa"/>
            <w:vAlign w:val="center"/>
          </w:tcPr>
          <w:p w14:paraId="02527AE3" w14:textId="77777777" w:rsidR="00A53A79" w:rsidRPr="00CC11D5" w:rsidRDefault="00A53A79" w:rsidP="00377F8B">
            <w:pPr>
              <w:jc w:val="center"/>
              <w:rPr>
                <w:rFonts w:ascii="Garamond" w:hAnsi="Garamond"/>
                <w:b/>
                <w:sz w:val="12"/>
                <w:szCs w:val="12"/>
              </w:rPr>
            </w:pPr>
            <w:r w:rsidRPr="00CC11D5">
              <w:rPr>
                <w:rFonts w:ascii="Garamond" w:hAnsi="Garamond"/>
                <w:b/>
                <w:sz w:val="12"/>
                <w:szCs w:val="12"/>
              </w:rPr>
              <w:t>Masa</w:t>
            </w:r>
          </w:p>
        </w:tc>
        <w:tc>
          <w:tcPr>
            <w:tcW w:w="2579" w:type="dxa"/>
            <w:vAlign w:val="center"/>
          </w:tcPr>
          <w:p w14:paraId="3141078B" w14:textId="77777777" w:rsidR="00A53A79" w:rsidRPr="00CC11D5" w:rsidRDefault="00A53A79" w:rsidP="00377F8B">
            <w:pPr>
              <w:jc w:val="center"/>
              <w:rPr>
                <w:rFonts w:ascii="Garamond" w:hAnsi="Garamond"/>
                <w:b/>
                <w:sz w:val="12"/>
                <w:szCs w:val="12"/>
              </w:rPr>
            </w:pPr>
            <w:r w:rsidRPr="00CC11D5">
              <w:rPr>
                <w:rFonts w:ascii="Garamond" w:hAnsi="Garamond"/>
                <w:b/>
                <w:sz w:val="12"/>
                <w:szCs w:val="12"/>
              </w:rPr>
              <w:t>Aktivitetet</w:t>
            </w:r>
          </w:p>
        </w:tc>
        <w:tc>
          <w:tcPr>
            <w:tcW w:w="1143" w:type="dxa"/>
            <w:vAlign w:val="center"/>
          </w:tcPr>
          <w:p w14:paraId="26CB385E" w14:textId="77777777" w:rsidR="00A53A79" w:rsidRPr="00CC11D5" w:rsidRDefault="00A53A79" w:rsidP="00377F8B">
            <w:pPr>
              <w:jc w:val="center"/>
              <w:rPr>
                <w:rFonts w:ascii="Garamond" w:hAnsi="Garamond"/>
                <w:b/>
                <w:sz w:val="12"/>
                <w:szCs w:val="12"/>
              </w:rPr>
            </w:pPr>
            <w:r w:rsidRPr="00CC11D5">
              <w:rPr>
                <w:rFonts w:ascii="Garamond" w:hAnsi="Garamond"/>
                <w:b/>
                <w:sz w:val="12"/>
                <w:szCs w:val="12"/>
              </w:rPr>
              <w:t>Fillimi</w:t>
            </w:r>
          </w:p>
        </w:tc>
        <w:tc>
          <w:tcPr>
            <w:tcW w:w="1343" w:type="dxa"/>
            <w:vAlign w:val="center"/>
          </w:tcPr>
          <w:p w14:paraId="5D3E2299" w14:textId="77777777" w:rsidR="00A53A79" w:rsidRPr="00CC11D5" w:rsidRDefault="00A53A79" w:rsidP="00377F8B">
            <w:pPr>
              <w:jc w:val="center"/>
              <w:rPr>
                <w:rFonts w:ascii="Garamond" w:hAnsi="Garamond"/>
                <w:b/>
                <w:sz w:val="12"/>
                <w:szCs w:val="12"/>
              </w:rPr>
            </w:pPr>
            <w:r w:rsidRPr="00CC11D5">
              <w:rPr>
                <w:rFonts w:ascii="Garamond" w:hAnsi="Garamond"/>
                <w:b/>
                <w:sz w:val="12"/>
                <w:szCs w:val="12"/>
              </w:rPr>
              <w:t>Mbarimi</w:t>
            </w:r>
          </w:p>
        </w:tc>
        <w:tc>
          <w:tcPr>
            <w:tcW w:w="1661" w:type="dxa"/>
            <w:vAlign w:val="center"/>
          </w:tcPr>
          <w:p w14:paraId="33C2271E" w14:textId="77777777" w:rsidR="00A53A79" w:rsidRPr="00CC11D5" w:rsidRDefault="00A53A79" w:rsidP="00377F8B">
            <w:pPr>
              <w:jc w:val="center"/>
              <w:rPr>
                <w:rFonts w:ascii="Garamond" w:hAnsi="Garamond"/>
                <w:b/>
                <w:sz w:val="12"/>
                <w:szCs w:val="12"/>
              </w:rPr>
            </w:pPr>
            <w:r w:rsidRPr="00CC11D5">
              <w:rPr>
                <w:rFonts w:ascii="Garamond" w:hAnsi="Garamond"/>
                <w:b/>
                <w:sz w:val="12"/>
                <w:szCs w:val="12"/>
              </w:rPr>
              <w:t>Institucioni përgjegjës</w:t>
            </w:r>
          </w:p>
        </w:tc>
      </w:tr>
      <w:tr w:rsidR="00A53A79" w:rsidRPr="00CC11D5" w14:paraId="1204D5B6" w14:textId="77777777" w:rsidTr="00A53A79">
        <w:trPr>
          <w:trHeight w:val="20"/>
        </w:trPr>
        <w:tc>
          <w:tcPr>
            <w:tcW w:w="2290" w:type="dxa"/>
          </w:tcPr>
          <w:p w14:paraId="1468F65D" w14:textId="3DF45867" w:rsidR="00A53A79" w:rsidRPr="00CC11D5" w:rsidRDefault="00A53A79" w:rsidP="00A53A79">
            <w:pPr>
              <w:jc w:val="center"/>
              <w:rPr>
                <w:rFonts w:ascii="Garamond" w:eastAsiaTheme="minorHAnsi" w:hAnsi="Garamond"/>
                <w:bCs/>
                <w:sz w:val="12"/>
                <w:szCs w:val="12"/>
              </w:rPr>
            </w:pPr>
            <w:r w:rsidRPr="00CC11D5">
              <w:rPr>
                <w:rFonts w:ascii="Garamond" w:eastAsiaTheme="minorHAnsi" w:hAnsi="Garamond"/>
                <w:sz w:val="12"/>
                <w:szCs w:val="12"/>
              </w:rPr>
              <w:t xml:space="preserve">Masa 2.5.1: </w:t>
            </w:r>
            <w:r w:rsidRPr="00CC11D5">
              <w:rPr>
                <w:rFonts w:ascii="Garamond" w:eastAsiaTheme="minorHAnsi" w:hAnsi="Garamond"/>
                <w:bCs/>
                <w:sz w:val="12"/>
                <w:szCs w:val="12"/>
              </w:rPr>
              <w:t>Hartimi i një plani të integruar në drejtim të mosdeklarimit të punonjësve</w:t>
            </w:r>
          </w:p>
          <w:p w14:paraId="19C0121F" w14:textId="77777777" w:rsidR="00A53A79" w:rsidRPr="00CC11D5" w:rsidRDefault="00A53A79" w:rsidP="00A53A79">
            <w:pPr>
              <w:jc w:val="center"/>
              <w:rPr>
                <w:rFonts w:ascii="Garamond" w:eastAsiaTheme="minorHAnsi" w:hAnsi="Garamond"/>
                <w:sz w:val="12"/>
                <w:szCs w:val="12"/>
              </w:rPr>
            </w:pPr>
          </w:p>
        </w:tc>
        <w:tc>
          <w:tcPr>
            <w:tcW w:w="2579" w:type="dxa"/>
          </w:tcPr>
          <w:p w14:paraId="7883FBE9" w14:textId="51EA9F98" w:rsidR="00A53A79" w:rsidRPr="00CC11D5" w:rsidRDefault="00A53A79" w:rsidP="00A53A79">
            <w:pPr>
              <w:jc w:val="center"/>
              <w:rPr>
                <w:rFonts w:ascii="Garamond" w:hAnsi="Garamond"/>
                <w:sz w:val="12"/>
                <w:szCs w:val="12"/>
              </w:rPr>
            </w:pPr>
            <w:r w:rsidRPr="00CC11D5">
              <w:rPr>
                <w:rFonts w:ascii="Garamond" w:hAnsi="Garamond"/>
                <w:sz w:val="12"/>
                <w:szCs w:val="12"/>
              </w:rPr>
              <w:t xml:space="preserve">Aktiviteti </w:t>
            </w:r>
            <w:r w:rsidRPr="00CC11D5">
              <w:rPr>
                <w:rFonts w:ascii="Garamond" w:eastAsiaTheme="minorHAnsi" w:hAnsi="Garamond"/>
                <w:sz w:val="12"/>
                <w:szCs w:val="12"/>
              </w:rPr>
              <w:t>2.5.1.</w:t>
            </w:r>
            <w:r w:rsidRPr="00CC11D5">
              <w:rPr>
                <w:rFonts w:ascii="Garamond" w:hAnsi="Garamond"/>
                <w:sz w:val="12"/>
                <w:szCs w:val="12"/>
              </w:rPr>
              <w:t>1</w:t>
            </w:r>
            <w:r w:rsidR="00DE65FB" w:rsidRPr="00CC11D5">
              <w:rPr>
                <w:rFonts w:ascii="Garamond" w:hAnsi="Garamond"/>
                <w:sz w:val="12"/>
                <w:szCs w:val="12"/>
              </w:rPr>
              <w:t xml:space="preserve">: </w:t>
            </w:r>
            <w:r w:rsidRPr="00CC11D5">
              <w:rPr>
                <w:rFonts w:ascii="Garamond" w:hAnsi="Garamond"/>
                <w:sz w:val="12"/>
                <w:szCs w:val="12"/>
              </w:rPr>
              <w:t>Hartimi i një Plani Sektorial për identifikimin e punës së padeklaruar.</w:t>
            </w:r>
          </w:p>
        </w:tc>
        <w:tc>
          <w:tcPr>
            <w:tcW w:w="1143" w:type="dxa"/>
          </w:tcPr>
          <w:p w14:paraId="7A6412E0" w14:textId="77777777" w:rsidR="00A53A79" w:rsidRPr="00CC11D5" w:rsidRDefault="00A53A79" w:rsidP="00A53A79">
            <w:pPr>
              <w:jc w:val="center"/>
              <w:rPr>
                <w:rFonts w:ascii="Garamond" w:hAnsi="Garamond"/>
                <w:sz w:val="12"/>
                <w:szCs w:val="12"/>
              </w:rPr>
            </w:pPr>
            <w:r w:rsidRPr="00CC11D5">
              <w:rPr>
                <w:rFonts w:ascii="Garamond" w:hAnsi="Garamond"/>
                <w:sz w:val="12"/>
                <w:szCs w:val="12"/>
              </w:rPr>
              <w:t>2025</w:t>
            </w:r>
          </w:p>
        </w:tc>
        <w:tc>
          <w:tcPr>
            <w:tcW w:w="1343" w:type="dxa"/>
          </w:tcPr>
          <w:p w14:paraId="6C3517AE" w14:textId="77777777" w:rsidR="00A53A79" w:rsidRPr="00CC11D5" w:rsidRDefault="00A53A79" w:rsidP="00A53A79">
            <w:pPr>
              <w:jc w:val="center"/>
              <w:rPr>
                <w:rFonts w:ascii="Garamond" w:hAnsi="Garamond"/>
                <w:sz w:val="12"/>
                <w:szCs w:val="12"/>
              </w:rPr>
            </w:pPr>
            <w:r w:rsidRPr="00CC11D5">
              <w:rPr>
                <w:rFonts w:ascii="Garamond" w:hAnsi="Garamond"/>
                <w:sz w:val="12"/>
                <w:szCs w:val="12"/>
              </w:rPr>
              <w:t>2027</w:t>
            </w:r>
          </w:p>
        </w:tc>
        <w:tc>
          <w:tcPr>
            <w:tcW w:w="1661" w:type="dxa"/>
          </w:tcPr>
          <w:p w14:paraId="4BDA553D" w14:textId="759F81BF" w:rsidR="00A53A79" w:rsidRPr="00CC11D5" w:rsidRDefault="00A53A79" w:rsidP="00A53A79">
            <w:pPr>
              <w:jc w:val="center"/>
              <w:rPr>
                <w:rFonts w:ascii="Garamond" w:hAnsi="Garamond"/>
                <w:sz w:val="12"/>
                <w:szCs w:val="12"/>
              </w:rPr>
            </w:pPr>
            <w:r w:rsidRPr="00CC11D5">
              <w:rPr>
                <w:rFonts w:ascii="Garamond" w:hAnsi="Garamond"/>
                <w:sz w:val="12"/>
                <w:szCs w:val="12"/>
              </w:rPr>
              <w:t>DPT/</w:t>
            </w:r>
            <w:r w:rsidR="00DE65FB" w:rsidRPr="00CC11D5">
              <w:rPr>
                <w:rFonts w:ascii="Garamond" w:hAnsi="Garamond"/>
                <w:sz w:val="12"/>
                <w:szCs w:val="12"/>
              </w:rPr>
              <w:t>Inspektorati</w:t>
            </w:r>
            <w:r w:rsidRPr="00CC11D5">
              <w:rPr>
                <w:rFonts w:ascii="Garamond" w:hAnsi="Garamond"/>
                <w:sz w:val="12"/>
                <w:szCs w:val="12"/>
              </w:rPr>
              <w:t xml:space="preserve"> i Punës/Shoqatat e biznesit</w:t>
            </w:r>
          </w:p>
        </w:tc>
      </w:tr>
      <w:tr w:rsidR="00A53A79" w:rsidRPr="00CC11D5" w14:paraId="799575AE" w14:textId="77777777" w:rsidTr="00A53A79">
        <w:trPr>
          <w:trHeight w:val="20"/>
        </w:trPr>
        <w:tc>
          <w:tcPr>
            <w:tcW w:w="2290" w:type="dxa"/>
          </w:tcPr>
          <w:p w14:paraId="5E8764B5" w14:textId="61F04813" w:rsidR="00A53A79" w:rsidRPr="00CC11D5" w:rsidRDefault="00A53A79" w:rsidP="00A53A79">
            <w:pPr>
              <w:jc w:val="center"/>
              <w:rPr>
                <w:rFonts w:ascii="Garamond" w:eastAsiaTheme="minorHAnsi" w:hAnsi="Garamond"/>
                <w:sz w:val="12"/>
                <w:szCs w:val="12"/>
              </w:rPr>
            </w:pPr>
            <w:r w:rsidRPr="00CC11D5">
              <w:rPr>
                <w:rFonts w:ascii="Garamond" w:eastAsiaTheme="minorHAnsi" w:hAnsi="Garamond"/>
                <w:sz w:val="12"/>
                <w:szCs w:val="12"/>
              </w:rPr>
              <w:t xml:space="preserve">Masa 2.5.2: </w:t>
            </w:r>
            <w:r w:rsidRPr="00CC11D5">
              <w:rPr>
                <w:rFonts w:ascii="Garamond" w:eastAsiaTheme="minorHAnsi" w:hAnsi="Garamond"/>
                <w:bCs/>
                <w:sz w:val="12"/>
                <w:szCs w:val="12"/>
              </w:rPr>
              <w:t>Përmirësimi i bashkëpunimit ndërinstitucional për koordinimin e veprimeve në kuadër të identifikimit të punës së padeklaruar ose nëndeklaruar, mbështetur në një strategji të qartë</w:t>
            </w:r>
          </w:p>
        </w:tc>
        <w:tc>
          <w:tcPr>
            <w:tcW w:w="2579" w:type="dxa"/>
          </w:tcPr>
          <w:p w14:paraId="02557E9B" w14:textId="77777777" w:rsidR="00DE65FB" w:rsidRPr="00CC11D5" w:rsidRDefault="00A53A79" w:rsidP="00A53A79">
            <w:pPr>
              <w:jc w:val="center"/>
              <w:rPr>
                <w:rFonts w:ascii="Garamond" w:hAnsi="Garamond"/>
                <w:sz w:val="12"/>
                <w:szCs w:val="12"/>
              </w:rPr>
            </w:pPr>
            <w:r w:rsidRPr="00CC11D5">
              <w:rPr>
                <w:rFonts w:ascii="Garamond" w:hAnsi="Garamond"/>
                <w:sz w:val="12"/>
                <w:szCs w:val="12"/>
              </w:rPr>
              <w:t>Aktiviteti 2.5.2.1</w:t>
            </w:r>
            <w:r w:rsidR="00DE65FB" w:rsidRPr="00CC11D5">
              <w:rPr>
                <w:rFonts w:ascii="Garamond" w:hAnsi="Garamond"/>
                <w:sz w:val="12"/>
                <w:szCs w:val="12"/>
              </w:rPr>
              <w:t>:</w:t>
            </w:r>
            <w:r w:rsidRPr="00CC11D5">
              <w:rPr>
                <w:rFonts w:ascii="Garamond" w:hAnsi="Garamond"/>
                <w:sz w:val="12"/>
                <w:szCs w:val="12"/>
              </w:rPr>
              <w:t xml:space="preserve"> Përmirësimi i marrëveshjeve të bashkëpunimit me Institutin e Sigurimeve Shoqërore</w:t>
            </w:r>
            <w:r w:rsidR="00D22EA5" w:rsidRPr="00CC11D5">
              <w:rPr>
                <w:rFonts w:ascii="Garamond" w:hAnsi="Garamond"/>
                <w:sz w:val="12"/>
                <w:szCs w:val="12"/>
              </w:rPr>
              <w:t xml:space="preserve"> </w:t>
            </w:r>
            <w:r w:rsidRPr="00CC11D5">
              <w:rPr>
                <w:rFonts w:ascii="Garamond" w:hAnsi="Garamond"/>
                <w:sz w:val="12"/>
                <w:szCs w:val="12"/>
              </w:rPr>
              <w:t xml:space="preserve">dhe </w:t>
            </w:r>
            <w:r w:rsidR="005C7FB7" w:rsidRPr="00CC11D5">
              <w:rPr>
                <w:rFonts w:ascii="Garamond" w:hAnsi="Garamond"/>
                <w:sz w:val="12"/>
                <w:szCs w:val="12"/>
              </w:rPr>
              <w:t>Inspektoratit</w:t>
            </w:r>
            <w:r w:rsidRPr="00CC11D5">
              <w:rPr>
                <w:rFonts w:ascii="Garamond" w:hAnsi="Garamond"/>
                <w:sz w:val="12"/>
                <w:szCs w:val="12"/>
              </w:rPr>
              <w:t xml:space="preserve"> Shtetëror të Punës dhe Shërbimeve Shoqërore</w:t>
            </w:r>
            <w:r w:rsidRPr="00CC11D5" w:rsidDel="00724C23">
              <w:rPr>
                <w:rFonts w:ascii="Garamond" w:hAnsi="Garamond"/>
                <w:sz w:val="12"/>
                <w:szCs w:val="12"/>
              </w:rPr>
              <w:t xml:space="preserve"> </w:t>
            </w:r>
            <w:r w:rsidRPr="00CC11D5">
              <w:rPr>
                <w:rFonts w:ascii="Garamond" w:hAnsi="Garamond"/>
                <w:sz w:val="12"/>
                <w:szCs w:val="12"/>
              </w:rPr>
              <w:t>lidhur me shkëmbimin e të dhënave Aktiviteti</w:t>
            </w:r>
            <w:r w:rsidR="00DE65FB" w:rsidRPr="00CC11D5">
              <w:rPr>
                <w:rFonts w:ascii="Garamond" w:hAnsi="Garamond"/>
                <w:sz w:val="12"/>
                <w:szCs w:val="12"/>
              </w:rPr>
              <w:t>;</w:t>
            </w:r>
            <w:r w:rsidRPr="00CC11D5">
              <w:rPr>
                <w:rFonts w:ascii="Garamond" w:hAnsi="Garamond"/>
                <w:sz w:val="12"/>
                <w:szCs w:val="12"/>
              </w:rPr>
              <w:t xml:space="preserve"> </w:t>
            </w:r>
          </w:p>
          <w:p w14:paraId="0B2F596F" w14:textId="03417C98" w:rsidR="00A53A79" w:rsidRPr="00CC11D5" w:rsidRDefault="00A53A79" w:rsidP="00A53A79">
            <w:pPr>
              <w:jc w:val="center"/>
              <w:rPr>
                <w:rFonts w:ascii="Garamond" w:hAnsi="Garamond"/>
                <w:sz w:val="12"/>
                <w:szCs w:val="12"/>
              </w:rPr>
            </w:pPr>
            <w:r w:rsidRPr="00CC11D5">
              <w:rPr>
                <w:rFonts w:ascii="Garamond" w:hAnsi="Garamond"/>
                <w:sz w:val="12"/>
                <w:szCs w:val="12"/>
              </w:rPr>
              <w:t>2.5.2.1</w:t>
            </w:r>
            <w:r w:rsidR="00DE65FB" w:rsidRPr="00CC11D5">
              <w:rPr>
                <w:rFonts w:ascii="Garamond" w:hAnsi="Garamond"/>
                <w:sz w:val="12"/>
                <w:szCs w:val="12"/>
              </w:rPr>
              <w:t>:</w:t>
            </w:r>
            <w:r w:rsidRPr="00CC11D5">
              <w:rPr>
                <w:rFonts w:ascii="Garamond" w:hAnsi="Garamond"/>
                <w:sz w:val="12"/>
                <w:szCs w:val="12"/>
              </w:rPr>
              <w:t xml:space="preserve"> Hartimi i një Plani Operacional Ndërinstitucional me strukturat AT, ISSH dhe ISHPSHSH</w:t>
            </w:r>
          </w:p>
          <w:p w14:paraId="3286BD75" w14:textId="77777777" w:rsidR="00A53A79" w:rsidRPr="00CC11D5" w:rsidRDefault="00A53A79" w:rsidP="00A53A79">
            <w:pPr>
              <w:contextualSpacing/>
              <w:jc w:val="center"/>
              <w:rPr>
                <w:rFonts w:ascii="Garamond" w:hAnsi="Garamond"/>
                <w:sz w:val="12"/>
                <w:szCs w:val="12"/>
              </w:rPr>
            </w:pPr>
          </w:p>
        </w:tc>
        <w:tc>
          <w:tcPr>
            <w:tcW w:w="1143" w:type="dxa"/>
          </w:tcPr>
          <w:p w14:paraId="761F0BF0" w14:textId="77777777" w:rsidR="00A53A79" w:rsidRPr="00CC11D5" w:rsidRDefault="00A53A79" w:rsidP="00A53A79">
            <w:pPr>
              <w:jc w:val="center"/>
              <w:rPr>
                <w:rFonts w:ascii="Garamond" w:hAnsi="Garamond"/>
                <w:sz w:val="12"/>
                <w:szCs w:val="12"/>
              </w:rPr>
            </w:pPr>
            <w:r w:rsidRPr="00CC11D5">
              <w:rPr>
                <w:rFonts w:ascii="Garamond" w:hAnsi="Garamond"/>
                <w:sz w:val="12"/>
                <w:szCs w:val="12"/>
              </w:rPr>
              <w:t>2025</w:t>
            </w:r>
          </w:p>
        </w:tc>
        <w:tc>
          <w:tcPr>
            <w:tcW w:w="1343" w:type="dxa"/>
          </w:tcPr>
          <w:p w14:paraId="2019FF9C" w14:textId="77777777" w:rsidR="00A53A79" w:rsidRPr="00CC11D5" w:rsidRDefault="00A53A79" w:rsidP="00A53A79">
            <w:pPr>
              <w:jc w:val="center"/>
              <w:rPr>
                <w:rFonts w:ascii="Garamond" w:hAnsi="Garamond"/>
                <w:sz w:val="12"/>
                <w:szCs w:val="12"/>
              </w:rPr>
            </w:pPr>
            <w:r w:rsidRPr="00CC11D5">
              <w:rPr>
                <w:rFonts w:ascii="Garamond" w:hAnsi="Garamond"/>
                <w:sz w:val="12"/>
                <w:szCs w:val="12"/>
              </w:rPr>
              <w:t>2027</w:t>
            </w:r>
          </w:p>
        </w:tc>
        <w:tc>
          <w:tcPr>
            <w:tcW w:w="1661" w:type="dxa"/>
          </w:tcPr>
          <w:p w14:paraId="206FBC3F" w14:textId="77777777" w:rsidR="00A53A79" w:rsidRPr="00CC11D5" w:rsidRDefault="00A53A79" w:rsidP="00A53A79">
            <w:pPr>
              <w:jc w:val="center"/>
              <w:rPr>
                <w:rFonts w:ascii="Garamond" w:hAnsi="Garamond"/>
                <w:sz w:val="12"/>
                <w:szCs w:val="12"/>
              </w:rPr>
            </w:pPr>
            <w:r w:rsidRPr="00CC11D5">
              <w:rPr>
                <w:rFonts w:ascii="Garamond" w:hAnsi="Garamond"/>
                <w:sz w:val="12"/>
                <w:szCs w:val="12"/>
              </w:rPr>
              <w:t>DPT në bashkëpunim me ISHPSHSH dhe ISSH</w:t>
            </w:r>
          </w:p>
        </w:tc>
      </w:tr>
      <w:tr w:rsidR="00A53A79" w:rsidRPr="00CC11D5" w14:paraId="5468A59E" w14:textId="77777777" w:rsidTr="00A53A79">
        <w:trPr>
          <w:trHeight w:val="20"/>
        </w:trPr>
        <w:tc>
          <w:tcPr>
            <w:tcW w:w="2290" w:type="dxa"/>
          </w:tcPr>
          <w:p w14:paraId="75D08846" w14:textId="5A09E6E1" w:rsidR="00A53A79" w:rsidRPr="00CC11D5" w:rsidRDefault="00A53A79" w:rsidP="00A53A79">
            <w:pPr>
              <w:jc w:val="center"/>
              <w:rPr>
                <w:rFonts w:ascii="Garamond" w:eastAsiaTheme="minorHAnsi" w:hAnsi="Garamond"/>
                <w:bCs/>
                <w:sz w:val="12"/>
                <w:szCs w:val="12"/>
              </w:rPr>
            </w:pPr>
            <w:r w:rsidRPr="00CC11D5">
              <w:rPr>
                <w:rFonts w:ascii="Garamond" w:eastAsiaTheme="minorHAnsi" w:hAnsi="Garamond"/>
                <w:sz w:val="12"/>
                <w:szCs w:val="12"/>
              </w:rPr>
              <w:t xml:space="preserve">Masa 2.5.3: </w:t>
            </w:r>
            <w:r w:rsidRPr="00CC11D5">
              <w:rPr>
                <w:rFonts w:ascii="Garamond" w:eastAsiaTheme="minorHAnsi" w:hAnsi="Garamond"/>
                <w:bCs/>
                <w:sz w:val="12"/>
                <w:szCs w:val="12"/>
              </w:rPr>
              <w:t>Analizimi i kategorive të personave të cilët kanë detyrimin të plotësojnë deklaratën individuale vjetore të të ardhurave</w:t>
            </w:r>
          </w:p>
          <w:p w14:paraId="5C08CD34" w14:textId="77777777" w:rsidR="00A53A79" w:rsidRPr="00CC11D5" w:rsidRDefault="00A53A79" w:rsidP="00A53A79">
            <w:pPr>
              <w:jc w:val="center"/>
              <w:rPr>
                <w:rFonts w:ascii="Garamond" w:hAnsi="Garamond"/>
                <w:sz w:val="12"/>
                <w:szCs w:val="12"/>
              </w:rPr>
            </w:pPr>
          </w:p>
        </w:tc>
        <w:tc>
          <w:tcPr>
            <w:tcW w:w="2579" w:type="dxa"/>
          </w:tcPr>
          <w:p w14:paraId="58B533C2" w14:textId="4A5CBD85" w:rsidR="00A53A79" w:rsidRPr="00CC11D5" w:rsidRDefault="00A53A79" w:rsidP="00A53A79">
            <w:pPr>
              <w:jc w:val="center"/>
              <w:rPr>
                <w:rFonts w:ascii="Garamond" w:hAnsi="Garamond"/>
                <w:sz w:val="12"/>
                <w:szCs w:val="12"/>
              </w:rPr>
            </w:pPr>
            <w:r w:rsidRPr="00CC11D5">
              <w:rPr>
                <w:rFonts w:ascii="Garamond" w:hAnsi="Garamond"/>
                <w:sz w:val="12"/>
                <w:szCs w:val="12"/>
              </w:rPr>
              <w:t xml:space="preserve">Aktiviteti </w:t>
            </w:r>
            <w:r w:rsidRPr="00CC11D5">
              <w:rPr>
                <w:rFonts w:ascii="Garamond" w:eastAsiaTheme="minorHAnsi" w:hAnsi="Garamond"/>
                <w:sz w:val="12"/>
                <w:szCs w:val="12"/>
              </w:rPr>
              <w:t>2.5.3.</w:t>
            </w:r>
            <w:r w:rsidRPr="00CC11D5">
              <w:rPr>
                <w:rFonts w:ascii="Garamond" w:hAnsi="Garamond"/>
                <w:sz w:val="12"/>
                <w:szCs w:val="12"/>
              </w:rPr>
              <w:t>1</w:t>
            </w:r>
            <w:r w:rsidR="00DE65FB" w:rsidRPr="00CC11D5">
              <w:rPr>
                <w:rFonts w:ascii="Garamond" w:hAnsi="Garamond"/>
                <w:sz w:val="12"/>
                <w:szCs w:val="12"/>
              </w:rPr>
              <w:t>:</w:t>
            </w:r>
            <w:r w:rsidRPr="00CC11D5">
              <w:rPr>
                <w:rFonts w:ascii="Garamond" w:hAnsi="Garamond"/>
                <w:sz w:val="12"/>
                <w:szCs w:val="12"/>
              </w:rPr>
              <w:t xml:space="preserve"> Analizimi i deklaratave të DIVA-s, brenda vitit 2024.</w:t>
            </w:r>
          </w:p>
          <w:p w14:paraId="3A8F7A96" w14:textId="77777777" w:rsidR="00A53A79" w:rsidRPr="00CC11D5" w:rsidRDefault="00A53A79" w:rsidP="00A53A79">
            <w:pPr>
              <w:jc w:val="center"/>
              <w:rPr>
                <w:rFonts w:ascii="Garamond" w:hAnsi="Garamond"/>
                <w:sz w:val="12"/>
                <w:szCs w:val="12"/>
              </w:rPr>
            </w:pPr>
          </w:p>
        </w:tc>
        <w:tc>
          <w:tcPr>
            <w:tcW w:w="1143" w:type="dxa"/>
          </w:tcPr>
          <w:p w14:paraId="2D5E8F8E" w14:textId="77777777" w:rsidR="00A53A79" w:rsidRPr="00CC11D5" w:rsidRDefault="00A53A79" w:rsidP="00A53A79">
            <w:pPr>
              <w:jc w:val="center"/>
              <w:rPr>
                <w:rFonts w:ascii="Garamond" w:hAnsi="Garamond"/>
                <w:sz w:val="12"/>
                <w:szCs w:val="12"/>
              </w:rPr>
            </w:pPr>
            <w:r w:rsidRPr="00CC11D5">
              <w:rPr>
                <w:rFonts w:ascii="Garamond" w:hAnsi="Garamond"/>
                <w:sz w:val="12"/>
                <w:szCs w:val="12"/>
              </w:rPr>
              <w:t>2024</w:t>
            </w:r>
          </w:p>
        </w:tc>
        <w:tc>
          <w:tcPr>
            <w:tcW w:w="1343" w:type="dxa"/>
          </w:tcPr>
          <w:p w14:paraId="1FB603DE" w14:textId="77777777" w:rsidR="00A53A79" w:rsidRPr="00CC11D5" w:rsidRDefault="00A53A79" w:rsidP="00A53A79">
            <w:pPr>
              <w:jc w:val="center"/>
              <w:rPr>
                <w:rFonts w:ascii="Garamond" w:hAnsi="Garamond"/>
                <w:sz w:val="12"/>
                <w:szCs w:val="12"/>
              </w:rPr>
            </w:pPr>
            <w:r w:rsidRPr="00CC11D5">
              <w:rPr>
                <w:rFonts w:ascii="Garamond" w:hAnsi="Garamond"/>
                <w:sz w:val="12"/>
                <w:szCs w:val="12"/>
              </w:rPr>
              <w:t>2024</w:t>
            </w:r>
          </w:p>
        </w:tc>
        <w:tc>
          <w:tcPr>
            <w:tcW w:w="1661" w:type="dxa"/>
          </w:tcPr>
          <w:p w14:paraId="24BF27DA" w14:textId="27849572" w:rsidR="00A53A79" w:rsidRPr="00CC11D5" w:rsidRDefault="00A53A79" w:rsidP="00A53A79">
            <w:pPr>
              <w:jc w:val="center"/>
              <w:rPr>
                <w:rFonts w:ascii="Garamond" w:hAnsi="Garamond"/>
                <w:sz w:val="12"/>
                <w:szCs w:val="12"/>
              </w:rPr>
            </w:pPr>
            <w:r w:rsidRPr="00CC11D5">
              <w:rPr>
                <w:rFonts w:ascii="Garamond" w:hAnsi="Garamond"/>
                <w:sz w:val="12"/>
                <w:szCs w:val="12"/>
              </w:rPr>
              <w:t>DPT</w:t>
            </w:r>
          </w:p>
        </w:tc>
      </w:tr>
      <w:tr w:rsidR="00A53A79" w:rsidRPr="00CC11D5" w14:paraId="7A7E6158" w14:textId="77777777" w:rsidTr="00A53A79">
        <w:trPr>
          <w:trHeight w:val="20"/>
        </w:trPr>
        <w:tc>
          <w:tcPr>
            <w:tcW w:w="2290" w:type="dxa"/>
          </w:tcPr>
          <w:p w14:paraId="4DA68CEB" w14:textId="77777777" w:rsidR="00A53A79" w:rsidRPr="00CC11D5" w:rsidRDefault="00A53A79" w:rsidP="00A53A79">
            <w:pPr>
              <w:jc w:val="center"/>
              <w:rPr>
                <w:rFonts w:ascii="Garamond" w:hAnsi="Garamond"/>
                <w:sz w:val="12"/>
                <w:szCs w:val="12"/>
              </w:rPr>
            </w:pPr>
            <w:r w:rsidRPr="00CC11D5">
              <w:rPr>
                <w:rFonts w:ascii="Garamond" w:eastAsiaTheme="minorHAnsi" w:hAnsi="Garamond"/>
                <w:sz w:val="12"/>
                <w:szCs w:val="12"/>
              </w:rPr>
              <w:t xml:space="preserve">Masa 2.5.4: </w:t>
            </w:r>
            <w:r w:rsidRPr="00CC11D5">
              <w:rPr>
                <w:rFonts w:ascii="Garamond" w:eastAsiaTheme="minorHAnsi" w:hAnsi="Garamond"/>
                <w:bCs/>
                <w:sz w:val="12"/>
                <w:szCs w:val="12"/>
              </w:rPr>
              <w:t>Përmirësimi i analizave dhe shkëmbimit të të dhënave me palë të treta për të punën e padeklaruar ose nëndeklaruar</w:t>
            </w:r>
          </w:p>
        </w:tc>
        <w:tc>
          <w:tcPr>
            <w:tcW w:w="2579" w:type="dxa"/>
          </w:tcPr>
          <w:p w14:paraId="0978EA24" w14:textId="77777777" w:rsidR="00A53A79" w:rsidRPr="00CC11D5" w:rsidRDefault="00A53A79" w:rsidP="00A53A79">
            <w:pPr>
              <w:jc w:val="center"/>
              <w:rPr>
                <w:rFonts w:ascii="Garamond" w:hAnsi="Garamond"/>
                <w:sz w:val="12"/>
                <w:szCs w:val="12"/>
              </w:rPr>
            </w:pPr>
            <w:r w:rsidRPr="00CC11D5">
              <w:rPr>
                <w:rFonts w:ascii="Garamond" w:hAnsi="Garamond"/>
                <w:sz w:val="12"/>
                <w:szCs w:val="12"/>
              </w:rPr>
              <w:t xml:space="preserve">Aktiviteti </w:t>
            </w:r>
            <w:r w:rsidRPr="00CC11D5">
              <w:rPr>
                <w:rFonts w:ascii="Garamond" w:eastAsiaTheme="minorHAnsi" w:hAnsi="Garamond"/>
                <w:sz w:val="12"/>
                <w:szCs w:val="12"/>
              </w:rPr>
              <w:t>2.5.4</w:t>
            </w:r>
            <w:r w:rsidRPr="00CC11D5">
              <w:rPr>
                <w:rFonts w:ascii="Garamond" w:hAnsi="Garamond"/>
                <w:sz w:val="12"/>
                <w:szCs w:val="12"/>
              </w:rPr>
              <w:t>.1:</w:t>
            </w:r>
          </w:p>
          <w:p w14:paraId="7EBB2796" w14:textId="7B9379C1" w:rsidR="00A53A79" w:rsidRPr="00CC11D5" w:rsidRDefault="00A53A79" w:rsidP="00A53A79">
            <w:pPr>
              <w:jc w:val="center"/>
              <w:rPr>
                <w:rFonts w:ascii="Garamond" w:hAnsi="Garamond"/>
                <w:sz w:val="12"/>
                <w:szCs w:val="12"/>
              </w:rPr>
            </w:pPr>
            <w:r w:rsidRPr="00CC11D5">
              <w:rPr>
                <w:rFonts w:ascii="Garamond" w:hAnsi="Garamond"/>
                <w:sz w:val="12"/>
                <w:szCs w:val="12"/>
              </w:rPr>
              <w:t>Përmbushja nëpërmjet Dizenjimit (</w:t>
            </w:r>
            <w:r w:rsidRPr="00CC11D5">
              <w:rPr>
                <w:rFonts w:ascii="Garamond" w:hAnsi="Garamond"/>
                <w:i/>
                <w:sz w:val="12"/>
                <w:szCs w:val="12"/>
              </w:rPr>
              <w:t>Compliance by Design</w:t>
            </w:r>
            <w:r w:rsidRPr="00CC11D5">
              <w:rPr>
                <w:rFonts w:ascii="Garamond" w:hAnsi="Garamond"/>
                <w:sz w:val="12"/>
                <w:szCs w:val="12"/>
              </w:rPr>
              <w:t xml:space="preserve">). Përcaktimi dhe krijimi i kontrolleve në sistemin e deklarimit të listëpagesave që parandalojnë shmangien e kontributeve të sigurimeve shoqërore dhe </w:t>
            </w:r>
            <w:r w:rsidR="00DE65FB" w:rsidRPr="00CC11D5">
              <w:rPr>
                <w:rFonts w:ascii="Garamond" w:hAnsi="Garamond"/>
                <w:sz w:val="12"/>
                <w:szCs w:val="12"/>
              </w:rPr>
              <w:t>shëndetësore;</w:t>
            </w:r>
          </w:p>
          <w:p w14:paraId="6CEAB4C1" w14:textId="77777777" w:rsidR="00A53A79" w:rsidRPr="00CC11D5" w:rsidRDefault="00A53A79" w:rsidP="00A53A79">
            <w:pPr>
              <w:jc w:val="center"/>
              <w:rPr>
                <w:rFonts w:ascii="Garamond" w:hAnsi="Garamond"/>
                <w:sz w:val="12"/>
                <w:szCs w:val="12"/>
              </w:rPr>
            </w:pPr>
          </w:p>
          <w:p w14:paraId="03253558" w14:textId="42862370" w:rsidR="00A53A79" w:rsidRPr="00CC11D5" w:rsidRDefault="00A53A79" w:rsidP="00A53A79">
            <w:pPr>
              <w:jc w:val="center"/>
              <w:rPr>
                <w:rFonts w:ascii="Garamond" w:hAnsi="Garamond"/>
                <w:sz w:val="12"/>
                <w:szCs w:val="12"/>
              </w:rPr>
            </w:pPr>
            <w:r w:rsidRPr="00CC11D5">
              <w:rPr>
                <w:rFonts w:ascii="Garamond" w:hAnsi="Garamond"/>
                <w:sz w:val="12"/>
                <w:szCs w:val="12"/>
              </w:rPr>
              <w:t xml:space="preserve">Aktiviteti </w:t>
            </w:r>
            <w:r w:rsidRPr="00CC11D5">
              <w:rPr>
                <w:rFonts w:ascii="Garamond" w:eastAsiaTheme="minorHAnsi" w:hAnsi="Garamond"/>
                <w:sz w:val="12"/>
                <w:szCs w:val="12"/>
              </w:rPr>
              <w:t>2.5.4</w:t>
            </w:r>
            <w:r w:rsidRPr="00CC11D5">
              <w:rPr>
                <w:rFonts w:ascii="Garamond" w:hAnsi="Garamond"/>
                <w:sz w:val="12"/>
                <w:szCs w:val="12"/>
              </w:rPr>
              <w:t>.2</w:t>
            </w:r>
            <w:r w:rsidR="00DE65FB" w:rsidRPr="00CC11D5">
              <w:rPr>
                <w:rFonts w:ascii="Garamond" w:hAnsi="Garamond"/>
                <w:sz w:val="12"/>
                <w:szCs w:val="12"/>
              </w:rPr>
              <w:t xml:space="preserve">: </w:t>
            </w:r>
            <w:r w:rsidRPr="00CC11D5">
              <w:rPr>
                <w:rFonts w:ascii="Garamond" w:hAnsi="Garamond"/>
                <w:sz w:val="12"/>
                <w:szCs w:val="12"/>
              </w:rPr>
              <w:t>Krijimi dhe përditësimi i kritereve të riskut në Modulin e Riskut që kanë të bëjnë me shmangien e pagesës së kontributeve t</w:t>
            </w:r>
            <w:r w:rsidR="008C0C0F" w:rsidRPr="00CC11D5">
              <w:rPr>
                <w:rFonts w:ascii="Garamond" w:hAnsi="Garamond"/>
                <w:sz w:val="12"/>
                <w:szCs w:val="12"/>
              </w:rPr>
              <w:t>ë</w:t>
            </w:r>
            <w:r w:rsidRPr="00CC11D5">
              <w:rPr>
                <w:rFonts w:ascii="Garamond" w:hAnsi="Garamond"/>
                <w:sz w:val="12"/>
                <w:szCs w:val="12"/>
              </w:rPr>
              <w:t xml:space="preserve"> sigurimeve shoqërore</w:t>
            </w:r>
            <w:r w:rsidR="00DE65FB" w:rsidRPr="00CC11D5">
              <w:rPr>
                <w:rFonts w:ascii="Garamond" w:hAnsi="Garamond"/>
                <w:sz w:val="12"/>
                <w:szCs w:val="12"/>
              </w:rPr>
              <w:t>;</w:t>
            </w:r>
          </w:p>
          <w:p w14:paraId="457C33BB" w14:textId="77777777" w:rsidR="00A53A79" w:rsidRPr="00CC11D5" w:rsidRDefault="00A53A79" w:rsidP="00A53A79">
            <w:pPr>
              <w:jc w:val="center"/>
              <w:rPr>
                <w:rFonts w:ascii="Garamond" w:hAnsi="Garamond"/>
                <w:sz w:val="12"/>
                <w:szCs w:val="12"/>
              </w:rPr>
            </w:pPr>
          </w:p>
          <w:p w14:paraId="48D960B5" w14:textId="5AF777CD" w:rsidR="00A53A79" w:rsidRPr="00CC11D5" w:rsidRDefault="00A53A79" w:rsidP="00A53A79">
            <w:pPr>
              <w:jc w:val="center"/>
              <w:rPr>
                <w:rFonts w:ascii="Garamond" w:hAnsi="Garamond"/>
                <w:sz w:val="12"/>
                <w:szCs w:val="12"/>
              </w:rPr>
            </w:pPr>
            <w:r w:rsidRPr="00CC11D5">
              <w:rPr>
                <w:rFonts w:ascii="Garamond" w:hAnsi="Garamond"/>
                <w:sz w:val="12"/>
                <w:szCs w:val="12"/>
              </w:rPr>
              <w:t xml:space="preserve">Aktiviteti </w:t>
            </w:r>
            <w:r w:rsidRPr="00CC11D5">
              <w:rPr>
                <w:rFonts w:ascii="Garamond" w:eastAsiaTheme="minorHAnsi" w:hAnsi="Garamond"/>
                <w:sz w:val="12"/>
                <w:szCs w:val="12"/>
              </w:rPr>
              <w:t>2.5.4</w:t>
            </w:r>
            <w:r w:rsidRPr="00CC11D5">
              <w:rPr>
                <w:rFonts w:ascii="Garamond" w:hAnsi="Garamond"/>
                <w:sz w:val="12"/>
                <w:szCs w:val="12"/>
              </w:rPr>
              <w:t>.3: Marrja e informacioneve nga planet sektoriale mbi të dhënat dhe analizat e kryera</w:t>
            </w:r>
            <w:r w:rsidR="00DE65FB" w:rsidRPr="00CC11D5">
              <w:rPr>
                <w:rFonts w:ascii="Garamond" w:hAnsi="Garamond"/>
                <w:sz w:val="12"/>
                <w:szCs w:val="12"/>
              </w:rPr>
              <w:t>;</w:t>
            </w:r>
          </w:p>
          <w:p w14:paraId="565FCD14" w14:textId="77777777" w:rsidR="00A53A79" w:rsidRPr="00CC11D5" w:rsidRDefault="00A53A79" w:rsidP="00A53A79">
            <w:pPr>
              <w:jc w:val="center"/>
              <w:rPr>
                <w:rFonts w:ascii="Garamond" w:hAnsi="Garamond"/>
                <w:sz w:val="12"/>
                <w:szCs w:val="12"/>
              </w:rPr>
            </w:pPr>
          </w:p>
          <w:p w14:paraId="344B637D" w14:textId="5C6F48D3" w:rsidR="00A53A79" w:rsidRPr="00CC11D5" w:rsidRDefault="00A53A79" w:rsidP="00A53A79">
            <w:pPr>
              <w:jc w:val="center"/>
              <w:rPr>
                <w:rFonts w:ascii="Garamond" w:hAnsi="Garamond"/>
                <w:sz w:val="12"/>
                <w:szCs w:val="12"/>
              </w:rPr>
            </w:pPr>
            <w:r w:rsidRPr="00CC11D5">
              <w:rPr>
                <w:rFonts w:ascii="Garamond" w:hAnsi="Garamond"/>
                <w:sz w:val="12"/>
                <w:szCs w:val="12"/>
              </w:rPr>
              <w:t xml:space="preserve">Aktiviteti </w:t>
            </w:r>
            <w:r w:rsidRPr="00CC11D5">
              <w:rPr>
                <w:rFonts w:ascii="Garamond" w:eastAsiaTheme="minorHAnsi" w:hAnsi="Garamond"/>
                <w:sz w:val="12"/>
                <w:szCs w:val="12"/>
              </w:rPr>
              <w:t>2.5.4</w:t>
            </w:r>
            <w:r w:rsidRPr="00CC11D5">
              <w:rPr>
                <w:rFonts w:ascii="Garamond" w:hAnsi="Garamond"/>
                <w:sz w:val="12"/>
                <w:szCs w:val="12"/>
              </w:rPr>
              <w:t>.4</w:t>
            </w:r>
            <w:r w:rsidR="00DE65FB" w:rsidRPr="00CC11D5">
              <w:rPr>
                <w:rFonts w:ascii="Garamond" w:hAnsi="Garamond"/>
                <w:sz w:val="12"/>
                <w:szCs w:val="12"/>
              </w:rPr>
              <w:t>:</w:t>
            </w:r>
            <w:r w:rsidRPr="00CC11D5">
              <w:rPr>
                <w:rFonts w:ascii="Garamond" w:hAnsi="Garamond"/>
                <w:sz w:val="12"/>
                <w:szCs w:val="12"/>
              </w:rPr>
              <w:t xml:space="preserve"> Organizimi i kontrolleve bazuar në </w:t>
            </w:r>
            <w:r w:rsidR="008C0C0F" w:rsidRPr="00CC11D5">
              <w:rPr>
                <w:rFonts w:ascii="Garamond" w:hAnsi="Garamond"/>
                <w:sz w:val="12"/>
                <w:szCs w:val="12"/>
              </w:rPr>
              <w:t>përfundimet</w:t>
            </w:r>
            <w:r w:rsidRPr="00CC11D5">
              <w:rPr>
                <w:rFonts w:ascii="Garamond" w:hAnsi="Garamond"/>
                <w:sz w:val="12"/>
                <w:szCs w:val="12"/>
              </w:rPr>
              <w:t xml:space="preserve"> që rezultojnë nga kryqëzimi i të dhënave.</w:t>
            </w:r>
          </w:p>
        </w:tc>
        <w:tc>
          <w:tcPr>
            <w:tcW w:w="1143" w:type="dxa"/>
          </w:tcPr>
          <w:p w14:paraId="4B34897A" w14:textId="77777777" w:rsidR="00A53A79" w:rsidRPr="00CC11D5" w:rsidRDefault="00A53A79" w:rsidP="00A53A79">
            <w:pPr>
              <w:jc w:val="center"/>
              <w:rPr>
                <w:rFonts w:ascii="Garamond" w:hAnsi="Garamond"/>
                <w:sz w:val="12"/>
                <w:szCs w:val="12"/>
              </w:rPr>
            </w:pPr>
            <w:r w:rsidRPr="00CC11D5">
              <w:rPr>
                <w:rFonts w:ascii="Garamond" w:hAnsi="Garamond"/>
                <w:sz w:val="12"/>
                <w:szCs w:val="12"/>
              </w:rPr>
              <w:t>2024</w:t>
            </w:r>
          </w:p>
        </w:tc>
        <w:tc>
          <w:tcPr>
            <w:tcW w:w="1343" w:type="dxa"/>
          </w:tcPr>
          <w:p w14:paraId="398AE9B5" w14:textId="77777777" w:rsidR="00A53A79" w:rsidRPr="00CC11D5" w:rsidRDefault="00A53A79" w:rsidP="00A53A79">
            <w:pPr>
              <w:jc w:val="center"/>
              <w:rPr>
                <w:rFonts w:ascii="Garamond" w:hAnsi="Garamond"/>
                <w:sz w:val="12"/>
                <w:szCs w:val="12"/>
              </w:rPr>
            </w:pPr>
            <w:r w:rsidRPr="00CC11D5">
              <w:rPr>
                <w:rFonts w:ascii="Garamond" w:hAnsi="Garamond"/>
                <w:sz w:val="12"/>
                <w:szCs w:val="12"/>
              </w:rPr>
              <w:t>2026</w:t>
            </w:r>
          </w:p>
        </w:tc>
        <w:tc>
          <w:tcPr>
            <w:tcW w:w="1661" w:type="dxa"/>
          </w:tcPr>
          <w:p w14:paraId="21349D2C" w14:textId="78095C1F" w:rsidR="00A53A79" w:rsidRPr="00CC11D5" w:rsidRDefault="00A53A79" w:rsidP="00A53A79">
            <w:pPr>
              <w:jc w:val="center"/>
              <w:rPr>
                <w:rFonts w:ascii="Garamond" w:hAnsi="Garamond"/>
                <w:sz w:val="12"/>
                <w:szCs w:val="12"/>
              </w:rPr>
            </w:pPr>
            <w:r w:rsidRPr="00CC11D5">
              <w:rPr>
                <w:rFonts w:ascii="Garamond" w:hAnsi="Garamond"/>
                <w:sz w:val="12"/>
                <w:szCs w:val="12"/>
              </w:rPr>
              <w:t>DPT/</w:t>
            </w:r>
            <w:r w:rsidR="00DE65FB" w:rsidRPr="00CC11D5">
              <w:rPr>
                <w:rFonts w:ascii="Garamond" w:hAnsi="Garamond"/>
                <w:sz w:val="12"/>
                <w:szCs w:val="12"/>
              </w:rPr>
              <w:t>p</w:t>
            </w:r>
            <w:r w:rsidRPr="00CC11D5">
              <w:rPr>
                <w:rFonts w:ascii="Garamond" w:hAnsi="Garamond"/>
                <w:sz w:val="12"/>
                <w:szCs w:val="12"/>
              </w:rPr>
              <w:t>ala që mirëmban sistemin, në bashkëpunim me AKSHI</w:t>
            </w:r>
          </w:p>
        </w:tc>
      </w:tr>
      <w:tr w:rsidR="00A53A79" w:rsidRPr="00CC11D5" w14:paraId="6F49F112" w14:textId="77777777" w:rsidTr="00A53A79">
        <w:trPr>
          <w:trHeight w:val="20"/>
        </w:trPr>
        <w:tc>
          <w:tcPr>
            <w:tcW w:w="2290" w:type="dxa"/>
          </w:tcPr>
          <w:p w14:paraId="5D696E4B" w14:textId="096D9EA1" w:rsidR="00A53A79" w:rsidRPr="00CC11D5" w:rsidRDefault="00A53A79" w:rsidP="00A53A79">
            <w:pPr>
              <w:jc w:val="center"/>
              <w:rPr>
                <w:rFonts w:ascii="Garamond" w:eastAsiaTheme="minorHAnsi" w:hAnsi="Garamond"/>
                <w:bCs/>
                <w:sz w:val="12"/>
                <w:szCs w:val="12"/>
              </w:rPr>
            </w:pPr>
            <w:r w:rsidRPr="00CC11D5">
              <w:rPr>
                <w:rFonts w:ascii="Garamond" w:eastAsiaTheme="minorHAnsi" w:hAnsi="Garamond"/>
                <w:sz w:val="12"/>
                <w:szCs w:val="12"/>
              </w:rPr>
              <w:t>Masa 2.5.5</w:t>
            </w:r>
            <w:r w:rsidRPr="00CC11D5">
              <w:rPr>
                <w:rFonts w:ascii="Garamond" w:eastAsiaTheme="minorHAnsi" w:hAnsi="Garamond"/>
                <w:bCs/>
                <w:sz w:val="12"/>
                <w:szCs w:val="12"/>
              </w:rPr>
              <w:t xml:space="preserve"> Fushata të ndërgjegjësimit publik lidhur me përfitimet e pagesës së kontributeve</w:t>
            </w:r>
          </w:p>
        </w:tc>
        <w:tc>
          <w:tcPr>
            <w:tcW w:w="2579" w:type="dxa"/>
          </w:tcPr>
          <w:p w14:paraId="30B920DE" w14:textId="77777777" w:rsidR="00A53A79" w:rsidRPr="00CC11D5" w:rsidRDefault="00A53A79" w:rsidP="00A53A79">
            <w:pPr>
              <w:jc w:val="center"/>
              <w:rPr>
                <w:rFonts w:ascii="Garamond" w:hAnsi="Garamond"/>
                <w:sz w:val="12"/>
                <w:szCs w:val="12"/>
              </w:rPr>
            </w:pPr>
            <w:r w:rsidRPr="00CC11D5">
              <w:rPr>
                <w:rFonts w:ascii="Garamond" w:hAnsi="Garamond"/>
                <w:sz w:val="12"/>
                <w:szCs w:val="12"/>
              </w:rPr>
              <w:t>Aktiviteti 2.5.5.1: Hartimi dhe implementimi i fushatës mbi përfitimet e punës së deklaruar.</w:t>
            </w:r>
          </w:p>
        </w:tc>
        <w:tc>
          <w:tcPr>
            <w:tcW w:w="1143" w:type="dxa"/>
          </w:tcPr>
          <w:p w14:paraId="492EB486" w14:textId="77777777" w:rsidR="00A53A79" w:rsidRPr="00CC11D5" w:rsidRDefault="00A53A79" w:rsidP="00A53A79">
            <w:pPr>
              <w:jc w:val="center"/>
              <w:rPr>
                <w:rFonts w:ascii="Garamond" w:hAnsi="Garamond"/>
                <w:sz w:val="12"/>
                <w:szCs w:val="12"/>
              </w:rPr>
            </w:pPr>
            <w:r w:rsidRPr="00CC11D5">
              <w:rPr>
                <w:rFonts w:ascii="Garamond" w:hAnsi="Garamond"/>
                <w:sz w:val="12"/>
                <w:szCs w:val="12"/>
              </w:rPr>
              <w:t>2025</w:t>
            </w:r>
          </w:p>
        </w:tc>
        <w:tc>
          <w:tcPr>
            <w:tcW w:w="1343" w:type="dxa"/>
          </w:tcPr>
          <w:p w14:paraId="1FD04449" w14:textId="77777777" w:rsidR="00A53A79" w:rsidRPr="00CC11D5" w:rsidRDefault="00A53A79" w:rsidP="00A53A79">
            <w:pPr>
              <w:jc w:val="center"/>
              <w:rPr>
                <w:rFonts w:ascii="Garamond" w:hAnsi="Garamond"/>
                <w:sz w:val="12"/>
                <w:szCs w:val="12"/>
              </w:rPr>
            </w:pPr>
            <w:r w:rsidRPr="00CC11D5">
              <w:rPr>
                <w:rFonts w:ascii="Garamond" w:hAnsi="Garamond"/>
                <w:sz w:val="12"/>
                <w:szCs w:val="12"/>
              </w:rPr>
              <w:t>2027</w:t>
            </w:r>
          </w:p>
        </w:tc>
        <w:tc>
          <w:tcPr>
            <w:tcW w:w="1661" w:type="dxa"/>
          </w:tcPr>
          <w:p w14:paraId="13D86290" w14:textId="77777777" w:rsidR="00A53A79" w:rsidRPr="00CC11D5" w:rsidRDefault="00A53A79" w:rsidP="00A53A79">
            <w:pPr>
              <w:jc w:val="center"/>
              <w:rPr>
                <w:rFonts w:ascii="Garamond" w:hAnsi="Garamond"/>
                <w:sz w:val="12"/>
                <w:szCs w:val="12"/>
              </w:rPr>
            </w:pPr>
            <w:r w:rsidRPr="00CC11D5">
              <w:rPr>
                <w:rFonts w:ascii="Garamond" w:hAnsi="Garamond"/>
                <w:sz w:val="12"/>
                <w:szCs w:val="12"/>
              </w:rPr>
              <w:t>DPT/ ISSH/ISHPSHSH</w:t>
            </w:r>
          </w:p>
        </w:tc>
      </w:tr>
      <w:tr w:rsidR="00A53A79" w:rsidRPr="00CC11D5" w14:paraId="3F446B66" w14:textId="77777777" w:rsidTr="00A53A79">
        <w:trPr>
          <w:trHeight w:val="20"/>
        </w:trPr>
        <w:tc>
          <w:tcPr>
            <w:tcW w:w="2290" w:type="dxa"/>
          </w:tcPr>
          <w:p w14:paraId="02B239AD" w14:textId="39EA79F9" w:rsidR="00A53A79" w:rsidRPr="00CC11D5" w:rsidRDefault="00A53A79" w:rsidP="00A53A79">
            <w:pPr>
              <w:jc w:val="center"/>
              <w:rPr>
                <w:rFonts w:ascii="Garamond" w:eastAsiaTheme="minorHAnsi" w:hAnsi="Garamond"/>
                <w:bCs/>
                <w:sz w:val="12"/>
                <w:szCs w:val="12"/>
              </w:rPr>
            </w:pPr>
            <w:r w:rsidRPr="00CC11D5">
              <w:rPr>
                <w:rFonts w:ascii="Garamond" w:eastAsiaTheme="minorHAnsi" w:hAnsi="Garamond"/>
                <w:sz w:val="12"/>
                <w:szCs w:val="12"/>
              </w:rPr>
              <w:t xml:space="preserve">Masa 2.5.6: </w:t>
            </w:r>
            <w:r w:rsidRPr="00CC11D5">
              <w:rPr>
                <w:rFonts w:ascii="Garamond" w:eastAsiaTheme="minorHAnsi" w:hAnsi="Garamond"/>
                <w:bCs/>
                <w:sz w:val="12"/>
                <w:szCs w:val="12"/>
              </w:rPr>
              <w:t>Zhvillimi i partneriteteve me përfaqësuesit e biznesit dhe të komunitetit për identifikimin e</w:t>
            </w:r>
            <w:r w:rsidR="00D22EA5" w:rsidRPr="00CC11D5">
              <w:rPr>
                <w:rFonts w:ascii="Garamond" w:eastAsiaTheme="minorHAnsi" w:hAnsi="Garamond"/>
                <w:bCs/>
                <w:sz w:val="12"/>
                <w:szCs w:val="12"/>
              </w:rPr>
              <w:t xml:space="preserve"> </w:t>
            </w:r>
            <w:r w:rsidRPr="00CC11D5">
              <w:rPr>
                <w:rFonts w:ascii="Garamond" w:eastAsiaTheme="minorHAnsi" w:hAnsi="Garamond"/>
                <w:bCs/>
                <w:sz w:val="12"/>
                <w:szCs w:val="12"/>
              </w:rPr>
              <w:t>informaliteti</w:t>
            </w:r>
            <w:r w:rsidR="00DE65FB" w:rsidRPr="00CC11D5">
              <w:rPr>
                <w:rFonts w:ascii="Garamond" w:eastAsiaTheme="minorHAnsi" w:hAnsi="Garamond"/>
                <w:bCs/>
                <w:sz w:val="12"/>
                <w:szCs w:val="12"/>
              </w:rPr>
              <w:t>t</w:t>
            </w:r>
            <w:r w:rsidRPr="00CC11D5">
              <w:rPr>
                <w:rFonts w:ascii="Garamond" w:eastAsiaTheme="minorHAnsi" w:hAnsi="Garamond"/>
                <w:bCs/>
                <w:sz w:val="12"/>
                <w:szCs w:val="12"/>
              </w:rPr>
              <w:t xml:space="preserve"> në punësim</w:t>
            </w:r>
          </w:p>
        </w:tc>
        <w:tc>
          <w:tcPr>
            <w:tcW w:w="2579" w:type="dxa"/>
          </w:tcPr>
          <w:p w14:paraId="0A5B5853" w14:textId="77777777" w:rsidR="00A53A79" w:rsidRPr="00CC11D5" w:rsidRDefault="00A53A79" w:rsidP="00A53A79">
            <w:pPr>
              <w:jc w:val="center"/>
              <w:rPr>
                <w:rFonts w:ascii="Garamond" w:hAnsi="Garamond"/>
                <w:b/>
                <w:sz w:val="12"/>
                <w:szCs w:val="12"/>
              </w:rPr>
            </w:pPr>
            <w:r w:rsidRPr="00CC11D5">
              <w:rPr>
                <w:rFonts w:ascii="Garamond" w:hAnsi="Garamond"/>
                <w:sz w:val="12"/>
                <w:szCs w:val="12"/>
              </w:rPr>
              <w:t xml:space="preserve">Aktiviteti </w:t>
            </w:r>
            <w:r w:rsidRPr="00CC11D5">
              <w:rPr>
                <w:rFonts w:ascii="Garamond" w:eastAsiaTheme="minorHAnsi" w:hAnsi="Garamond"/>
                <w:sz w:val="12"/>
                <w:szCs w:val="12"/>
              </w:rPr>
              <w:t>2.5.6</w:t>
            </w:r>
            <w:r w:rsidRPr="00CC11D5">
              <w:rPr>
                <w:rFonts w:ascii="Garamond" w:hAnsi="Garamond"/>
                <w:sz w:val="12"/>
                <w:szCs w:val="12"/>
              </w:rPr>
              <w:t>.1 Takime periodike me grupet e sipërmarrësve për të diskutuar mbi faktorët e informalitetit në punësim.</w:t>
            </w:r>
          </w:p>
          <w:p w14:paraId="6D581DA7" w14:textId="77777777" w:rsidR="00A53A79" w:rsidRPr="00CC11D5" w:rsidRDefault="00A53A79" w:rsidP="00A53A79">
            <w:pPr>
              <w:jc w:val="center"/>
              <w:rPr>
                <w:rFonts w:ascii="Garamond" w:hAnsi="Garamond"/>
                <w:sz w:val="12"/>
                <w:szCs w:val="12"/>
              </w:rPr>
            </w:pPr>
          </w:p>
        </w:tc>
        <w:tc>
          <w:tcPr>
            <w:tcW w:w="1143" w:type="dxa"/>
          </w:tcPr>
          <w:p w14:paraId="687674A9" w14:textId="77777777" w:rsidR="00A53A79" w:rsidRPr="00CC11D5" w:rsidRDefault="00A53A79" w:rsidP="00A53A79">
            <w:pPr>
              <w:jc w:val="center"/>
              <w:rPr>
                <w:rFonts w:ascii="Garamond" w:hAnsi="Garamond"/>
                <w:sz w:val="12"/>
                <w:szCs w:val="12"/>
              </w:rPr>
            </w:pPr>
            <w:r w:rsidRPr="00CC11D5">
              <w:rPr>
                <w:rFonts w:ascii="Garamond" w:hAnsi="Garamond"/>
                <w:sz w:val="12"/>
                <w:szCs w:val="12"/>
              </w:rPr>
              <w:t>2025</w:t>
            </w:r>
          </w:p>
        </w:tc>
        <w:tc>
          <w:tcPr>
            <w:tcW w:w="1343" w:type="dxa"/>
          </w:tcPr>
          <w:p w14:paraId="236662C5" w14:textId="77777777" w:rsidR="00A53A79" w:rsidRPr="00CC11D5" w:rsidRDefault="00A53A79" w:rsidP="00A53A79">
            <w:pPr>
              <w:jc w:val="center"/>
              <w:rPr>
                <w:rFonts w:ascii="Garamond" w:hAnsi="Garamond"/>
                <w:sz w:val="12"/>
                <w:szCs w:val="12"/>
              </w:rPr>
            </w:pPr>
            <w:r w:rsidRPr="00CC11D5">
              <w:rPr>
                <w:rFonts w:ascii="Garamond" w:hAnsi="Garamond"/>
                <w:sz w:val="12"/>
                <w:szCs w:val="12"/>
              </w:rPr>
              <w:t>2027</w:t>
            </w:r>
          </w:p>
        </w:tc>
        <w:tc>
          <w:tcPr>
            <w:tcW w:w="1661" w:type="dxa"/>
          </w:tcPr>
          <w:p w14:paraId="29E7DE35" w14:textId="77777777" w:rsidR="00A53A79" w:rsidRPr="00CC11D5" w:rsidRDefault="00A53A79" w:rsidP="00A53A79">
            <w:pPr>
              <w:jc w:val="center"/>
              <w:rPr>
                <w:rFonts w:ascii="Garamond" w:hAnsi="Garamond"/>
                <w:sz w:val="12"/>
                <w:szCs w:val="12"/>
              </w:rPr>
            </w:pPr>
            <w:r w:rsidRPr="00CC11D5">
              <w:rPr>
                <w:rFonts w:ascii="Garamond" w:hAnsi="Garamond"/>
                <w:sz w:val="12"/>
                <w:szCs w:val="12"/>
              </w:rPr>
              <w:t>DPT/ Shoqatat e Biznesit</w:t>
            </w:r>
          </w:p>
        </w:tc>
      </w:tr>
    </w:tbl>
    <w:p w14:paraId="3ED90138" w14:textId="77777777" w:rsidR="00A53A79" w:rsidRPr="00830F4C" w:rsidRDefault="00A53A79" w:rsidP="00A53A79">
      <w:pPr>
        <w:ind w:left="360"/>
        <w:jc w:val="both"/>
        <w:rPr>
          <w:rFonts w:ascii="Garamond" w:hAnsi="Garamond"/>
          <w:b/>
        </w:rPr>
      </w:pPr>
    </w:p>
    <w:p w14:paraId="2610A107" w14:textId="77777777" w:rsidR="00A53A79" w:rsidRPr="00830F4C" w:rsidRDefault="00A53A79" w:rsidP="00A53A79">
      <w:pPr>
        <w:jc w:val="both"/>
        <w:rPr>
          <w:rFonts w:ascii="Garamond" w:hAnsi="Garamond"/>
          <w:b/>
        </w:rPr>
      </w:pPr>
      <w:r w:rsidRPr="00830F4C">
        <w:rPr>
          <w:rFonts w:ascii="Garamond" w:hAnsi="Garamond"/>
          <w:b/>
        </w:rPr>
        <w:t>Treguesit e performancës dhe vlerat e synuara (në përqindje)</w:t>
      </w:r>
    </w:p>
    <w:tbl>
      <w:tblPr>
        <w:tblW w:w="9016" w:type="dxa"/>
        <w:tblLook w:val="04A0" w:firstRow="1" w:lastRow="0" w:firstColumn="1" w:lastColumn="0" w:noHBand="0" w:noVBand="1"/>
      </w:tblPr>
      <w:tblGrid>
        <w:gridCol w:w="2337"/>
        <w:gridCol w:w="1525"/>
        <w:gridCol w:w="1350"/>
        <w:gridCol w:w="1102"/>
        <w:gridCol w:w="1368"/>
        <w:gridCol w:w="1334"/>
      </w:tblGrid>
      <w:tr w:rsidR="00A53A79" w:rsidRPr="00CC11D5" w14:paraId="4CB487DA" w14:textId="77777777" w:rsidTr="00DE65FB">
        <w:trPr>
          <w:trHeight w:val="20"/>
        </w:trPr>
        <w:tc>
          <w:tcPr>
            <w:tcW w:w="2337" w:type="dxa"/>
            <w:vMerge w:val="restart"/>
            <w:tcBorders>
              <w:top w:val="single" w:sz="4" w:space="0" w:color="auto"/>
              <w:left w:val="single" w:sz="4" w:space="0" w:color="auto"/>
              <w:right w:val="single" w:sz="4" w:space="0" w:color="auto"/>
            </w:tcBorders>
            <w:shd w:val="clear" w:color="FFFFFF" w:fill="FFFFFF"/>
            <w:vAlign w:val="center"/>
          </w:tcPr>
          <w:p w14:paraId="66FE61A8" w14:textId="77777777" w:rsidR="00A53A79" w:rsidRPr="00CC11D5" w:rsidRDefault="00A53A79" w:rsidP="00DE65FB">
            <w:pPr>
              <w:jc w:val="center"/>
              <w:rPr>
                <w:rFonts w:ascii="Garamond" w:hAnsi="Garamond"/>
                <w:sz w:val="12"/>
                <w:szCs w:val="12"/>
              </w:rPr>
            </w:pPr>
            <w:r w:rsidRPr="00CC11D5">
              <w:rPr>
                <w:rFonts w:ascii="Garamond" w:hAnsi="Garamond"/>
                <w:b/>
                <w:sz w:val="12"/>
                <w:szCs w:val="12"/>
              </w:rPr>
              <w:t>Treguesi</w:t>
            </w:r>
          </w:p>
        </w:tc>
        <w:tc>
          <w:tcPr>
            <w:tcW w:w="1525" w:type="dxa"/>
            <w:vMerge w:val="restart"/>
            <w:tcBorders>
              <w:top w:val="single" w:sz="4" w:space="0" w:color="auto"/>
              <w:left w:val="single" w:sz="4" w:space="0" w:color="auto"/>
              <w:right w:val="single" w:sz="4" w:space="0" w:color="auto"/>
            </w:tcBorders>
            <w:shd w:val="clear" w:color="FFFFFF" w:fill="FFFFFF"/>
            <w:vAlign w:val="center"/>
          </w:tcPr>
          <w:p w14:paraId="290EEEAC" w14:textId="3CE712A7" w:rsidR="00DE65FB" w:rsidRPr="00CC11D5" w:rsidRDefault="00A53A79" w:rsidP="00DE65FB">
            <w:pPr>
              <w:jc w:val="center"/>
              <w:rPr>
                <w:rFonts w:ascii="Garamond" w:hAnsi="Garamond"/>
                <w:b/>
                <w:sz w:val="12"/>
                <w:szCs w:val="12"/>
              </w:rPr>
            </w:pPr>
            <w:r w:rsidRPr="00CC11D5">
              <w:rPr>
                <w:rFonts w:ascii="Garamond" w:hAnsi="Garamond"/>
                <w:b/>
                <w:sz w:val="12"/>
                <w:szCs w:val="12"/>
              </w:rPr>
              <w:t xml:space="preserve">Vlera </w:t>
            </w:r>
            <w:r w:rsidR="00DE65FB" w:rsidRPr="00CC11D5">
              <w:rPr>
                <w:rFonts w:ascii="Garamond" w:hAnsi="Garamond"/>
                <w:b/>
                <w:sz w:val="12"/>
                <w:szCs w:val="12"/>
              </w:rPr>
              <w:t>b</w:t>
            </w:r>
            <w:r w:rsidRPr="00CC11D5">
              <w:rPr>
                <w:rFonts w:ascii="Garamond" w:hAnsi="Garamond"/>
                <w:b/>
                <w:sz w:val="12"/>
                <w:szCs w:val="12"/>
              </w:rPr>
              <w:t>azë</w:t>
            </w:r>
          </w:p>
          <w:p w14:paraId="47F55B3F" w14:textId="500348DC" w:rsidR="00A53A79" w:rsidRPr="00CC11D5" w:rsidRDefault="00A53A79" w:rsidP="00DE65FB">
            <w:pPr>
              <w:jc w:val="center"/>
              <w:rPr>
                <w:rFonts w:ascii="Garamond" w:hAnsi="Garamond"/>
                <w:sz w:val="12"/>
                <w:szCs w:val="12"/>
              </w:rPr>
            </w:pPr>
            <w:r w:rsidRPr="00CC11D5">
              <w:rPr>
                <w:rFonts w:ascii="Garamond" w:hAnsi="Garamond"/>
                <w:b/>
                <w:sz w:val="12"/>
                <w:szCs w:val="12"/>
              </w:rPr>
              <w:t>(viti)</w:t>
            </w:r>
          </w:p>
        </w:tc>
        <w:tc>
          <w:tcPr>
            <w:tcW w:w="5154" w:type="dxa"/>
            <w:gridSpan w:val="4"/>
            <w:tcBorders>
              <w:top w:val="single" w:sz="4" w:space="0" w:color="auto"/>
              <w:left w:val="nil"/>
              <w:bottom w:val="single" w:sz="4" w:space="0" w:color="auto"/>
              <w:right w:val="single" w:sz="4" w:space="0" w:color="auto"/>
            </w:tcBorders>
            <w:shd w:val="clear" w:color="FFFFFF" w:fill="FFFFFF"/>
            <w:vAlign w:val="center"/>
          </w:tcPr>
          <w:p w14:paraId="2ABA6B56" w14:textId="77777777" w:rsidR="00A53A79" w:rsidRPr="00CC11D5" w:rsidRDefault="00A53A79" w:rsidP="00DE65FB">
            <w:pPr>
              <w:jc w:val="center"/>
              <w:rPr>
                <w:rFonts w:ascii="Garamond" w:hAnsi="Garamond"/>
                <w:sz w:val="12"/>
                <w:szCs w:val="12"/>
              </w:rPr>
            </w:pPr>
            <w:r w:rsidRPr="00CC11D5">
              <w:rPr>
                <w:rFonts w:ascii="Garamond" w:hAnsi="Garamond"/>
                <w:b/>
                <w:sz w:val="12"/>
                <w:szCs w:val="12"/>
              </w:rPr>
              <w:t>Vlera e synuar</w:t>
            </w:r>
          </w:p>
        </w:tc>
      </w:tr>
      <w:tr w:rsidR="00A53A79" w:rsidRPr="00CC11D5" w14:paraId="2481750A" w14:textId="77777777" w:rsidTr="00DE65FB">
        <w:trPr>
          <w:trHeight w:val="20"/>
        </w:trPr>
        <w:tc>
          <w:tcPr>
            <w:tcW w:w="2337" w:type="dxa"/>
            <w:vMerge/>
            <w:tcBorders>
              <w:left w:val="single" w:sz="4" w:space="0" w:color="auto"/>
              <w:bottom w:val="single" w:sz="4" w:space="0" w:color="auto"/>
              <w:right w:val="single" w:sz="4" w:space="0" w:color="auto"/>
            </w:tcBorders>
            <w:shd w:val="clear" w:color="FFFFFF" w:fill="FFFFFF"/>
            <w:vAlign w:val="center"/>
          </w:tcPr>
          <w:p w14:paraId="44CC8638" w14:textId="77777777" w:rsidR="00A53A79" w:rsidRPr="00CC11D5" w:rsidRDefault="00A53A79" w:rsidP="00DE65FB">
            <w:pPr>
              <w:jc w:val="center"/>
              <w:rPr>
                <w:rFonts w:ascii="Garamond" w:hAnsi="Garamond"/>
                <w:sz w:val="12"/>
                <w:szCs w:val="12"/>
              </w:rPr>
            </w:pPr>
          </w:p>
        </w:tc>
        <w:tc>
          <w:tcPr>
            <w:tcW w:w="1525" w:type="dxa"/>
            <w:vMerge/>
            <w:tcBorders>
              <w:left w:val="single" w:sz="4" w:space="0" w:color="auto"/>
              <w:bottom w:val="single" w:sz="4" w:space="0" w:color="auto"/>
              <w:right w:val="single" w:sz="4" w:space="0" w:color="auto"/>
            </w:tcBorders>
            <w:shd w:val="clear" w:color="FFFFFF" w:fill="FFFFFF"/>
            <w:vAlign w:val="center"/>
          </w:tcPr>
          <w:p w14:paraId="7545EBE1" w14:textId="77777777" w:rsidR="00A53A79" w:rsidRPr="00CC11D5" w:rsidRDefault="00A53A79" w:rsidP="00DE65FB">
            <w:pPr>
              <w:jc w:val="center"/>
              <w:rPr>
                <w:rFonts w:ascii="Garamond" w:hAnsi="Garamond"/>
                <w:sz w:val="12"/>
                <w:szCs w:val="12"/>
              </w:rPr>
            </w:pPr>
          </w:p>
        </w:tc>
        <w:tc>
          <w:tcPr>
            <w:tcW w:w="1350" w:type="dxa"/>
            <w:tcBorders>
              <w:top w:val="single" w:sz="4" w:space="0" w:color="auto"/>
              <w:left w:val="nil"/>
              <w:bottom w:val="single" w:sz="4" w:space="0" w:color="auto"/>
              <w:right w:val="single" w:sz="4" w:space="0" w:color="auto"/>
            </w:tcBorders>
            <w:shd w:val="clear" w:color="FFFFFF" w:fill="FFFFFF"/>
            <w:vAlign w:val="center"/>
          </w:tcPr>
          <w:p w14:paraId="16771944" w14:textId="77777777" w:rsidR="00A53A79" w:rsidRPr="00CC11D5" w:rsidRDefault="00A53A79" w:rsidP="00DE65FB">
            <w:pPr>
              <w:jc w:val="center"/>
              <w:rPr>
                <w:rFonts w:ascii="Garamond" w:hAnsi="Garamond"/>
                <w:sz w:val="12"/>
                <w:szCs w:val="12"/>
              </w:rPr>
            </w:pPr>
            <w:r w:rsidRPr="00CC11D5">
              <w:rPr>
                <w:rFonts w:ascii="Garamond" w:hAnsi="Garamond"/>
                <w:b/>
                <w:sz w:val="12"/>
                <w:szCs w:val="12"/>
              </w:rPr>
              <w:t>2024</w:t>
            </w:r>
          </w:p>
        </w:tc>
        <w:tc>
          <w:tcPr>
            <w:tcW w:w="1102" w:type="dxa"/>
            <w:tcBorders>
              <w:top w:val="single" w:sz="4" w:space="0" w:color="auto"/>
              <w:left w:val="nil"/>
              <w:bottom w:val="single" w:sz="4" w:space="0" w:color="auto"/>
              <w:right w:val="single" w:sz="4" w:space="0" w:color="auto"/>
            </w:tcBorders>
            <w:shd w:val="clear" w:color="FFFFFF" w:fill="FFFFFF"/>
            <w:vAlign w:val="center"/>
          </w:tcPr>
          <w:p w14:paraId="7211095C" w14:textId="77777777" w:rsidR="00A53A79" w:rsidRPr="00CC11D5" w:rsidRDefault="00A53A79" w:rsidP="00DE65FB">
            <w:pPr>
              <w:jc w:val="center"/>
              <w:rPr>
                <w:rFonts w:ascii="Garamond" w:hAnsi="Garamond"/>
                <w:sz w:val="12"/>
                <w:szCs w:val="12"/>
              </w:rPr>
            </w:pPr>
            <w:r w:rsidRPr="00CC11D5">
              <w:rPr>
                <w:rFonts w:ascii="Garamond" w:hAnsi="Garamond"/>
                <w:b/>
                <w:sz w:val="12"/>
                <w:szCs w:val="12"/>
              </w:rPr>
              <w:t>2025</w:t>
            </w:r>
          </w:p>
        </w:tc>
        <w:tc>
          <w:tcPr>
            <w:tcW w:w="1368" w:type="dxa"/>
            <w:tcBorders>
              <w:top w:val="single" w:sz="4" w:space="0" w:color="auto"/>
              <w:left w:val="nil"/>
              <w:bottom w:val="single" w:sz="4" w:space="0" w:color="auto"/>
              <w:right w:val="single" w:sz="4" w:space="0" w:color="auto"/>
            </w:tcBorders>
            <w:shd w:val="clear" w:color="FFFFFF" w:fill="FFFFFF"/>
            <w:vAlign w:val="center"/>
          </w:tcPr>
          <w:p w14:paraId="12A10F74" w14:textId="77777777" w:rsidR="00A53A79" w:rsidRPr="00CC11D5" w:rsidRDefault="00A53A79" w:rsidP="00DE65FB">
            <w:pPr>
              <w:jc w:val="center"/>
              <w:rPr>
                <w:rFonts w:ascii="Garamond" w:hAnsi="Garamond"/>
                <w:sz w:val="12"/>
                <w:szCs w:val="12"/>
              </w:rPr>
            </w:pPr>
            <w:r w:rsidRPr="00CC11D5">
              <w:rPr>
                <w:rFonts w:ascii="Garamond" w:hAnsi="Garamond"/>
                <w:b/>
                <w:sz w:val="12"/>
                <w:szCs w:val="12"/>
              </w:rPr>
              <w:t>2026</w:t>
            </w:r>
          </w:p>
        </w:tc>
        <w:tc>
          <w:tcPr>
            <w:tcW w:w="1334" w:type="dxa"/>
            <w:tcBorders>
              <w:top w:val="single" w:sz="4" w:space="0" w:color="auto"/>
              <w:left w:val="nil"/>
              <w:bottom w:val="single" w:sz="4" w:space="0" w:color="auto"/>
              <w:right w:val="single" w:sz="4" w:space="0" w:color="auto"/>
            </w:tcBorders>
            <w:shd w:val="clear" w:color="FFFFFF" w:fill="FFFFFF"/>
            <w:vAlign w:val="center"/>
          </w:tcPr>
          <w:p w14:paraId="47DA8086" w14:textId="77777777" w:rsidR="00A53A79" w:rsidRPr="00CC11D5" w:rsidRDefault="00A53A79" w:rsidP="00DE65FB">
            <w:pPr>
              <w:jc w:val="center"/>
              <w:rPr>
                <w:rFonts w:ascii="Garamond" w:hAnsi="Garamond"/>
                <w:sz w:val="12"/>
                <w:szCs w:val="12"/>
              </w:rPr>
            </w:pPr>
            <w:r w:rsidRPr="00CC11D5">
              <w:rPr>
                <w:rFonts w:ascii="Garamond" w:hAnsi="Garamond"/>
                <w:b/>
                <w:sz w:val="12"/>
                <w:szCs w:val="12"/>
              </w:rPr>
              <w:t>2027</w:t>
            </w:r>
          </w:p>
        </w:tc>
      </w:tr>
      <w:tr w:rsidR="00A53A79" w:rsidRPr="00CC11D5" w14:paraId="5B7D0DA0" w14:textId="77777777" w:rsidTr="00A53A79">
        <w:trPr>
          <w:trHeight w:val="20"/>
        </w:trPr>
        <w:tc>
          <w:tcPr>
            <w:tcW w:w="2337" w:type="dxa"/>
            <w:tcBorders>
              <w:top w:val="single" w:sz="4" w:space="0" w:color="auto"/>
              <w:left w:val="single" w:sz="4" w:space="0" w:color="auto"/>
              <w:bottom w:val="single" w:sz="4" w:space="0" w:color="auto"/>
              <w:right w:val="single" w:sz="4" w:space="0" w:color="auto"/>
            </w:tcBorders>
            <w:shd w:val="clear" w:color="FFFFFF" w:fill="FFFFFF"/>
          </w:tcPr>
          <w:p w14:paraId="1573CABD" w14:textId="07C3662A" w:rsidR="00A53A79" w:rsidRPr="00CC11D5" w:rsidRDefault="00A53A79" w:rsidP="00A53A79">
            <w:pPr>
              <w:jc w:val="center"/>
              <w:rPr>
                <w:rFonts w:ascii="Garamond" w:hAnsi="Garamond"/>
                <w:sz w:val="12"/>
                <w:szCs w:val="12"/>
              </w:rPr>
            </w:pPr>
            <w:r w:rsidRPr="00CC11D5">
              <w:rPr>
                <w:rFonts w:ascii="Garamond" w:hAnsi="Garamond"/>
                <w:sz w:val="12"/>
                <w:szCs w:val="12"/>
              </w:rPr>
              <w:t>Rritja me 0.18% e PBB</w:t>
            </w:r>
            <w:r w:rsidR="00236281" w:rsidRPr="00CC11D5">
              <w:rPr>
                <w:rFonts w:ascii="Garamond" w:hAnsi="Garamond"/>
                <w:sz w:val="12"/>
                <w:szCs w:val="12"/>
              </w:rPr>
              <w:t>-së</w:t>
            </w:r>
            <w:r w:rsidRPr="00CC11D5">
              <w:rPr>
                <w:rFonts w:ascii="Garamond" w:hAnsi="Garamond"/>
                <w:sz w:val="12"/>
                <w:szCs w:val="12"/>
              </w:rPr>
              <w:t xml:space="preserve"> </w:t>
            </w:r>
            <w:r w:rsidR="00236281" w:rsidRPr="00CC11D5">
              <w:rPr>
                <w:rFonts w:ascii="Garamond" w:hAnsi="Garamond"/>
                <w:sz w:val="12"/>
                <w:szCs w:val="12"/>
              </w:rPr>
              <w:t>s</w:t>
            </w:r>
            <w:r w:rsidRPr="00CC11D5">
              <w:rPr>
                <w:rFonts w:ascii="Garamond" w:hAnsi="Garamond"/>
                <w:sz w:val="12"/>
                <w:szCs w:val="12"/>
              </w:rPr>
              <w:t>ë të ardhurave nga tatimi mbi pagën dhe kontributet e sigurimeve shoqërore dhe shëndetësore</w:t>
            </w:r>
          </w:p>
        </w:tc>
        <w:tc>
          <w:tcPr>
            <w:tcW w:w="1525" w:type="dxa"/>
            <w:tcBorders>
              <w:top w:val="single" w:sz="4" w:space="0" w:color="auto"/>
              <w:left w:val="single" w:sz="4" w:space="0" w:color="auto"/>
              <w:bottom w:val="single" w:sz="4" w:space="0" w:color="auto"/>
              <w:right w:val="single" w:sz="4" w:space="0" w:color="auto"/>
            </w:tcBorders>
            <w:shd w:val="clear" w:color="FFFFFF" w:fill="FFFFFF"/>
            <w:hideMark/>
          </w:tcPr>
          <w:p w14:paraId="163580CA" w14:textId="383BE4ED" w:rsidR="00A53A79" w:rsidRPr="00CC11D5" w:rsidRDefault="00A53A79" w:rsidP="00A53A79">
            <w:pPr>
              <w:jc w:val="center"/>
              <w:rPr>
                <w:rFonts w:ascii="Garamond" w:hAnsi="Garamond"/>
                <w:sz w:val="12"/>
                <w:szCs w:val="12"/>
              </w:rPr>
            </w:pPr>
            <w:r w:rsidRPr="00CC11D5">
              <w:rPr>
                <w:rFonts w:ascii="Garamond" w:hAnsi="Garamond"/>
                <w:sz w:val="12"/>
                <w:szCs w:val="12"/>
              </w:rPr>
              <w:t>7.48% e PBB</w:t>
            </w:r>
            <w:r w:rsidR="00236281" w:rsidRPr="00CC11D5">
              <w:rPr>
                <w:rFonts w:ascii="Garamond" w:hAnsi="Garamond"/>
                <w:sz w:val="12"/>
                <w:szCs w:val="12"/>
              </w:rPr>
              <w:t>-së</w:t>
            </w:r>
            <w:r w:rsidRPr="00CC11D5">
              <w:rPr>
                <w:rFonts w:ascii="Garamond" w:hAnsi="Garamond"/>
                <w:sz w:val="12"/>
                <w:szCs w:val="12"/>
              </w:rPr>
              <w:t xml:space="preserve"> në 2023</w:t>
            </w:r>
            <w:r w:rsidR="00DE65FB" w:rsidRPr="00CC11D5">
              <w:rPr>
                <w:rFonts w:ascii="Garamond" w:hAnsi="Garamond"/>
                <w:sz w:val="12"/>
                <w:szCs w:val="12"/>
              </w:rPr>
              <w:t>-shin</w:t>
            </w:r>
          </w:p>
        </w:tc>
        <w:tc>
          <w:tcPr>
            <w:tcW w:w="1350" w:type="dxa"/>
            <w:tcBorders>
              <w:top w:val="single" w:sz="4" w:space="0" w:color="auto"/>
              <w:left w:val="nil"/>
              <w:bottom w:val="single" w:sz="4" w:space="0" w:color="auto"/>
              <w:right w:val="single" w:sz="4" w:space="0" w:color="auto"/>
            </w:tcBorders>
            <w:shd w:val="clear" w:color="FFFFFF" w:fill="FFFFFF"/>
            <w:hideMark/>
          </w:tcPr>
          <w:p w14:paraId="1D9A8DD7" w14:textId="77777777" w:rsidR="00A53A79" w:rsidRPr="00CC11D5" w:rsidRDefault="00A53A79" w:rsidP="00A53A79">
            <w:pPr>
              <w:jc w:val="center"/>
              <w:rPr>
                <w:rFonts w:ascii="Garamond" w:hAnsi="Garamond"/>
                <w:sz w:val="12"/>
                <w:szCs w:val="12"/>
              </w:rPr>
            </w:pPr>
            <w:r w:rsidRPr="00CC11D5">
              <w:rPr>
                <w:rFonts w:ascii="Garamond" w:hAnsi="Garamond"/>
                <w:sz w:val="12"/>
                <w:szCs w:val="12"/>
              </w:rPr>
              <w:t xml:space="preserve">0.02% </w:t>
            </w:r>
            <w:r w:rsidRPr="00CC11D5">
              <w:rPr>
                <w:rFonts w:ascii="Garamond" w:hAnsi="Garamond"/>
                <w:sz w:val="12"/>
                <w:szCs w:val="12"/>
              </w:rPr>
              <w:br/>
              <w:t>të PBB-së</w:t>
            </w:r>
          </w:p>
        </w:tc>
        <w:tc>
          <w:tcPr>
            <w:tcW w:w="1102" w:type="dxa"/>
            <w:tcBorders>
              <w:top w:val="single" w:sz="4" w:space="0" w:color="auto"/>
              <w:left w:val="nil"/>
              <w:bottom w:val="single" w:sz="4" w:space="0" w:color="auto"/>
              <w:right w:val="single" w:sz="4" w:space="0" w:color="auto"/>
            </w:tcBorders>
            <w:shd w:val="clear" w:color="FFFFFF" w:fill="FFFFFF"/>
            <w:hideMark/>
          </w:tcPr>
          <w:p w14:paraId="4D403D62" w14:textId="77777777" w:rsidR="00A53A79" w:rsidRPr="00CC11D5" w:rsidRDefault="00A53A79" w:rsidP="00A53A79">
            <w:pPr>
              <w:jc w:val="center"/>
              <w:rPr>
                <w:rFonts w:ascii="Garamond" w:hAnsi="Garamond"/>
                <w:sz w:val="12"/>
                <w:szCs w:val="12"/>
              </w:rPr>
            </w:pPr>
            <w:r w:rsidRPr="00CC11D5">
              <w:rPr>
                <w:rFonts w:ascii="Garamond" w:hAnsi="Garamond"/>
                <w:sz w:val="12"/>
                <w:szCs w:val="12"/>
              </w:rPr>
              <w:t xml:space="preserve">0.05% </w:t>
            </w:r>
            <w:r w:rsidRPr="00CC11D5">
              <w:rPr>
                <w:rFonts w:ascii="Garamond" w:hAnsi="Garamond"/>
                <w:sz w:val="12"/>
                <w:szCs w:val="12"/>
              </w:rPr>
              <w:br/>
              <w:t>të PBB-së</w:t>
            </w:r>
          </w:p>
        </w:tc>
        <w:tc>
          <w:tcPr>
            <w:tcW w:w="1368" w:type="dxa"/>
            <w:tcBorders>
              <w:top w:val="single" w:sz="4" w:space="0" w:color="auto"/>
              <w:left w:val="nil"/>
              <w:bottom w:val="single" w:sz="4" w:space="0" w:color="auto"/>
              <w:right w:val="single" w:sz="4" w:space="0" w:color="auto"/>
            </w:tcBorders>
            <w:shd w:val="clear" w:color="FFFFFF" w:fill="FFFFFF"/>
            <w:hideMark/>
          </w:tcPr>
          <w:p w14:paraId="347FAEFF" w14:textId="77777777" w:rsidR="00A53A79" w:rsidRPr="00CC11D5" w:rsidRDefault="00A53A79" w:rsidP="00A53A79">
            <w:pPr>
              <w:jc w:val="center"/>
              <w:rPr>
                <w:rFonts w:ascii="Garamond" w:hAnsi="Garamond"/>
                <w:sz w:val="12"/>
                <w:szCs w:val="12"/>
              </w:rPr>
            </w:pPr>
            <w:r w:rsidRPr="00CC11D5">
              <w:rPr>
                <w:rFonts w:ascii="Garamond" w:hAnsi="Garamond"/>
                <w:sz w:val="12"/>
                <w:szCs w:val="12"/>
              </w:rPr>
              <w:t xml:space="preserve">0.05% </w:t>
            </w:r>
            <w:r w:rsidRPr="00CC11D5">
              <w:rPr>
                <w:rFonts w:ascii="Garamond" w:hAnsi="Garamond"/>
                <w:sz w:val="12"/>
                <w:szCs w:val="12"/>
              </w:rPr>
              <w:br/>
              <w:t>të PBB-së</w:t>
            </w:r>
          </w:p>
        </w:tc>
        <w:tc>
          <w:tcPr>
            <w:tcW w:w="1334" w:type="dxa"/>
            <w:tcBorders>
              <w:top w:val="single" w:sz="4" w:space="0" w:color="auto"/>
              <w:left w:val="nil"/>
              <w:bottom w:val="single" w:sz="4" w:space="0" w:color="auto"/>
              <w:right w:val="single" w:sz="4" w:space="0" w:color="auto"/>
            </w:tcBorders>
            <w:shd w:val="clear" w:color="FFFFFF" w:fill="FFFFFF"/>
            <w:hideMark/>
          </w:tcPr>
          <w:p w14:paraId="216930AC" w14:textId="77777777" w:rsidR="00A53A79" w:rsidRPr="00CC11D5" w:rsidRDefault="00A53A79" w:rsidP="00A53A79">
            <w:pPr>
              <w:jc w:val="center"/>
              <w:rPr>
                <w:rFonts w:ascii="Garamond" w:hAnsi="Garamond"/>
                <w:sz w:val="12"/>
                <w:szCs w:val="12"/>
              </w:rPr>
            </w:pPr>
            <w:r w:rsidRPr="00CC11D5">
              <w:rPr>
                <w:rFonts w:ascii="Garamond" w:hAnsi="Garamond"/>
                <w:sz w:val="12"/>
                <w:szCs w:val="12"/>
              </w:rPr>
              <w:t xml:space="preserve">0.06% </w:t>
            </w:r>
            <w:r w:rsidRPr="00CC11D5">
              <w:rPr>
                <w:rFonts w:ascii="Garamond" w:hAnsi="Garamond"/>
                <w:sz w:val="12"/>
                <w:szCs w:val="12"/>
              </w:rPr>
              <w:br/>
              <w:t>të PBB-së</w:t>
            </w:r>
          </w:p>
        </w:tc>
      </w:tr>
      <w:tr w:rsidR="00A53A79" w:rsidRPr="00CC11D5" w14:paraId="5987CFFB" w14:textId="77777777" w:rsidTr="00A53A79">
        <w:trPr>
          <w:trHeight w:val="20"/>
        </w:trPr>
        <w:tc>
          <w:tcPr>
            <w:tcW w:w="2337" w:type="dxa"/>
            <w:tcBorders>
              <w:top w:val="nil"/>
              <w:left w:val="single" w:sz="4" w:space="0" w:color="auto"/>
              <w:bottom w:val="single" w:sz="4" w:space="0" w:color="auto"/>
              <w:right w:val="single" w:sz="4" w:space="0" w:color="auto"/>
            </w:tcBorders>
            <w:shd w:val="clear" w:color="FFFFFF" w:fill="FFFFFF"/>
          </w:tcPr>
          <w:p w14:paraId="6780967A" w14:textId="62E9B1E6" w:rsidR="00A53A79" w:rsidRPr="00CC11D5" w:rsidRDefault="00A53A79" w:rsidP="00A53A79">
            <w:pPr>
              <w:jc w:val="center"/>
              <w:rPr>
                <w:rFonts w:ascii="Garamond" w:hAnsi="Garamond"/>
                <w:sz w:val="12"/>
                <w:szCs w:val="12"/>
              </w:rPr>
            </w:pPr>
            <w:r w:rsidRPr="00CC11D5">
              <w:rPr>
                <w:rFonts w:ascii="Garamond" w:hAnsi="Garamond"/>
                <w:sz w:val="12"/>
                <w:szCs w:val="12"/>
              </w:rPr>
              <w:t>Rritja e deklarimit të pagës reale të 16 % të punësuarve, në fund të 2027</w:t>
            </w:r>
            <w:r w:rsidR="00DE65FB" w:rsidRPr="00CC11D5">
              <w:rPr>
                <w:rFonts w:ascii="Garamond" w:hAnsi="Garamond"/>
                <w:sz w:val="12"/>
                <w:szCs w:val="12"/>
              </w:rPr>
              <w:t>-s</w:t>
            </w:r>
          </w:p>
        </w:tc>
        <w:tc>
          <w:tcPr>
            <w:tcW w:w="1525" w:type="dxa"/>
            <w:tcBorders>
              <w:top w:val="nil"/>
              <w:left w:val="single" w:sz="4" w:space="0" w:color="auto"/>
              <w:bottom w:val="single" w:sz="4" w:space="0" w:color="auto"/>
              <w:right w:val="single" w:sz="4" w:space="0" w:color="auto"/>
            </w:tcBorders>
            <w:shd w:val="clear" w:color="FFFFFF" w:fill="FFFFFF"/>
            <w:hideMark/>
          </w:tcPr>
          <w:p w14:paraId="4B19C0FA" w14:textId="77777777" w:rsidR="00A53A79" w:rsidRPr="00CC11D5" w:rsidRDefault="00A53A79" w:rsidP="00A53A79">
            <w:pPr>
              <w:jc w:val="center"/>
              <w:rPr>
                <w:rFonts w:ascii="Garamond" w:hAnsi="Garamond"/>
                <w:sz w:val="12"/>
                <w:szCs w:val="12"/>
              </w:rPr>
            </w:pPr>
            <w:r w:rsidRPr="00CC11D5">
              <w:rPr>
                <w:rFonts w:ascii="Garamond" w:hAnsi="Garamond"/>
                <w:sz w:val="12"/>
                <w:szCs w:val="12"/>
              </w:rPr>
              <w:t>20 % e punonjësve me pagë nën kufirin e përjashtimit</w:t>
            </w:r>
          </w:p>
        </w:tc>
        <w:tc>
          <w:tcPr>
            <w:tcW w:w="1350" w:type="dxa"/>
            <w:tcBorders>
              <w:top w:val="nil"/>
              <w:left w:val="nil"/>
              <w:bottom w:val="single" w:sz="4" w:space="0" w:color="auto"/>
              <w:right w:val="single" w:sz="4" w:space="0" w:color="auto"/>
            </w:tcBorders>
            <w:shd w:val="clear" w:color="FFFFFF" w:fill="FFFFFF"/>
            <w:hideMark/>
          </w:tcPr>
          <w:p w14:paraId="360D1DEC" w14:textId="77777777" w:rsidR="00A53A79" w:rsidRPr="00CC11D5" w:rsidRDefault="00A53A79" w:rsidP="00A53A79">
            <w:pPr>
              <w:jc w:val="center"/>
              <w:rPr>
                <w:rFonts w:ascii="Garamond" w:hAnsi="Garamond"/>
                <w:sz w:val="12"/>
                <w:szCs w:val="12"/>
              </w:rPr>
            </w:pPr>
            <w:r w:rsidRPr="00CC11D5">
              <w:rPr>
                <w:rFonts w:ascii="Garamond" w:hAnsi="Garamond"/>
                <w:sz w:val="12"/>
                <w:szCs w:val="12"/>
              </w:rPr>
              <w:t>2% të punonjësve u rritet deklarimi i pagës</w:t>
            </w:r>
          </w:p>
        </w:tc>
        <w:tc>
          <w:tcPr>
            <w:tcW w:w="1102" w:type="dxa"/>
            <w:tcBorders>
              <w:top w:val="nil"/>
              <w:left w:val="nil"/>
              <w:bottom w:val="single" w:sz="4" w:space="0" w:color="auto"/>
              <w:right w:val="single" w:sz="4" w:space="0" w:color="auto"/>
            </w:tcBorders>
            <w:shd w:val="clear" w:color="FFFFFF" w:fill="FFFFFF"/>
            <w:hideMark/>
          </w:tcPr>
          <w:p w14:paraId="3041BE2D" w14:textId="77777777" w:rsidR="00A53A79" w:rsidRPr="00CC11D5" w:rsidRDefault="00A53A79" w:rsidP="00A53A79">
            <w:pPr>
              <w:jc w:val="center"/>
              <w:rPr>
                <w:rFonts w:ascii="Garamond" w:hAnsi="Garamond"/>
                <w:sz w:val="12"/>
                <w:szCs w:val="12"/>
              </w:rPr>
            </w:pPr>
            <w:r w:rsidRPr="00CC11D5">
              <w:rPr>
                <w:rFonts w:ascii="Garamond" w:hAnsi="Garamond"/>
                <w:sz w:val="12"/>
                <w:szCs w:val="12"/>
              </w:rPr>
              <w:t>3.4 % të punonjësve u rritet deklarimi i pagës</w:t>
            </w:r>
          </w:p>
        </w:tc>
        <w:tc>
          <w:tcPr>
            <w:tcW w:w="1368" w:type="dxa"/>
            <w:tcBorders>
              <w:top w:val="nil"/>
              <w:left w:val="nil"/>
              <w:bottom w:val="single" w:sz="4" w:space="0" w:color="auto"/>
              <w:right w:val="single" w:sz="4" w:space="0" w:color="auto"/>
            </w:tcBorders>
            <w:shd w:val="clear" w:color="FFFFFF" w:fill="FFFFFF"/>
            <w:hideMark/>
          </w:tcPr>
          <w:p w14:paraId="65299D36" w14:textId="77777777" w:rsidR="00A53A79" w:rsidRPr="00CC11D5" w:rsidRDefault="00A53A79" w:rsidP="00A53A79">
            <w:pPr>
              <w:jc w:val="center"/>
              <w:rPr>
                <w:rFonts w:ascii="Garamond" w:hAnsi="Garamond"/>
                <w:sz w:val="12"/>
                <w:szCs w:val="12"/>
              </w:rPr>
            </w:pPr>
            <w:r w:rsidRPr="00CC11D5">
              <w:rPr>
                <w:rFonts w:ascii="Garamond" w:hAnsi="Garamond"/>
                <w:sz w:val="12"/>
                <w:szCs w:val="12"/>
              </w:rPr>
              <w:t>4.7 % të punonjësve u rritet deklarimi i pagës</w:t>
            </w:r>
          </w:p>
        </w:tc>
        <w:tc>
          <w:tcPr>
            <w:tcW w:w="1334" w:type="dxa"/>
            <w:tcBorders>
              <w:top w:val="nil"/>
              <w:left w:val="nil"/>
              <w:bottom w:val="single" w:sz="4" w:space="0" w:color="auto"/>
              <w:right w:val="single" w:sz="4" w:space="0" w:color="auto"/>
            </w:tcBorders>
            <w:shd w:val="clear" w:color="FFFFFF" w:fill="FFFFFF"/>
            <w:hideMark/>
          </w:tcPr>
          <w:p w14:paraId="08810ACB" w14:textId="77777777" w:rsidR="00A53A79" w:rsidRPr="00CC11D5" w:rsidRDefault="00A53A79" w:rsidP="00A53A79">
            <w:pPr>
              <w:jc w:val="center"/>
              <w:rPr>
                <w:rFonts w:ascii="Garamond" w:hAnsi="Garamond"/>
                <w:sz w:val="12"/>
                <w:szCs w:val="12"/>
              </w:rPr>
            </w:pPr>
            <w:r w:rsidRPr="00CC11D5">
              <w:rPr>
                <w:rFonts w:ascii="Garamond" w:hAnsi="Garamond"/>
                <w:sz w:val="12"/>
                <w:szCs w:val="12"/>
              </w:rPr>
              <w:t>4.7 % të punonjësve u rritet deklarimi i pagës</w:t>
            </w:r>
          </w:p>
        </w:tc>
      </w:tr>
      <w:tr w:rsidR="00A53A79" w:rsidRPr="00CC11D5" w14:paraId="1A900037" w14:textId="77777777" w:rsidTr="00A53A79">
        <w:trPr>
          <w:trHeight w:val="20"/>
        </w:trPr>
        <w:tc>
          <w:tcPr>
            <w:tcW w:w="2337" w:type="dxa"/>
            <w:tcBorders>
              <w:top w:val="nil"/>
              <w:left w:val="single" w:sz="4" w:space="0" w:color="auto"/>
              <w:bottom w:val="single" w:sz="4" w:space="0" w:color="auto"/>
              <w:right w:val="single" w:sz="4" w:space="0" w:color="auto"/>
            </w:tcBorders>
          </w:tcPr>
          <w:p w14:paraId="4A42BFE7" w14:textId="77777777" w:rsidR="00A53A79" w:rsidRPr="00CC11D5" w:rsidRDefault="00A53A79" w:rsidP="00A53A79">
            <w:pPr>
              <w:jc w:val="center"/>
              <w:rPr>
                <w:rFonts w:ascii="Garamond" w:hAnsi="Garamond"/>
                <w:sz w:val="12"/>
                <w:szCs w:val="12"/>
              </w:rPr>
            </w:pPr>
            <w:r w:rsidRPr="00CC11D5">
              <w:rPr>
                <w:rFonts w:ascii="Garamond" w:hAnsi="Garamond"/>
                <w:sz w:val="12"/>
                <w:szCs w:val="12"/>
              </w:rPr>
              <w:t>Rritja e numrit në skemën e kontribuesve me 5.5 % të punonjësve, në fund të 2027.</w:t>
            </w:r>
          </w:p>
        </w:tc>
        <w:tc>
          <w:tcPr>
            <w:tcW w:w="1525" w:type="dxa"/>
            <w:tcBorders>
              <w:top w:val="nil"/>
              <w:left w:val="single" w:sz="4" w:space="0" w:color="auto"/>
              <w:bottom w:val="single" w:sz="4" w:space="0" w:color="auto"/>
              <w:right w:val="single" w:sz="4" w:space="0" w:color="auto"/>
            </w:tcBorders>
            <w:shd w:val="clear" w:color="auto" w:fill="auto"/>
            <w:noWrap/>
            <w:hideMark/>
          </w:tcPr>
          <w:p w14:paraId="7DC8D416" w14:textId="77777777" w:rsidR="00A53A79" w:rsidRPr="00CC11D5" w:rsidRDefault="00A53A79" w:rsidP="00A53A79">
            <w:pPr>
              <w:jc w:val="center"/>
              <w:rPr>
                <w:rFonts w:ascii="Garamond" w:hAnsi="Garamond"/>
                <w:sz w:val="12"/>
                <w:szCs w:val="12"/>
              </w:rPr>
            </w:pPr>
            <w:r w:rsidRPr="00CC11D5">
              <w:rPr>
                <w:rFonts w:ascii="Garamond" w:hAnsi="Garamond"/>
                <w:sz w:val="12"/>
                <w:szCs w:val="12"/>
              </w:rPr>
              <w:t>733.144 në vitin 2023</w:t>
            </w:r>
          </w:p>
        </w:tc>
        <w:tc>
          <w:tcPr>
            <w:tcW w:w="1350" w:type="dxa"/>
            <w:tcBorders>
              <w:top w:val="nil"/>
              <w:left w:val="nil"/>
              <w:bottom w:val="single" w:sz="4" w:space="0" w:color="auto"/>
              <w:right w:val="single" w:sz="4" w:space="0" w:color="auto"/>
            </w:tcBorders>
            <w:shd w:val="clear" w:color="auto" w:fill="auto"/>
            <w:hideMark/>
          </w:tcPr>
          <w:p w14:paraId="1C7D41A9" w14:textId="77777777" w:rsidR="00A53A79" w:rsidRPr="00CC11D5" w:rsidRDefault="00A53A79" w:rsidP="00A53A79">
            <w:pPr>
              <w:jc w:val="center"/>
              <w:rPr>
                <w:rFonts w:ascii="Garamond" w:hAnsi="Garamond"/>
                <w:sz w:val="12"/>
                <w:szCs w:val="12"/>
              </w:rPr>
            </w:pPr>
            <w:r w:rsidRPr="00CC11D5">
              <w:rPr>
                <w:rFonts w:ascii="Garamond" w:hAnsi="Garamond"/>
                <w:sz w:val="12"/>
                <w:szCs w:val="12"/>
              </w:rPr>
              <w:t>1% të punonjësve të rinj në skemë</w:t>
            </w:r>
          </w:p>
        </w:tc>
        <w:tc>
          <w:tcPr>
            <w:tcW w:w="1102" w:type="dxa"/>
            <w:tcBorders>
              <w:top w:val="nil"/>
              <w:left w:val="nil"/>
              <w:bottom w:val="single" w:sz="4" w:space="0" w:color="auto"/>
              <w:right w:val="single" w:sz="4" w:space="0" w:color="auto"/>
            </w:tcBorders>
            <w:shd w:val="clear" w:color="auto" w:fill="auto"/>
            <w:hideMark/>
          </w:tcPr>
          <w:p w14:paraId="0C4CB901" w14:textId="77777777" w:rsidR="00A53A79" w:rsidRPr="00CC11D5" w:rsidRDefault="00A53A79" w:rsidP="00A53A79">
            <w:pPr>
              <w:jc w:val="center"/>
              <w:rPr>
                <w:rFonts w:ascii="Garamond" w:hAnsi="Garamond"/>
                <w:sz w:val="12"/>
                <w:szCs w:val="12"/>
              </w:rPr>
            </w:pPr>
            <w:r w:rsidRPr="00CC11D5">
              <w:rPr>
                <w:rFonts w:ascii="Garamond" w:hAnsi="Garamond"/>
                <w:sz w:val="12"/>
                <w:szCs w:val="12"/>
              </w:rPr>
              <w:t>1.6% të punonjësve të rinj në skemë</w:t>
            </w:r>
          </w:p>
        </w:tc>
        <w:tc>
          <w:tcPr>
            <w:tcW w:w="1368" w:type="dxa"/>
            <w:tcBorders>
              <w:top w:val="nil"/>
              <w:left w:val="nil"/>
              <w:bottom w:val="single" w:sz="4" w:space="0" w:color="auto"/>
              <w:right w:val="single" w:sz="4" w:space="0" w:color="auto"/>
            </w:tcBorders>
            <w:shd w:val="clear" w:color="auto" w:fill="auto"/>
            <w:hideMark/>
          </w:tcPr>
          <w:p w14:paraId="76620F36" w14:textId="77777777" w:rsidR="00A53A79" w:rsidRPr="00CC11D5" w:rsidRDefault="00A53A79" w:rsidP="00A53A79">
            <w:pPr>
              <w:jc w:val="center"/>
              <w:rPr>
                <w:rFonts w:ascii="Garamond" w:hAnsi="Garamond"/>
                <w:sz w:val="12"/>
                <w:szCs w:val="12"/>
              </w:rPr>
            </w:pPr>
            <w:r w:rsidRPr="00CC11D5">
              <w:rPr>
                <w:rFonts w:ascii="Garamond" w:hAnsi="Garamond"/>
                <w:sz w:val="12"/>
                <w:szCs w:val="12"/>
              </w:rPr>
              <w:t>1.3% të punonjësve të rinj në skemë</w:t>
            </w:r>
          </w:p>
        </w:tc>
        <w:tc>
          <w:tcPr>
            <w:tcW w:w="1334" w:type="dxa"/>
            <w:tcBorders>
              <w:top w:val="nil"/>
              <w:left w:val="nil"/>
              <w:bottom w:val="single" w:sz="4" w:space="0" w:color="auto"/>
              <w:right w:val="single" w:sz="4" w:space="0" w:color="auto"/>
            </w:tcBorders>
            <w:shd w:val="clear" w:color="auto" w:fill="auto"/>
            <w:hideMark/>
          </w:tcPr>
          <w:p w14:paraId="2AEE7F22" w14:textId="77777777" w:rsidR="00A53A79" w:rsidRPr="00CC11D5" w:rsidRDefault="00A53A79" w:rsidP="00A53A79">
            <w:pPr>
              <w:jc w:val="center"/>
              <w:rPr>
                <w:rFonts w:ascii="Garamond" w:hAnsi="Garamond"/>
                <w:sz w:val="12"/>
                <w:szCs w:val="12"/>
              </w:rPr>
            </w:pPr>
            <w:r w:rsidRPr="00CC11D5">
              <w:rPr>
                <w:rFonts w:ascii="Garamond" w:hAnsi="Garamond"/>
                <w:sz w:val="12"/>
                <w:szCs w:val="12"/>
              </w:rPr>
              <w:t>1.6% të punonjësve të rinj në skemë</w:t>
            </w:r>
          </w:p>
        </w:tc>
      </w:tr>
    </w:tbl>
    <w:p w14:paraId="2164EEB0" w14:textId="77777777" w:rsidR="00A53A79" w:rsidRPr="00830F4C" w:rsidRDefault="00A53A79" w:rsidP="00A53A79">
      <w:pPr>
        <w:ind w:firstLine="284"/>
        <w:jc w:val="both"/>
        <w:rPr>
          <w:rFonts w:ascii="Garamond" w:eastAsiaTheme="minorHAnsi" w:hAnsi="Garamond" w:cs="Garamond"/>
        </w:rPr>
      </w:pPr>
      <w:r w:rsidRPr="00830F4C">
        <w:rPr>
          <w:rFonts w:ascii="Garamond" w:eastAsiaTheme="minorHAnsi" w:hAnsi="Garamond" w:cs="Garamond"/>
        </w:rPr>
        <w:t xml:space="preserve">Më poshtë është një përshkrim i masave dhe aktiviteteve për realizimin e këtij komponenti. </w:t>
      </w:r>
    </w:p>
    <w:p w14:paraId="38258BF6" w14:textId="5528C40A" w:rsidR="00A53A79" w:rsidRPr="00830F4C" w:rsidRDefault="00A53A79" w:rsidP="00A53A79">
      <w:pPr>
        <w:ind w:firstLine="284"/>
        <w:jc w:val="both"/>
        <w:rPr>
          <w:rFonts w:ascii="Garamond" w:eastAsiaTheme="minorHAnsi" w:hAnsi="Garamond" w:cs="Garamond"/>
          <w:b/>
          <w:bCs/>
        </w:rPr>
      </w:pPr>
      <w:r w:rsidRPr="00830F4C">
        <w:rPr>
          <w:rFonts w:ascii="Garamond" w:eastAsiaTheme="minorHAnsi" w:hAnsi="Garamond" w:cs="Garamond"/>
          <w:b/>
          <w:bCs/>
        </w:rPr>
        <w:t>Masa 2.5.1 Hartimi i një Plani të Integruar në drejtim të mosdeklarimit të punonjësve</w:t>
      </w:r>
    </w:p>
    <w:p w14:paraId="137734C9" w14:textId="767FAD42" w:rsidR="00A53A79" w:rsidRPr="00830F4C" w:rsidRDefault="00A53A79" w:rsidP="00A53A79">
      <w:pPr>
        <w:ind w:firstLine="284"/>
        <w:jc w:val="both"/>
        <w:rPr>
          <w:rFonts w:ascii="Garamond" w:eastAsiaTheme="minorHAnsi" w:hAnsi="Garamond" w:cs="Garamond"/>
        </w:rPr>
      </w:pPr>
      <w:r w:rsidRPr="00830F4C">
        <w:rPr>
          <w:rFonts w:ascii="Garamond" w:eastAsiaTheme="minorHAnsi" w:hAnsi="Garamond" w:cs="Garamond"/>
        </w:rPr>
        <w:t>Hartimi i tërësisë së masave për adresimin e punës informale do të synojë në rritjen me 5.5 %</w:t>
      </w:r>
      <w:r w:rsidR="00D22EA5" w:rsidRPr="00830F4C">
        <w:rPr>
          <w:rFonts w:ascii="Garamond" w:eastAsiaTheme="minorHAnsi" w:hAnsi="Garamond" w:cs="Garamond"/>
        </w:rPr>
        <w:t xml:space="preserve"> </w:t>
      </w:r>
      <w:r w:rsidRPr="00830F4C">
        <w:rPr>
          <w:rFonts w:ascii="Garamond" w:eastAsiaTheme="minorHAnsi" w:hAnsi="Garamond" w:cs="Garamond"/>
        </w:rPr>
        <w:t>të numrit të të punësuarve, të cilët do të formalizohen. Kalimi i punonjësve nga ekonomia informale te punësimi formal është i vështirë. Përveç zbulimit dhe sanksioneve, do të ndiqen qasje politikash të integruara, AT</w:t>
      </w:r>
      <w:r w:rsidR="005C0033">
        <w:rPr>
          <w:rFonts w:ascii="Garamond" w:eastAsiaTheme="minorHAnsi" w:hAnsi="Garamond" w:cs="Garamond"/>
        </w:rPr>
        <w:t>-ja</w:t>
      </w:r>
      <w:r w:rsidRPr="00830F4C">
        <w:rPr>
          <w:rFonts w:ascii="Garamond" w:eastAsiaTheme="minorHAnsi" w:hAnsi="Garamond" w:cs="Garamond"/>
        </w:rPr>
        <w:t xml:space="preserve"> do të hartojë një Plan Sektorial për të adresuar këtë problematikë. </w:t>
      </w:r>
    </w:p>
    <w:p w14:paraId="5F30C362" w14:textId="38B89982" w:rsidR="00A53A79" w:rsidRPr="00830F4C" w:rsidRDefault="00A53A79" w:rsidP="00A53A79">
      <w:pPr>
        <w:pStyle w:val="ListParagraph"/>
        <w:spacing w:after="0" w:line="240" w:lineRule="auto"/>
        <w:ind w:left="0" w:firstLine="284"/>
        <w:jc w:val="both"/>
        <w:rPr>
          <w:rFonts w:ascii="Garamond" w:eastAsiaTheme="minorHAnsi" w:hAnsi="Garamond" w:cs="Garamond"/>
          <w:sz w:val="24"/>
          <w:szCs w:val="24"/>
        </w:rPr>
      </w:pPr>
      <w:r w:rsidRPr="00830F4C">
        <w:rPr>
          <w:rFonts w:ascii="Garamond" w:eastAsiaTheme="minorHAnsi" w:hAnsi="Garamond" w:cs="Wingdings"/>
          <w:sz w:val="24"/>
          <w:szCs w:val="24"/>
        </w:rPr>
        <w:t xml:space="preserve">- </w:t>
      </w:r>
      <w:r w:rsidRPr="00830F4C">
        <w:rPr>
          <w:rFonts w:ascii="Garamond" w:eastAsiaTheme="minorHAnsi" w:hAnsi="Garamond" w:cs="Garamond"/>
          <w:sz w:val="24"/>
          <w:szCs w:val="24"/>
        </w:rPr>
        <w:t>Aktiviteti 2.5.1.1</w:t>
      </w:r>
      <w:r w:rsidR="005C0033">
        <w:rPr>
          <w:rFonts w:ascii="Garamond" w:eastAsiaTheme="minorHAnsi" w:hAnsi="Garamond" w:cs="Garamond"/>
          <w:sz w:val="24"/>
          <w:szCs w:val="24"/>
        </w:rPr>
        <w:t>:</w:t>
      </w:r>
      <w:r w:rsidRPr="00830F4C">
        <w:rPr>
          <w:rFonts w:ascii="Garamond" w:eastAsiaTheme="minorHAnsi" w:hAnsi="Garamond" w:cs="Garamond"/>
          <w:sz w:val="24"/>
          <w:szCs w:val="24"/>
        </w:rPr>
        <w:t xml:space="preserve"> Hartimi i një Plani Sektorial për identifikimin e punës së padeklaruar.</w:t>
      </w:r>
    </w:p>
    <w:p w14:paraId="6CC46190" w14:textId="1CE5F2D6" w:rsidR="00A53A79" w:rsidRPr="00830F4C" w:rsidRDefault="00A53A79" w:rsidP="00A53A79">
      <w:pPr>
        <w:ind w:firstLine="284"/>
        <w:jc w:val="both"/>
        <w:rPr>
          <w:rFonts w:ascii="Garamond" w:eastAsiaTheme="minorHAnsi" w:hAnsi="Garamond" w:cs="Garamond"/>
        </w:rPr>
      </w:pPr>
      <w:r w:rsidRPr="00830F4C">
        <w:rPr>
          <w:rFonts w:ascii="Garamond" w:eastAsiaTheme="minorHAnsi" w:hAnsi="Garamond" w:cs="Garamond"/>
          <w:b/>
          <w:bCs/>
        </w:rPr>
        <w:t>Masa 2.5.2 Përmirësimi i bashkëpunimit ndërinstitucional për koordinimin e veprimeve</w:t>
      </w:r>
      <w:r w:rsidR="005C0033">
        <w:rPr>
          <w:rFonts w:ascii="Garamond" w:eastAsiaTheme="minorHAnsi" w:hAnsi="Garamond" w:cs="Garamond"/>
          <w:b/>
          <w:bCs/>
        </w:rPr>
        <w:t>,</w:t>
      </w:r>
      <w:r w:rsidRPr="00830F4C">
        <w:rPr>
          <w:rFonts w:ascii="Garamond" w:eastAsiaTheme="minorHAnsi" w:hAnsi="Garamond" w:cs="Garamond"/>
          <w:b/>
          <w:bCs/>
        </w:rPr>
        <w:t xml:space="preserve"> në kuadër të identifikimit të punës së padeklaruar ose nëndeklaruar, mbështetur në një strategji të qartë</w:t>
      </w:r>
    </w:p>
    <w:p w14:paraId="44DFBEC8" w14:textId="790E62DB" w:rsidR="00A53A79" w:rsidRPr="00830F4C" w:rsidRDefault="00A53A79" w:rsidP="00A53A79">
      <w:pPr>
        <w:ind w:firstLine="284"/>
        <w:jc w:val="both"/>
        <w:rPr>
          <w:rFonts w:ascii="Garamond" w:eastAsiaTheme="minorHAnsi" w:hAnsi="Garamond" w:cs="Garamond"/>
        </w:rPr>
      </w:pPr>
      <w:r w:rsidRPr="00830F4C">
        <w:rPr>
          <w:rFonts w:ascii="Garamond" w:eastAsiaTheme="minorHAnsi" w:hAnsi="Garamond" w:cs="Garamond"/>
        </w:rPr>
        <w:t>Institucione përgjegjëse për trajtimin e informalitetit në punë janë: Administrata Tatimore (AT) në lidhje me tatimet dhe taksat, Instituti i Sigurimeve Shoqërore</w:t>
      </w:r>
      <w:r w:rsidR="005C0033">
        <w:rPr>
          <w:rFonts w:ascii="Garamond" w:eastAsiaTheme="minorHAnsi" w:hAnsi="Garamond" w:cs="Garamond"/>
        </w:rPr>
        <w:t>,</w:t>
      </w:r>
      <w:r w:rsidRPr="00830F4C">
        <w:rPr>
          <w:rFonts w:ascii="Garamond" w:eastAsiaTheme="minorHAnsi" w:hAnsi="Garamond" w:cs="Garamond"/>
        </w:rPr>
        <w:t xml:space="preserve"> në lidhje me kontributet shoqërore dhe </w:t>
      </w:r>
      <w:r w:rsidR="00377F8B" w:rsidRPr="00830F4C">
        <w:rPr>
          <w:rFonts w:ascii="Garamond" w:eastAsiaTheme="minorHAnsi" w:hAnsi="Garamond" w:cs="Garamond"/>
        </w:rPr>
        <w:t>Inspektorati</w:t>
      </w:r>
      <w:r w:rsidRPr="00830F4C">
        <w:rPr>
          <w:rFonts w:ascii="Garamond" w:eastAsiaTheme="minorHAnsi" w:hAnsi="Garamond" w:cs="Garamond"/>
        </w:rPr>
        <w:t xml:space="preserve"> Shtetëror i Punës dhe Shërbimeve Shoqërore (ISHPSHSH)</w:t>
      </w:r>
      <w:r w:rsidR="005C0033">
        <w:rPr>
          <w:rFonts w:ascii="Garamond" w:eastAsiaTheme="minorHAnsi" w:hAnsi="Garamond" w:cs="Garamond"/>
        </w:rPr>
        <w:t>,</w:t>
      </w:r>
      <w:r w:rsidRPr="00830F4C">
        <w:rPr>
          <w:rFonts w:ascii="Garamond" w:eastAsiaTheme="minorHAnsi" w:hAnsi="Garamond" w:cs="Garamond"/>
        </w:rPr>
        <w:t xml:space="preserve"> në lidhje me respektimin e Kodit të Punës. AT</w:t>
      </w:r>
      <w:r w:rsidR="005C0033">
        <w:rPr>
          <w:rFonts w:ascii="Garamond" w:eastAsiaTheme="minorHAnsi" w:hAnsi="Garamond" w:cs="Garamond"/>
        </w:rPr>
        <w:t>-ja</w:t>
      </w:r>
      <w:r w:rsidRPr="00830F4C">
        <w:rPr>
          <w:rFonts w:ascii="Garamond" w:eastAsiaTheme="minorHAnsi" w:hAnsi="Garamond" w:cs="Garamond"/>
        </w:rPr>
        <w:t xml:space="preserve"> ka pasur një koordinim më të mirë ndërinstitucional në nivel operacional me këto institucione. Megjithatë, ekziston nevoja për të përmirësuar modelet e bashkëpunimit duke avancuar në shkëmbime të dhënash më të detajuara, si dhe një planifikim operacional më të organizuar (në vend të kontrolleve sporadike), bazuar në një qasje tërësore dhe të integruar.</w:t>
      </w:r>
    </w:p>
    <w:p w14:paraId="56A6E708" w14:textId="647C49AC" w:rsidR="00A53A79" w:rsidRPr="00830F4C" w:rsidRDefault="00A53A79" w:rsidP="00A53A79">
      <w:pPr>
        <w:pStyle w:val="ListParagraph"/>
        <w:spacing w:after="0" w:line="240" w:lineRule="auto"/>
        <w:ind w:left="0" w:firstLine="284"/>
        <w:jc w:val="both"/>
        <w:rPr>
          <w:rFonts w:ascii="Garamond" w:eastAsiaTheme="minorHAnsi" w:hAnsi="Garamond" w:cs="Garamond"/>
          <w:sz w:val="24"/>
          <w:szCs w:val="24"/>
        </w:rPr>
      </w:pPr>
      <w:r w:rsidRPr="00830F4C">
        <w:rPr>
          <w:rFonts w:ascii="Garamond" w:eastAsiaTheme="minorHAnsi" w:hAnsi="Garamond" w:cs="Wingdings"/>
          <w:sz w:val="24"/>
          <w:szCs w:val="24"/>
        </w:rPr>
        <w:t xml:space="preserve">- </w:t>
      </w:r>
      <w:r w:rsidRPr="00830F4C">
        <w:rPr>
          <w:rFonts w:ascii="Garamond" w:eastAsiaTheme="minorHAnsi" w:hAnsi="Garamond" w:cs="Garamond"/>
          <w:sz w:val="24"/>
          <w:szCs w:val="24"/>
        </w:rPr>
        <w:t>Aktiviteti 2.5.2.1</w:t>
      </w:r>
      <w:r w:rsidR="00B23EFE">
        <w:rPr>
          <w:rFonts w:ascii="Garamond" w:eastAsiaTheme="minorHAnsi" w:hAnsi="Garamond" w:cs="Garamond"/>
          <w:sz w:val="24"/>
          <w:szCs w:val="24"/>
        </w:rPr>
        <w:t>:</w:t>
      </w:r>
      <w:r w:rsidRPr="00830F4C">
        <w:rPr>
          <w:rFonts w:ascii="Garamond" w:eastAsiaTheme="minorHAnsi" w:hAnsi="Garamond" w:cs="Garamond"/>
          <w:sz w:val="24"/>
          <w:szCs w:val="24"/>
        </w:rPr>
        <w:t xml:space="preserve"> Përmirësimi i marrëveshjeve të bashkëpunimit me Institutin e Sigurimeve Shoqërore dhe </w:t>
      </w:r>
      <w:r w:rsidR="00377F8B" w:rsidRPr="00830F4C">
        <w:rPr>
          <w:rFonts w:ascii="Garamond" w:eastAsiaTheme="minorHAnsi" w:hAnsi="Garamond" w:cs="Garamond"/>
          <w:sz w:val="24"/>
          <w:szCs w:val="24"/>
        </w:rPr>
        <w:t>Inspektoratin</w:t>
      </w:r>
      <w:r w:rsidRPr="00830F4C">
        <w:rPr>
          <w:rFonts w:ascii="Garamond" w:eastAsiaTheme="minorHAnsi" w:hAnsi="Garamond" w:cs="Garamond"/>
          <w:sz w:val="24"/>
          <w:szCs w:val="24"/>
        </w:rPr>
        <w:t xml:space="preserve"> Shtetëror të Punës dhe Shërbimeve Shoqërore</w:t>
      </w:r>
      <w:r w:rsidR="00B23EFE">
        <w:rPr>
          <w:rFonts w:ascii="Garamond" w:eastAsiaTheme="minorHAnsi" w:hAnsi="Garamond" w:cs="Garamond"/>
          <w:sz w:val="24"/>
          <w:szCs w:val="24"/>
        </w:rPr>
        <w:t>,</w:t>
      </w:r>
      <w:r w:rsidRPr="00830F4C">
        <w:rPr>
          <w:rFonts w:ascii="Garamond" w:eastAsiaTheme="minorHAnsi" w:hAnsi="Garamond" w:cs="Garamond"/>
          <w:sz w:val="24"/>
          <w:szCs w:val="24"/>
        </w:rPr>
        <w:t xml:space="preserve"> lidhur me shkëmbimin e të dhënave</w:t>
      </w:r>
      <w:r w:rsidR="00B23EFE">
        <w:rPr>
          <w:rFonts w:ascii="Garamond" w:eastAsiaTheme="minorHAnsi" w:hAnsi="Garamond" w:cs="Garamond"/>
          <w:sz w:val="24"/>
          <w:szCs w:val="24"/>
        </w:rPr>
        <w:t>.</w:t>
      </w:r>
    </w:p>
    <w:p w14:paraId="5BF9F8B8" w14:textId="53756626" w:rsidR="00A53A79" w:rsidRPr="00830F4C" w:rsidRDefault="00A53A79" w:rsidP="00A53A79">
      <w:pPr>
        <w:ind w:firstLine="284"/>
        <w:jc w:val="both"/>
        <w:rPr>
          <w:rFonts w:ascii="Garamond" w:eastAsiaTheme="minorHAnsi" w:hAnsi="Garamond" w:cs="Garamond"/>
        </w:rPr>
      </w:pPr>
      <w:r w:rsidRPr="00830F4C">
        <w:rPr>
          <w:rFonts w:ascii="Garamond" w:eastAsiaTheme="minorHAnsi" w:hAnsi="Garamond" w:cs="Garamond"/>
        </w:rPr>
        <w:t xml:space="preserve">Rishikimi i marrëveshjeve aktuale të bashkëpunimit dhe ndërtimi i formave të komunikimit nëpërmjet sistemeve dhe </w:t>
      </w:r>
      <w:r w:rsidRPr="00830F4C">
        <w:rPr>
          <w:rFonts w:ascii="Garamond" w:eastAsiaTheme="minorHAnsi" w:hAnsi="Garamond" w:cs="Garamond"/>
          <w:i/>
        </w:rPr>
        <w:t>web-servis</w:t>
      </w:r>
      <w:r w:rsidR="00B23EFE" w:rsidRPr="00B23EFE">
        <w:rPr>
          <w:rFonts w:ascii="Garamond" w:eastAsiaTheme="minorHAnsi" w:hAnsi="Garamond" w:cs="Garamond"/>
        </w:rPr>
        <w:t>-</w:t>
      </w:r>
      <w:r w:rsidRPr="00B23EFE">
        <w:rPr>
          <w:rFonts w:ascii="Garamond" w:eastAsiaTheme="minorHAnsi" w:hAnsi="Garamond" w:cs="Garamond"/>
        </w:rPr>
        <w:t>eve</w:t>
      </w:r>
      <w:r w:rsidRPr="00830F4C">
        <w:rPr>
          <w:rFonts w:ascii="Garamond" w:eastAsiaTheme="minorHAnsi" w:hAnsi="Garamond" w:cs="Garamond"/>
        </w:rPr>
        <w:t xml:space="preserve"> për shkëmbimin e të dhënave ndërmjet palëve.</w:t>
      </w:r>
    </w:p>
    <w:p w14:paraId="1FC78A61" w14:textId="47E4C465" w:rsidR="00A53A79" w:rsidRPr="00830F4C" w:rsidRDefault="00A53A79" w:rsidP="00A53A79">
      <w:pPr>
        <w:pStyle w:val="ListParagraph"/>
        <w:spacing w:after="0" w:line="240" w:lineRule="auto"/>
        <w:ind w:left="0" w:firstLine="284"/>
        <w:jc w:val="both"/>
        <w:rPr>
          <w:rFonts w:ascii="Garamond" w:eastAsiaTheme="minorHAnsi" w:hAnsi="Garamond" w:cs="Garamond"/>
          <w:sz w:val="24"/>
          <w:szCs w:val="24"/>
        </w:rPr>
      </w:pPr>
      <w:r w:rsidRPr="00830F4C">
        <w:rPr>
          <w:rFonts w:ascii="Garamond" w:eastAsiaTheme="minorHAnsi" w:hAnsi="Garamond" w:cs="Wingdings"/>
          <w:sz w:val="24"/>
          <w:szCs w:val="24"/>
        </w:rPr>
        <w:t xml:space="preserve">- </w:t>
      </w:r>
      <w:r w:rsidRPr="00830F4C">
        <w:rPr>
          <w:rFonts w:ascii="Garamond" w:eastAsiaTheme="minorHAnsi" w:hAnsi="Garamond" w:cs="Garamond"/>
          <w:sz w:val="24"/>
          <w:szCs w:val="24"/>
        </w:rPr>
        <w:t>Aktiviteti 2.5.2.2</w:t>
      </w:r>
      <w:r w:rsidR="00B23EFE">
        <w:rPr>
          <w:rFonts w:ascii="Garamond" w:eastAsiaTheme="minorHAnsi" w:hAnsi="Garamond" w:cs="Garamond"/>
          <w:sz w:val="24"/>
          <w:szCs w:val="24"/>
        </w:rPr>
        <w:t>:</w:t>
      </w:r>
      <w:r w:rsidRPr="00830F4C">
        <w:rPr>
          <w:rFonts w:ascii="Garamond" w:eastAsiaTheme="minorHAnsi" w:hAnsi="Garamond" w:cs="Garamond"/>
          <w:sz w:val="24"/>
          <w:szCs w:val="24"/>
        </w:rPr>
        <w:t xml:space="preserve"> Hartimi i një Plani Operacional Ndërinstitucional për bashkëpunimin dhe kontrollet </w:t>
      </w:r>
      <w:r w:rsidRPr="00B23EFE">
        <w:rPr>
          <w:rFonts w:ascii="Garamond" w:eastAsiaTheme="minorHAnsi" w:hAnsi="Garamond" w:cs="Garamond"/>
          <w:sz w:val="24"/>
          <w:szCs w:val="24"/>
        </w:rPr>
        <w:t>mes AT</w:t>
      </w:r>
      <w:r w:rsidR="00B23EFE" w:rsidRPr="00B23EFE">
        <w:rPr>
          <w:rFonts w:ascii="Garamond" w:hAnsi="Garamond"/>
          <w:sz w:val="24"/>
          <w:szCs w:val="24"/>
        </w:rPr>
        <w:t>-së</w:t>
      </w:r>
      <w:r w:rsidRPr="00B23EFE">
        <w:rPr>
          <w:rFonts w:ascii="Garamond" w:eastAsiaTheme="minorHAnsi" w:hAnsi="Garamond" w:cs="Garamond"/>
          <w:sz w:val="24"/>
          <w:szCs w:val="24"/>
        </w:rPr>
        <w:t>, ISSH</w:t>
      </w:r>
      <w:r w:rsidR="00B23EFE" w:rsidRPr="00B23EFE">
        <w:rPr>
          <w:rFonts w:ascii="Garamond" w:hAnsi="Garamond"/>
          <w:sz w:val="24"/>
          <w:szCs w:val="24"/>
        </w:rPr>
        <w:t>-së</w:t>
      </w:r>
      <w:r w:rsidR="00D22EA5" w:rsidRPr="00B23EFE">
        <w:rPr>
          <w:rFonts w:ascii="Garamond" w:eastAsiaTheme="minorHAnsi" w:hAnsi="Garamond" w:cs="Garamond"/>
          <w:sz w:val="24"/>
          <w:szCs w:val="24"/>
        </w:rPr>
        <w:t xml:space="preserve"> </w:t>
      </w:r>
      <w:r w:rsidRPr="00B23EFE">
        <w:rPr>
          <w:rFonts w:ascii="Garamond" w:eastAsiaTheme="minorHAnsi" w:hAnsi="Garamond" w:cs="Garamond"/>
          <w:sz w:val="24"/>
          <w:szCs w:val="24"/>
        </w:rPr>
        <w:t>dhe ISHPSHSH</w:t>
      </w:r>
      <w:r w:rsidR="00B23EFE" w:rsidRPr="00B23EFE">
        <w:rPr>
          <w:rFonts w:ascii="Garamond" w:hAnsi="Garamond"/>
          <w:sz w:val="24"/>
          <w:szCs w:val="24"/>
        </w:rPr>
        <w:t>-së</w:t>
      </w:r>
      <w:r w:rsidRPr="00B23EFE">
        <w:rPr>
          <w:rFonts w:ascii="Garamond" w:eastAsiaTheme="minorHAnsi" w:hAnsi="Garamond" w:cs="Garamond"/>
          <w:sz w:val="24"/>
          <w:szCs w:val="24"/>
        </w:rPr>
        <w:t xml:space="preserve"> </w:t>
      </w:r>
      <w:r w:rsidR="00B23EFE" w:rsidRPr="00B23EFE">
        <w:rPr>
          <w:rFonts w:ascii="Garamond" w:eastAsiaTheme="minorHAnsi" w:hAnsi="Garamond" w:cs="Garamond"/>
          <w:sz w:val="24"/>
          <w:szCs w:val="24"/>
        </w:rPr>
        <w:t>.</w:t>
      </w:r>
    </w:p>
    <w:p w14:paraId="4514756B" w14:textId="3EEB42CA" w:rsidR="00A53A79" w:rsidRPr="00830F4C" w:rsidRDefault="00A53A79" w:rsidP="00A53A79">
      <w:pPr>
        <w:ind w:firstLine="284"/>
        <w:jc w:val="both"/>
        <w:rPr>
          <w:rFonts w:ascii="Garamond" w:eastAsiaTheme="minorHAnsi" w:hAnsi="Garamond" w:cs="Garamond"/>
        </w:rPr>
      </w:pPr>
      <w:r w:rsidRPr="00830F4C">
        <w:rPr>
          <w:rFonts w:ascii="Garamond" w:eastAsiaTheme="minorHAnsi" w:hAnsi="Garamond" w:cs="Garamond"/>
        </w:rPr>
        <w:t>Bashkëpunimi mes Administratës Tatimore, ISSH</w:t>
      </w:r>
      <w:r w:rsidR="00B23EFE" w:rsidRPr="00B23EFE">
        <w:rPr>
          <w:rFonts w:ascii="Garamond" w:hAnsi="Garamond"/>
        </w:rPr>
        <w:t>-</w:t>
      </w:r>
      <w:r w:rsidR="00B23EFE" w:rsidRPr="00B23EFE">
        <w:rPr>
          <w:rFonts w:ascii="Garamond" w:eastAsia="MS Mincho" w:hAnsi="Garamond"/>
        </w:rPr>
        <w:t>së</w:t>
      </w:r>
      <w:r w:rsidRPr="00830F4C">
        <w:rPr>
          <w:rFonts w:ascii="Garamond" w:eastAsiaTheme="minorHAnsi" w:hAnsi="Garamond" w:cs="Garamond"/>
        </w:rPr>
        <w:t xml:space="preserve"> dhe </w:t>
      </w:r>
      <w:r w:rsidR="008C0C0F" w:rsidRPr="00830F4C">
        <w:rPr>
          <w:rFonts w:ascii="Garamond" w:eastAsiaTheme="minorHAnsi" w:hAnsi="Garamond" w:cs="Garamond"/>
        </w:rPr>
        <w:t>Inspektoratit</w:t>
      </w:r>
      <w:r w:rsidRPr="00830F4C">
        <w:rPr>
          <w:rFonts w:ascii="Garamond" w:eastAsiaTheme="minorHAnsi" w:hAnsi="Garamond" w:cs="Garamond"/>
        </w:rPr>
        <w:t xml:space="preserve"> Shtetëror të Punës dhe Shërbimeve Shoqërore do të fokusohet jo vetëm për kontrollet e përbashkëta për punësimet në të zezë, por edhe për nëndeklarimet e pagës reale, sidomos te punonjësit të cilët punojnë me turne dhe për të cilat aplikohet një shtesë page mbi pagën bazë. </w:t>
      </w:r>
    </w:p>
    <w:p w14:paraId="3CE95CF8" w14:textId="38AFFA58" w:rsidR="00A53A79" w:rsidRPr="00830F4C" w:rsidRDefault="00A53A79" w:rsidP="00A53A79">
      <w:pPr>
        <w:ind w:firstLine="284"/>
        <w:jc w:val="both"/>
        <w:rPr>
          <w:rFonts w:ascii="Garamond" w:eastAsiaTheme="minorHAnsi" w:hAnsi="Garamond" w:cs="Garamond"/>
          <w:b/>
          <w:bCs/>
        </w:rPr>
      </w:pPr>
      <w:r w:rsidRPr="00830F4C">
        <w:rPr>
          <w:rFonts w:ascii="Garamond" w:eastAsiaTheme="minorHAnsi" w:hAnsi="Garamond" w:cs="Garamond"/>
          <w:b/>
          <w:bCs/>
        </w:rPr>
        <w:t>Masa 2.5.3 Analizimi i kategorive të personave të cilët kanë detyrimin të plotësojnë deklaratën individuale vjetore të të ardhurave</w:t>
      </w:r>
    </w:p>
    <w:p w14:paraId="5FA05A6D" w14:textId="0A937444" w:rsidR="00A53A79" w:rsidRPr="00830F4C" w:rsidRDefault="00A53A79" w:rsidP="00A53A79">
      <w:pPr>
        <w:ind w:firstLine="284"/>
        <w:jc w:val="both"/>
        <w:rPr>
          <w:rFonts w:ascii="Garamond" w:eastAsiaTheme="minorHAnsi" w:hAnsi="Garamond" w:cs="Garamond"/>
        </w:rPr>
      </w:pPr>
      <w:r w:rsidRPr="00830F4C">
        <w:rPr>
          <w:rFonts w:ascii="Garamond" w:eastAsiaTheme="minorHAnsi" w:hAnsi="Garamond" w:cs="Garamond"/>
        </w:rPr>
        <w:t>Në ndryshimet ligjore të ndërmarra gjatë vitit 2019 dhe 2023, pjesë e kategorisë së individëve të cilët kishin detyrimin për plotësimin e Deklaratës Individuale Vjetore të të Ardhurave (DIVA) u bë edhe kategoria e individëve të punësuar në më shumë se një punëmarrës. Ky ndryshim ligjor ndikoi në rritjen e numrit të deklaratave të plotësuara nga 13,553 deklarata që rezultonin gjatë vitit 2019, në rreth 73.000 deklarata të</w:t>
      </w:r>
      <w:r w:rsidR="00D22EA5" w:rsidRPr="00830F4C">
        <w:rPr>
          <w:rFonts w:ascii="Garamond" w:eastAsiaTheme="minorHAnsi" w:hAnsi="Garamond" w:cs="Garamond"/>
        </w:rPr>
        <w:t xml:space="preserve"> </w:t>
      </w:r>
      <w:r w:rsidRPr="00830F4C">
        <w:rPr>
          <w:rFonts w:ascii="Garamond" w:eastAsiaTheme="minorHAnsi" w:hAnsi="Garamond" w:cs="Garamond"/>
        </w:rPr>
        <w:t>pritshme për t</w:t>
      </w:r>
      <w:r w:rsidR="00B23EFE">
        <w:rPr>
          <w:rFonts w:ascii="Garamond" w:eastAsiaTheme="minorHAnsi" w:hAnsi="Garamond" w:cs="Garamond"/>
        </w:rPr>
        <w:t>’</w:t>
      </w:r>
      <w:r w:rsidRPr="00830F4C">
        <w:rPr>
          <w:rFonts w:ascii="Garamond" w:eastAsiaTheme="minorHAnsi" w:hAnsi="Garamond" w:cs="Garamond"/>
        </w:rPr>
        <w:t>u dorëzuar në vitin 2023. Në vitet pasuese bazuar n</w:t>
      </w:r>
      <w:r w:rsidR="008C0C0F" w:rsidRPr="00830F4C">
        <w:rPr>
          <w:rFonts w:ascii="Garamond" w:eastAsiaTheme="minorHAnsi" w:hAnsi="Garamond" w:cs="Garamond"/>
        </w:rPr>
        <w:t>ë</w:t>
      </w:r>
      <w:r w:rsidRPr="00830F4C">
        <w:rPr>
          <w:rFonts w:ascii="Garamond" w:eastAsiaTheme="minorHAnsi" w:hAnsi="Garamond" w:cs="Garamond"/>
        </w:rPr>
        <w:t xml:space="preserve"> </w:t>
      </w:r>
      <w:r w:rsidR="008C0C0F" w:rsidRPr="00830F4C">
        <w:rPr>
          <w:rFonts w:ascii="Garamond" w:eastAsiaTheme="minorHAnsi" w:hAnsi="Garamond" w:cs="Garamond"/>
        </w:rPr>
        <w:t>l</w:t>
      </w:r>
      <w:r w:rsidRPr="00830F4C">
        <w:rPr>
          <w:rFonts w:ascii="Garamond" w:eastAsiaTheme="minorHAnsi" w:hAnsi="Garamond" w:cs="Garamond"/>
        </w:rPr>
        <w:t xml:space="preserve">igjin e ri </w:t>
      </w:r>
      <w:r w:rsidR="00D22EA5" w:rsidRPr="00830F4C">
        <w:rPr>
          <w:rFonts w:ascii="Garamond" w:eastAsiaTheme="minorHAnsi" w:hAnsi="Garamond" w:cs="Garamond"/>
        </w:rPr>
        <w:t>“</w:t>
      </w:r>
      <w:r w:rsidRPr="00830F4C">
        <w:rPr>
          <w:rFonts w:ascii="Garamond" w:eastAsiaTheme="minorHAnsi" w:hAnsi="Garamond" w:cs="Garamond"/>
        </w:rPr>
        <w:t>Për tatimin mbi t</w:t>
      </w:r>
      <w:r w:rsidR="008C0C0F" w:rsidRPr="00830F4C">
        <w:rPr>
          <w:rFonts w:ascii="Garamond" w:hAnsi="Garamond"/>
        </w:rPr>
        <w:t>ë</w:t>
      </w:r>
      <w:r w:rsidRPr="00830F4C">
        <w:rPr>
          <w:rFonts w:ascii="Garamond" w:eastAsiaTheme="minorHAnsi" w:hAnsi="Garamond" w:cs="Garamond"/>
        </w:rPr>
        <w:t xml:space="preserve"> ardhurat</w:t>
      </w:r>
      <w:r w:rsidR="00D22EA5" w:rsidRPr="00830F4C">
        <w:rPr>
          <w:rFonts w:ascii="Garamond" w:eastAsiaTheme="minorHAnsi" w:hAnsi="Garamond" w:cs="Garamond"/>
        </w:rPr>
        <w:t>”</w:t>
      </w:r>
      <w:r w:rsidRPr="00830F4C">
        <w:rPr>
          <w:rFonts w:ascii="Garamond" w:eastAsiaTheme="minorHAnsi" w:hAnsi="Garamond" w:cs="Garamond"/>
        </w:rPr>
        <w:t xml:space="preserve"> pritet një zgjerim të individëve të cilët do duhet të plotësojnë DIVA</w:t>
      </w:r>
      <w:r w:rsidR="00B23EFE">
        <w:rPr>
          <w:rFonts w:ascii="Garamond" w:eastAsiaTheme="minorHAnsi" w:hAnsi="Garamond" w:cs="Garamond"/>
        </w:rPr>
        <w:t>-n</w:t>
      </w:r>
      <w:r w:rsidRPr="00830F4C">
        <w:rPr>
          <w:rFonts w:ascii="Garamond" w:eastAsiaTheme="minorHAnsi" w:hAnsi="Garamond" w:cs="Garamond"/>
        </w:rPr>
        <w:t>, pasi kufiri ndryshon nga 2 milionë</w:t>
      </w:r>
      <w:r w:rsidR="008C0C0F" w:rsidRPr="00830F4C">
        <w:rPr>
          <w:rFonts w:ascii="Garamond" w:eastAsiaTheme="minorHAnsi" w:hAnsi="Garamond" w:cs="Garamond"/>
        </w:rPr>
        <w:t xml:space="preserve"> </w:t>
      </w:r>
      <w:r w:rsidRPr="00830F4C">
        <w:rPr>
          <w:rFonts w:ascii="Garamond" w:eastAsiaTheme="minorHAnsi" w:hAnsi="Garamond" w:cs="Garamond"/>
        </w:rPr>
        <w:t>lek</w:t>
      </w:r>
      <w:r w:rsidR="008C0C0F" w:rsidRPr="00830F4C">
        <w:rPr>
          <w:rFonts w:ascii="Garamond" w:hAnsi="Garamond"/>
        </w:rPr>
        <w:t>ë</w:t>
      </w:r>
      <w:r w:rsidRPr="00830F4C">
        <w:rPr>
          <w:rFonts w:ascii="Garamond" w:eastAsiaTheme="minorHAnsi" w:hAnsi="Garamond" w:cs="Garamond"/>
        </w:rPr>
        <w:t xml:space="preserve"> në 1.2 milionë lek</w:t>
      </w:r>
      <w:r w:rsidR="008C0C0F" w:rsidRPr="00830F4C">
        <w:rPr>
          <w:rFonts w:ascii="Garamond" w:hAnsi="Garamond"/>
        </w:rPr>
        <w:t>ë</w:t>
      </w:r>
      <w:r w:rsidRPr="00830F4C">
        <w:rPr>
          <w:rFonts w:ascii="Garamond" w:eastAsiaTheme="minorHAnsi" w:hAnsi="Garamond" w:cs="Garamond"/>
        </w:rPr>
        <w:t xml:space="preserve">, si dhe do të ndërmerren hapa të mëtejshëm për ndërgjegjësimin e tatimpaguesve në lidhje me plotësimin e kësaj deklarate. </w:t>
      </w:r>
    </w:p>
    <w:p w14:paraId="25B9FA9D" w14:textId="64C9BF5B" w:rsidR="00A53A79" w:rsidRPr="00B23EFE" w:rsidRDefault="00B23EFE" w:rsidP="00B23EFE">
      <w:pPr>
        <w:ind w:firstLine="284"/>
        <w:jc w:val="both"/>
        <w:rPr>
          <w:rFonts w:ascii="Garamond" w:eastAsiaTheme="minorHAnsi" w:hAnsi="Garamond" w:cs="Garamond"/>
        </w:rPr>
      </w:pPr>
      <w:r w:rsidRPr="00B23EFE">
        <w:rPr>
          <w:rFonts w:ascii="Garamond" w:eastAsiaTheme="minorHAnsi" w:hAnsi="Garamond" w:cs="Wingdings"/>
        </w:rPr>
        <w:t>-</w:t>
      </w:r>
      <w:r>
        <w:rPr>
          <w:rFonts w:ascii="Garamond" w:eastAsiaTheme="minorHAnsi" w:hAnsi="Garamond" w:cs="Garamond"/>
        </w:rPr>
        <w:t xml:space="preserve"> </w:t>
      </w:r>
      <w:r w:rsidR="00A53A79" w:rsidRPr="00B23EFE">
        <w:rPr>
          <w:rFonts w:ascii="Garamond" w:eastAsiaTheme="minorHAnsi" w:hAnsi="Garamond" w:cs="Garamond"/>
        </w:rPr>
        <w:t>Aktiviteti 2.5.3.1</w:t>
      </w:r>
      <w:r>
        <w:rPr>
          <w:rFonts w:ascii="Garamond" w:eastAsiaTheme="minorHAnsi" w:hAnsi="Garamond" w:cs="Garamond"/>
        </w:rPr>
        <w:t xml:space="preserve">: </w:t>
      </w:r>
      <w:r w:rsidR="00A53A79" w:rsidRPr="00B23EFE">
        <w:rPr>
          <w:rFonts w:ascii="Garamond" w:eastAsiaTheme="minorHAnsi" w:hAnsi="Garamond" w:cs="Garamond"/>
        </w:rPr>
        <w:t>Kryerja e analizave nga deklarata e DIVA</w:t>
      </w:r>
      <w:r>
        <w:rPr>
          <w:rFonts w:ascii="Garamond" w:eastAsiaTheme="minorHAnsi" w:hAnsi="Garamond" w:cs="Garamond"/>
        </w:rPr>
        <w:t>-s</w:t>
      </w:r>
      <w:r w:rsidR="00A53A79" w:rsidRPr="00B23EFE">
        <w:rPr>
          <w:rFonts w:ascii="Garamond" w:eastAsiaTheme="minorHAnsi" w:hAnsi="Garamond" w:cs="Garamond"/>
        </w:rPr>
        <w:t xml:space="preserve"> brenda vitit 2024. </w:t>
      </w:r>
    </w:p>
    <w:p w14:paraId="6AD02BE7" w14:textId="2ABEFBFF" w:rsidR="00A53A79" w:rsidRPr="00830F4C" w:rsidRDefault="00A53A79" w:rsidP="00A53A79">
      <w:pPr>
        <w:ind w:firstLine="284"/>
        <w:jc w:val="both"/>
        <w:rPr>
          <w:rFonts w:ascii="Garamond" w:eastAsiaTheme="minorHAnsi" w:hAnsi="Garamond" w:cs="Garamond"/>
        </w:rPr>
      </w:pPr>
      <w:r w:rsidRPr="00830F4C">
        <w:rPr>
          <w:rFonts w:ascii="Garamond" w:eastAsiaTheme="minorHAnsi" w:hAnsi="Garamond" w:cs="Garamond"/>
        </w:rPr>
        <w:t xml:space="preserve">Kjo masë është kusht i Planit të Rritjes. Komisioni i Riskut të administratës tatimore në datën 29.4.2024, me vendimin nr. 18, ka miratuar propozimet nga Drejtoria e Kontrollit të Specializuar e cila është drejtoria kryesore e përfshirë në këtë </w:t>
      </w:r>
      <w:r w:rsidR="008C0C0F" w:rsidRPr="00830F4C">
        <w:rPr>
          <w:rFonts w:ascii="Garamond" w:eastAsiaTheme="minorHAnsi" w:hAnsi="Garamond" w:cs="Garamond"/>
        </w:rPr>
        <w:t>proces</w:t>
      </w:r>
      <w:r w:rsidRPr="00830F4C">
        <w:rPr>
          <w:rFonts w:ascii="Garamond" w:eastAsiaTheme="minorHAnsi" w:hAnsi="Garamond" w:cs="Garamond"/>
        </w:rPr>
        <w:t>:</w:t>
      </w:r>
    </w:p>
    <w:p w14:paraId="4F313913" w14:textId="64BE4375" w:rsidR="00A53A79" w:rsidRPr="00830F4C" w:rsidRDefault="00A53A79" w:rsidP="00A53A79">
      <w:pPr>
        <w:pStyle w:val="ListParagraph"/>
        <w:spacing w:after="0" w:line="240" w:lineRule="auto"/>
        <w:ind w:left="0" w:firstLine="284"/>
        <w:jc w:val="both"/>
        <w:rPr>
          <w:rFonts w:ascii="Garamond" w:eastAsiaTheme="minorHAnsi" w:hAnsi="Garamond" w:cs="Garamond"/>
          <w:sz w:val="24"/>
          <w:szCs w:val="24"/>
        </w:rPr>
      </w:pPr>
      <w:r w:rsidRPr="00830F4C">
        <w:rPr>
          <w:rFonts w:ascii="Garamond" w:eastAsiaTheme="minorHAnsi" w:hAnsi="Garamond" w:cs="Garamond"/>
          <w:sz w:val="24"/>
          <w:szCs w:val="24"/>
        </w:rPr>
        <w:t xml:space="preserve">a) Plani i përmbushjes së individëve me të ardhura të larta 2022 </w:t>
      </w:r>
      <w:r w:rsidR="008C0C0F" w:rsidRPr="00830F4C">
        <w:rPr>
          <w:rFonts w:ascii="Garamond" w:eastAsiaTheme="minorHAnsi" w:hAnsi="Garamond" w:cs="Garamond"/>
          <w:sz w:val="24"/>
          <w:szCs w:val="24"/>
        </w:rPr>
        <w:t>–</w:t>
      </w:r>
      <w:r w:rsidRPr="00830F4C">
        <w:rPr>
          <w:rFonts w:ascii="Garamond" w:eastAsiaTheme="minorHAnsi" w:hAnsi="Garamond" w:cs="Garamond"/>
          <w:sz w:val="24"/>
          <w:szCs w:val="24"/>
        </w:rPr>
        <w:t xml:space="preserve"> Auditimi i 100 individëve me të ardhura të larta</w:t>
      </w:r>
      <w:r w:rsidR="00B23EFE">
        <w:rPr>
          <w:rFonts w:ascii="Garamond" w:eastAsiaTheme="minorHAnsi" w:hAnsi="Garamond" w:cs="Garamond"/>
          <w:sz w:val="24"/>
          <w:szCs w:val="24"/>
        </w:rPr>
        <w:t>;</w:t>
      </w:r>
    </w:p>
    <w:p w14:paraId="2E6766FE" w14:textId="722EC721" w:rsidR="00A53A79" w:rsidRPr="00830F4C" w:rsidRDefault="00A53A79" w:rsidP="00A53A79">
      <w:pPr>
        <w:pStyle w:val="ListParagraph"/>
        <w:spacing w:after="0" w:line="240" w:lineRule="auto"/>
        <w:ind w:left="0" w:firstLine="284"/>
        <w:jc w:val="both"/>
        <w:rPr>
          <w:rFonts w:ascii="Garamond" w:eastAsiaTheme="minorHAnsi" w:hAnsi="Garamond" w:cs="Garamond"/>
          <w:sz w:val="24"/>
          <w:szCs w:val="24"/>
        </w:rPr>
      </w:pPr>
      <w:r w:rsidRPr="00830F4C">
        <w:rPr>
          <w:rFonts w:ascii="Garamond" w:eastAsiaTheme="minorHAnsi" w:hAnsi="Garamond" w:cs="Garamond"/>
          <w:sz w:val="24"/>
          <w:szCs w:val="24"/>
        </w:rPr>
        <w:t>b) Plani i Veprimit për Individët DIVA 2023</w:t>
      </w:r>
      <w:r w:rsidR="00B23EFE">
        <w:rPr>
          <w:rFonts w:ascii="Garamond" w:eastAsiaTheme="minorHAnsi" w:hAnsi="Garamond" w:cs="Garamond"/>
          <w:sz w:val="24"/>
          <w:szCs w:val="24"/>
        </w:rPr>
        <w:t>.</w:t>
      </w:r>
    </w:p>
    <w:p w14:paraId="4FE6F6FD" w14:textId="3E9E2700" w:rsidR="00A53A79" w:rsidRPr="00830F4C" w:rsidRDefault="00A53A79" w:rsidP="00A53A79">
      <w:pPr>
        <w:ind w:firstLine="284"/>
        <w:jc w:val="both"/>
        <w:rPr>
          <w:rFonts w:ascii="Garamond" w:eastAsiaTheme="minorHAnsi" w:hAnsi="Garamond" w:cs="Garamond"/>
        </w:rPr>
      </w:pPr>
      <w:r w:rsidRPr="00830F4C">
        <w:rPr>
          <w:rFonts w:ascii="Garamond" w:eastAsiaTheme="minorHAnsi" w:hAnsi="Garamond" w:cs="Garamond"/>
        </w:rPr>
        <w:t>Bazuar në Planin e Veprimit të DIVA</w:t>
      </w:r>
      <w:r w:rsidR="00B23EFE">
        <w:rPr>
          <w:rFonts w:ascii="Garamond" w:eastAsiaTheme="minorHAnsi" w:hAnsi="Garamond" w:cs="Garamond"/>
        </w:rPr>
        <w:t>-s</w:t>
      </w:r>
      <w:r w:rsidRPr="00830F4C">
        <w:rPr>
          <w:rFonts w:ascii="Garamond" w:eastAsiaTheme="minorHAnsi" w:hAnsi="Garamond" w:cs="Garamond"/>
        </w:rPr>
        <w:t xml:space="preserve"> individët 2023, janë identifikuar 6708 individë të mospërputhshmërisë për DIVA 2023 dhe për ta janë dhënë sanksione sipas ligjit për procedurat tatimore si: bllokimi i llogarive bankare. Për shkak të këtyre masave janë paguar rreth 15 milionë lek</w:t>
      </w:r>
      <w:r w:rsidR="008C0C0F" w:rsidRPr="00830F4C">
        <w:rPr>
          <w:rFonts w:ascii="Garamond" w:eastAsiaTheme="minorHAnsi" w:hAnsi="Garamond" w:cs="Garamond"/>
        </w:rPr>
        <w:t>ë</w:t>
      </w:r>
      <w:r w:rsidRPr="00830F4C">
        <w:rPr>
          <w:rFonts w:ascii="Garamond" w:eastAsiaTheme="minorHAnsi" w:hAnsi="Garamond" w:cs="Garamond"/>
        </w:rPr>
        <w:t>. Ka nisur puna për DIVA 2024, në të cilin ndryshimi i madh është pragu i poshtëm me 1,2 milionë lek</w:t>
      </w:r>
      <w:r w:rsidR="008C0C0F" w:rsidRPr="00830F4C">
        <w:rPr>
          <w:rFonts w:ascii="Garamond" w:eastAsiaTheme="minorHAnsi" w:hAnsi="Garamond" w:cs="Garamond"/>
        </w:rPr>
        <w:t>ë</w:t>
      </w:r>
      <w:r w:rsidRPr="00830F4C">
        <w:rPr>
          <w:rFonts w:ascii="Garamond" w:eastAsiaTheme="minorHAnsi" w:hAnsi="Garamond" w:cs="Garamond"/>
        </w:rPr>
        <w:t xml:space="preserve"> për deklarimin DIVA.</w:t>
      </w:r>
    </w:p>
    <w:p w14:paraId="6A9E2425" w14:textId="544AFF5E" w:rsidR="00A53A79" w:rsidRPr="00830F4C" w:rsidRDefault="00A53A79" w:rsidP="00A53A79">
      <w:pPr>
        <w:ind w:firstLine="284"/>
        <w:rPr>
          <w:rFonts w:ascii="Garamond" w:eastAsiaTheme="minorHAnsi" w:hAnsi="Garamond" w:cs="Garamond"/>
          <w:b/>
          <w:bCs/>
        </w:rPr>
      </w:pPr>
      <w:r w:rsidRPr="00830F4C">
        <w:rPr>
          <w:rFonts w:ascii="Garamond" w:eastAsiaTheme="minorHAnsi" w:hAnsi="Garamond" w:cs="Garamond"/>
          <w:b/>
          <w:bCs/>
        </w:rPr>
        <w:t>Masa 2.5.4 Përmirësimi i analizave dhe shkëmbimit të të dhënave me palë të treta për të evidentuar punonjësit e paregjistruar dhe nëndeklarimin e pagës reale</w:t>
      </w:r>
    </w:p>
    <w:p w14:paraId="4FDD9048" w14:textId="70D61A49" w:rsidR="00A53A79" w:rsidRPr="00830F4C" w:rsidRDefault="00A53A79" w:rsidP="00A53A79">
      <w:pPr>
        <w:ind w:firstLine="284"/>
        <w:jc w:val="both"/>
        <w:rPr>
          <w:rFonts w:ascii="Garamond" w:eastAsiaTheme="minorHAnsi" w:hAnsi="Garamond" w:cs="Garamond"/>
        </w:rPr>
      </w:pPr>
      <w:r w:rsidRPr="00830F4C">
        <w:rPr>
          <w:rFonts w:ascii="Garamond" w:eastAsiaTheme="minorHAnsi" w:hAnsi="Garamond" w:cs="Garamond"/>
        </w:rPr>
        <w:t>DPT</w:t>
      </w:r>
      <w:r w:rsidR="00B23EFE">
        <w:rPr>
          <w:rFonts w:ascii="Garamond" w:eastAsiaTheme="minorHAnsi" w:hAnsi="Garamond" w:cs="Garamond"/>
        </w:rPr>
        <w:t>-ja</w:t>
      </w:r>
      <w:r w:rsidRPr="00830F4C">
        <w:rPr>
          <w:rFonts w:ascii="Garamond" w:eastAsiaTheme="minorHAnsi" w:hAnsi="Garamond" w:cs="Garamond"/>
        </w:rPr>
        <w:t xml:space="preserve"> do të ketë fokus të veçantë identifikimin e punonjësve jashtë listëpagesave të deklaruara në sistem. Administrata Tatimore do të identifikojë grupimet më të larta të punës së mundshme informale midis statistikave të fuqisë punëtore, që tregojnë aktivitetin e vërtetë ekonomik dhe numrin e punëtorëve. Përputhja sistematike e të dhënave me palët e treta, Instituti i Sigurimeve Shoqërore (ISSH) dhe </w:t>
      </w:r>
      <w:r w:rsidR="008C0C0F" w:rsidRPr="00830F4C">
        <w:rPr>
          <w:rFonts w:ascii="Garamond" w:eastAsiaTheme="minorHAnsi" w:hAnsi="Garamond" w:cs="Garamond"/>
        </w:rPr>
        <w:t>Inspektorati</w:t>
      </w:r>
      <w:r w:rsidRPr="00830F4C">
        <w:rPr>
          <w:rFonts w:ascii="Garamond" w:eastAsiaTheme="minorHAnsi" w:hAnsi="Garamond" w:cs="Garamond"/>
        </w:rPr>
        <w:t xml:space="preserve"> Shtetëror i Punës dhe Shërbimeve Shoqërore (ISHPSHSH) është</w:t>
      </w:r>
      <w:r w:rsidR="00B23EFE">
        <w:rPr>
          <w:rFonts w:ascii="Garamond" w:eastAsiaTheme="minorHAnsi" w:hAnsi="Garamond" w:cs="Garamond"/>
        </w:rPr>
        <w:t>,</w:t>
      </w:r>
      <w:r w:rsidRPr="00830F4C">
        <w:rPr>
          <w:rFonts w:ascii="Garamond" w:eastAsiaTheme="minorHAnsi" w:hAnsi="Garamond" w:cs="Garamond"/>
        </w:rPr>
        <w:t xml:space="preserve"> gjithashtu</w:t>
      </w:r>
      <w:r w:rsidR="00B23EFE">
        <w:rPr>
          <w:rFonts w:ascii="Garamond" w:eastAsiaTheme="minorHAnsi" w:hAnsi="Garamond" w:cs="Garamond"/>
        </w:rPr>
        <w:t>,</w:t>
      </w:r>
      <w:r w:rsidRPr="00830F4C">
        <w:rPr>
          <w:rFonts w:ascii="Garamond" w:eastAsiaTheme="minorHAnsi" w:hAnsi="Garamond" w:cs="Garamond"/>
        </w:rPr>
        <w:t xml:space="preserve"> e nevojshme për të pasur efektivitet në identifikimin e tatimpaguesve të paregjistruar. Grupimi i madh i të ardhurave të deklaruara në ose nën pagën minimale</w:t>
      </w:r>
      <w:r w:rsidR="00B23EFE">
        <w:rPr>
          <w:rFonts w:ascii="Garamond" w:eastAsiaTheme="minorHAnsi" w:hAnsi="Garamond" w:cs="Garamond"/>
        </w:rPr>
        <w:t>,</w:t>
      </w:r>
      <w:r w:rsidRPr="00830F4C">
        <w:rPr>
          <w:rFonts w:ascii="Garamond" w:eastAsiaTheme="minorHAnsi" w:hAnsi="Garamond" w:cs="Garamond"/>
        </w:rPr>
        <w:t xml:space="preserve"> gjithashtu</w:t>
      </w:r>
      <w:r w:rsidR="00B23EFE">
        <w:rPr>
          <w:rFonts w:ascii="Garamond" w:eastAsiaTheme="minorHAnsi" w:hAnsi="Garamond" w:cs="Garamond"/>
        </w:rPr>
        <w:t>,</w:t>
      </w:r>
      <w:r w:rsidRPr="00830F4C">
        <w:rPr>
          <w:rFonts w:ascii="Garamond" w:eastAsiaTheme="minorHAnsi" w:hAnsi="Garamond" w:cs="Garamond"/>
        </w:rPr>
        <w:t xml:space="preserve"> do të jetë pjesë e auditeve dhe do të hetohen duke përdorur teknika analitike.</w:t>
      </w:r>
    </w:p>
    <w:p w14:paraId="01F50921" w14:textId="641C9DE9" w:rsidR="00A53A79" w:rsidRPr="00830F4C" w:rsidRDefault="00A53A79" w:rsidP="00A53A79">
      <w:pPr>
        <w:ind w:firstLine="284"/>
        <w:jc w:val="both"/>
        <w:rPr>
          <w:rFonts w:ascii="Garamond" w:eastAsiaTheme="minorHAnsi" w:hAnsi="Garamond" w:cs="Garamond"/>
        </w:rPr>
      </w:pPr>
      <w:r w:rsidRPr="00830F4C">
        <w:rPr>
          <w:rFonts w:ascii="Garamond" w:eastAsiaTheme="minorHAnsi" w:hAnsi="Garamond" w:cs="Garamond"/>
        </w:rPr>
        <w:t>Në këtë drejtim, DPT</w:t>
      </w:r>
      <w:r w:rsidR="00B23EFE">
        <w:rPr>
          <w:rFonts w:ascii="Garamond" w:eastAsiaTheme="minorHAnsi" w:hAnsi="Garamond" w:cs="Garamond"/>
        </w:rPr>
        <w:t>-ja</w:t>
      </w:r>
      <w:r w:rsidRPr="00830F4C">
        <w:rPr>
          <w:rFonts w:ascii="Garamond" w:eastAsiaTheme="minorHAnsi" w:hAnsi="Garamond" w:cs="Garamond"/>
        </w:rPr>
        <w:t xml:space="preserve"> do të ndërmarrë hapat e mëposhtëm:</w:t>
      </w:r>
    </w:p>
    <w:p w14:paraId="306BEAD7" w14:textId="73438486" w:rsidR="00A53A79" w:rsidRPr="00830F4C" w:rsidRDefault="00A53A79" w:rsidP="00A53A79">
      <w:pPr>
        <w:ind w:firstLine="284"/>
        <w:jc w:val="both"/>
        <w:rPr>
          <w:rFonts w:ascii="Garamond" w:eastAsiaTheme="minorHAnsi" w:hAnsi="Garamond" w:cs="Garamond"/>
        </w:rPr>
      </w:pPr>
      <w:r w:rsidRPr="00830F4C">
        <w:rPr>
          <w:rFonts w:ascii="Garamond" w:eastAsiaTheme="minorHAnsi" w:hAnsi="Garamond" w:cs="Wingdings"/>
        </w:rPr>
        <w:t xml:space="preserve">- </w:t>
      </w:r>
      <w:r w:rsidRPr="00830F4C">
        <w:rPr>
          <w:rFonts w:ascii="Garamond" w:eastAsiaTheme="minorHAnsi" w:hAnsi="Garamond" w:cs="Garamond"/>
        </w:rPr>
        <w:t>Aktiviteti 2.5.4.1</w:t>
      </w:r>
      <w:r w:rsidR="00B23EFE">
        <w:rPr>
          <w:rFonts w:ascii="Garamond" w:eastAsiaTheme="minorHAnsi" w:hAnsi="Garamond" w:cs="Garamond"/>
        </w:rPr>
        <w:t>:</w:t>
      </w:r>
      <w:r w:rsidRPr="00830F4C">
        <w:rPr>
          <w:rFonts w:ascii="Garamond" w:eastAsiaTheme="minorHAnsi" w:hAnsi="Garamond" w:cs="Garamond"/>
        </w:rPr>
        <w:t xml:space="preserve"> Përmbushja nëpërmjet </w:t>
      </w:r>
      <w:r w:rsidR="00B23EFE">
        <w:rPr>
          <w:rFonts w:ascii="Garamond" w:eastAsiaTheme="minorHAnsi" w:hAnsi="Garamond" w:cs="Garamond"/>
        </w:rPr>
        <w:t>d</w:t>
      </w:r>
      <w:r w:rsidRPr="00830F4C">
        <w:rPr>
          <w:rFonts w:ascii="Garamond" w:eastAsiaTheme="minorHAnsi" w:hAnsi="Garamond" w:cs="Garamond"/>
        </w:rPr>
        <w:t>izenjimit (</w:t>
      </w:r>
      <w:r w:rsidRPr="00830F4C">
        <w:rPr>
          <w:rFonts w:ascii="Garamond" w:eastAsiaTheme="minorHAnsi" w:hAnsi="Garamond" w:cs="Garamond"/>
          <w:i/>
        </w:rPr>
        <w:t>Compliance by Design</w:t>
      </w:r>
      <w:r w:rsidRPr="00830F4C">
        <w:rPr>
          <w:rFonts w:ascii="Garamond" w:eastAsiaTheme="minorHAnsi" w:hAnsi="Garamond" w:cs="Garamond"/>
        </w:rPr>
        <w:t>). Përcaktimi dhe krijimi i kontrolleve në sistemin e deklarimit të listëpagesave që parandalojnë shmangien e kontributeve të sigurimeve shoqërore dhe shëndetësor</w:t>
      </w:r>
      <w:r w:rsidR="00B23EFE">
        <w:rPr>
          <w:rFonts w:ascii="Garamond" w:eastAsiaTheme="minorHAnsi" w:hAnsi="Garamond" w:cs="Garamond"/>
        </w:rPr>
        <w:t>;</w:t>
      </w:r>
    </w:p>
    <w:p w14:paraId="371D0842" w14:textId="1C25964A" w:rsidR="00A53A79" w:rsidRPr="00830F4C" w:rsidRDefault="00A53A79" w:rsidP="00A53A79">
      <w:pPr>
        <w:ind w:firstLine="284"/>
        <w:jc w:val="both"/>
        <w:rPr>
          <w:rFonts w:ascii="Garamond" w:eastAsiaTheme="minorHAnsi" w:hAnsi="Garamond" w:cs="Garamond"/>
        </w:rPr>
      </w:pPr>
      <w:r w:rsidRPr="00830F4C">
        <w:rPr>
          <w:rFonts w:ascii="Garamond" w:eastAsiaTheme="minorHAnsi" w:hAnsi="Garamond" w:cs="Wingdings"/>
        </w:rPr>
        <w:t xml:space="preserve">- </w:t>
      </w:r>
      <w:r w:rsidRPr="00830F4C">
        <w:rPr>
          <w:rFonts w:ascii="Garamond" w:eastAsiaTheme="minorHAnsi" w:hAnsi="Garamond" w:cs="Garamond"/>
        </w:rPr>
        <w:t>Aktiviteti 2.5.4.2</w:t>
      </w:r>
      <w:r w:rsidR="00B23EFE">
        <w:rPr>
          <w:rFonts w:ascii="Garamond" w:eastAsiaTheme="minorHAnsi" w:hAnsi="Garamond" w:cs="Garamond"/>
        </w:rPr>
        <w:t>:</w:t>
      </w:r>
      <w:r w:rsidRPr="00830F4C">
        <w:rPr>
          <w:rFonts w:ascii="Garamond" w:eastAsiaTheme="minorHAnsi" w:hAnsi="Garamond" w:cs="Garamond"/>
        </w:rPr>
        <w:t xml:space="preserve"> Krijimi dhe përditësimi i kritereve të riskut në Modulin e Riskut që kanë të bëjnë me shmangien e pagesës së kontributeve t</w:t>
      </w:r>
      <w:r w:rsidR="008C0C0F" w:rsidRPr="00830F4C">
        <w:rPr>
          <w:rFonts w:ascii="Garamond" w:hAnsi="Garamond"/>
        </w:rPr>
        <w:t>ë</w:t>
      </w:r>
      <w:r w:rsidRPr="00830F4C">
        <w:rPr>
          <w:rFonts w:ascii="Garamond" w:eastAsiaTheme="minorHAnsi" w:hAnsi="Garamond" w:cs="Garamond"/>
        </w:rPr>
        <w:t xml:space="preserve"> sigurimeve shoqërore</w:t>
      </w:r>
      <w:r w:rsidR="00B23EFE">
        <w:rPr>
          <w:rFonts w:ascii="Garamond" w:eastAsiaTheme="minorHAnsi" w:hAnsi="Garamond" w:cs="Garamond"/>
        </w:rPr>
        <w:t>;</w:t>
      </w:r>
    </w:p>
    <w:p w14:paraId="6FD2A7C3" w14:textId="40D02281" w:rsidR="00A53A79" w:rsidRPr="00830F4C" w:rsidRDefault="00A53A79" w:rsidP="00A53A79">
      <w:pPr>
        <w:ind w:firstLine="284"/>
        <w:jc w:val="both"/>
        <w:rPr>
          <w:rFonts w:ascii="Garamond" w:eastAsiaTheme="minorHAnsi" w:hAnsi="Garamond" w:cs="Garamond"/>
        </w:rPr>
      </w:pPr>
      <w:r w:rsidRPr="00830F4C">
        <w:rPr>
          <w:rFonts w:ascii="Garamond" w:eastAsiaTheme="minorHAnsi" w:hAnsi="Garamond" w:cs="Wingdings"/>
        </w:rPr>
        <w:t xml:space="preserve">- </w:t>
      </w:r>
      <w:r w:rsidRPr="00830F4C">
        <w:rPr>
          <w:rFonts w:ascii="Garamond" w:eastAsiaTheme="minorHAnsi" w:hAnsi="Garamond" w:cs="Garamond"/>
        </w:rPr>
        <w:t>Aktiviteti 2.5.4.3</w:t>
      </w:r>
      <w:r w:rsidR="00B23EFE">
        <w:rPr>
          <w:rFonts w:ascii="Garamond" w:eastAsiaTheme="minorHAnsi" w:hAnsi="Garamond" w:cs="Garamond"/>
        </w:rPr>
        <w:t>:</w:t>
      </w:r>
      <w:r w:rsidRPr="00830F4C">
        <w:rPr>
          <w:rFonts w:ascii="Garamond" w:eastAsiaTheme="minorHAnsi" w:hAnsi="Garamond" w:cs="Garamond"/>
        </w:rPr>
        <w:t xml:space="preserve"> Marrja e informacioneve nga planet sektoriale mbi të dhënat dhe analizat e kryera</w:t>
      </w:r>
      <w:r w:rsidR="00B23EFE">
        <w:rPr>
          <w:rFonts w:ascii="Garamond" w:eastAsiaTheme="minorHAnsi" w:hAnsi="Garamond" w:cs="Garamond"/>
        </w:rPr>
        <w:t>;</w:t>
      </w:r>
    </w:p>
    <w:p w14:paraId="7F7AD13B" w14:textId="28290028" w:rsidR="00A53A79" w:rsidRPr="00830F4C" w:rsidRDefault="00A53A79" w:rsidP="00A53A79">
      <w:pPr>
        <w:ind w:firstLine="284"/>
        <w:jc w:val="both"/>
        <w:rPr>
          <w:rFonts w:ascii="Garamond" w:eastAsiaTheme="minorHAnsi" w:hAnsi="Garamond" w:cs="Garamond"/>
        </w:rPr>
      </w:pPr>
      <w:r w:rsidRPr="00830F4C">
        <w:rPr>
          <w:rFonts w:ascii="Garamond" w:eastAsiaTheme="minorHAnsi" w:hAnsi="Garamond" w:cs="Wingdings"/>
        </w:rPr>
        <w:t xml:space="preserve">- </w:t>
      </w:r>
      <w:r w:rsidRPr="00830F4C">
        <w:rPr>
          <w:rFonts w:ascii="Garamond" w:eastAsiaTheme="minorHAnsi" w:hAnsi="Garamond" w:cs="Garamond"/>
        </w:rPr>
        <w:t>Aktiviteti 2.5.4.4</w:t>
      </w:r>
      <w:r w:rsidR="00B23EFE">
        <w:rPr>
          <w:rFonts w:ascii="Garamond" w:eastAsiaTheme="minorHAnsi" w:hAnsi="Garamond" w:cs="Garamond"/>
        </w:rPr>
        <w:t>:</w:t>
      </w:r>
      <w:r w:rsidRPr="00830F4C">
        <w:rPr>
          <w:rFonts w:ascii="Garamond" w:eastAsiaTheme="minorHAnsi" w:hAnsi="Garamond" w:cs="Garamond"/>
        </w:rPr>
        <w:t xml:space="preserve"> Organizimi i kontrolleve bazuar në përfundimet që rezultojnë nga kryqëzimi i të dhënave</w:t>
      </w:r>
      <w:r w:rsidR="00B23EFE">
        <w:rPr>
          <w:rFonts w:ascii="Garamond" w:eastAsiaTheme="minorHAnsi" w:hAnsi="Garamond" w:cs="Garamond"/>
        </w:rPr>
        <w:t>.</w:t>
      </w:r>
    </w:p>
    <w:p w14:paraId="25B9CC21" w14:textId="47F7B993" w:rsidR="00A53A79" w:rsidRPr="00830F4C" w:rsidRDefault="00A53A79" w:rsidP="00A53A79">
      <w:pPr>
        <w:ind w:firstLine="284"/>
        <w:jc w:val="both"/>
        <w:rPr>
          <w:rFonts w:ascii="Garamond" w:eastAsiaTheme="minorHAnsi" w:hAnsi="Garamond" w:cs="Garamond"/>
          <w:b/>
          <w:bCs/>
        </w:rPr>
      </w:pPr>
      <w:r w:rsidRPr="00830F4C">
        <w:rPr>
          <w:rFonts w:ascii="Garamond" w:eastAsiaTheme="minorHAnsi" w:hAnsi="Garamond" w:cs="Garamond"/>
          <w:b/>
          <w:bCs/>
        </w:rPr>
        <w:t>Masa 2.5.5 Fushata të ndërgjegjësimit publik</w:t>
      </w:r>
      <w:r w:rsidR="00B23EFE">
        <w:rPr>
          <w:rFonts w:ascii="Garamond" w:eastAsiaTheme="minorHAnsi" w:hAnsi="Garamond" w:cs="Garamond"/>
          <w:b/>
          <w:bCs/>
        </w:rPr>
        <w:t>,</w:t>
      </w:r>
      <w:r w:rsidRPr="00830F4C">
        <w:rPr>
          <w:rFonts w:ascii="Garamond" w:eastAsiaTheme="minorHAnsi" w:hAnsi="Garamond" w:cs="Garamond"/>
          <w:b/>
          <w:bCs/>
        </w:rPr>
        <w:t xml:space="preserve"> lidhur me përfitimet e pagesës së kontributeve</w:t>
      </w:r>
    </w:p>
    <w:p w14:paraId="63D8E607" w14:textId="6F51B0CE" w:rsidR="00A53A79" w:rsidRPr="00830F4C" w:rsidRDefault="00A53A79" w:rsidP="00A53A79">
      <w:pPr>
        <w:ind w:firstLine="284"/>
        <w:jc w:val="both"/>
        <w:rPr>
          <w:rFonts w:ascii="Garamond" w:eastAsiaTheme="minorHAnsi" w:hAnsi="Garamond" w:cs="Garamond"/>
        </w:rPr>
      </w:pPr>
      <w:r w:rsidRPr="00830F4C">
        <w:rPr>
          <w:rFonts w:ascii="Garamond" w:eastAsiaTheme="minorHAnsi" w:hAnsi="Garamond" w:cs="Garamond"/>
        </w:rPr>
        <w:t>Përpos tërësisë së masave të mësipërme, do të organizohet një fushatë e gjerë kombëtare sensibilizuese mbi punësimin formal. Synimi i fushatës është që gradualisht do të ndihmojë në ndryshimin e vlerave, normave dhe besimeve në lidhje me përfitimet. Zhvillimi i një fushate të gjerë ndërgjegjësimi, duke garantuar konfidencialitetin e të dhënave të individit, dhe rritjen</w:t>
      </w:r>
      <w:r w:rsidR="00D22EA5" w:rsidRPr="00830F4C">
        <w:rPr>
          <w:rFonts w:ascii="Garamond" w:eastAsiaTheme="minorHAnsi" w:hAnsi="Garamond" w:cs="Garamond"/>
        </w:rPr>
        <w:t xml:space="preserve"> </w:t>
      </w:r>
      <w:r w:rsidRPr="00830F4C">
        <w:rPr>
          <w:rFonts w:ascii="Garamond" w:eastAsiaTheme="minorHAnsi" w:hAnsi="Garamond" w:cs="Garamond"/>
        </w:rPr>
        <w:t>e ndërgjegjësimit se raportimi i punës së pa deklaruar dhe nëndeklarimet e pagës, janë një përfitim jo vetëm për shtetin por mbi të gjitha për individin. Gjithashtu, element</w:t>
      </w:r>
      <w:r w:rsidR="008C0C0F" w:rsidRPr="00830F4C">
        <w:rPr>
          <w:rFonts w:ascii="Garamond" w:eastAsiaTheme="minorHAnsi" w:hAnsi="Garamond" w:cs="Garamond"/>
        </w:rPr>
        <w:t>e</w:t>
      </w:r>
      <w:r w:rsidRPr="00830F4C">
        <w:rPr>
          <w:rFonts w:ascii="Garamond" w:eastAsiaTheme="minorHAnsi" w:hAnsi="Garamond" w:cs="Garamond"/>
        </w:rPr>
        <w:t xml:space="preserve"> të kësaj fushate do të jenë:</w:t>
      </w:r>
    </w:p>
    <w:p w14:paraId="12FD84CB" w14:textId="5DD6EA1E" w:rsidR="00A53A79" w:rsidRPr="00830F4C" w:rsidRDefault="00A53A79" w:rsidP="00A53A79">
      <w:pPr>
        <w:ind w:firstLine="284"/>
        <w:jc w:val="both"/>
        <w:rPr>
          <w:rFonts w:ascii="Garamond" w:eastAsiaTheme="minorHAnsi" w:hAnsi="Garamond" w:cs="Garamond"/>
        </w:rPr>
      </w:pPr>
      <w:r w:rsidRPr="00830F4C">
        <w:rPr>
          <w:rFonts w:ascii="Garamond" w:eastAsiaTheme="minorHAnsi" w:hAnsi="Garamond" w:cs="Symbol"/>
        </w:rPr>
        <w:t xml:space="preserve">- </w:t>
      </w:r>
      <w:r w:rsidRPr="00830F4C">
        <w:rPr>
          <w:rFonts w:ascii="Garamond" w:eastAsiaTheme="minorHAnsi" w:hAnsi="Garamond" w:cs="Garamond"/>
        </w:rPr>
        <w:t>Edukimi i tatimpaguesve në lidhje me rreziqet jotatimore të nëndeklarimit të të ardhurave, si për shembull: pakësimi i pagesës së kontributeve të sigurimeve, qasje të kufizuar në kredi dhe aftësi e kufizuar për të shitur një biznes në të ardhmen</w:t>
      </w:r>
      <w:r w:rsidR="00B23EFE">
        <w:rPr>
          <w:rFonts w:ascii="Garamond" w:eastAsiaTheme="minorHAnsi" w:hAnsi="Garamond" w:cs="Garamond"/>
        </w:rPr>
        <w:t>;</w:t>
      </w:r>
    </w:p>
    <w:p w14:paraId="22DC28F4" w14:textId="15DEDA0B" w:rsidR="00A53A79" w:rsidRPr="00830F4C" w:rsidRDefault="00A53A79" w:rsidP="00A53A79">
      <w:pPr>
        <w:ind w:firstLine="284"/>
        <w:jc w:val="both"/>
        <w:rPr>
          <w:rFonts w:ascii="Garamond" w:eastAsiaTheme="minorHAnsi" w:hAnsi="Garamond" w:cs="Garamond"/>
        </w:rPr>
      </w:pPr>
      <w:r w:rsidRPr="00830F4C">
        <w:rPr>
          <w:rFonts w:ascii="Garamond" w:eastAsiaTheme="minorHAnsi" w:hAnsi="Garamond" w:cs="Symbol"/>
        </w:rPr>
        <w:t xml:space="preserve">- </w:t>
      </w:r>
      <w:r w:rsidRPr="00830F4C">
        <w:rPr>
          <w:rFonts w:ascii="Garamond" w:eastAsiaTheme="minorHAnsi" w:hAnsi="Garamond" w:cs="Garamond"/>
        </w:rPr>
        <w:t>Marrja e informacionit të detajuar nga tatimpaguesit</w:t>
      </w:r>
      <w:r w:rsidR="00B23EFE">
        <w:rPr>
          <w:rFonts w:ascii="Garamond" w:eastAsiaTheme="minorHAnsi" w:hAnsi="Garamond" w:cs="Garamond"/>
        </w:rPr>
        <w:t>,</w:t>
      </w:r>
      <w:r w:rsidRPr="00830F4C">
        <w:rPr>
          <w:rFonts w:ascii="Garamond" w:eastAsiaTheme="minorHAnsi" w:hAnsi="Garamond" w:cs="Garamond"/>
        </w:rPr>
        <w:t xml:space="preserve"> me qëllim rritjen e aftësive për të zbuluar dhe trajtuar aktivitetet e ekonomisë informale. Kjo ka për qëllim rritjen e besimit të komunitetit në efektivitetin e administratës duke demonstruar se shmangësit e tatimeve janë vënë para përgjegjësisë dhe do shërbejë si një pengesë e rëndësishme për të tjerët që mund të mendojnë të angazhohen në mosrespektimin e ligjit</w:t>
      </w:r>
      <w:r w:rsidR="00B23EFE">
        <w:rPr>
          <w:rFonts w:ascii="Garamond" w:eastAsiaTheme="minorHAnsi" w:hAnsi="Garamond" w:cs="Garamond"/>
        </w:rPr>
        <w:t>;</w:t>
      </w:r>
    </w:p>
    <w:p w14:paraId="731BDDDF" w14:textId="215F9EF5" w:rsidR="00A53A79" w:rsidRPr="00830F4C" w:rsidRDefault="00A53A79" w:rsidP="008C0C0F">
      <w:pPr>
        <w:ind w:firstLine="284"/>
        <w:jc w:val="both"/>
        <w:rPr>
          <w:rFonts w:ascii="Garamond" w:eastAsiaTheme="minorHAnsi" w:hAnsi="Garamond" w:cs="Garamond"/>
        </w:rPr>
      </w:pPr>
      <w:r w:rsidRPr="00830F4C">
        <w:rPr>
          <w:rFonts w:ascii="Garamond" w:eastAsiaTheme="minorHAnsi" w:hAnsi="Garamond" w:cs="Symbol"/>
        </w:rPr>
        <w:t xml:space="preserve">- </w:t>
      </w:r>
      <w:r w:rsidRPr="00830F4C">
        <w:rPr>
          <w:rFonts w:ascii="Garamond" w:eastAsiaTheme="minorHAnsi" w:hAnsi="Garamond" w:cs="Garamond"/>
        </w:rPr>
        <w:t>Publikimi i masave/veprimeve kundër evazionit. Raportimi i rezultateve të arritura duke përfshirë ndjekjet penale të suksesshme që rrjedhin nga këto aktivitete.</w:t>
      </w:r>
    </w:p>
    <w:p w14:paraId="0F1BADEC" w14:textId="77777777" w:rsidR="00A53A79" w:rsidRPr="00830F4C" w:rsidRDefault="00A53A79" w:rsidP="008C0C0F">
      <w:pPr>
        <w:ind w:firstLine="284"/>
        <w:jc w:val="both"/>
        <w:rPr>
          <w:rFonts w:ascii="Garamond" w:eastAsiaTheme="minorHAnsi" w:hAnsi="Garamond" w:cs="Garamond"/>
        </w:rPr>
      </w:pPr>
      <w:r w:rsidRPr="00830F4C">
        <w:rPr>
          <w:rFonts w:ascii="Garamond" w:eastAsiaTheme="minorHAnsi" w:hAnsi="Garamond" w:cs="Garamond"/>
        </w:rPr>
        <w:t>Në mënyrë të përmbledhur, aktiviteti do të jetë.</w:t>
      </w:r>
    </w:p>
    <w:p w14:paraId="33EBFE97" w14:textId="01FAD218" w:rsidR="00A53A79" w:rsidRPr="00830F4C" w:rsidRDefault="00A53A79" w:rsidP="008C0C0F">
      <w:pPr>
        <w:pStyle w:val="ListParagraph"/>
        <w:spacing w:after="0" w:line="240" w:lineRule="auto"/>
        <w:ind w:left="0" w:firstLine="284"/>
        <w:jc w:val="both"/>
        <w:rPr>
          <w:rFonts w:ascii="Garamond" w:eastAsiaTheme="minorHAnsi" w:hAnsi="Garamond" w:cs="Garamond"/>
          <w:sz w:val="24"/>
          <w:szCs w:val="24"/>
        </w:rPr>
      </w:pPr>
      <w:r w:rsidRPr="00830F4C">
        <w:rPr>
          <w:rFonts w:ascii="Garamond" w:eastAsiaTheme="minorHAnsi" w:hAnsi="Garamond" w:cs="Wingdings"/>
          <w:sz w:val="24"/>
          <w:szCs w:val="24"/>
        </w:rPr>
        <w:t xml:space="preserve">- </w:t>
      </w:r>
      <w:r w:rsidRPr="00830F4C">
        <w:rPr>
          <w:rFonts w:ascii="Garamond" w:eastAsiaTheme="minorHAnsi" w:hAnsi="Garamond" w:cs="Garamond"/>
          <w:sz w:val="24"/>
          <w:szCs w:val="24"/>
        </w:rPr>
        <w:t>Aktiviteti 2.5.5.1</w:t>
      </w:r>
      <w:r w:rsidRPr="00B23EFE">
        <w:rPr>
          <w:rFonts w:ascii="Garamond" w:eastAsiaTheme="minorHAnsi" w:hAnsi="Garamond" w:cs="Garamond"/>
          <w:bCs/>
          <w:sz w:val="24"/>
          <w:szCs w:val="24"/>
        </w:rPr>
        <w:t>:</w:t>
      </w:r>
      <w:r w:rsidRPr="00830F4C">
        <w:rPr>
          <w:rFonts w:ascii="Garamond" w:eastAsiaTheme="minorHAnsi" w:hAnsi="Garamond" w:cs="Garamond"/>
          <w:b/>
          <w:bCs/>
          <w:sz w:val="24"/>
          <w:szCs w:val="24"/>
        </w:rPr>
        <w:t xml:space="preserve"> </w:t>
      </w:r>
      <w:r w:rsidRPr="00830F4C">
        <w:rPr>
          <w:rFonts w:ascii="Garamond" w:eastAsiaTheme="minorHAnsi" w:hAnsi="Garamond" w:cs="Garamond"/>
          <w:sz w:val="24"/>
          <w:szCs w:val="24"/>
        </w:rPr>
        <w:t>Hartimi i Planit të informimit dhe përcaktimi i element</w:t>
      </w:r>
      <w:r w:rsidR="008C0C0F" w:rsidRPr="00830F4C">
        <w:rPr>
          <w:rFonts w:ascii="Garamond" w:eastAsiaTheme="minorHAnsi" w:hAnsi="Garamond" w:cs="Garamond"/>
          <w:sz w:val="24"/>
          <w:szCs w:val="24"/>
        </w:rPr>
        <w:t>e</w:t>
      </w:r>
      <w:r w:rsidRPr="00830F4C">
        <w:rPr>
          <w:rFonts w:ascii="Garamond" w:eastAsiaTheme="minorHAnsi" w:hAnsi="Garamond" w:cs="Garamond"/>
          <w:sz w:val="24"/>
          <w:szCs w:val="24"/>
        </w:rPr>
        <w:t>ve të fushatës mbi përfitimet e punës së deklaruar.</w:t>
      </w:r>
    </w:p>
    <w:p w14:paraId="7F92C81C" w14:textId="6C61D100" w:rsidR="00A53A79" w:rsidRPr="00830F4C" w:rsidRDefault="00A53A79" w:rsidP="00B23EFE">
      <w:pPr>
        <w:ind w:firstLine="284"/>
        <w:jc w:val="both"/>
        <w:rPr>
          <w:rFonts w:ascii="Garamond" w:eastAsiaTheme="minorHAnsi" w:hAnsi="Garamond" w:cs="Garamond"/>
          <w:b/>
          <w:bCs/>
        </w:rPr>
      </w:pPr>
      <w:r w:rsidRPr="00830F4C">
        <w:rPr>
          <w:rFonts w:ascii="Garamond" w:eastAsiaTheme="minorHAnsi" w:hAnsi="Garamond" w:cs="Garamond"/>
          <w:b/>
          <w:bCs/>
        </w:rPr>
        <w:t>Masa 2.5.6 Zhvillimi i partneriteteve me përfaqësuesit e biznesit dhe të komunitetit për identifikimin e informalitetin në punësim</w:t>
      </w:r>
    </w:p>
    <w:p w14:paraId="3D13D188" w14:textId="0F70775F" w:rsidR="00A53A79" w:rsidRPr="00830F4C" w:rsidRDefault="00A53A79" w:rsidP="00A53A79">
      <w:pPr>
        <w:ind w:firstLine="284"/>
        <w:jc w:val="both"/>
        <w:rPr>
          <w:rFonts w:ascii="Garamond" w:eastAsiaTheme="minorHAnsi" w:hAnsi="Garamond" w:cs="Garamond"/>
        </w:rPr>
      </w:pPr>
      <w:r w:rsidRPr="00830F4C">
        <w:rPr>
          <w:rFonts w:ascii="Garamond" w:eastAsiaTheme="minorHAnsi" w:hAnsi="Garamond" w:cs="Garamond"/>
        </w:rPr>
        <w:t>Në këtë drejtim, DPT</w:t>
      </w:r>
      <w:r w:rsidR="00B23EFE">
        <w:rPr>
          <w:rFonts w:ascii="Garamond" w:eastAsiaTheme="minorHAnsi" w:hAnsi="Garamond" w:cs="Garamond"/>
        </w:rPr>
        <w:t>-ja</w:t>
      </w:r>
      <w:r w:rsidRPr="00830F4C">
        <w:rPr>
          <w:rFonts w:ascii="Garamond" w:eastAsiaTheme="minorHAnsi" w:hAnsi="Garamond" w:cs="Garamond"/>
        </w:rPr>
        <w:t xml:space="preserve"> do të zhvillojë takime periodike me grupet e interesit dhe kategori të ndryshme biznesi që janë identifikuar si problematike, në kuadër të trajtimit të punës së padeklaruar,</w:t>
      </w:r>
      <w:r w:rsidRPr="00830F4C">
        <w:rPr>
          <w:rFonts w:ascii="Garamond" w:eastAsiaTheme="minorHAnsi" w:hAnsi="Garamond" w:cs="Garamond"/>
          <w:b/>
          <w:bCs/>
        </w:rPr>
        <w:t xml:space="preserve"> </w:t>
      </w:r>
      <w:r w:rsidRPr="00830F4C">
        <w:rPr>
          <w:rFonts w:ascii="Garamond" w:eastAsiaTheme="minorHAnsi" w:hAnsi="Garamond" w:cs="Garamond"/>
        </w:rPr>
        <w:t>për të diskutuar dhe për</w:t>
      </w:r>
      <w:r w:rsidR="0052377F" w:rsidRPr="00830F4C">
        <w:rPr>
          <w:rFonts w:ascii="Garamond" w:eastAsiaTheme="minorHAnsi" w:hAnsi="Garamond" w:cs="Garamond"/>
        </w:rPr>
        <w:t xml:space="preserve"> </w:t>
      </w:r>
      <w:r w:rsidR="006A23E9" w:rsidRPr="00830F4C">
        <w:rPr>
          <w:rFonts w:ascii="Garamond" w:eastAsiaTheme="minorHAnsi" w:hAnsi="Garamond" w:cs="Garamond"/>
        </w:rPr>
        <w:t>t’i</w:t>
      </w:r>
      <w:r w:rsidR="0052377F" w:rsidRPr="00830F4C">
        <w:rPr>
          <w:rFonts w:ascii="Garamond" w:eastAsiaTheme="minorHAnsi" w:hAnsi="Garamond" w:cs="Garamond"/>
        </w:rPr>
        <w:t xml:space="preserve"> </w:t>
      </w:r>
      <w:r w:rsidRPr="00830F4C">
        <w:rPr>
          <w:rFonts w:ascii="Garamond" w:eastAsiaTheme="minorHAnsi" w:hAnsi="Garamond" w:cs="Garamond"/>
        </w:rPr>
        <w:t xml:space="preserve">dhënë zgjidhje punës së padeklaruar dhe konkurrencës së padrejtë, sipas specifikave të </w:t>
      </w:r>
      <w:r w:rsidR="005C7FB7" w:rsidRPr="00830F4C">
        <w:rPr>
          <w:rFonts w:ascii="Garamond" w:eastAsiaTheme="minorHAnsi" w:hAnsi="Garamond" w:cs="Garamond"/>
        </w:rPr>
        <w:t>bizneseve</w:t>
      </w:r>
      <w:r w:rsidRPr="00830F4C">
        <w:rPr>
          <w:rFonts w:ascii="Garamond" w:eastAsiaTheme="minorHAnsi" w:hAnsi="Garamond" w:cs="Garamond"/>
        </w:rPr>
        <w:t>.</w:t>
      </w:r>
    </w:p>
    <w:p w14:paraId="3C5A35E2" w14:textId="7629BCE8" w:rsidR="00A53A79" w:rsidRPr="00830F4C" w:rsidRDefault="00A53A79" w:rsidP="00A53A79">
      <w:pPr>
        <w:ind w:firstLine="284"/>
        <w:jc w:val="both"/>
        <w:rPr>
          <w:rFonts w:ascii="Garamond" w:hAnsi="Garamond"/>
        </w:rPr>
      </w:pPr>
      <w:r w:rsidRPr="00830F4C">
        <w:rPr>
          <w:rFonts w:ascii="Garamond" w:eastAsiaTheme="minorHAnsi" w:hAnsi="Garamond" w:cs="Wingdings"/>
        </w:rPr>
        <w:t xml:space="preserve">- </w:t>
      </w:r>
      <w:r w:rsidRPr="00830F4C">
        <w:rPr>
          <w:rFonts w:ascii="Garamond" w:eastAsiaTheme="minorHAnsi" w:hAnsi="Garamond" w:cs="Garamond"/>
        </w:rPr>
        <w:t>Aktiviteti 2.5.6.1</w:t>
      </w:r>
      <w:r w:rsidR="00B23EFE">
        <w:rPr>
          <w:rFonts w:ascii="Garamond" w:eastAsiaTheme="minorHAnsi" w:hAnsi="Garamond" w:cs="Garamond"/>
        </w:rPr>
        <w:t>:</w:t>
      </w:r>
      <w:r w:rsidRPr="00830F4C">
        <w:rPr>
          <w:rFonts w:ascii="Garamond" w:eastAsiaTheme="minorHAnsi" w:hAnsi="Garamond" w:cs="Garamond"/>
        </w:rPr>
        <w:t xml:space="preserve"> Takime periodike me </w:t>
      </w:r>
      <w:r w:rsidR="00B23EFE">
        <w:rPr>
          <w:rFonts w:ascii="Garamond" w:eastAsiaTheme="minorHAnsi" w:hAnsi="Garamond" w:cs="Garamond"/>
        </w:rPr>
        <w:t>g</w:t>
      </w:r>
      <w:r w:rsidRPr="00830F4C">
        <w:rPr>
          <w:rFonts w:ascii="Garamond" w:eastAsiaTheme="minorHAnsi" w:hAnsi="Garamond" w:cs="Garamond"/>
        </w:rPr>
        <w:t>rupet e biznesit për të diskutuar mbi faktorët e informalitetit në punësim</w:t>
      </w:r>
    </w:p>
    <w:p w14:paraId="6BD1F305" w14:textId="235D0D03" w:rsidR="00A53A79" w:rsidRPr="00830F4C" w:rsidRDefault="00A53A79" w:rsidP="00B23EFE">
      <w:pPr>
        <w:pStyle w:val="Heading2"/>
        <w:spacing w:before="0"/>
        <w:ind w:firstLine="284"/>
        <w:jc w:val="both"/>
        <w:rPr>
          <w:rFonts w:ascii="Garamond" w:hAnsi="Garamond" w:cs="Garamond"/>
          <w:b/>
          <w:bCs/>
          <w:color w:val="auto"/>
          <w:sz w:val="24"/>
          <w:szCs w:val="24"/>
        </w:rPr>
      </w:pPr>
      <w:r w:rsidRPr="00830F4C">
        <w:rPr>
          <w:rFonts w:ascii="Garamond" w:hAnsi="Garamond" w:cs="Garamond"/>
          <w:b/>
          <w:bCs/>
          <w:color w:val="auto"/>
          <w:sz w:val="24"/>
          <w:szCs w:val="24"/>
        </w:rPr>
        <w:t>V.6 Komponenti 2.6 Reduktimi i kostove të pajtueshmërisë dhe rritja e</w:t>
      </w:r>
      <w:r w:rsidR="00D22EA5" w:rsidRPr="00830F4C">
        <w:rPr>
          <w:rFonts w:ascii="Garamond" w:hAnsi="Garamond" w:cs="Garamond"/>
          <w:b/>
          <w:bCs/>
          <w:color w:val="auto"/>
          <w:sz w:val="24"/>
          <w:szCs w:val="24"/>
        </w:rPr>
        <w:t xml:space="preserve"> </w:t>
      </w:r>
      <w:r w:rsidRPr="00830F4C">
        <w:rPr>
          <w:rFonts w:ascii="Garamond" w:hAnsi="Garamond" w:cs="Garamond"/>
          <w:b/>
          <w:bCs/>
          <w:color w:val="auto"/>
          <w:sz w:val="24"/>
          <w:szCs w:val="24"/>
        </w:rPr>
        <w:t>besimit tek administrata tatimore</w:t>
      </w:r>
    </w:p>
    <w:p w14:paraId="7064F170" w14:textId="77777777" w:rsidR="00A53A79" w:rsidRPr="00830F4C" w:rsidRDefault="00A53A79" w:rsidP="00B23EFE">
      <w:pPr>
        <w:ind w:firstLine="284"/>
        <w:jc w:val="both"/>
        <w:rPr>
          <w:rFonts w:ascii="Garamond" w:eastAsiaTheme="minorHAnsi" w:hAnsi="Garamond" w:cs="Garamond"/>
          <w:b/>
          <w:bCs/>
        </w:rPr>
      </w:pPr>
      <w:r w:rsidRPr="00830F4C">
        <w:rPr>
          <w:rFonts w:ascii="Garamond" w:eastAsiaTheme="minorHAnsi" w:hAnsi="Garamond" w:cs="Garamond"/>
          <w:b/>
          <w:bCs/>
        </w:rPr>
        <w:t>Objektivi</w:t>
      </w:r>
    </w:p>
    <w:p w14:paraId="6B8F41CF" w14:textId="77777777" w:rsidR="00A53A79" w:rsidRPr="00830F4C" w:rsidRDefault="00A53A79" w:rsidP="00A53A79">
      <w:pPr>
        <w:ind w:firstLine="284"/>
        <w:jc w:val="both"/>
        <w:rPr>
          <w:rFonts w:ascii="Garamond" w:eastAsiaTheme="minorHAnsi" w:hAnsi="Garamond" w:cs="Garamond"/>
        </w:rPr>
      </w:pPr>
      <w:r w:rsidRPr="00830F4C">
        <w:rPr>
          <w:rFonts w:ascii="Garamond" w:eastAsiaTheme="minorHAnsi" w:hAnsi="Garamond" w:cs="Garamond"/>
        </w:rPr>
        <w:t>Objektivi</w:t>
      </w:r>
      <w:r w:rsidRPr="00830F4C">
        <w:rPr>
          <w:rFonts w:ascii="Garamond" w:eastAsiaTheme="minorHAnsi" w:hAnsi="Garamond" w:cs="Garamond"/>
          <w:b/>
          <w:bCs/>
        </w:rPr>
        <w:t xml:space="preserve"> </w:t>
      </w:r>
      <w:r w:rsidRPr="00830F4C">
        <w:rPr>
          <w:rFonts w:ascii="Garamond" w:eastAsiaTheme="minorHAnsi" w:hAnsi="Garamond" w:cs="Garamond"/>
        </w:rPr>
        <w:t>kryesor i këtij komponenti konsiston në uljen e kostove të pajtueshmërisë dhe rritjen e cilësisë së shërbimit së administratës tatimore dhe besimit të komunitetit dhe zbatimi i kushteve të përcaktuara në Planin e Rritjes.</w:t>
      </w:r>
    </w:p>
    <w:p w14:paraId="71DC803B" w14:textId="77777777" w:rsidR="00A53A79" w:rsidRPr="00830F4C" w:rsidRDefault="00A53A79" w:rsidP="00A53A79">
      <w:pPr>
        <w:ind w:firstLine="284"/>
        <w:jc w:val="both"/>
        <w:rPr>
          <w:rFonts w:ascii="Garamond" w:eastAsiaTheme="minorHAnsi" w:hAnsi="Garamond" w:cs="Garamond"/>
          <w:b/>
          <w:bCs/>
        </w:rPr>
      </w:pPr>
      <w:r w:rsidRPr="00830F4C">
        <w:rPr>
          <w:rFonts w:ascii="Garamond" w:eastAsiaTheme="minorHAnsi" w:hAnsi="Garamond" w:cs="Garamond"/>
          <w:b/>
          <w:bCs/>
        </w:rPr>
        <w:t>Konteksti</w:t>
      </w:r>
    </w:p>
    <w:p w14:paraId="33305623" w14:textId="7555292D" w:rsidR="00A53A79" w:rsidRPr="00830F4C" w:rsidRDefault="00A53A79" w:rsidP="00A53A79">
      <w:pPr>
        <w:ind w:firstLine="284"/>
        <w:jc w:val="both"/>
        <w:rPr>
          <w:rFonts w:ascii="Garamond" w:eastAsiaTheme="minorHAnsi" w:hAnsi="Garamond" w:cs="Garamond"/>
        </w:rPr>
      </w:pPr>
      <w:r w:rsidRPr="00830F4C">
        <w:rPr>
          <w:rFonts w:ascii="Garamond" w:eastAsiaTheme="minorHAnsi" w:hAnsi="Garamond" w:cs="Garamond"/>
        </w:rPr>
        <w:t>Sikurse është evidentuar në sesionet e mësipërme të kësaj strategjie, progres i dukshëm është arritur në uljen e kostove dhe lehtësimin e pajtueshmërisë vullnetare për tatimpaguesit. Një ekuilibër i duhur midis ofrimit të shërbimit, uljes së kostove dhe lehtësi për pajtueshmërinë vullnetare nga njëra anë dhe zbatimit të masave ndëshkuese ndaj kategorive mospërmbushëse nga ana e administratës tatimore është thelbësor për përmirësimin e klimës, konkur</w:t>
      </w:r>
      <w:r w:rsidR="005C7FB7">
        <w:rPr>
          <w:rFonts w:ascii="Garamond" w:eastAsiaTheme="minorHAnsi" w:hAnsi="Garamond" w:cs="Garamond"/>
        </w:rPr>
        <w:t>r</w:t>
      </w:r>
      <w:r w:rsidRPr="00830F4C">
        <w:rPr>
          <w:rFonts w:ascii="Garamond" w:eastAsiaTheme="minorHAnsi" w:hAnsi="Garamond" w:cs="Garamond"/>
        </w:rPr>
        <w:t>ueshmërisë dhe barazisë në të bërit biznes.</w:t>
      </w:r>
      <w:r w:rsidR="00D22EA5" w:rsidRPr="00830F4C">
        <w:rPr>
          <w:rFonts w:ascii="Garamond" w:eastAsiaTheme="minorHAnsi" w:hAnsi="Garamond" w:cs="Garamond"/>
        </w:rPr>
        <w:t xml:space="preserve"> </w:t>
      </w:r>
      <w:r w:rsidRPr="00830F4C">
        <w:rPr>
          <w:rFonts w:ascii="Garamond" w:eastAsiaTheme="minorHAnsi" w:hAnsi="Garamond" w:cs="Garamond"/>
        </w:rPr>
        <w:t>Për këtë arsye, në këtë Strategji janë parashikuar prioritetet dhe masat, si më poshtë.</w:t>
      </w:r>
    </w:p>
    <w:p w14:paraId="60655C8C" w14:textId="77777777" w:rsidR="00A53A79" w:rsidRPr="00830F4C" w:rsidRDefault="00A53A79" w:rsidP="00A53A79">
      <w:pPr>
        <w:ind w:firstLine="284"/>
        <w:jc w:val="both"/>
        <w:rPr>
          <w:rFonts w:ascii="Garamond" w:eastAsiaTheme="minorHAnsi" w:hAnsi="Garamond" w:cs="Garamond"/>
          <w:b/>
          <w:bCs/>
        </w:rPr>
      </w:pPr>
      <w:r w:rsidRPr="00830F4C">
        <w:rPr>
          <w:rFonts w:ascii="Garamond" w:eastAsiaTheme="minorHAnsi" w:hAnsi="Garamond" w:cs="Garamond"/>
          <w:b/>
          <w:bCs/>
        </w:rPr>
        <w:t>Prioritetet:</w:t>
      </w:r>
    </w:p>
    <w:p w14:paraId="2B9C4CEA" w14:textId="4F106D44" w:rsidR="00A53A79" w:rsidRPr="00830F4C" w:rsidRDefault="00A53A79" w:rsidP="00A53A79">
      <w:pPr>
        <w:ind w:firstLine="284"/>
        <w:jc w:val="both"/>
        <w:rPr>
          <w:rFonts w:ascii="Garamond" w:eastAsiaTheme="minorHAnsi" w:hAnsi="Garamond" w:cs="Garamond"/>
        </w:rPr>
      </w:pPr>
      <w:r w:rsidRPr="00830F4C">
        <w:rPr>
          <w:rFonts w:ascii="Garamond" w:eastAsiaTheme="minorHAnsi" w:hAnsi="Garamond" w:cs="Garamond"/>
        </w:rPr>
        <w:t>Prioritetet për periudhën</w:t>
      </w:r>
      <w:r w:rsidR="00800B00" w:rsidRPr="00830F4C">
        <w:rPr>
          <w:rFonts w:ascii="Garamond" w:eastAsiaTheme="minorHAnsi" w:hAnsi="Garamond" w:cs="Garamond"/>
        </w:rPr>
        <w:t xml:space="preserve"> </w:t>
      </w:r>
      <w:r w:rsidR="00D22EA5" w:rsidRPr="00830F4C">
        <w:rPr>
          <w:rFonts w:ascii="Garamond" w:eastAsiaTheme="minorHAnsi" w:hAnsi="Garamond" w:cs="Garamond"/>
        </w:rPr>
        <w:t>2024–2027</w:t>
      </w:r>
      <w:r w:rsidRPr="00830F4C">
        <w:rPr>
          <w:rFonts w:ascii="Garamond" w:eastAsiaTheme="minorHAnsi" w:hAnsi="Garamond" w:cs="Garamond"/>
        </w:rPr>
        <w:t xml:space="preserve"> janë:</w:t>
      </w:r>
    </w:p>
    <w:p w14:paraId="263F6F9F" w14:textId="77777777" w:rsidR="00A53A79" w:rsidRPr="00830F4C" w:rsidRDefault="00A53A79" w:rsidP="00A53A79">
      <w:pPr>
        <w:pStyle w:val="ListParagraph"/>
        <w:spacing w:after="0" w:line="240" w:lineRule="auto"/>
        <w:ind w:left="0" w:firstLine="284"/>
        <w:jc w:val="both"/>
        <w:rPr>
          <w:rFonts w:ascii="Garamond" w:eastAsiaTheme="minorHAnsi" w:hAnsi="Garamond" w:cs="Garamond"/>
          <w:sz w:val="24"/>
          <w:szCs w:val="24"/>
        </w:rPr>
      </w:pPr>
      <w:r w:rsidRPr="00830F4C">
        <w:rPr>
          <w:rFonts w:ascii="Garamond" w:eastAsiaTheme="minorHAnsi" w:hAnsi="Garamond" w:cs="Symbol"/>
          <w:sz w:val="24"/>
          <w:szCs w:val="24"/>
        </w:rPr>
        <w:t xml:space="preserve">- </w:t>
      </w:r>
      <w:r w:rsidRPr="00830F4C">
        <w:rPr>
          <w:rFonts w:ascii="Garamond" w:eastAsiaTheme="minorHAnsi" w:hAnsi="Garamond" w:cs="Garamond"/>
          <w:sz w:val="24"/>
          <w:szCs w:val="24"/>
        </w:rPr>
        <w:t>Zbatimi plotësisht i kushteve sipas Planit të Rritjes:</w:t>
      </w:r>
    </w:p>
    <w:p w14:paraId="6AA9EC98" w14:textId="77777777" w:rsidR="00A53A79" w:rsidRPr="00830F4C" w:rsidRDefault="00A53A79" w:rsidP="00A53A79">
      <w:pPr>
        <w:pStyle w:val="ListParagraph"/>
        <w:spacing w:after="0" w:line="240" w:lineRule="auto"/>
        <w:ind w:left="0" w:firstLine="284"/>
        <w:jc w:val="both"/>
        <w:rPr>
          <w:rFonts w:ascii="Garamond" w:eastAsiaTheme="minorHAnsi" w:hAnsi="Garamond" w:cs="Garamond"/>
          <w:sz w:val="24"/>
          <w:szCs w:val="24"/>
        </w:rPr>
      </w:pPr>
      <w:r w:rsidRPr="00830F4C">
        <w:rPr>
          <w:rFonts w:ascii="Garamond" w:eastAsiaTheme="minorHAnsi" w:hAnsi="Garamond" w:cs="Garamond"/>
          <w:sz w:val="24"/>
          <w:szCs w:val="24"/>
        </w:rPr>
        <w:t>a) 100% e deklaratave individuale të të ardhurave personale do të parambushen brenda dhjetorit 2026;</w:t>
      </w:r>
    </w:p>
    <w:p w14:paraId="13E66826" w14:textId="102961D4" w:rsidR="00A53A79" w:rsidRPr="00830F4C" w:rsidRDefault="00A53A79" w:rsidP="00A53A79">
      <w:pPr>
        <w:pStyle w:val="ListParagraph"/>
        <w:spacing w:after="0" w:line="240" w:lineRule="auto"/>
        <w:ind w:left="0" w:firstLine="284"/>
        <w:jc w:val="both"/>
        <w:rPr>
          <w:rFonts w:ascii="Garamond" w:eastAsiaTheme="minorHAnsi" w:hAnsi="Garamond" w:cs="Garamond"/>
          <w:sz w:val="24"/>
          <w:szCs w:val="24"/>
        </w:rPr>
      </w:pPr>
      <w:r w:rsidRPr="00830F4C">
        <w:rPr>
          <w:rFonts w:ascii="Garamond" w:eastAsiaTheme="minorHAnsi" w:hAnsi="Garamond" w:cs="Garamond"/>
          <w:sz w:val="24"/>
          <w:szCs w:val="24"/>
        </w:rPr>
        <w:t>b) Hartimi dhe miratimi i Planit të Integritetit të administratës tatimore brenda 2025</w:t>
      </w:r>
      <w:r w:rsidR="00B23EFE">
        <w:rPr>
          <w:rFonts w:ascii="Garamond" w:eastAsiaTheme="minorHAnsi" w:hAnsi="Garamond" w:cs="Garamond"/>
          <w:sz w:val="24"/>
          <w:szCs w:val="24"/>
        </w:rPr>
        <w:t>-s</w:t>
      </w:r>
      <w:r w:rsidRPr="00830F4C">
        <w:rPr>
          <w:rFonts w:ascii="Garamond" w:eastAsiaTheme="minorHAnsi" w:hAnsi="Garamond" w:cs="Garamond"/>
          <w:sz w:val="24"/>
          <w:szCs w:val="24"/>
        </w:rPr>
        <w:t>.</w:t>
      </w:r>
    </w:p>
    <w:p w14:paraId="093646FC" w14:textId="77777777" w:rsidR="00A53A79" w:rsidRPr="00830F4C" w:rsidRDefault="00A53A79" w:rsidP="00A53A79">
      <w:pPr>
        <w:ind w:firstLine="284"/>
        <w:rPr>
          <w:rFonts w:ascii="Garamond" w:eastAsiaTheme="minorHAnsi" w:hAnsi="Garamond" w:cs="Garamond"/>
        </w:rPr>
      </w:pPr>
      <w:r w:rsidRPr="00830F4C">
        <w:rPr>
          <w:rFonts w:ascii="Garamond" w:eastAsiaTheme="minorHAnsi" w:hAnsi="Garamond" w:cs="Symbol"/>
        </w:rPr>
        <w:t xml:space="preserve">- </w:t>
      </w:r>
      <w:r w:rsidRPr="00830F4C">
        <w:rPr>
          <w:rFonts w:ascii="Garamond" w:eastAsiaTheme="minorHAnsi" w:hAnsi="Garamond" w:cs="Garamond"/>
        </w:rPr>
        <w:t>Hartimi dhe miratimi i Strategjisë së Shërbimit të tatimpaguesve.</w:t>
      </w:r>
    </w:p>
    <w:p w14:paraId="479F8DB7" w14:textId="77777777" w:rsidR="001D399F" w:rsidRDefault="001D399F" w:rsidP="006B61C6">
      <w:pPr>
        <w:ind w:left="360"/>
        <w:jc w:val="both"/>
        <w:rPr>
          <w:rFonts w:ascii="Garamond" w:hAnsi="Garamond"/>
          <w:b/>
        </w:rPr>
      </w:pPr>
    </w:p>
    <w:p w14:paraId="024DE879" w14:textId="77777777" w:rsidR="00A53A79" w:rsidRPr="00830F4C" w:rsidRDefault="00A53A79" w:rsidP="006B61C6">
      <w:pPr>
        <w:ind w:left="360"/>
        <w:jc w:val="both"/>
        <w:rPr>
          <w:rFonts w:ascii="Garamond" w:hAnsi="Garamond"/>
          <w:b/>
        </w:rPr>
      </w:pPr>
      <w:r w:rsidRPr="00830F4C">
        <w:rPr>
          <w:rFonts w:ascii="Garamond" w:hAnsi="Garamond"/>
          <w:b/>
        </w:rPr>
        <w:t>Masat dhe aktivitetet</w:t>
      </w:r>
    </w:p>
    <w:tbl>
      <w:tblPr>
        <w:tblStyle w:val="TableGrid"/>
        <w:tblW w:w="0" w:type="auto"/>
        <w:tblLook w:val="04A0" w:firstRow="1" w:lastRow="0" w:firstColumn="1" w:lastColumn="0" w:noHBand="0" w:noVBand="1"/>
      </w:tblPr>
      <w:tblGrid>
        <w:gridCol w:w="2290"/>
        <w:gridCol w:w="2715"/>
        <w:gridCol w:w="1121"/>
        <w:gridCol w:w="1339"/>
        <w:gridCol w:w="1551"/>
      </w:tblGrid>
      <w:tr w:rsidR="00A53A79" w:rsidRPr="00CC11D5" w14:paraId="77446C35" w14:textId="77777777" w:rsidTr="006B61C6">
        <w:trPr>
          <w:trHeight w:val="227"/>
        </w:trPr>
        <w:tc>
          <w:tcPr>
            <w:tcW w:w="2290" w:type="dxa"/>
            <w:vAlign w:val="center"/>
          </w:tcPr>
          <w:p w14:paraId="01DC22E8" w14:textId="77777777" w:rsidR="00A53A79" w:rsidRPr="00CC11D5" w:rsidRDefault="00A53A79" w:rsidP="006B61C6">
            <w:pPr>
              <w:jc w:val="center"/>
              <w:rPr>
                <w:rFonts w:ascii="Garamond" w:hAnsi="Garamond"/>
                <w:b/>
                <w:sz w:val="12"/>
                <w:szCs w:val="12"/>
              </w:rPr>
            </w:pPr>
            <w:r w:rsidRPr="00CC11D5">
              <w:rPr>
                <w:rFonts w:ascii="Garamond" w:hAnsi="Garamond"/>
                <w:b/>
                <w:sz w:val="12"/>
                <w:szCs w:val="12"/>
              </w:rPr>
              <w:t>Masa</w:t>
            </w:r>
          </w:p>
        </w:tc>
        <w:tc>
          <w:tcPr>
            <w:tcW w:w="2715" w:type="dxa"/>
            <w:vAlign w:val="center"/>
          </w:tcPr>
          <w:p w14:paraId="7533D38E" w14:textId="77777777" w:rsidR="00A53A79" w:rsidRPr="00CC11D5" w:rsidRDefault="00A53A79" w:rsidP="006B61C6">
            <w:pPr>
              <w:jc w:val="center"/>
              <w:rPr>
                <w:rFonts w:ascii="Garamond" w:hAnsi="Garamond"/>
                <w:b/>
                <w:sz w:val="12"/>
                <w:szCs w:val="12"/>
              </w:rPr>
            </w:pPr>
            <w:r w:rsidRPr="00CC11D5">
              <w:rPr>
                <w:rFonts w:ascii="Garamond" w:hAnsi="Garamond"/>
                <w:b/>
                <w:sz w:val="12"/>
                <w:szCs w:val="12"/>
              </w:rPr>
              <w:t>Aktivitetet</w:t>
            </w:r>
          </w:p>
        </w:tc>
        <w:tc>
          <w:tcPr>
            <w:tcW w:w="1121" w:type="dxa"/>
            <w:vAlign w:val="center"/>
          </w:tcPr>
          <w:p w14:paraId="6047E50B" w14:textId="77777777" w:rsidR="00A53A79" w:rsidRPr="00CC11D5" w:rsidRDefault="00A53A79" w:rsidP="006B61C6">
            <w:pPr>
              <w:jc w:val="center"/>
              <w:rPr>
                <w:rFonts w:ascii="Garamond" w:hAnsi="Garamond"/>
                <w:b/>
                <w:sz w:val="12"/>
                <w:szCs w:val="12"/>
              </w:rPr>
            </w:pPr>
            <w:r w:rsidRPr="00CC11D5">
              <w:rPr>
                <w:rFonts w:ascii="Garamond" w:hAnsi="Garamond"/>
                <w:b/>
                <w:sz w:val="12"/>
                <w:szCs w:val="12"/>
              </w:rPr>
              <w:t>Fillimi</w:t>
            </w:r>
          </w:p>
        </w:tc>
        <w:tc>
          <w:tcPr>
            <w:tcW w:w="1339" w:type="dxa"/>
            <w:vAlign w:val="center"/>
          </w:tcPr>
          <w:p w14:paraId="412AAFF0" w14:textId="77777777" w:rsidR="00A53A79" w:rsidRPr="00CC11D5" w:rsidRDefault="00A53A79" w:rsidP="006B61C6">
            <w:pPr>
              <w:jc w:val="center"/>
              <w:rPr>
                <w:rFonts w:ascii="Garamond" w:hAnsi="Garamond"/>
                <w:b/>
                <w:sz w:val="12"/>
                <w:szCs w:val="12"/>
              </w:rPr>
            </w:pPr>
            <w:r w:rsidRPr="00CC11D5">
              <w:rPr>
                <w:rFonts w:ascii="Garamond" w:hAnsi="Garamond"/>
                <w:b/>
                <w:sz w:val="12"/>
                <w:szCs w:val="12"/>
              </w:rPr>
              <w:t>Mbarimi</w:t>
            </w:r>
          </w:p>
        </w:tc>
        <w:tc>
          <w:tcPr>
            <w:tcW w:w="1551" w:type="dxa"/>
            <w:vAlign w:val="center"/>
          </w:tcPr>
          <w:p w14:paraId="1DAC54F8" w14:textId="77777777" w:rsidR="00A53A79" w:rsidRPr="00CC11D5" w:rsidRDefault="00A53A79" w:rsidP="006B61C6">
            <w:pPr>
              <w:jc w:val="center"/>
              <w:rPr>
                <w:rFonts w:ascii="Garamond" w:hAnsi="Garamond"/>
                <w:b/>
                <w:sz w:val="12"/>
                <w:szCs w:val="12"/>
              </w:rPr>
            </w:pPr>
            <w:r w:rsidRPr="00CC11D5">
              <w:rPr>
                <w:rFonts w:ascii="Garamond" w:hAnsi="Garamond"/>
                <w:b/>
                <w:sz w:val="12"/>
                <w:szCs w:val="12"/>
              </w:rPr>
              <w:t>Institucioni përgjegjës</w:t>
            </w:r>
          </w:p>
        </w:tc>
      </w:tr>
      <w:tr w:rsidR="00A53A79" w:rsidRPr="00CC11D5" w14:paraId="0A5A2777" w14:textId="77777777" w:rsidTr="006B61C6">
        <w:trPr>
          <w:trHeight w:val="227"/>
        </w:trPr>
        <w:tc>
          <w:tcPr>
            <w:tcW w:w="2290" w:type="dxa"/>
            <w:vAlign w:val="center"/>
          </w:tcPr>
          <w:p w14:paraId="16F81D59" w14:textId="74AB694F" w:rsidR="00A53A79" w:rsidRPr="00CC11D5" w:rsidRDefault="00A53A79" w:rsidP="006B61C6">
            <w:pPr>
              <w:jc w:val="center"/>
              <w:rPr>
                <w:rFonts w:ascii="Garamond" w:hAnsi="Garamond"/>
                <w:sz w:val="12"/>
                <w:szCs w:val="12"/>
              </w:rPr>
            </w:pPr>
            <w:r w:rsidRPr="00CC11D5">
              <w:rPr>
                <w:rFonts w:ascii="Garamond" w:hAnsi="Garamond"/>
                <w:sz w:val="12"/>
                <w:szCs w:val="12"/>
              </w:rPr>
              <w:t>Masa 2.6.1</w:t>
            </w:r>
            <w:r w:rsidR="00B23EFE" w:rsidRPr="00CC11D5">
              <w:rPr>
                <w:rFonts w:ascii="Garamond" w:hAnsi="Garamond"/>
                <w:sz w:val="12"/>
                <w:szCs w:val="12"/>
              </w:rPr>
              <w:t xml:space="preserve"> </w:t>
            </w:r>
            <w:r w:rsidRPr="00CC11D5">
              <w:rPr>
                <w:rFonts w:ascii="Garamond" w:hAnsi="Garamond"/>
                <w:sz w:val="12"/>
                <w:szCs w:val="12"/>
              </w:rPr>
              <w:t>Hartimi dhe miratimi i strategjisë për shërbimin e tatimpaguesve</w:t>
            </w:r>
          </w:p>
        </w:tc>
        <w:tc>
          <w:tcPr>
            <w:tcW w:w="2715" w:type="dxa"/>
            <w:vAlign w:val="center"/>
          </w:tcPr>
          <w:p w14:paraId="478AAEFB" w14:textId="1988CD90" w:rsidR="00A53A79" w:rsidRPr="00CC11D5" w:rsidRDefault="00A53A79" w:rsidP="006B61C6">
            <w:pPr>
              <w:contextualSpacing/>
              <w:jc w:val="center"/>
              <w:rPr>
                <w:rFonts w:ascii="Garamond" w:hAnsi="Garamond"/>
                <w:sz w:val="12"/>
                <w:szCs w:val="12"/>
              </w:rPr>
            </w:pPr>
            <w:r w:rsidRPr="00CC11D5">
              <w:rPr>
                <w:rFonts w:ascii="Garamond" w:hAnsi="Garamond"/>
                <w:sz w:val="12"/>
                <w:szCs w:val="12"/>
              </w:rPr>
              <w:t>Aktiviteti 2.6.1.1</w:t>
            </w:r>
            <w:r w:rsidR="00B23EFE" w:rsidRPr="00CC11D5">
              <w:rPr>
                <w:rFonts w:ascii="Garamond" w:hAnsi="Garamond"/>
                <w:sz w:val="12"/>
                <w:szCs w:val="12"/>
              </w:rPr>
              <w:t>:</w:t>
            </w:r>
            <w:r w:rsidRPr="00CC11D5">
              <w:rPr>
                <w:rFonts w:ascii="Garamond" w:hAnsi="Garamond"/>
                <w:sz w:val="12"/>
                <w:szCs w:val="12"/>
              </w:rPr>
              <w:t xml:space="preserve"> Përmirësimi i udhëzuesve shpjegues për subjektet tatimpaguese dhe </w:t>
            </w:r>
            <w:r w:rsidR="005C7FB7" w:rsidRPr="00CC11D5">
              <w:rPr>
                <w:rFonts w:ascii="Garamond" w:hAnsi="Garamond"/>
                <w:sz w:val="12"/>
                <w:szCs w:val="12"/>
              </w:rPr>
              <w:t>konsulentët</w:t>
            </w:r>
            <w:r w:rsidRPr="00CC11D5">
              <w:rPr>
                <w:rFonts w:ascii="Garamond" w:hAnsi="Garamond"/>
                <w:sz w:val="12"/>
                <w:szCs w:val="12"/>
              </w:rPr>
              <w:t xml:space="preserve"> e tyre</w:t>
            </w:r>
            <w:r w:rsidR="00B23EFE" w:rsidRPr="00CC11D5">
              <w:rPr>
                <w:rFonts w:ascii="Garamond" w:hAnsi="Garamond"/>
                <w:sz w:val="12"/>
                <w:szCs w:val="12"/>
              </w:rPr>
              <w:t>;</w:t>
            </w:r>
          </w:p>
          <w:p w14:paraId="3042BA58" w14:textId="77777777" w:rsidR="00B23EFE" w:rsidRPr="00CC11D5" w:rsidRDefault="00B23EFE" w:rsidP="006B61C6">
            <w:pPr>
              <w:contextualSpacing/>
              <w:jc w:val="center"/>
              <w:rPr>
                <w:rFonts w:ascii="Garamond" w:hAnsi="Garamond"/>
                <w:sz w:val="12"/>
                <w:szCs w:val="12"/>
              </w:rPr>
            </w:pPr>
          </w:p>
          <w:p w14:paraId="2E67B03F" w14:textId="3FA17AE1" w:rsidR="00A53A79" w:rsidRPr="00CC11D5" w:rsidRDefault="00A53A79" w:rsidP="006B61C6">
            <w:pPr>
              <w:contextualSpacing/>
              <w:jc w:val="center"/>
              <w:rPr>
                <w:rFonts w:ascii="Garamond" w:hAnsi="Garamond"/>
                <w:sz w:val="12"/>
                <w:szCs w:val="12"/>
              </w:rPr>
            </w:pPr>
            <w:r w:rsidRPr="00CC11D5">
              <w:rPr>
                <w:rFonts w:ascii="Garamond" w:hAnsi="Garamond"/>
                <w:sz w:val="12"/>
                <w:szCs w:val="12"/>
              </w:rPr>
              <w:t>Aktiviteti 2.2.6.1.2. Përmirësimi i proceseve tatimore nëpërmjet ndërveprimit dhe komunikimit të rregullt dhe në koh</w:t>
            </w:r>
            <w:r w:rsidR="00B23EFE" w:rsidRPr="00CC11D5">
              <w:rPr>
                <w:rFonts w:ascii="Garamond" w:hAnsi="Garamond"/>
                <w:sz w:val="12"/>
                <w:szCs w:val="12"/>
              </w:rPr>
              <w:t>ë</w:t>
            </w:r>
            <w:r w:rsidR="00D22EA5" w:rsidRPr="00CC11D5">
              <w:rPr>
                <w:rFonts w:ascii="Garamond" w:hAnsi="Garamond"/>
                <w:sz w:val="12"/>
                <w:szCs w:val="12"/>
              </w:rPr>
              <w:t xml:space="preserve"> </w:t>
            </w:r>
            <w:r w:rsidRPr="00CC11D5">
              <w:rPr>
                <w:rFonts w:ascii="Garamond" w:hAnsi="Garamond"/>
                <w:sz w:val="12"/>
                <w:szCs w:val="12"/>
              </w:rPr>
              <w:t>me tatimpaguesit dhe konsulentët e tyre.</w:t>
            </w:r>
          </w:p>
        </w:tc>
        <w:tc>
          <w:tcPr>
            <w:tcW w:w="1121" w:type="dxa"/>
            <w:vAlign w:val="center"/>
          </w:tcPr>
          <w:p w14:paraId="5AE12B4A" w14:textId="77777777" w:rsidR="00A53A79" w:rsidRPr="00CC11D5" w:rsidRDefault="00A53A79" w:rsidP="006B61C6">
            <w:pPr>
              <w:jc w:val="center"/>
              <w:rPr>
                <w:rFonts w:ascii="Garamond" w:hAnsi="Garamond"/>
                <w:sz w:val="12"/>
                <w:szCs w:val="12"/>
              </w:rPr>
            </w:pPr>
            <w:r w:rsidRPr="00CC11D5">
              <w:rPr>
                <w:rFonts w:ascii="Garamond" w:hAnsi="Garamond"/>
                <w:sz w:val="12"/>
                <w:szCs w:val="12"/>
              </w:rPr>
              <w:t>2024</w:t>
            </w:r>
          </w:p>
        </w:tc>
        <w:tc>
          <w:tcPr>
            <w:tcW w:w="1339" w:type="dxa"/>
            <w:vAlign w:val="center"/>
          </w:tcPr>
          <w:p w14:paraId="0B469DE3" w14:textId="77777777" w:rsidR="00A53A79" w:rsidRPr="00CC11D5" w:rsidRDefault="00A53A79" w:rsidP="006B61C6">
            <w:pPr>
              <w:jc w:val="center"/>
              <w:rPr>
                <w:rFonts w:ascii="Garamond" w:hAnsi="Garamond"/>
                <w:sz w:val="12"/>
                <w:szCs w:val="12"/>
              </w:rPr>
            </w:pPr>
            <w:r w:rsidRPr="00CC11D5">
              <w:rPr>
                <w:rFonts w:ascii="Garamond" w:hAnsi="Garamond"/>
                <w:sz w:val="12"/>
                <w:szCs w:val="12"/>
              </w:rPr>
              <w:t>2025</w:t>
            </w:r>
          </w:p>
        </w:tc>
        <w:tc>
          <w:tcPr>
            <w:tcW w:w="1551" w:type="dxa"/>
            <w:vAlign w:val="center"/>
          </w:tcPr>
          <w:p w14:paraId="2F23C570" w14:textId="6B6EDD03" w:rsidR="00A53A79" w:rsidRPr="00CC11D5" w:rsidRDefault="00A53A79" w:rsidP="006B61C6">
            <w:pPr>
              <w:jc w:val="center"/>
              <w:rPr>
                <w:rFonts w:ascii="Garamond" w:hAnsi="Garamond"/>
                <w:sz w:val="12"/>
                <w:szCs w:val="12"/>
              </w:rPr>
            </w:pPr>
            <w:r w:rsidRPr="00CC11D5">
              <w:rPr>
                <w:rFonts w:ascii="Garamond" w:hAnsi="Garamond"/>
                <w:sz w:val="12"/>
                <w:szCs w:val="12"/>
              </w:rPr>
              <w:t xml:space="preserve">DPT </w:t>
            </w:r>
            <w:r w:rsidRPr="00CC11D5">
              <w:rPr>
                <w:rFonts w:ascii="Garamond" w:eastAsiaTheme="minorHAnsi" w:hAnsi="Garamond"/>
                <w:sz w:val="12"/>
                <w:szCs w:val="12"/>
              </w:rPr>
              <w:t>në bashkëpunim me</w:t>
            </w:r>
            <w:r w:rsidR="00D22EA5" w:rsidRPr="00CC11D5">
              <w:rPr>
                <w:rFonts w:ascii="Garamond" w:eastAsiaTheme="minorHAnsi" w:hAnsi="Garamond"/>
                <w:sz w:val="12"/>
                <w:szCs w:val="12"/>
              </w:rPr>
              <w:t xml:space="preserve"> </w:t>
            </w:r>
            <w:r w:rsidRPr="00CC11D5">
              <w:rPr>
                <w:rFonts w:ascii="Garamond" w:eastAsiaTheme="minorHAnsi" w:hAnsi="Garamond"/>
                <w:sz w:val="12"/>
                <w:szCs w:val="12"/>
              </w:rPr>
              <w:t>administratën tatimore suedeze (SIDA)</w:t>
            </w:r>
          </w:p>
        </w:tc>
      </w:tr>
      <w:tr w:rsidR="00A53A79" w:rsidRPr="00CC11D5" w14:paraId="7CC18EDF" w14:textId="77777777" w:rsidTr="006B61C6">
        <w:trPr>
          <w:trHeight w:val="227"/>
        </w:trPr>
        <w:tc>
          <w:tcPr>
            <w:tcW w:w="2290" w:type="dxa"/>
            <w:vAlign w:val="center"/>
          </w:tcPr>
          <w:p w14:paraId="3FA8C889" w14:textId="6EF3E3C6" w:rsidR="00A53A79" w:rsidRPr="00CC11D5" w:rsidRDefault="00A53A79" w:rsidP="006B61C6">
            <w:pPr>
              <w:jc w:val="center"/>
              <w:rPr>
                <w:rFonts w:ascii="Garamond" w:hAnsi="Garamond"/>
                <w:sz w:val="12"/>
                <w:szCs w:val="12"/>
              </w:rPr>
            </w:pPr>
            <w:r w:rsidRPr="00CC11D5">
              <w:rPr>
                <w:rFonts w:ascii="Garamond" w:hAnsi="Garamond"/>
                <w:sz w:val="12"/>
                <w:szCs w:val="12"/>
              </w:rPr>
              <w:t>Masa 2.6.2 Ulja e kohës mesatare të rimbursimit të</w:t>
            </w:r>
            <w:r w:rsidR="00DE65FB" w:rsidRPr="00CC11D5">
              <w:rPr>
                <w:rFonts w:ascii="Garamond" w:hAnsi="Garamond"/>
                <w:sz w:val="12"/>
                <w:szCs w:val="12"/>
              </w:rPr>
              <w:t xml:space="preserve"> TVSh</w:t>
            </w:r>
            <w:r w:rsidRPr="00CC11D5">
              <w:rPr>
                <w:rFonts w:ascii="Garamond" w:hAnsi="Garamond"/>
                <w:sz w:val="12"/>
                <w:szCs w:val="12"/>
              </w:rPr>
              <w:t>-së</w:t>
            </w:r>
          </w:p>
        </w:tc>
        <w:tc>
          <w:tcPr>
            <w:tcW w:w="2715" w:type="dxa"/>
            <w:vAlign w:val="center"/>
          </w:tcPr>
          <w:p w14:paraId="49221479" w14:textId="30F3DE1C" w:rsidR="00A53A79" w:rsidRPr="00CC11D5" w:rsidRDefault="00A53A79" w:rsidP="006B61C6">
            <w:pPr>
              <w:contextualSpacing/>
              <w:jc w:val="center"/>
              <w:rPr>
                <w:rFonts w:ascii="Garamond" w:hAnsi="Garamond"/>
                <w:sz w:val="12"/>
                <w:szCs w:val="12"/>
              </w:rPr>
            </w:pPr>
            <w:r w:rsidRPr="00CC11D5">
              <w:rPr>
                <w:rFonts w:ascii="Garamond" w:hAnsi="Garamond"/>
                <w:sz w:val="12"/>
                <w:szCs w:val="12"/>
              </w:rPr>
              <w:t>Aktiviteti 2.6.2.2 Finalizimi i modulit të automatizimit të pagesës së shumës së miratuar për rimbursim nëpërmjet realizimit të</w:t>
            </w:r>
            <w:r w:rsidR="00D22EA5" w:rsidRPr="00CC11D5">
              <w:rPr>
                <w:rFonts w:ascii="Garamond" w:hAnsi="Garamond"/>
                <w:sz w:val="12"/>
                <w:szCs w:val="12"/>
              </w:rPr>
              <w:t xml:space="preserve"> </w:t>
            </w:r>
            <w:r w:rsidRPr="00CC11D5">
              <w:rPr>
                <w:rFonts w:ascii="Garamond" w:hAnsi="Garamond"/>
                <w:sz w:val="12"/>
                <w:szCs w:val="12"/>
              </w:rPr>
              <w:t>lidhjes automatike ndërmjet sistemit C@ts të Tatimeve dhe sistemit AFMIS të Thesarit</w:t>
            </w:r>
            <w:r w:rsidR="00B23EFE" w:rsidRPr="00CC11D5">
              <w:rPr>
                <w:rFonts w:ascii="Garamond" w:hAnsi="Garamond"/>
                <w:sz w:val="12"/>
                <w:szCs w:val="12"/>
              </w:rPr>
              <w:t>.</w:t>
            </w:r>
          </w:p>
        </w:tc>
        <w:tc>
          <w:tcPr>
            <w:tcW w:w="1121" w:type="dxa"/>
            <w:vAlign w:val="center"/>
          </w:tcPr>
          <w:p w14:paraId="3B784498" w14:textId="77777777" w:rsidR="00A53A79" w:rsidRPr="00CC11D5" w:rsidRDefault="00A53A79" w:rsidP="006B61C6">
            <w:pPr>
              <w:jc w:val="center"/>
              <w:rPr>
                <w:rFonts w:ascii="Garamond" w:hAnsi="Garamond"/>
                <w:sz w:val="12"/>
                <w:szCs w:val="12"/>
              </w:rPr>
            </w:pPr>
            <w:r w:rsidRPr="00CC11D5">
              <w:rPr>
                <w:rFonts w:ascii="Garamond" w:hAnsi="Garamond"/>
                <w:sz w:val="12"/>
                <w:szCs w:val="12"/>
              </w:rPr>
              <w:t>2025</w:t>
            </w:r>
          </w:p>
        </w:tc>
        <w:tc>
          <w:tcPr>
            <w:tcW w:w="1339" w:type="dxa"/>
            <w:vAlign w:val="center"/>
          </w:tcPr>
          <w:p w14:paraId="0FEC3E82" w14:textId="77777777" w:rsidR="00A53A79" w:rsidRPr="00CC11D5" w:rsidRDefault="00A53A79" w:rsidP="006B61C6">
            <w:pPr>
              <w:jc w:val="center"/>
              <w:rPr>
                <w:rFonts w:ascii="Garamond" w:hAnsi="Garamond"/>
                <w:sz w:val="12"/>
                <w:szCs w:val="12"/>
              </w:rPr>
            </w:pPr>
            <w:r w:rsidRPr="00CC11D5">
              <w:rPr>
                <w:rFonts w:ascii="Garamond" w:hAnsi="Garamond"/>
                <w:sz w:val="12"/>
                <w:szCs w:val="12"/>
              </w:rPr>
              <w:t>2026</w:t>
            </w:r>
          </w:p>
        </w:tc>
        <w:tc>
          <w:tcPr>
            <w:tcW w:w="1551" w:type="dxa"/>
            <w:vAlign w:val="center"/>
          </w:tcPr>
          <w:p w14:paraId="7526B90C" w14:textId="77777777" w:rsidR="00A53A79" w:rsidRPr="00CC11D5" w:rsidRDefault="00A53A79" w:rsidP="006B61C6">
            <w:pPr>
              <w:jc w:val="center"/>
              <w:rPr>
                <w:rFonts w:ascii="Garamond" w:hAnsi="Garamond"/>
                <w:sz w:val="12"/>
                <w:szCs w:val="12"/>
              </w:rPr>
            </w:pPr>
            <w:r w:rsidRPr="00CC11D5">
              <w:rPr>
                <w:rFonts w:ascii="Garamond" w:hAnsi="Garamond"/>
                <w:sz w:val="12"/>
                <w:szCs w:val="12"/>
              </w:rPr>
              <w:t>DPT/</w:t>
            </w:r>
          </w:p>
          <w:p w14:paraId="6995E78F" w14:textId="77777777" w:rsidR="00A53A79" w:rsidRPr="00CC11D5" w:rsidRDefault="00A53A79" w:rsidP="006B61C6">
            <w:pPr>
              <w:jc w:val="center"/>
              <w:rPr>
                <w:rFonts w:ascii="Garamond" w:hAnsi="Garamond"/>
                <w:sz w:val="12"/>
                <w:szCs w:val="12"/>
              </w:rPr>
            </w:pPr>
            <w:r w:rsidRPr="00CC11D5">
              <w:rPr>
                <w:rFonts w:ascii="Garamond" w:hAnsi="Garamond"/>
                <w:sz w:val="12"/>
                <w:szCs w:val="12"/>
              </w:rPr>
              <w:t>MF/Drejtoria e Përgjithshme e Thesarit</w:t>
            </w:r>
          </w:p>
          <w:p w14:paraId="36E14FDC" w14:textId="77777777" w:rsidR="00A53A79" w:rsidRPr="00CC11D5" w:rsidRDefault="00A53A79" w:rsidP="006B61C6">
            <w:pPr>
              <w:jc w:val="center"/>
              <w:rPr>
                <w:rFonts w:ascii="Garamond" w:hAnsi="Garamond"/>
                <w:sz w:val="12"/>
                <w:szCs w:val="12"/>
              </w:rPr>
            </w:pPr>
          </w:p>
        </w:tc>
      </w:tr>
      <w:tr w:rsidR="00A53A79" w:rsidRPr="00CC11D5" w14:paraId="7E8CBBB5" w14:textId="77777777" w:rsidTr="006B61C6">
        <w:trPr>
          <w:trHeight w:val="227"/>
        </w:trPr>
        <w:tc>
          <w:tcPr>
            <w:tcW w:w="2290" w:type="dxa"/>
            <w:vAlign w:val="center"/>
          </w:tcPr>
          <w:p w14:paraId="28930D0E" w14:textId="53E6D9C5" w:rsidR="00A53A79" w:rsidRPr="00CC11D5" w:rsidRDefault="00A53A79" w:rsidP="006B61C6">
            <w:pPr>
              <w:contextualSpacing/>
              <w:jc w:val="center"/>
              <w:rPr>
                <w:rFonts w:ascii="Garamond" w:hAnsi="Garamond"/>
                <w:sz w:val="12"/>
                <w:szCs w:val="12"/>
              </w:rPr>
            </w:pPr>
            <w:r w:rsidRPr="00CC11D5">
              <w:rPr>
                <w:rFonts w:ascii="Garamond" w:hAnsi="Garamond"/>
                <w:sz w:val="12"/>
                <w:szCs w:val="12"/>
              </w:rPr>
              <w:t>Masa 2.6.3 Dig</w:t>
            </w:r>
            <w:r w:rsidR="005C7FB7" w:rsidRPr="00CC11D5">
              <w:rPr>
                <w:rFonts w:ascii="Garamond" w:hAnsi="Garamond"/>
                <w:sz w:val="12"/>
                <w:szCs w:val="12"/>
              </w:rPr>
              <w:t>j</w:t>
            </w:r>
            <w:r w:rsidRPr="00CC11D5">
              <w:rPr>
                <w:rFonts w:ascii="Garamond" w:hAnsi="Garamond"/>
                <w:sz w:val="12"/>
                <w:szCs w:val="12"/>
              </w:rPr>
              <w:t>italizimi i proceseve të punës</w:t>
            </w:r>
          </w:p>
          <w:p w14:paraId="2C68984C" w14:textId="77777777" w:rsidR="00A53A79" w:rsidRPr="00CC11D5" w:rsidRDefault="00A53A79" w:rsidP="006B61C6">
            <w:pPr>
              <w:jc w:val="center"/>
              <w:rPr>
                <w:rFonts w:ascii="Garamond" w:hAnsi="Garamond"/>
                <w:sz w:val="12"/>
                <w:szCs w:val="12"/>
              </w:rPr>
            </w:pPr>
          </w:p>
        </w:tc>
        <w:tc>
          <w:tcPr>
            <w:tcW w:w="2715" w:type="dxa"/>
            <w:vAlign w:val="center"/>
          </w:tcPr>
          <w:p w14:paraId="43A756A7" w14:textId="11AE4E10" w:rsidR="00A53A79" w:rsidRPr="00CC11D5" w:rsidRDefault="00A53A79" w:rsidP="006B61C6">
            <w:pPr>
              <w:contextualSpacing/>
              <w:jc w:val="center"/>
              <w:rPr>
                <w:rFonts w:ascii="Garamond" w:hAnsi="Garamond"/>
                <w:sz w:val="12"/>
                <w:szCs w:val="12"/>
              </w:rPr>
            </w:pPr>
            <w:r w:rsidRPr="00CC11D5">
              <w:rPr>
                <w:rFonts w:ascii="Garamond" w:hAnsi="Garamond"/>
                <w:sz w:val="12"/>
                <w:szCs w:val="12"/>
              </w:rPr>
              <w:t>Aktiviteti 2.6.3.1</w:t>
            </w:r>
            <w:r w:rsidR="00B23EFE" w:rsidRPr="00CC11D5">
              <w:rPr>
                <w:rFonts w:ascii="Garamond" w:hAnsi="Garamond"/>
                <w:sz w:val="12"/>
                <w:szCs w:val="12"/>
              </w:rPr>
              <w:t>:</w:t>
            </w:r>
            <w:r w:rsidRPr="00CC11D5">
              <w:rPr>
                <w:rFonts w:ascii="Garamond" w:hAnsi="Garamond"/>
                <w:sz w:val="12"/>
                <w:szCs w:val="12"/>
              </w:rPr>
              <w:t xml:space="preserve"> Publikimi i </w:t>
            </w:r>
            <w:r w:rsidR="005C7FB7" w:rsidRPr="00CC11D5">
              <w:rPr>
                <w:rFonts w:ascii="Garamond" w:hAnsi="Garamond"/>
                <w:sz w:val="12"/>
                <w:szCs w:val="12"/>
              </w:rPr>
              <w:t>shërbimit</w:t>
            </w:r>
            <w:r w:rsidRPr="00CC11D5">
              <w:rPr>
                <w:rFonts w:ascii="Garamond" w:hAnsi="Garamond"/>
                <w:sz w:val="12"/>
                <w:szCs w:val="12"/>
              </w:rPr>
              <w:t xml:space="preserve"> </w:t>
            </w:r>
            <w:r w:rsidRPr="00CC11D5">
              <w:rPr>
                <w:rFonts w:ascii="Garamond" w:hAnsi="Garamond"/>
                <w:i/>
                <w:sz w:val="12"/>
                <w:szCs w:val="12"/>
              </w:rPr>
              <w:t>UserTest</w:t>
            </w:r>
            <w:r w:rsidRPr="00CC11D5">
              <w:rPr>
                <w:rFonts w:ascii="Garamond" w:hAnsi="Garamond"/>
                <w:sz w:val="12"/>
                <w:szCs w:val="12"/>
              </w:rPr>
              <w:t xml:space="preserve"> në </w:t>
            </w:r>
            <w:r w:rsidR="005C7FB7" w:rsidRPr="00CC11D5">
              <w:rPr>
                <w:rFonts w:ascii="Garamond" w:hAnsi="Garamond"/>
                <w:i/>
                <w:sz w:val="12"/>
                <w:szCs w:val="12"/>
              </w:rPr>
              <w:t>w</w:t>
            </w:r>
            <w:r w:rsidRPr="00CC11D5">
              <w:rPr>
                <w:rFonts w:ascii="Garamond" w:hAnsi="Garamond"/>
                <w:i/>
                <w:sz w:val="12"/>
                <w:szCs w:val="12"/>
              </w:rPr>
              <w:t>eb</w:t>
            </w:r>
            <w:r w:rsidRPr="00CC11D5">
              <w:rPr>
                <w:rFonts w:ascii="Garamond" w:hAnsi="Garamond"/>
                <w:sz w:val="12"/>
                <w:szCs w:val="12"/>
              </w:rPr>
              <w:t>: tatime.gov.al, për informimin e individëve në lidhje me detyrimin për deklarim te DIVA</w:t>
            </w:r>
            <w:r w:rsidR="00B23EFE" w:rsidRPr="00CC11D5">
              <w:rPr>
                <w:rFonts w:ascii="Garamond" w:hAnsi="Garamond"/>
                <w:sz w:val="12"/>
                <w:szCs w:val="12"/>
              </w:rPr>
              <w:t>;</w:t>
            </w:r>
          </w:p>
          <w:p w14:paraId="05B4239B" w14:textId="77777777" w:rsidR="00A53A79" w:rsidRPr="00CC11D5" w:rsidRDefault="00A53A79" w:rsidP="006B61C6">
            <w:pPr>
              <w:contextualSpacing/>
              <w:jc w:val="center"/>
              <w:rPr>
                <w:rFonts w:ascii="Garamond" w:hAnsi="Garamond"/>
                <w:sz w:val="12"/>
                <w:szCs w:val="12"/>
              </w:rPr>
            </w:pPr>
          </w:p>
          <w:p w14:paraId="6AC6AA1A" w14:textId="67B540D9" w:rsidR="00A53A79" w:rsidRPr="00CC11D5" w:rsidRDefault="00A53A79" w:rsidP="006B61C6">
            <w:pPr>
              <w:contextualSpacing/>
              <w:jc w:val="center"/>
              <w:rPr>
                <w:rFonts w:ascii="Garamond" w:hAnsi="Garamond"/>
                <w:sz w:val="12"/>
                <w:szCs w:val="12"/>
              </w:rPr>
            </w:pPr>
            <w:r w:rsidRPr="00CC11D5">
              <w:rPr>
                <w:rFonts w:ascii="Garamond" w:hAnsi="Garamond"/>
                <w:sz w:val="12"/>
                <w:szCs w:val="12"/>
              </w:rPr>
              <w:t>Aktiviteti 2.6.3.2</w:t>
            </w:r>
            <w:r w:rsidR="00B23EFE" w:rsidRPr="00CC11D5">
              <w:rPr>
                <w:rFonts w:ascii="Garamond" w:hAnsi="Garamond"/>
                <w:sz w:val="12"/>
                <w:szCs w:val="12"/>
              </w:rPr>
              <w:t>:</w:t>
            </w:r>
            <w:r w:rsidRPr="00CC11D5">
              <w:rPr>
                <w:rFonts w:ascii="Garamond" w:hAnsi="Garamond"/>
                <w:sz w:val="12"/>
                <w:szCs w:val="12"/>
              </w:rPr>
              <w:t xml:space="preserve"> Implementimi i deklaratave të reja të Tatimit në Burim dhe DIVA dhe paraplotësimi i deklaratave</w:t>
            </w:r>
            <w:r w:rsidR="00B23EFE" w:rsidRPr="00CC11D5">
              <w:rPr>
                <w:rFonts w:ascii="Garamond" w:hAnsi="Garamond"/>
                <w:sz w:val="12"/>
                <w:szCs w:val="12"/>
              </w:rPr>
              <w:t>;</w:t>
            </w:r>
          </w:p>
          <w:p w14:paraId="62789B82" w14:textId="77777777" w:rsidR="00A53A79" w:rsidRPr="00CC11D5" w:rsidRDefault="00A53A79" w:rsidP="006B61C6">
            <w:pPr>
              <w:contextualSpacing/>
              <w:jc w:val="center"/>
              <w:rPr>
                <w:rFonts w:ascii="Garamond" w:hAnsi="Garamond"/>
                <w:sz w:val="12"/>
                <w:szCs w:val="12"/>
              </w:rPr>
            </w:pPr>
          </w:p>
          <w:p w14:paraId="47F2B201" w14:textId="05AEA728" w:rsidR="00A53A79" w:rsidRPr="00CC11D5" w:rsidRDefault="00A53A79" w:rsidP="006B61C6">
            <w:pPr>
              <w:contextualSpacing/>
              <w:jc w:val="center"/>
              <w:rPr>
                <w:rFonts w:ascii="Garamond" w:hAnsi="Garamond"/>
                <w:sz w:val="12"/>
                <w:szCs w:val="12"/>
              </w:rPr>
            </w:pPr>
            <w:r w:rsidRPr="00CC11D5">
              <w:rPr>
                <w:rFonts w:ascii="Garamond" w:hAnsi="Garamond"/>
                <w:sz w:val="12"/>
                <w:szCs w:val="12"/>
              </w:rPr>
              <w:t>Aktiviteti 2.6.3.3</w:t>
            </w:r>
            <w:r w:rsidR="00B23EFE" w:rsidRPr="00CC11D5">
              <w:rPr>
                <w:rFonts w:ascii="Garamond" w:hAnsi="Garamond"/>
                <w:sz w:val="12"/>
                <w:szCs w:val="12"/>
              </w:rPr>
              <w:t>:</w:t>
            </w:r>
            <w:r w:rsidRPr="00CC11D5">
              <w:rPr>
                <w:rFonts w:ascii="Garamond" w:hAnsi="Garamond"/>
                <w:sz w:val="12"/>
                <w:szCs w:val="12"/>
              </w:rPr>
              <w:t xml:space="preserve"> Implementimi i deklaratave të reja, në zbatim t</w:t>
            </w:r>
            <w:r w:rsidR="008C0C0F" w:rsidRPr="00CC11D5">
              <w:rPr>
                <w:rFonts w:ascii="Garamond" w:hAnsi="Garamond"/>
                <w:sz w:val="12"/>
                <w:szCs w:val="12"/>
              </w:rPr>
              <w:t>ë</w:t>
            </w:r>
            <w:r w:rsidRPr="00CC11D5">
              <w:rPr>
                <w:rFonts w:ascii="Garamond" w:hAnsi="Garamond"/>
                <w:sz w:val="12"/>
                <w:szCs w:val="12"/>
              </w:rPr>
              <w:t xml:space="preserve"> </w:t>
            </w:r>
            <w:r w:rsidR="008C0C0F" w:rsidRPr="00CC11D5">
              <w:rPr>
                <w:rFonts w:ascii="Garamond" w:hAnsi="Garamond"/>
                <w:sz w:val="12"/>
                <w:szCs w:val="12"/>
              </w:rPr>
              <w:t>l</w:t>
            </w:r>
            <w:r w:rsidRPr="00CC11D5">
              <w:rPr>
                <w:rFonts w:ascii="Garamond" w:hAnsi="Garamond"/>
                <w:sz w:val="12"/>
                <w:szCs w:val="12"/>
              </w:rPr>
              <w:t>igjit t</w:t>
            </w:r>
            <w:r w:rsidR="008C0C0F" w:rsidRPr="00CC11D5">
              <w:rPr>
                <w:rFonts w:ascii="Garamond" w:hAnsi="Garamond"/>
                <w:sz w:val="12"/>
                <w:szCs w:val="12"/>
              </w:rPr>
              <w:t>ë</w:t>
            </w:r>
            <w:r w:rsidRPr="00CC11D5">
              <w:rPr>
                <w:rFonts w:ascii="Garamond" w:hAnsi="Garamond"/>
                <w:sz w:val="12"/>
                <w:szCs w:val="12"/>
              </w:rPr>
              <w:t xml:space="preserve"> ri </w:t>
            </w:r>
            <w:r w:rsidR="00D22EA5" w:rsidRPr="00CC11D5">
              <w:rPr>
                <w:rFonts w:ascii="Garamond" w:hAnsi="Garamond"/>
                <w:sz w:val="12"/>
                <w:szCs w:val="12"/>
              </w:rPr>
              <w:t>“</w:t>
            </w:r>
            <w:r w:rsidRPr="00CC11D5">
              <w:rPr>
                <w:rFonts w:ascii="Garamond" w:hAnsi="Garamond"/>
                <w:sz w:val="12"/>
                <w:szCs w:val="12"/>
              </w:rPr>
              <w:t>Për tatimin mbi t</w:t>
            </w:r>
            <w:r w:rsidR="008C0C0F" w:rsidRPr="00CC11D5">
              <w:rPr>
                <w:rFonts w:ascii="Garamond" w:hAnsi="Garamond"/>
                <w:sz w:val="12"/>
                <w:szCs w:val="12"/>
              </w:rPr>
              <w:t>ë</w:t>
            </w:r>
            <w:r w:rsidRPr="00CC11D5">
              <w:rPr>
                <w:rFonts w:ascii="Garamond" w:hAnsi="Garamond"/>
                <w:sz w:val="12"/>
                <w:szCs w:val="12"/>
              </w:rPr>
              <w:t xml:space="preserve"> ardhurat</w:t>
            </w:r>
            <w:r w:rsidR="00D22EA5" w:rsidRPr="00CC11D5">
              <w:rPr>
                <w:rFonts w:ascii="Garamond" w:hAnsi="Garamond"/>
                <w:sz w:val="12"/>
                <w:szCs w:val="12"/>
              </w:rPr>
              <w:t>”</w:t>
            </w:r>
            <w:r w:rsidR="00B23EFE" w:rsidRPr="00CC11D5">
              <w:rPr>
                <w:rFonts w:ascii="Garamond" w:hAnsi="Garamond"/>
                <w:sz w:val="12"/>
                <w:szCs w:val="12"/>
              </w:rPr>
              <w:t>;</w:t>
            </w:r>
          </w:p>
          <w:p w14:paraId="44A399CB" w14:textId="77777777" w:rsidR="00A53A79" w:rsidRPr="00CC11D5" w:rsidRDefault="00A53A79" w:rsidP="006B61C6">
            <w:pPr>
              <w:contextualSpacing/>
              <w:jc w:val="center"/>
              <w:rPr>
                <w:rFonts w:ascii="Garamond" w:hAnsi="Garamond"/>
                <w:sz w:val="12"/>
                <w:szCs w:val="12"/>
              </w:rPr>
            </w:pPr>
          </w:p>
          <w:p w14:paraId="534FDAE2" w14:textId="77777777" w:rsidR="00A53A79" w:rsidRPr="00CC11D5" w:rsidRDefault="00A53A79" w:rsidP="006B61C6">
            <w:pPr>
              <w:contextualSpacing/>
              <w:jc w:val="center"/>
              <w:rPr>
                <w:rFonts w:ascii="Garamond" w:hAnsi="Garamond"/>
                <w:sz w:val="12"/>
                <w:szCs w:val="12"/>
              </w:rPr>
            </w:pPr>
          </w:p>
          <w:p w14:paraId="398CFDA6" w14:textId="0F43838B" w:rsidR="00A53A79" w:rsidRPr="00CC11D5" w:rsidRDefault="00A53A79" w:rsidP="006B61C6">
            <w:pPr>
              <w:contextualSpacing/>
              <w:jc w:val="center"/>
              <w:rPr>
                <w:rFonts w:ascii="Garamond" w:hAnsi="Garamond"/>
                <w:sz w:val="12"/>
                <w:szCs w:val="12"/>
              </w:rPr>
            </w:pPr>
            <w:r w:rsidRPr="00CC11D5">
              <w:rPr>
                <w:rFonts w:ascii="Garamond" w:hAnsi="Garamond"/>
                <w:sz w:val="12"/>
                <w:szCs w:val="12"/>
              </w:rPr>
              <w:t>Aktiviteti 2.6.3.4</w:t>
            </w:r>
            <w:r w:rsidR="00B23EFE" w:rsidRPr="00CC11D5">
              <w:rPr>
                <w:rFonts w:ascii="Garamond" w:hAnsi="Garamond"/>
                <w:sz w:val="12"/>
                <w:szCs w:val="12"/>
              </w:rPr>
              <w:t>;</w:t>
            </w:r>
            <w:r w:rsidRPr="00CC11D5">
              <w:rPr>
                <w:rFonts w:ascii="Garamond" w:hAnsi="Garamond"/>
                <w:sz w:val="12"/>
                <w:szCs w:val="12"/>
              </w:rPr>
              <w:t xml:space="preserve"> Dig</w:t>
            </w:r>
            <w:r w:rsidR="00B23EFE" w:rsidRPr="00CC11D5">
              <w:rPr>
                <w:rFonts w:ascii="Garamond" w:hAnsi="Garamond"/>
                <w:sz w:val="12"/>
                <w:szCs w:val="12"/>
              </w:rPr>
              <w:t>j</w:t>
            </w:r>
            <w:r w:rsidRPr="00CC11D5">
              <w:rPr>
                <w:rFonts w:ascii="Garamond" w:hAnsi="Garamond"/>
                <w:sz w:val="12"/>
                <w:szCs w:val="12"/>
              </w:rPr>
              <w:t xml:space="preserve">italizimi i deklarimit të të dhënave pronësi/qira të </w:t>
            </w:r>
            <w:r w:rsidR="00B23EFE" w:rsidRPr="00CC11D5">
              <w:rPr>
                <w:rFonts w:ascii="Garamond" w:hAnsi="Garamond"/>
                <w:sz w:val="12"/>
                <w:szCs w:val="12"/>
              </w:rPr>
              <w:t>ambienteve</w:t>
            </w:r>
            <w:r w:rsidRPr="00CC11D5">
              <w:rPr>
                <w:rFonts w:ascii="Garamond" w:hAnsi="Garamond"/>
                <w:sz w:val="12"/>
                <w:szCs w:val="12"/>
              </w:rPr>
              <w:t xml:space="preserve"> të ushtrimit të aktivitetit nga ana e tatimpaguesve</w:t>
            </w:r>
            <w:r w:rsidR="00B23EFE" w:rsidRPr="00CC11D5">
              <w:rPr>
                <w:rFonts w:ascii="Garamond" w:hAnsi="Garamond"/>
                <w:sz w:val="12"/>
                <w:szCs w:val="12"/>
              </w:rPr>
              <w:t>;</w:t>
            </w:r>
          </w:p>
          <w:p w14:paraId="70EB9235" w14:textId="77777777" w:rsidR="00A53A79" w:rsidRPr="00CC11D5" w:rsidRDefault="00A53A79" w:rsidP="006B61C6">
            <w:pPr>
              <w:contextualSpacing/>
              <w:jc w:val="center"/>
              <w:rPr>
                <w:rFonts w:ascii="Garamond" w:hAnsi="Garamond"/>
                <w:sz w:val="12"/>
                <w:szCs w:val="12"/>
              </w:rPr>
            </w:pPr>
          </w:p>
          <w:p w14:paraId="1854F158" w14:textId="1013A286" w:rsidR="00A53A79" w:rsidRPr="00CC11D5" w:rsidRDefault="00A53A79" w:rsidP="006B61C6">
            <w:pPr>
              <w:contextualSpacing/>
              <w:jc w:val="center"/>
              <w:rPr>
                <w:rFonts w:ascii="Garamond" w:hAnsi="Garamond"/>
                <w:sz w:val="12"/>
                <w:szCs w:val="12"/>
              </w:rPr>
            </w:pPr>
            <w:r w:rsidRPr="00CC11D5">
              <w:rPr>
                <w:rFonts w:ascii="Garamond" w:hAnsi="Garamond"/>
                <w:sz w:val="12"/>
                <w:szCs w:val="12"/>
              </w:rPr>
              <w:t>Aktiviteti 2.6.3.5</w:t>
            </w:r>
            <w:r w:rsidR="00B23EFE" w:rsidRPr="00CC11D5">
              <w:rPr>
                <w:rFonts w:ascii="Garamond" w:hAnsi="Garamond"/>
                <w:sz w:val="12"/>
                <w:szCs w:val="12"/>
              </w:rPr>
              <w:t>:</w:t>
            </w:r>
            <w:r w:rsidRPr="00CC11D5">
              <w:rPr>
                <w:rFonts w:ascii="Garamond" w:hAnsi="Garamond"/>
                <w:sz w:val="12"/>
                <w:szCs w:val="12"/>
              </w:rPr>
              <w:t xml:space="preserve"> Vendosja e rregullave të reja në plotësimin e deklaratave (</w:t>
            </w:r>
            <w:r w:rsidRPr="00CC11D5">
              <w:rPr>
                <w:rFonts w:ascii="Garamond" w:hAnsi="Garamond"/>
                <w:i/>
                <w:sz w:val="12"/>
                <w:szCs w:val="12"/>
              </w:rPr>
              <w:t>Compliance by Design</w:t>
            </w:r>
            <w:r w:rsidRPr="00CC11D5">
              <w:rPr>
                <w:rFonts w:ascii="Garamond" w:hAnsi="Garamond"/>
                <w:sz w:val="12"/>
                <w:szCs w:val="12"/>
              </w:rPr>
              <w:t>)</w:t>
            </w:r>
            <w:r w:rsidR="00B23EFE" w:rsidRPr="00CC11D5">
              <w:rPr>
                <w:rFonts w:ascii="Garamond" w:hAnsi="Garamond"/>
                <w:sz w:val="12"/>
                <w:szCs w:val="12"/>
              </w:rPr>
              <w:t>;</w:t>
            </w:r>
          </w:p>
          <w:p w14:paraId="0DBB7AA3" w14:textId="77777777" w:rsidR="00A53A79" w:rsidRPr="00CC11D5" w:rsidRDefault="00A53A79" w:rsidP="006B61C6">
            <w:pPr>
              <w:contextualSpacing/>
              <w:jc w:val="center"/>
              <w:rPr>
                <w:rFonts w:ascii="Garamond" w:hAnsi="Garamond"/>
                <w:sz w:val="12"/>
                <w:szCs w:val="12"/>
              </w:rPr>
            </w:pPr>
          </w:p>
          <w:p w14:paraId="6C5C857F" w14:textId="5C4EA5D3" w:rsidR="00A53A79" w:rsidRPr="00CC11D5" w:rsidRDefault="00A53A79" w:rsidP="006B61C6">
            <w:pPr>
              <w:contextualSpacing/>
              <w:jc w:val="center"/>
              <w:rPr>
                <w:rFonts w:ascii="Garamond" w:hAnsi="Garamond"/>
                <w:sz w:val="12"/>
                <w:szCs w:val="12"/>
              </w:rPr>
            </w:pPr>
            <w:r w:rsidRPr="00CC11D5">
              <w:rPr>
                <w:rFonts w:ascii="Garamond" w:hAnsi="Garamond"/>
                <w:sz w:val="12"/>
                <w:szCs w:val="12"/>
              </w:rPr>
              <w:t>Aktiviteti 2.6.3.6</w:t>
            </w:r>
            <w:r w:rsidR="00B23EFE" w:rsidRPr="00CC11D5">
              <w:rPr>
                <w:rFonts w:ascii="Garamond" w:hAnsi="Garamond"/>
                <w:sz w:val="12"/>
                <w:szCs w:val="12"/>
              </w:rPr>
              <w:t>:</w:t>
            </w:r>
            <w:r w:rsidRPr="00CC11D5">
              <w:rPr>
                <w:rFonts w:ascii="Garamond" w:hAnsi="Garamond"/>
                <w:sz w:val="12"/>
                <w:szCs w:val="12"/>
              </w:rPr>
              <w:t xml:space="preserve"> Përmirësim i procedurave të mbledhjes së Borxhit, finalizimi i projektit </w:t>
            </w:r>
            <w:r w:rsidR="00D22EA5" w:rsidRPr="00CC11D5">
              <w:rPr>
                <w:rFonts w:ascii="Garamond" w:hAnsi="Garamond"/>
                <w:sz w:val="12"/>
                <w:szCs w:val="12"/>
              </w:rPr>
              <w:t>“</w:t>
            </w:r>
            <w:r w:rsidRPr="00CC11D5">
              <w:rPr>
                <w:rFonts w:ascii="Garamond" w:hAnsi="Garamond"/>
                <w:sz w:val="12"/>
                <w:szCs w:val="12"/>
              </w:rPr>
              <w:t>Di</w:t>
            </w:r>
            <w:r w:rsidR="008C0C0F" w:rsidRPr="00CC11D5">
              <w:rPr>
                <w:rFonts w:ascii="Garamond" w:hAnsi="Garamond"/>
                <w:sz w:val="12"/>
                <w:szCs w:val="12"/>
              </w:rPr>
              <w:t>gj</w:t>
            </w:r>
            <w:r w:rsidRPr="00CC11D5">
              <w:rPr>
                <w:rFonts w:ascii="Garamond" w:hAnsi="Garamond"/>
                <w:sz w:val="12"/>
                <w:szCs w:val="12"/>
              </w:rPr>
              <w:t>italizimi i komunikimit me Bankat për bllokimin/zhbllokimin e llogarive bankare</w:t>
            </w:r>
            <w:r w:rsidR="00D22EA5" w:rsidRPr="00CC11D5">
              <w:rPr>
                <w:rFonts w:ascii="Garamond" w:hAnsi="Garamond"/>
                <w:sz w:val="12"/>
                <w:szCs w:val="12"/>
              </w:rPr>
              <w:t>”</w:t>
            </w:r>
            <w:r w:rsidRPr="00CC11D5">
              <w:rPr>
                <w:rFonts w:ascii="Garamond" w:hAnsi="Garamond"/>
                <w:sz w:val="12"/>
                <w:szCs w:val="12"/>
              </w:rPr>
              <w:t>.</w:t>
            </w:r>
          </w:p>
        </w:tc>
        <w:tc>
          <w:tcPr>
            <w:tcW w:w="1121" w:type="dxa"/>
            <w:vAlign w:val="center"/>
          </w:tcPr>
          <w:p w14:paraId="347A4183" w14:textId="77777777" w:rsidR="00A53A79" w:rsidRPr="00CC11D5" w:rsidRDefault="00A53A79" w:rsidP="006B61C6">
            <w:pPr>
              <w:jc w:val="center"/>
              <w:rPr>
                <w:rFonts w:ascii="Garamond" w:hAnsi="Garamond"/>
                <w:sz w:val="12"/>
                <w:szCs w:val="12"/>
              </w:rPr>
            </w:pPr>
            <w:r w:rsidRPr="00CC11D5">
              <w:rPr>
                <w:rFonts w:ascii="Garamond" w:hAnsi="Garamond"/>
                <w:sz w:val="12"/>
                <w:szCs w:val="12"/>
              </w:rPr>
              <w:t>2024</w:t>
            </w:r>
          </w:p>
        </w:tc>
        <w:tc>
          <w:tcPr>
            <w:tcW w:w="1339" w:type="dxa"/>
            <w:vAlign w:val="center"/>
          </w:tcPr>
          <w:p w14:paraId="5130197A" w14:textId="77777777" w:rsidR="00A53A79" w:rsidRPr="00CC11D5" w:rsidRDefault="00A53A79" w:rsidP="006B61C6">
            <w:pPr>
              <w:jc w:val="center"/>
              <w:rPr>
                <w:rFonts w:ascii="Garamond" w:hAnsi="Garamond"/>
                <w:sz w:val="12"/>
                <w:szCs w:val="12"/>
              </w:rPr>
            </w:pPr>
            <w:r w:rsidRPr="00CC11D5">
              <w:rPr>
                <w:rFonts w:ascii="Garamond" w:hAnsi="Garamond"/>
                <w:sz w:val="12"/>
                <w:szCs w:val="12"/>
              </w:rPr>
              <w:t>2026</w:t>
            </w:r>
          </w:p>
        </w:tc>
        <w:tc>
          <w:tcPr>
            <w:tcW w:w="1551" w:type="dxa"/>
            <w:vAlign w:val="center"/>
          </w:tcPr>
          <w:p w14:paraId="3D4E43D3" w14:textId="77777777" w:rsidR="00A53A79" w:rsidRPr="00CC11D5" w:rsidRDefault="00A53A79" w:rsidP="006B61C6">
            <w:pPr>
              <w:jc w:val="center"/>
              <w:rPr>
                <w:rFonts w:ascii="Garamond" w:hAnsi="Garamond"/>
                <w:sz w:val="12"/>
                <w:szCs w:val="12"/>
              </w:rPr>
            </w:pPr>
            <w:r w:rsidRPr="00CC11D5">
              <w:rPr>
                <w:rFonts w:ascii="Garamond" w:hAnsi="Garamond"/>
                <w:sz w:val="12"/>
                <w:szCs w:val="12"/>
              </w:rPr>
              <w:t>DPT/AKSHI</w:t>
            </w:r>
          </w:p>
        </w:tc>
      </w:tr>
      <w:tr w:rsidR="00A53A79" w:rsidRPr="00CC11D5" w14:paraId="460FEBF3" w14:textId="77777777" w:rsidTr="006B61C6">
        <w:trPr>
          <w:trHeight w:val="227"/>
        </w:trPr>
        <w:tc>
          <w:tcPr>
            <w:tcW w:w="2290" w:type="dxa"/>
            <w:vAlign w:val="center"/>
          </w:tcPr>
          <w:p w14:paraId="780A0896" w14:textId="2D8D6DBC" w:rsidR="00A53A79" w:rsidRPr="00CC11D5" w:rsidRDefault="00A53A79" w:rsidP="006B61C6">
            <w:pPr>
              <w:jc w:val="center"/>
              <w:rPr>
                <w:rFonts w:ascii="Garamond" w:hAnsi="Garamond"/>
                <w:sz w:val="12"/>
                <w:szCs w:val="12"/>
              </w:rPr>
            </w:pPr>
            <w:r w:rsidRPr="00CC11D5">
              <w:rPr>
                <w:rFonts w:ascii="Garamond" w:hAnsi="Garamond"/>
                <w:sz w:val="12"/>
                <w:szCs w:val="12"/>
              </w:rPr>
              <w:t>Masa 2.6.4 Ngritja e një kuadri më të strukturuar për sigurimin e pac</w:t>
            </w:r>
            <w:r w:rsidR="008C0C0F" w:rsidRPr="00CC11D5">
              <w:rPr>
                <w:rFonts w:ascii="Garamond" w:hAnsi="Garamond"/>
                <w:sz w:val="12"/>
                <w:szCs w:val="12"/>
              </w:rPr>
              <w:t>e</w:t>
            </w:r>
            <w:r w:rsidRPr="00CC11D5">
              <w:rPr>
                <w:rFonts w:ascii="Garamond" w:hAnsi="Garamond"/>
                <w:sz w:val="12"/>
                <w:szCs w:val="12"/>
              </w:rPr>
              <w:t>nueshmërisë së vlerave dhe integritetit të AT</w:t>
            </w:r>
            <w:r w:rsidR="00B23EFE" w:rsidRPr="00CC11D5">
              <w:rPr>
                <w:rFonts w:ascii="Garamond" w:hAnsi="Garamond"/>
                <w:sz w:val="12"/>
                <w:szCs w:val="12"/>
              </w:rPr>
              <w:t>-</w:t>
            </w:r>
            <w:r w:rsidR="00B23EFE" w:rsidRPr="00CC11D5">
              <w:rPr>
                <w:rFonts w:ascii="Garamond" w:eastAsia="MS Mincho" w:hAnsi="Garamond"/>
                <w:sz w:val="12"/>
                <w:szCs w:val="12"/>
              </w:rPr>
              <w:t>së</w:t>
            </w:r>
          </w:p>
          <w:p w14:paraId="33F849D2" w14:textId="77777777" w:rsidR="00A53A79" w:rsidRPr="00CC11D5" w:rsidRDefault="00A53A79" w:rsidP="006B61C6">
            <w:pPr>
              <w:contextualSpacing/>
              <w:jc w:val="center"/>
              <w:rPr>
                <w:rFonts w:ascii="Garamond" w:hAnsi="Garamond"/>
                <w:sz w:val="12"/>
                <w:szCs w:val="12"/>
              </w:rPr>
            </w:pPr>
          </w:p>
        </w:tc>
        <w:tc>
          <w:tcPr>
            <w:tcW w:w="2715" w:type="dxa"/>
            <w:vAlign w:val="center"/>
          </w:tcPr>
          <w:p w14:paraId="5734C359" w14:textId="06CB1C66" w:rsidR="00A53A79" w:rsidRPr="00CC11D5" w:rsidRDefault="00A53A79" w:rsidP="006B61C6">
            <w:pPr>
              <w:jc w:val="center"/>
              <w:rPr>
                <w:rFonts w:ascii="Garamond" w:hAnsi="Garamond"/>
                <w:sz w:val="12"/>
                <w:szCs w:val="12"/>
              </w:rPr>
            </w:pPr>
            <w:r w:rsidRPr="00CC11D5">
              <w:rPr>
                <w:rFonts w:ascii="Garamond" w:hAnsi="Garamond"/>
                <w:sz w:val="12"/>
                <w:szCs w:val="12"/>
              </w:rPr>
              <w:t>Aktiviteti 2.6.4.1</w:t>
            </w:r>
            <w:r w:rsidR="00B23EFE" w:rsidRPr="00CC11D5">
              <w:rPr>
                <w:rFonts w:ascii="Garamond" w:hAnsi="Garamond"/>
                <w:sz w:val="12"/>
                <w:szCs w:val="12"/>
              </w:rPr>
              <w:t>;</w:t>
            </w:r>
            <w:r w:rsidRPr="00CC11D5">
              <w:rPr>
                <w:rFonts w:ascii="Garamond" w:hAnsi="Garamond"/>
                <w:sz w:val="12"/>
                <w:szCs w:val="12"/>
              </w:rPr>
              <w:t xml:space="preserve"> Hartimi dhe zbatimi i Planit të Integritetit për Administratën Tatimore</w:t>
            </w:r>
            <w:r w:rsidR="00B23EFE" w:rsidRPr="00CC11D5">
              <w:rPr>
                <w:rFonts w:ascii="Garamond" w:hAnsi="Garamond"/>
                <w:sz w:val="12"/>
                <w:szCs w:val="12"/>
              </w:rPr>
              <w:t>;</w:t>
            </w:r>
          </w:p>
          <w:p w14:paraId="1E3700CE" w14:textId="77777777" w:rsidR="00A53A79" w:rsidRPr="00CC11D5" w:rsidRDefault="00A53A79" w:rsidP="006B61C6">
            <w:pPr>
              <w:jc w:val="center"/>
              <w:rPr>
                <w:rFonts w:ascii="Garamond" w:hAnsi="Garamond"/>
                <w:sz w:val="12"/>
                <w:szCs w:val="12"/>
              </w:rPr>
            </w:pPr>
          </w:p>
          <w:p w14:paraId="3F269FA6" w14:textId="4404A5EA" w:rsidR="00A53A79" w:rsidRPr="00CC11D5" w:rsidRDefault="00A53A79" w:rsidP="006B61C6">
            <w:pPr>
              <w:jc w:val="center"/>
              <w:rPr>
                <w:rFonts w:ascii="Garamond" w:hAnsi="Garamond"/>
                <w:sz w:val="12"/>
                <w:szCs w:val="12"/>
              </w:rPr>
            </w:pPr>
            <w:r w:rsidRPr="00CC11D5">
              <w:rPr>
                <w:rFonts w:ascii="Garamond" w:hAnsi="Garamond"/>
                <w:sz w:val="12"/>
                <w:szCs w:val="12"/>
              </w:rPr>
              <w:t>Aktiviteti 2.6.4.2</w:t>
            </w:r>
            <w:r w:rsidR="00B23EFE" w:rsidRPr="00CC11D5">
              <w:rPr>
                <w:rFonts w:ascii="Garamond" w:hAnsi="Garamond"/>
                <w:sz w:val="12"/>
                <w:szCs w:val="12"/>
              </w:rPr>
              <w:t>:</w:t>
            </w:r>
            <w:r w:rsidRPr="00CC11D5">
              <w:rPr>
                <w:rFonts w:ascii="Garamond" w:hAnsi="Garamond"/>
                <w:sz w:val="12"/>
                <w:szCs w:val="12"/>
              </w:rPr>
              <w:t xml:space="preserve"> Zbatimi i një programi të dedikuar për antikorrupsionin.</w:t>
            </w:r>
          </w:p>
        </w:tc>
        <w:tc>
          <w:tcPr>
            <w:tcW w:w="1121" w:type="dxa"/>
            <w:vAlign w:val="center"/>
          </w:tcPr>
          <w:p w14:paraId="47C781B7" w14:textId="77777777" w:rsidR="00A53A79" w:rsidRPr="00CC11D5" w:rsidRDefault="00A53A79" w:rsidP="006B61C6">
            <w:pPr>
              <w:jc w:val="center"/>
              <w:rPr>
                <w:rFonts w:ascii="Garamond" w:hAnsi="Garamond"/>
                <w:sz w:val="12"/>
                <w:szCs w:val="12"/>
              </w:rPr>
            </w:pPr>
            <w:r w:rsidRPr="00CC11D5">
              <w:rPr>
                <w:rFonts w:ascii="Garamond" w:hAnsi="Garamond"/>
                <w:sz w:val="12"/>
                <w:szCs w:val="12"/>
              </w:rPr>
              <w:t>2024</w:t>
            </w:r>
          </w:p>
          <w:p w14:paraId="4BC81E39" w14:textId="77777777" w:rsidR="00A53A79" w:rsidRPr="00CC11D5" w:rsidRDefault="00A53A79" w:rsidP="006B61C6">
            <w:pPr>
              <w:jc w:val="center"/>
              <w:rPr>
                <w:rFonts w:ascii="Garamond" w:hAnsi="Garamond"/>
                <w:sz w:val="12"/>
                <w:szCs w:val="12"/>
              </w:rPr>
            </w:pPr>
          </w:p>
          <w:p w14:paraId="573C5B41" w14:textId="77777777" w:rsidR="00A53A79" w:rsidRPr="00CC11D5" w:rsidRDefault="00A53A79" w:rsidP="006B61C6">
            <w:pPr>
              <w:jc w:val="center"/>
              <w:rPr>
                <w:rFonts w:ascii="Garamond" w:hAnsi="Garamond"/>
                <w:sz w:val="12"/>
                <w:szCs w:val="12"/>
              </w:rPr>
            </w:pPr>
          </w:p>
          <w:p w14:paraId="4185B1B1" w14:textId="77777777" w:rsidR="00A53A79" w:rsidRPr="00CC11D5" w:rsidRDefault="00A53A79" w:rsidP="006B61C6">
            <w:pPr>
              <w:jc w:val="center"/>
              <w:rPr>
                <w:rFonts w:ascii="Garamond" w:hAnsi="Garamond"/>
                <w:sz w:val="12"/>
                <w:szCs w:val="12"/>
              </w:rPr>
            </w:pPr>
          </w:p>
          <w:p w14:paraId="40FEAE6A" w14:textId="77777777" w:rsidR="00A53A79" w:rsidRPr="00CC11D5" w:rsidRDefault="00A53A79" w:rsidP="006B61C6">
            <w:pPr>
              <w:jc w:val="center"/>
              <w:rPr>
                <w:rFonts w:ascii="Garamond" w:hAnsi="Garamond"/>
                <w:sz w:val="12"/>
                <w:szCs w:val="12"/>
              </w:rPr>
            </w:pPr>
          </w:p>
          <w:p w14:paraId="0575ED8E" w14:textId="77777777" w:rsidR="00A53A79" w:rsidRPr="00CC11D5" w:rsidRDefault="00A53A79" w:rsidP="006B61C6">
            <w:pPr>
              <w:jc w:val="center"/>
              <w:rPr>
                <w:rFonts w:ascii="Garamond" w:hAnsi="Garamond"/>
                <w:sz w:val="12"/>
                <w:szCs w:val="12"/>
              </w:rPr>
            </w:pPr>
            <w:r w:rsidRPr="00CC11D5">
              <w:rPr>
                <w:rFonts w:ascii="Garamond" w:hAnsi="Garamond"/>
                <w:sz w:val="12"/>
                <w:szCs w:val="12"/>
              </w:rPr>
              <w:t>2024</w:t>
            </w:r>
          </w:p>
          <w:p w14:paraId="18271A49" w14:textId="77777777" w:rsidR="00A53A79" w:rsidRPr="00CC11D5" w:rsidRDefault="00A53A79" w:rsidP="006B61C6">
            <w:pPr>
              <w:jc w:val="center"/>
              <w:rPr>
                <w:rFonts w:ascii="Garamond" w:hAnsi="Garamond"/>
                <w:sz w:val="12"/>
                <w:szCs w:val="12"/>
              </w:rPr>
            </w:pPr>
          </w:p>
          <w:p w14:paraId="2F2810C0" w14:textId="77777777" w:rsidR="00A53A79" w:rsidRPr="00CC11D5" w:rsidRDefault="00A53A79" w:rsidP="006B61C6">
            <w:pPr>
              <w:jc w:val="center"/>
              <w:rPr>
                <w:rFonts w:ascii="Garamond" w:hAnsi="Garamond"/>
                <w:sz w:val="12"/>
                <w:szCs w:val="12"/>
              </w:rPr>
            </w:pPr>
          </w:p>
        </w:tc>
        <w:tc>
          <w:tcPr>
            <w:tcW w:w="1339" w:type="dxa"/>
            <w:vAlign w:val="center"/>
          </w:tcPr>
          <w:p w14:paraId="2F17725D" w14:textId="77777777" w:rsidR="00A53A79" w:rsidRPr="00CC11D5" w:rsidRDefault="00A53A79" w:rsidP="006B61C6">
            <w:pPr>
              <w:jc w:val="center"/>
              <w:rPr>
                <w:rFonts w:ascii="Garamond" w:hAnsi="Garamond"/>
                <w:sz w:val="12"/>
                <w:szCs w:val="12"/>
              </w:rPr>
            </w:pPr>
            <w:r w:rsidRPr="00CC11D5">
              <w:rPr>
                <w:rFonts w:ascii="Garamond" w:hAnsi="Garamond"/>
                <w:sz w:val="12"/>
                <w:szCs w:val="12"/>
              </w:rPr>
              <w:t>2025</w:t>
            </w:r>
          </w:p>
          <w:p w14:paraId="318B20BE" w14:textId="77777777" w:rsidR="00A53A79" w:rsidRPr="00CC11D5" w:rsidRDefault="00A53A79" w:rsidP="006B61C6">
            <w:pPr>
              <w:jc w:val="center"/>
              <w:rPr>
                <w:rFonts w:ascii="Garamond" w:hAnsi="Garamond"/>
                <w:sz w:val="12"/>
                <w:szCs w:val="12"/>
              </w:rPr>
            </w:pPr>
          </w:p>
          <w:p w14:paraId="4173F363" w14:textId="77777777" w:rsidR="00A53A79" w:rsidRPr="00CC11D5" w:rsidRDefault="00A53A79" w:rsidP="006B61C6">
            <w:pPr>
              <w:jc w:val="center"/>
              <w:rPr>
                <w:rFonts w:ascii="Garamond" w:hAnsi="Garamond"/>
                <w:sz w:val="12"/>
                <w:szCs w:val="12"/>
              </w:rPr>
            </w:pPr>
          </w:p>
          <w:p w14:paraId="184CF90E" w14:textId="77777777" w:rsidR="00A53A79" w:rsidRPr="00CC11D5" w:rsidRDefault="00A53A79" w:rsidP="006B61C6">
            <w:pPr>
              <w:jc w:val="center"/>
              <w:rPr>
                <w:rFonts w:ascii="Garamond" w:hAnsi="Garamond"/>
                <w:sz w:val="12"/>
                <w:szCs w:val="12"/>
              </w:rPr>
            </w:pPr>
          </w:p>
          <w:p w14:paraId="5BFB4AA0" w14:textId="77777777" w:rsidR="00A53A79" w:rsidRPr="00CC11D5" w:rsidRDefault="00A53A79" w:rsidP="006B61C6">
            <w:pPr>
              <w:jc w:val="center"/>
              <w:rPr>
                <w:rFonts w:ascii="Garamond" w:hAnsi="Garamond"/>
                <w:sz w:val="12"/>
                <w:szCs w:val="12"/>
              </w:rPr>
            </w:pPr>
          </w:p>
          <w:p w14:paraId="526AD356" w14:textId="77777777" w:rsidR="00A53A79" w:rsidRPr="00CC11D5" w:rsidRDefault="00A53A79" w:rsidP="006B61C6">
            <w:pPr>
              <w:jc w:val="center"/>
              <w:rPr>
                <w:rFonts w:ascii="Garamond" w:hAnsi="Garamond"/>
                <w:sz w:val="12"/>
                <w:szCs w:val="12"/>
              </w:rPr>
            </w:pPr>
            <w:r w:rsidRPr="00CC11D5">
              <w:rPr>
                <w:rFonts w:ascii="Garamond" w:hAnsi="Garamond"/>
                <w:sz w:val="12"/>
                <w:szCs w:val="12"/>
              </w:rPr>
              <w:t>2026</w:t>
            </w:r>
          </w:p>
        </w:tc>
        <w:tc>
          <w:tcPr>
            <w:tcW w:w="1551" w:type="dxa"/>
            <w:vAlign w:val="center"/>
          </w:tcPr>
          <w:p w14:paraId="673A63B4" w14:textId="77777777" w:rsidR="00A53A79" w:rsidRPr="00CC11D5" w:rsidRDefault="00A53A79" w:rsidP="006B61C6">
            <w:pPr>
              <w:jc w:val="center"/>
              <w:rPr>
                <w:rFonts w:ascii="Garamond" w:hAnsi="Garamond"/>
                <w:sz w:val="12"/>
                <w:szCs w:val="12"/>
              </w:rPr>
            </w:pPr>
            <w:r w:rsidRPr="00CC11D5">
              <w:rPr>
                <w:rFonts w:ascii="Garamond" w:hAnsi="Garamond"/>
                <w:sz w:val="12"/>
                <w:szCs w:val="12"/>
              </w:rPr>
              <w:t>DPT</w:t>
            </w:r>
          </w:p>
        </w:tc>
      </w:tr>
      <w:tr w:rsidR="00A53A79" w:rsidRPr="00CC11D5" w14:paraId="4A1ACDB7" w14:textId="77777777" w:rsidTr="006B61C6">
        <w:trPr>
          <w:trHeight w:val="227"/>
        </w:trPr>
        <w:tc>
          <w:tcPr>
            <w:tcW w:w="2290" w:type="dxa"/>
            <w:vAlign w:val="center"/>
          </w:tcPr>
          <w:p w14:paraId="6BDB90E8" w14:textId="48DBA673" w:rsidR="00A53A79" w:rsidRPr="00CC11D5" w:rsidRDefault="00A53A79" w:rsidP="006B61C6">
            <w:pPr>
              <w:jc w:val="center"/>
              <w:rPr>
                <w:rFonts w:ascii="Garamond" w:hAnsi="Garamond"/>
                <w:sz w:val="12"/>
                <w:szCs w:val="12"/>
              </w:rPr>
            </w:pPr>
            <w:r w:rsidRPr="00CC11D5">
              <w:rPr>
                <w:rFonts w:ascii="Garamond" w:hAnsi="Garamond"/>
                <w:sz w:val="12"/>
                <w:szCs w:val="12"/>
              </w:rPr>
              <w:t>Masa 2.6.5 Dizenjimi i proceseve të punës dhe shërbimeve në ndërveprim me tatimpaguesit dhe konsulentët e tyre</w:t>
            </w:r>
          </w:p>
        </w:tc>
        <w:tc>
          <w:tcPr>
            <w:tcW w:w="2715" w:type="dxa"/>
            <w:vAlign w:val="center"/>
          </w:tcPr>
          <w:p w14:paraId="615306FF" w14:textId="703BE90F" w:rsidR="00A53A79" w:rsidRPr="00CC11D5" w:rsidRDefault="00A53A79" w:rsidP="006B61C6">
            <w:pPr>
              <w:contextualSpacing/>
              <w:jc w:val="center"/>
              <w:rPr>
                <w:rFonts w:ascii="Garamond" w:hAnsi="Garamond"/>
                <w:sz w:val="12"/>
                <w:szCs w:val="12"/>
              </w:rPr>
            </w:pPr>
            <w:r w:rsidRPr="00CC11D5">
              <w:rPr>
                <w:rFonts w:ascii="Garamond" w:hAnsi="Garamond"/>
                <w:sz w:val="12"/>
                <w:szCs w:val="12"/>
              </w:rPr>
              <w:t>Aktiviteti 2.6.5.1</w:t>
            </w:r>
            <w:r w:rsidR="00B23EFE" w:rsidRPr="00CC11D5">
              <w:rPr>
                <w:rFonts w:ascii="Garamond" w:hAnsi="Garamond"/>
                <w:sz w:val="12"/>
                <w:szCs w:val="12"/>
              </w:rPr>
              <w:t>:</w:t>
            </w:r>
            <w:r w:rsidRPr="00CC11D5">
              <w:rPr>
                <w:rFonts w:ascii="Garamond" w:hAnsi="Garamond"/>
                <w:sz w:val="12"/>
                <w:szCs w:val="12"/>
              </w:rPr>
              <w:t xml:space="preserve"> Krijimi i një Forum Këshillimor pranë DPT</w:t>
            </w:r>
            <w:r w:rsidR="00B23EFE" w:rsidRPr="00CC11D5">
              <w:rPr>
                <w:rFonts w:ascii="Garamond" w:hAnsi="Garamond"/>
                <w:sz w:val="12"/>
                <w:szCs w:val="12"/>
              </w:rPr>
              <w:t>-së</w:t>
            </w:r>
            <w:r w:rsidRPr="00CC11D5">
              <w:rPr>
                <w:rFonts w:ascii="Garamond" w:hAnsi="Garamond"/>
                <w:sz w:val="12"/>
                <w:szCs w:val="12"/>
              </w:rPr>
              <w:t xml:space="preserve"> me ekspertë fiskalë, kontabilistë dhe përfaqësues të shoqatave profesionale për dizenjimin e proceseve dhe shërbimeve tatimore.</w:t>
            </w:r>
          </w:p>
        </w:tc>
        <w:tc>
          <w:tcPr>
            <w:tcW w:w="1121" w:type="dxa"/>
            <w:vAlign w:val="center"/>
          </w:tcPr>
          <w:p w14:paraId="49404212" w14:textId="77777777" w:rsidR="00A53A79" w:rsidRPr="00CC11D5" w:rsidRDefault="00A53A79" w:rsidP="006B61C6">
            <w:pPr>
              <w:jc w:val="center"/>
              <w:rPr>
                <w:rFonts w:ascii="Garamond" w:hAnsi="Garamond"/>
                <w:sz w:val="12"/>
                <w:szCs w:val="12"/>
              </w:rPr>
            </w:pPr>
            <w:r w:rsidRPr="00CC11D5">
              <w:rPr>
                <w:rFonts w:ascii="Garamond" w:hAnsi="Garamond"/>
                <w:sz w:val="12"/>
                <w:szCs w:val="12"/>
              </w:rPr>
              <w:t>2025</w:t>
            </w:r>
          </w:p>
        </w:tc>
        <w:tc>
          <w:tcPr>
            <w:tcW w:w="1339" w:type="dxa"/>
            <w:vAlign w:val="center"/>
          </w:tcPr>
          <w:p w14:paraId="413399C9" w14:textId="77777777" w:rsidR="00A53A79" w:rsidRPr="00CC11D5" w:rsidRDefault="00A53A79" w:rsidP="006B61C6">
            <w:pPr>
              <w:jc w:val="center"/>
              <w:rPr>
                <w:rFonts w:ascii="Garamond" w:hAnsi="Garamond"/>
                <w:sz w:val="12"/>
                <w:szCs w:val="12"/>
              </w:rPr>
            </w:pPr>
            <w:r w:rsidRPr="00CC11D5">
              <w:rPr>
                <w:rFonts w:ascii="Garamond" w:hAnsi="Garamond"/>
                <w:sz w:val="12"/>
                <w:szCs w:val="12"/>
              </w:rPr>
              <w:t>2026</w:t>
            </w:r>
          </w:p>
        </w:tc>
        <w:tc>
          <w:tcPr>
            <w:tcW w:w="1551" w:type="dxa"/>
            <w:vAlign w:val="center"/>
          </w:tcPr>
          <w:p w14:paraId="739F8769" w14:textId="77777777" w:rsidR="00A53A79" w:rsidRPr="00CC11D5" w:rsidRDefault="00A53A79" w:rsidP="006B61C6">
            <w:pPr>
              <w:jc w:val="center"/>
              <w:rPr>
                <w:rFonts w:ascii="Garamond" w:hAnsi="Garamond"/>
                <w:sz w:val="12"/>
                <w:szCs w:val="12"/>
              </w:rPr>
            </w:pPr>
            <w:r w:rsidRPr="00CC11D5">
              <w:rPr>
                <w:rFonts w:ascii="Garamond" w:hAnsi="Garamond"/>
                <w:sz w:val="12"/>
                <w:szCs w:val="12"/>
              </w:rPr>
              <w:t>DPT/MF</w:t>
            </w:r>
          </w:p>
        </w:tc>
      </w:tr>
    </w:tbl>
    <w:p w14:paraId="0152C804" w14:textId="77777777" w:rsidR="00A53A79" w:rsidRPr="00830F4C" w:rsidRDefault="00A53A79" w:rsidP="00A53A79">
      <w:pPr>
        <w:jc w:val="both"/>
        <w:rPr>
          <w:b/>
        </w:rPr>
      </w:pPr>
    </w:p>
    <w:p w14:paraId="5FCFEF75" w14:textId="77777777" w:rsidR="00A53A79" w:rsidRPr="00830F4C" w:rsidRDefault="00A53A79" w:rsidP="00A53A79">
      <w:pPr>
        <w:jc w:val="both"/>
        <w:rPr>
          <w:rFonts w:ascii="Garamond" w:hAnsi="Garamond"/>
          <w:b/>
        </w:rPr>
      </w:pPr>
      <w:r w:rsidRPr="00830F4C">
        <w:rPr>
          <w:rFonts w:ascii="Garamond" w:hAnsi="Garamond"/>
          <w:b/>
        </w:rPr>
        <w:t>Treguesit e performancës dhe vlerat e synuara</w:t>
      </w:r>
    </w:p>
    <w:tbl>
      <w:tblPr>
        <w:tblW w:w="8835" w:type="dxa"/>
        <w:tblLook w:val="04A0" w:firstRow="1" w:lastRow="0" w:firstColumn="1" w:lastColumn="0" w:noHBand="0" w:noVBand="1"/>
      </w:tblPr>
      <w:tblGrid>
        <w:gridCol w:w="2547"/>
        <w:gridCol w:w="1688"/>
        <w:gridCol w:w="800"/>
        <w:gridCol w:w="902"/>
        <w:gridCol w:w="1349"/>
        <w:gridCol w:w="1549"/>
      </w:tblGrid>
      <w:tr w:rsidR="00A53A79" w:rsidRPr="00CC11D5" w14:paraId="6D9EE656" w14:textId="77777777" w:rsidTr="006B61C6">
        <w:trPr>
          <w:trHeight w:val="20"/>
        </w:trPr>
        <w:tc>
          <w:tcPr>
            <w:tcW w:w="2547" w:type="dxa"/>
            <w:vMerge w:val="restart"/>
            <w:tcBorders>
              <w:top w:val="single" w:sz="4" w:space="0" w:color="auto"/>
              <w:left w:val="single" w:sz="4" w:space="0" w:color="auto"/>
              <w:right w:val="single" w:sz="4" w:space="0" w:color="auto"/>
            </w:tcBorders>
            <w:shd w:val="clear" w:color="FFFFFF" w:fill="FFFFFF"/>
            <w:vAlign w:val="center"/>
          </w:tcPr>
          <w:p w14:paraId="47224993" w14:textId="77777777" w:rsidR="00A53A79" w:rsidRPr="00CC11D5" w:rsidRDefault="00A53A79" w:rsidP="006B61C6">
            <w:pPr>
              <w:jc w:val="center"/>
              <w:rPr>
                <w:rFonts w:ascii="Garamond" w:hAnsi="Garamond"/>
                <w:sz w:val="12"/>
                <w:szCs w:val="12"/>
              </w:rPr>
            </w:pPr>
            <w:r w:rsidRPr="00CC11D5">
              <w:rPr>
                <w:rFonts w:ascii="Garamond" w:hAnsi="Garamond"/>
                <w:b/>
                <w:sz w:val="12"/>
                <w:szCs w:val="12"/>
              </w:rPr>
              <w:t>Treguesi</w:t>
            </w:r>
          </w:p>
        </w:tc>
        <w:tc>
          <w:tcPr>
            <w:tcW w:w="1688" w:type="dxa"/>
            <w:vMerge w:val="restart"/>
            <w:tcBorders>
              <w:top w:val="single" w:sz="4" w:space="0" w:color="auto"/>
              <w:left w:val="single" w:sz="4" w:space="0" w:color="auto"/>
              <w:right w:val="single" w:sz="4" w:space="0" w:color="auto"/>
            </w:tcBorders>
            <w:shd w:val="clear" w:color="FFFFFF" w:fill="FFFFFF"/>
            <w:vAlign w:val="center"/>
          </w:tcPr>
          <w:p w14:paraId="47181FC4" w14:textId="77777777" w:rsidR="00B23EFE" w:rsidRPr="00CC11D5" w:rsidRDefault="00A53A79" w:rsidP="006B61C6">
            <w:pPr>
              <w:jc w:val="center"/>
              <w:rPr>
                <w:rFonts w:ascii="Garamond" w:hAnsi="Garamond"/>
                <w:b/>
                <w:sz w:val="12"/>
                <w:szCs w:val="12"/>
              </w:rPr>
            </w:pPr>
            <w:r w:rsidRPr="00CC11D5">
              <w:rPr>
                <w:rFonts w:ascii="Garamond" w:hAnsi="Garamond"/>
                <w:b/>
                <w:sz w:val="12"/>
                <w:szCs w:val="12"/>
              </w:rPr>
              <w:t xml:space="preserve">Vlera </w:t>
            </w:r>
            <w:r w:rsidR="00B23EFE" w:rsidRPr="00CC11D5">
              <w:rPr>
                <w:rFonts w:ascii="Garamond" w:hAnsi="Garamond"/>
                <w:b/>
                <w:sz w:val="12"/>
                <w:szCs w:val="12"/>
              </w:rPr>
              <w:t>b</w:t>
            </w:r>
            <w:r w:rsidRPr="00CC11D5">
              <w:rPr>
                <w:rFonts w:ascii="Garamond" w:hAnsi="Garamond"/>
                <w:b/>
                <w:sz w:val="12"/>
                <w:szCs w:val="12"/>
              </w:rPr>
              <w:t>azë</w:t>
            </w:r>
          </w:p>
          <w:p w14:paraId="096D6B31" w14:textId="109F3746" w:rsidR="00A53A79" w:rsidRPr="00CC11D5" w:rsidRDefault="00A53A79" w:rsidP="006B61C6">
            <w:pPr>
              <w:jc w:val="center"/>
              <w:rPr>
                <w:rFonts w:ascii="Garamond" w:hAnsi="Garamond"/>
                <w:sz w:val="12"/>
                <w:szCs w:val="12"/>
              </w:rPr>
            </w:pPr>
            <w:r w:rsidRPr="00CC11D5">
              <w:rPr>
                <w:rFonts w:ascii="Garamond" w:hAnsi="Garamond"/>
                <w:b/>
                <w:sz w:val="12"/>
                <w:szCs w:val="12"/>
              </w:rPr>
              <w:t>(viti 2023)</w:t>
            </w:r>
          </w:p>
        </w:tc>
        <w:tc>
          <w:tcPr>
            <w:tcW w:w="4600" w:type="dxa"/>
            <w:gridSpan w:val="4"/>
            <w:tcBorders>
              <w:top w:val="single" w:sz="4" w:space="0" w:color="auto"/>
              <w:left w:val="nil"/>
              <w:bottom w:val="single" w:sz="4" w:space="0" w:color="auto"/>
              <w:right w:val="single" w:sz="4" w:space="0" w:color="auto"/>
            </w:tcBorders>
            <w:shd w:val="clear" w:color="FFFFFF" w:fill="FFFFFF"/>
            <w:vAlign w:val="center"/>
          </w:tcPr>
          <w:p w14:paraId="45B5E1A9" w14:textId="77777777" w:rsidR="00A53A79" w:rsidRPr="00CC11D5" w:rsidRDefault="00A53A79" w:rsidP="006B61C6">
            <w:pPr>
              <w:jc w:val="center"/>
              <w:rPr>
                <w:rFonts w:ascii="Garamond" w:hAnsi="Garamond"/>
                <w:sz w:val="12"/>
                <w:szCs w:val="12"/>
              </w:rPr>
            </w:pPr>
            <w:r w:rsidRPr="00CC11D5">
              <w:rPr>
                <w:rFonts w:ascii="Garamond" w:hAnsi="Garamond"/>
                <w:b/>
                <w:sz w:val="12"/>
                <w:szCs w:val="12"/>
              </w:rPr>
              <w:t>Vlera e synuar</w:t>
            </w:r>
          </w:p>
        </w:tc>
      </w:tr>
      <w:tr w:rsidR="00A53A79" w:rsidRPr="00CC11D5" w14:paraId="6DDF4E23" w14:textId="77777777" w:rsidTr="006B61C6">
        <w:trPr>
          <w:trHeight w:val="20"/>
        </w:trPr>
        <w:tc>
          <w:tcPr>
            <w:tcW w:w="2547" w:type="dxa"/>
            <w:vMerge/>
            <w:tcBorders>
              <w:left w:val="single" w:sz="4" w:space="0" w:color="auto"/>
              <w:bottom w:val="single" w:sz="4" w:space="0" w:color="auto"/>
              <w:right w:val="single" w:sz="4" w:space="0" w:color="auto"/>
            </w:tcBorders>
            <w:shd w:val="clear" w:color="FFFFFF" w:fill="FFFFFF"/>
            <w:vAlign w:val="center"/>
          </w:tcPr>
          <w:p w14:paraId="03F75833" w14:textId="77777777" w:rsidR="00A53A79" w:rsidRPr="00CC11D5" w:rsidRDefault="00A53A79" w:rsidP="006B61C6">
            <w:pPr>
              <w:jc w:val="center"/>
              <w:rPr>
                <w:rFonts w:ascii="Garamond" w:hAnsi="Garamond"/>
                <w:sz w:val="12"/>
                <w:szCs w:val="12"/>
              </w:rPr>
            </w:pPr>
          </w:p>
        </w:tc>
        <w:tc>
          <w:tcPr>
            <w:tcW w:w="1688" w:type="dxa"/>
            <w:vMerge/>
            <w:tcBorders>
              <w:left w:val="single" w:sz="4" w:space="0" w:color="auto"/>
              <w:bottom w:val="single" w:sz="4" w:space="0" w:color="auto"/>
              <w:right w:val="single" w:sz="4" w:space="0" w:color="auto"/>
            </w:tcBorders>
            <w:shd w:val="clear" w:color="FFFFFF" w:fill="FFFFFF"/>
            <w:vAlign w:val="center"/>
          </w:tcPr>
          <w:p w14:paraId="42FF3FD2" w14:textId="77777777" w:rsidR="00A53A79" w:rsidRPr="00CC11D5" w:rsidRDefault="00A53A79" w:rsidP="006B61C6">
            <w:pPr>
              <w:jc w:val="center"/>
              <w:rPr>
                <w:rFonts w:ascii="Garamond" w:hAnsi="Garamond"/>
                <w:sz w:val="12"/>
                <w:szCs w:val="12"/>
              </w:rPr>
            </w:pPr>
          </w:p>
        </w:tc>
        <w:tc>
          <w:tcPr>
            <w:tcW w:w="800" w:type="dxa"/>
            <w:tcBorders>
              <w:top w:val="single" w:sz="4" w:space="0" w:color="auto"/>
              <w:left w:val="nil"/>
              <w:bottom w:val="single" w:sz="4" w:space="0" w:color="auto"/>
              <w:right w:val="single" w:sz="4" w:space="0" w:color="auto"/>
            </w:tcBorders>
            <w:shd w:val="clear" w:color="FFFFFF" w:fill="FFFFFF"/>
            <w:vAlign w:val="center"/>
          </w:tcPr>
          <w:p w14:paraId="554023F8" w14:textId="77777777" w:rsidR="00A53A79" w:rsidRPr="00CC11D5" w:rsidRDefault="00A53A79" w:rsidP="006B61C6">
            <w:pPr>
              <w:jc w:val="center"/>
              <w:rPr>
                <w:rFonts w:ascii="Garamond" w:hAnsi="Garamond"/>
                <w:sz w:val="12"/>
                <w:szCs w:val="12"/>
              </w:rPr>
            </w:pPr>
            <w:r w:rsidRPr="00CC11D5">
              <w:rPr>
                <w:rFonts w:ascii="Garamond" w:hAnsi="Garamond"/>
                <w:b/>
                <w:sz w:val="12"/>
                <w:szCs w:val="12"/>
              </w:rPr>
              <w:t>2024</w:t>
            </w:r>
          </w:p>
        </w:tc>
        <w:tc>
          <w:tcPr>
            <w:tcW w:w="902" w:type="dxa"/>
            <w:tcBorders>
              <w:top w:val="single" w:sz="4" w:space="0" w:color="auto"/>
              <w:left w:val="nil"/>
              <w:bottom w:val="single" w:sz="4" w:space="0" w:color="auto"/>
              <w:right w:val="single" w:sz="4" w:space="0" w:color="auto"/>
            </w:tcBorders>
            <w:shd w:val="clear" w:color="FFFFFF" w:fill="FFFFFF"/>
            <w:vAlign w:val="center"/>
          </w:tcPr>
          <w:p w14:paraId="18B0C247" w14:textId="77777777" w:rsidR="00A53A79" w:rsidRPr="00CC11D5" w:rsidRDefault="00A53A79" w:rsidP="006B61C6">
            <w:pPr>
              <w:jc w:val="center"/>
              <w:rPr>
                <w:rFonts w:ascii="Garamond" w:hAnsi="Garamond"/>
                <w:sz w:val="12"/>
                <w:szCs w:val="12"/>
              </w:rPr>
            </w:pPr>
            <w:r w:rsidRPr="00CC11D5">
              <w:rPr>
                <w:rFonts w:ascii="Garamond" w:hAnsi="Garamond"/>
                <w:b/>
                <w:sz w:val="12"/>
                <w:szCs w:val="12"/>
              </w:rPr>
              <w:t>2025</w:t>
            </w:r>
          </w:p>
        </w:tc>
        <w:tc>
          <w:tcPr>
            <w:tcW w:w="1349" w:type="dxa"/>
            <w:tcBorders>
              <w:top w:val="single" w:sz="4" w:space="0" w:color="auto"/>
              <w:left w:val="nil"/>
              <w:bottom w:val="single" w:sz="4" w:space="0" w:color="auto"/>
              <w:right w:val="single" w:sz="4" w:space="0" w:color="auto"/>
            </w:tcBorders>
            <w:shd w:val="clear" w:color="FFFFFF" w:fill="FFFFFF"/>
            <w:vAlign w:val="center"/>
          </w:tcPr>
          <w:p w14:paraId="5019E7D2" w14:textId="77777777" w:rsidR="00A53A79" w:rsidRPr="00CC11D5" w:rsidRDefault="00A53A79" w:rsidP="006B61C6">
            <w:pPr>
              <w:jc w:val="center"/>
              <w:rPr>
                <w:rFonts w:ascii="Garamond" w:hAnsi="Garamond"/>
                <w:sz w:val="12"/>
                <w:szCs w:val="12"/>
              </w:rPr>
            </w:pPr>
            <w:r w:rsidRPr="00CC11D5">
              <w:rPr>
                <w:rFonts w:ascii="Garamond" w:hAnsi="Garamond"/>
                <w:b/>
                <w:sz w:val="12"/>
                <w:szCs w:val="12"/>
              </w:rPr>
              <w:t>2026</w:t>
            </w:r>
          </w:p>
        </w:tc>
        <w:tc>
          <w:tcPr>
            <w:tcW w:w="1549" w:type="dxa"/>
            <w:tcBorders>
              <w:top w:val="single" w:sz="4" w:space="0" w:color="auto"/>
              <w:left w:val="nil"/>
              <w:bottom w:val="single" w:sz="4" w:space="0" w:color="auto"/>
              <w:right w:val="single" w:sz="4" w:space="0" w:color="auto"/>
            </w:tcBorders>
            <w:shd w:val="clear" w:color="FFFFFF" w:fill="FFFFFF"/>
            <w:vAlign w:val="center"/>
          </w:tcPr>
          <w:p w14:paraId="0CDF4ED1" w14:textId="77777777" w:rsidR="00A53A79" w:rsidRPr="00CC11D5" w:rsidRDefault="00A53A79" w:rsidP="006B61C6">
            <w:pPr>
              <w:jc w:val="center"/>
              <w:rPr>
                <w:rFonts w:ascii="Garamond" w:hAnsi="Garamond"/>
                <w:sz w:val="12"/>
                <w:szCs w:val="12"/>
              </w:rPr>
            </w:pPr>
            <w:r w:rsidRPr="00CC11D5">
              <w:rPr>
                <w:rFonts w:ascii="Garamond" w:hAnsi="Garamond"/>
                <w:b/>
                <w:sz w:val="12"/>
                <w:szCs w:val="12"/>
              </w:rPr>
              <w:t>2027</w:t>
            </w:r>
          </w:p>
        </w:tc>
      </w:tr>
      <w:tr w:rsidR="00A53A79" w:rsidRPr="00CC11D5" w14:paraId="3F4CE1A3" w14:textId="77777777" w:rsidTr="006B61C6">
        <w:trPr>
          <w:trHeight w:val="20"/>
        </w:trPr>
        <w:tc>
          <w:tcPr>
            <w:tcW w:w="2547" w:type="dxa"/>
            <w:tcBorders>
              <w:top w:val="single" w:sz="4" w:space="0" w:color="auto"/>
              <w:left w:val="single" w:sz="4" w:space="0" w:color="auto"/>
              <w:bottom w:val="single" w:sz="4" w:space="0" w:color="auto"/>
              <w:right w:val="single" w:sz="4" w:space="0" w:color="auto"/>
            </w:tcBorders>
            <w:shd w:val="clear" w:color="FFFFFF" w:fill="FFFFFF"/>
            <w:vAlign w:val="center"/>
          </w:tcPr>
          <w:p w14:paraId="2AC586FB" w14:textId="77777777" w:rsidR="00A53A79" w:rsidRPr="00CC11D5" w:rsidRDefault="00A53A79" w:rsidP="006B61C6">
            <w:pPr>
              <w:jc w:val="center"/>
              <w:rPr>
                <w:rFonts w:ascii="Garamond" w:hAnsi="Garamond"/>
                <w:sz w:val="12"/>
                <w:szCs w:val="12"/>
              </w:rPr>
            </w:pPr>
            <w:r w:rsidRPr="00CC11D5">
              <w:rPr>
                <w:rFonts w:ascii="Garamond" w:hAnsi="Garamond"/>
                <w:sz w:val="12"/>
                <w:szCs w:val="12"/>
              </w:rPr>
              <w:t>Rritja e cilësisë së shërbimit të tatimpaguesve</w:t>
            </w:r>
          </w:p>
        </w:tc>
        <w:tc>
          <w:tcPr>
            <w:tcW w:w="1688" w:type="dxa"/>
            <w:tcBorders>
              <w:top w:val="single" w:sz="4" w:space="0" w:color="auto"/>
              <w:left w:val="single" w:sz="4" w:space="0" w:color="auto"/>
              <w:bottom w:val="single" w:sz="4" w:space="0" w:color="auto"/>
              <w:right w:val="single" w:sz="4" w:space="0" w:color="auto"/>
            </w:tcBorders>
            <w:shd w:val="clear" w:color="FFFFFF" w:fill="FFFFFF"/>
            <w:vAlign w:val="center"/>
          </w:tcPr>
          <w:p w14:paraId="76D8252B" w14:textId="6EACE454" w:rsidR="00A53A79" w:rsidRPr="00CC11D5" w:rsidRDefault="00A53A79" w:rsidP="006B61C6">
            <w:pPr>
              <w:contextualSpacing/>
              <w:jc w:val="center"/>
              <w:rPr>
                <w:rFonts w:ascii="Garamond" w:hAnsi="Garamond"/>
                <w:sz w:val="12"/>
                <w:szCs w:val="12"/>
              </w:rPr>
            </w:pPr>
            <w:r w:rsidRPr="00CC11D5">
              <w:rPr>
                <w:rFonts w:ascii="Garamond" w:hAnsi="Garamond"/>
                <w:sz w:val="12"/>
                <w:szCs w:val="12"/>
              </w:rPr>
              <w:t>49% e bizneseve</w:t>
            </w:r>
            <w:r w:rsidR="00D22EA5" w:rsidRPr="00CC11D5">
              <w:rPr>
                <w:rFonts w:ascii="Garamond" w:hAnsi="Garamond"/>
                <w:sz w:val="12"/>
                <w:szCs w:val="12"/>
              </w:rPr>
              <w:t xml:space="preserve"> </w:t>
            </w:r>
            <w:r w:rsidRPr="00CC11D5">
              <w:rPr>
                <w:rFonts w:ascii="Garamond" w:hAnsi="Garamond"/>
                <w:sz w:val="12"/>
                <w:szCs w:val="12"/>
              </w:rPr>
              <w:t>konstatojnë përmirësim në komunikimin me AT</w:t>
            </w:r>
            <w:r w:rsidR="00B23EFE" w:rsidRPr="00CC11D5">
              <w:rPr>
                <w:rFonts w:ascii="Garamond" w:hAnsi="Garamond"/>
                <w:sz w:val="12"/>
                <w:szCs w:val="12"/>
              </w:rPr>
              <w:t>-në.</w:t>
            </w:r>
          </w:p>
          <w:p w14:paraId="5D16E897" w14:textId="77777777" w:rsidR="00A53A79" w:rsidRPr="00CC11D5" w:rsidRDefault="00A53A79" w:rsidP="006B61C6">
            <w:pPr>
              <w:contextualSpacing/>
              <w:jc w:val="center"/>
              <w:rPr>
                <w:rFonts w:ascii="Garamond" w:hAnsi="Garamond"/>
                <w:sz w:val="12"/>
                <w:szCs w:val="12"/>
              </w:rPr>
            </w:pPr>
          </w:p>
          <w:p w14:paraId="52E5E05E" w14:textId="77777777" w:rsidR="00A53A79" w:rsidRPr="00CC11D5" w:rsidRDefault="00A53A79" w:rsidP="006B61C6">
            <w:pPr>
              <w:contextualSpacing/>
              <w:jc w:val="center"/>
              <w:rPr>
                <w:rFonts w:ascii="Garamond" w:hAnsi="Garamond"/>
                <w:sz w:val="12"/>
                <w:szCs w:val="12"/>
              </w:rPr>
            </w:pPr>
          </w:p>
          <w:p w14:paraId="57DD451F" w14:textId="77777777" w:rsidR="00A53A79" w:rsidRPr="00CC11D5" w:rsidRDefault="00A53A79" w:rsidP="006B61C6">
            <w:pPr>
              <w:contextualSpacing/>
              <w:jc w:val="center"/>
              <w:rPr>
                <w:rFonts w:ascii="Garamond" w:hAnsi="Garamond"/>
                <w:sz w:val="12"/>
                <w:szCs w:val="12"/>
              </w:rPr>
            </w:pPr>
          </w:p>
          <w:p w14:paraId="5EB1A155" w14:textId="77777777" w:rsidR="00A53A79" w:rsidRPr="00CC11D5" w:rsidRDefault="00A53A79" w:rsidP="006B61C6">
            <w:pPr>
              <w:contextualSpacing/>
              <w:jc w:val="center"/>
              <w:rPr>
                <w:rFonts w:ascii="Garamond" w:hAnsi="Garamond"/>
                <w:sz w:val="12"/>
                <w:szCs w:val="12"/>
              </w:rPr>
            </w:pPr>
          </w:p>
          <w:p w14:paraId="5F87295F" w14:textId="77777777" w:rsidR="00A53A79" w:rsidRPr="00CC11D5" w:rsidRDefault="00A53A79" w:rsidP="006B61C6">
            <w:pPr>
              <w:contextualSpacing/>
              <w:jc w:val="center"/>
              <w:rPr>
                <w:rFonts w:ascii="Garamond" w:hAnsi="Garamond"/>
                <w:sz w:val="12"/>
                <w:szCs w:val="12"/>
              </w:rPr>
            </w:pPr>
          </w:p>
          <w:p w14:paraId="5F4B0624" w14:textId="77777777" w:rsidR="00A53A79" w:rsidRPr="00CC11D5" w:rsidRDefault="00A53A79" w:rsidP="006B61C6">
            <w:pPr>
              <w:contextualSpacing/>
              <w:jc w:val="center"/>
              <w:rPr>
                <w:rFonts w:ascii="Garamond" w:hAnsi="Garamond"/>
                <w:sz w:val="12"/>
                <w:szCs w:val="12"/>
              </w:rPr>
            </w:pPr>
            <w:r w:rsidRPr="00CC11D5">
              <w:rPr>
                <w:rFonts w:ascii="Garamond" w:hAnsi="Garamond"/>
                <w:sz w:val="12"/>
                <w:szCs w:val="12"/>
              </w:rPr>
              <w:t>72% e bizneseve kanë qartësi mbi informacionin tatimor.</w:t>
            </w:r>
          </w:p>
          <w:p w14:paraId="5C376ABE" w14:textId="77777777" w:rsidR="00A53A79" w:rsidRPr="00CC11D5" w:rsidRDefault="00A53A79" w:rsidP="006B61C6">
            <w:pPr>
              <w:jc w:val="center"/>
              <w:rPr>
                <w:rFonts w:ascii="Garamond" w:hAnsi="Garamond"/>
                <w:sz w:val="12"/>
                <w:szCs w:val="12"/>
              </w:rPr>
            </w:pPr>
          </w:p>
        </w:tc>
        <w:tc>
          <w:tcPr>
            <w:tcW w:w="800" w:type="dxa"/>
            <w:tcBorders>
              <w:top w:val="single" w:sz="4" w:space="0" w:color="auto"/>
              <w:left w:val="nil"/>
              <w:bottom w:val="single" w:sz="4" w:space="0" w:color="auto"/>
              <w:right w:val="single" w:sz="4" w:space="0" w:color="auto"/>
            </w:tcBorders>
            <w:shd w:val="clear" w:color="FFFFFF" w:fill="FFFFFF"/>
            <w:vAlign w:val="center"/>
          </w:tcPr>
          <w:p w14:paraId="5506E8CB" w14:textId="77777777" w:rsidR="00A53A79" w:rsidRPr="00CC11D5" w:rsidRDefault="00A53A79" w:rsidP="006B61C6">
            <w:pPr>
              <w:jc w:val="center"/>
              <w:rPr>
                <w:rFonts w:ascii="Garamond" w:hAnsi="Garamond"/>
                <w:sz w:val="12"/>
                <w:szCs w:val="12"/>
              </w:rPr>
            </w:pPr>
          </w:p>
        </w:tc>
        <w:tc>
          <w:tcPr>
            <w:tcW w:w="902" w:type="dxa"/>
            <w:tcBorders>
              <w:top w:val="single" w:sz="4" w:space="0" w:color="auto"/>
              <w:left w:val="nil"/>
              <w:bottom w:val="single" w:sz="4" w:space="0" w:color="auto"/>
              <w:right w:val="single" w:sz="4" w:space="0" w:color="auto"/>
            </w:tcBorders>
            <w:shd w:val="clear" w:color="FFFFFF" w:fill="FFFFFF"/>
            <w:vAlign w:val="center"/>
          </w:tcPr>
          <w:p w14:paraId="051D918F" w14:textId="77777777" w:rsidR="00A53A79" w:rsidRPr="00CC11D5" w:rsidRDefault="00A53A79" w:rsidP="006B61C6">
            <w:pPr>
              <w:jc w:val="center"/>
              <w:rPr>
                <w:rFonts w:ascii="Garamond" w:hAnsi="Garamond"/>
                <w:sz w:val="12"/>
                <w:szCs w:val="12"/>
              </w:rPr>
            </w:pPr>
          </w:p>
        </w:tc>
        <w:tc>
          <w:tcPr>
            <w:tcW w:w="1349" w:type="dxa"/>
            <w:tcBorders>
              <w:top w:val="single" w:sz="4" w:space="0" w:color="auto"/>
              <w:left w:val="nil"/>
              <w:bottom w:val="single" w:sz="4" w:space="0" w:color="auto"/>
              <w:right w:val="single" w:sz="4" w:space="0" w:color="auto"/>
            </w:tcBorders>
            <w:shd w:val="clear" w:color="FFFFFF" w:fill="FFFFFF"/>
            <w:vAlign w:val="center"/>
          </w:tcPr>
          <w:p w14:paraId="5A65DE4F" w14:textId="77777777" w:rsidR="00A53A79" w:rsidRPr="00CC11D5" w:rsidRDefault="00A53A79" w:rsidP="006B61C6">
            <w:pPr>
              <w:jc w:val="center"/>
              <w:rPr>
                <w:rFonts w:ascii="Garamond" w:hAnsi="Garamond"/>
                <w:sz w:val="12"/>
                <w:szCs w:val="12"/>
              </w:rPr>
            </w:pPr>
          </w:p>
        </w:tc>
        <w:tc>
          <w:tcPr>
            <w:tcW w:w="1549" w:type="dxa"/>
            <w:tcBorders>
              <w:top w:val="single" w:sz="4" w:space="0" w:color="auto"/>
              <w:left w:val="nil"/>
              <w:bottom w:val="single" w:sz="4" w:space="0" w:color="auto"/>
              <w:right w:val="single" w:sz="4" w:space="0" w:color="auto"/>
            </w:tcBorders>
            <w:shd w:val="clear" w:color="FFFFFF" w:fill="FFFFFF"/>
            <w:vAlign w:val="center"/>
          </w:tcPr>
          <w:p w14:paraId="110E61DB" w14:textId="10B4B12E" w:rsidR="00A53A79" w:rsidRPr="00CC11D5" w:rsidRDefault="00A53A79" w:rsidP="006B61C6">
            <w:pPr>
              <w:contextualSpacing/>
              <w:jc w:val="center"/>
              <w:rPr>
                <w:rFonts w:ascii="Garamond" w:hAnsi="Garamond"/>
                <w:sz w:val="12"/>
                <w:szCs w:val="12"/>
              </w:rPr>
            </w:pPr>
            <w:r w:rsidRPr="00CC11D5">
              <w:rPr>
                <w:rFonts w:ascii="Garamond" w:hAnsi="Garamond"/>
                <w:sz w:val="12"/>
                <w:szCs w:val="12"/>
              </w:rPr>
              <w:t>60% e bizneseve konstatojnë përmirësim në komunikimin me AT</w:t>
            </w:r>
            <w:r w:rsidR="00B23EFE" w:rsidRPr="00CC11D5">
              <w:rPr>
                <w:rFonts w:ascii="Garamond" w:hAnsi="Garamond"/>
                <w:sz w:val="12"/>
                <w:szCs w:val="12"/>
              </w:rPr>
              <w:t>-në</w:t>
            </w:r>
          </w:p>
          <w:p w14:paraId="6FCCCA46" w14:textId="77777777" w:rsidR="00A53A79" w:rsidRPr="00CC11D5" w:rsidRDefault="00A53A79" w:rsidP="006B61C6">
            <w:pPr>
              <w:contextualSpacing/>
              <w:jc w:val="center"/>
              <w:rPr>
                <w:rFonts w:ascii="Garamond" w:hAnsi="Garamond"/>
                <w:sz w:val="12"/>
                <w:szCs w:val="12"/>
              </w:rPr>
            </w:pPr>
          </w:p>
          <w:p w14:paraId="1E78D6B8" w14:textId="77777777" w:rsidR="00A53A79" w:rsidRPr="00CC11D5" w:rsidRDefault="00A53A79" w:rsidP="006B61C6">
            <w:pPr>
              <w:contextualSpacing/>
              <w:jc w:val="center"/>
              <w:rPr>
                <w:rFonts w:ascii="Garamond" w:hAnsi="Garamond"/>
                <w:sz w:val="12"/>
                <w:szCs w:val="12"/>
              </w:rPr>
            </w:pPr>
          </w:p>
          <w:p w14:paraId="1CD20AEA" w14:textId="77777777" w:rsidR="00A53A79" w:rsidRPr="00CC11D5" w:rsidRDefault="00A53A79" w:rsidP="006B61C6">
            <w:pPr>
              <w:contextualSpacing/>
              <w:jc w:val="center"/>
              <w:rPr>
                <w:rFonts w:ascii="Garamond" w:hAnsi="Garamond"/>
                <w:sz w:val="12"/>
                <w:szCs w:val="12"/>
              </w:rPr>
            </w:pPr>
          </w:p>
          <w:p w14:paraId="40F98415" w14:textId="483BB6DF" w:rsidR="00A53A79" w:rsidRPr="00CC11D5" w:rsidRDefault="00A53A79" w:rsidP="006B61C6">
            <w:pPr>
              <w:contextualSpacing/>
              <w:jc w:val="center"/>
              <w:rPr>
                <w:rFonts w:ascii="Garamond" w:hAnsi="Garamond"/>
                <w:sz w:val="12"/>
                <w:szCs w:val="12"/>
              </w:rPr>
            </w:pPr>
            <w:r w:rsidRPr="00CC11D5">
              <w:rPr>
                <w:rFonts w:ascii="Garamond" w:hAnsi="Garamond"/>
                <w:sz w:val="12"/>
                <w:szCs w:val="12"/>
              </w:rPr>
              <w:t xml:space="preserve">90% e bizneseve kanë qartësi mbi informacionin tatimor (do </w:t>
            </w:r>
            <w:r w:rsidR="00B23EFE" w:rsidRPr="00CC11D5">
              <w:rPr>
                <w:rFonts w:ascii="Garamond" w:hAnsi="Garamond"/>
                <w:sz w:val="12"/>
                <w:szCs w:val="12"/>
              </w:rPr>
              <w:t xml:space="preserve">të </w:t>
            </w:r>
            <w:r w:rsidRPr="00CC11D5">
              <w:rPr>
                <w:rFonts w:ascii="Garamond" w:hAnsi="Garamond"/>
                <w:sz w:val="12"/>
                <w:szCs w:val="12"/>
              </w:rPr>
              <w:t>ndryshohen indikatorët sipas vlerave bazë)</w:t>
            </w:r>
          </w:p>
        </w:tc>
      </w:tr>
      <w:tr w:rsidR="00A53A79" w:rsidRPr="00CC11D5" w14:paraId="6415D471" w14:textId="77777777" w:rsidTr="006B61C6">
        <w:trPr>
          <w:trHeight w:val="20"/>
        </w:trPr>
        <w:tc>
          <w:tcPr>
            <w:tcW w:w="2547" w:type="dxa"/>
            <w:tcBorders>
              <w:top w:val="nil"/>
              <w:left w:val="single" w:sz="4" w:space="0" w:color="auto"/>
              <w:bottom w:val="single" w:sz="4" w:space="0" w:color="auto"/>
              <w:right w:val="single" w:sz="4" w:space="0" w:color="auto"/>
            </w:tcBorders>
            <w:shd w:val="clear" w:color="FFFFFF" w:fill="FFFFFF"/>
            <w:vAlign w:val="center"/>
          </w:tcPr>
          <w:p w14:paraId="0378F30D" w14:textId="77777777" w:rsidR="00A53A79" w:rsidRPr="00CC11D5" w:rsidRDefault="00A53A79" w:rsidP="006B61C6">
            <w:pPr>
              <w:jc w:val="center"/>
              <w:rPr>
                <w:rFonts w:ascii="Garamond" w:hAnsi="Garamond"/>
                <w:sz w:val="12"/>
                <w:szCs w:val="12"/>
              </w:rPr>
            </w:pPr>
            <w:r w:rsidRPr="00CC11D5">
              <w:rPr>
                <w:rFonts w:ascii="Garamond" w:hAnsi="Garamond"/>
                <w:sz w:val="12"/>
                <w:szCs w:val="12"/>
              </w:rPr>
              <w:t>Implementimi i deklaratave të reja të Tatimit në Burim dhe paraplotësimi i deklaratës DIVA</w:t>
            </w:r>
          </w:p>
        </w:tc>
        <w:tc>
          <w:tcPr>
            <w:tcW w:w="1688" w:type="dxa"/>
            <w:tcBorders>
              <w:top w:val="nil"/>
              <w:left w:val="single" w:sz="4" w:space="0" w:color="auto"/>
              <w:bottom w:val="single" w:sz="4" w:space="0" w:color="auto"/>
              <w:right w:val="single" w:sz="4" w:space="0" w:color="auto"/>
            </w:tcBorders>
            <w:shd w:val="clear" w:color="FFFFFF" w:fill="FFFFFF"/>
            <w:vAlign w:val="center"/>
          </w:tcPr>
          <w:p w14:paraId="5210DC1D" w14:textId="77777777" w:rsidR="00A53A79" w:rsidRPr="00CC11D5" w:rsidRDefault="00A53A79" w:rsidP="006B61C6">
            <w:pPr>
              <w:jc w:val="center"/>
              <w:rPr>
                <w:rFonts w:ascii="Garamond" w:hAnsi="Garamond"/>
                <w:sz w:val="12"/>
                <w:szCs w:val="12"/>
              </w:rPr>
            </w:pPr>
            <w:r w:rsidRPr="00CC11D5">
              <w:rPr>
                <w:rFonts w:ascii="Garamond" w:hAnsi="Garamond"/>
                <w:sz w:val="12"/>
                <w:szCs w:val="12"/>
              </w:rPr>
              <w:t>73,000 deklarata</w:t>
            </w:r>
          </w:p>
        </w:tc>
        <w:tc>
          <w:tcPr>
            <w:tcW w:w="800" w:type="dxa"/>
            <w:tcBorders>
              <w:top w:val="nil"/>
              <w:left w:val="nil"/>
              <w:bottom w:val="single" w:sz="4" w:space="0" w:color="auto"/>
              <w:right w:val="single" w:sz="4" w:space="0" w:color="auto"/>
            </w:tcBorders>
            <w:shd w:val="clear" w:color="FFFFFF" w:fill="FFFFFF"/>
            <w:vAlign w:val="center"/>
          </w:tcPr>
          <w:p w14:paraId="6BD92CAF" w14:textId="77777777" w:rsidR="00A53A79" w:rsidRPr="00CC11D5" w:rsidRDefault="00A53A79" w:rsidP="006B61C6">
            <w:pPr>
              <w:jc w:val="center"/>
              <w:rPr>
                <w:rFonts w:ascii="Garamond" w:hAnsi="Garamond"/>
                <w:sz w:val="12"/>
                <w:szCs w:val="12"/>
              </w:rPr>
            </w:pPr>
          </w:p>
        </w:tc>
        <w:tc>
          <w:tcPr>
            <w:tcW w:w="902" w:type="dxa"/>
            <w:tcBorders>
              <w:top w:val="nil"/>
              <w:left w:val="nil"/>
              <w:bottom w:val="single" w:sz="4" w:space="0" w:color="auto"/>
              <w:right w:val="single" w:sz="4" w:space="0" w:color="auto"/>
            </w:tcBorders>
            <w:shd w:val="clear" w:color="FFFFFF" w:fill="FFFFFF"/>
            <w:vAlign w:val="center"/>
          </w:tcPr>
          <w:p w14:paraId="059421D9" w14:textId="77777777" w:rsidR="00A53A79" w:rsidRPr="00CC11D5" w:rsidRDefault="00A53A79" w:rsidP="006B61C6">
            <w:pPr>
              <w:jc w:val="center"/>
              <w:rPr>
                <w:rFonts w:ascii="Garamond" w:hAnsi="Garamond"/>
                <w:sz w:val="12"/>
                <w:szCs w:val="12"/>
              </w:rPr>
            </w:pPr>
          </w:p>
        </w:tc>
        <w:tc>
          <w:tcPr>
            <w:tcW w:w="1349" w:type="dxa"/>
            <w:tcBorders>
              <w:top w:val="nil"/>
              <w:left w:val="nil"/>
              <w:bottom w:val="single" w:sz="4" w:space="0" w:color="auto"/>
              <w:right w:val="single" w:sz="4" w:space="0" w:color="auto"/>
            </w:tcBorders>
            <w:shd w:val="clear" w:color="FFFFFF" w:fill="FFFFFF"/>
            <w:vAlign w:val="center"/>
          </w:tcPr>
          <w:p w14:paraId="1EE34771" w14:textId="77777777" w:rsidR="00A53A79" w:rsidRPr="00CC11D5" w:rsidRDefault="00A53A79" w:rsidP="006B61C6">
            <w:pPr>
              <w:jc w:val="center"/>
              <w:rPr>
                <w:rFonts w:ascii="Garamond" w:hAnsi="Garamond"/>
                <w:sz w:val="12"/>
                <w:szCs w:val="12"/>
              </w:rPr>
            </w:pPr>
            <w:r w:rsidRPr="00CC11D5">
              <w:rPr>
                <w:rFonts w:ascii="Garamond" w:hAnsi="Garamond"/>
                <w:sz w:val="12"/>
                <w:szCs w:val="12"/>
              </w:rPr>
              <w:t>100%</w:t>
            </w:r>
          </w:p>
        </w:tc>
        <w:tc>
          <w:tcPr>
            <w:tcW w:w="1549" w:type="dxa"/>
            <w:tcBorders>
              <w:top w:val="nil"/>
              <w:left w:val="nil"/>
              <w:bottom w:val="single" w:sz="4" w:space="0" w:color="auto"/>
              <w:right w:val="single" w:sz="4" w:space="0" w:color="auto"/>
            </w:tcBorders>
            <w:shd w:val="clear" w:color="FFFFFF" w:fill="FFFFFF"/>
            <w:vAlign w:val="center"/>
          </w:tcPr>
          <w:p w14:paraId="10388A14" w14:textId="77777777" w:rsidR="00A53A79" w:rsidRPr="00CC11D5" w:rsidRDefault="00A53A79" w:rsidP="006B61C6">
            <w:pPr>
              <w:jc w:val="center"/>
              <w:rPr>
                <w:rFonts w:ascii="Garamond" w:hAnsi="Garamond"/>
                <w:sz w:val="12"/>
                <w:szCs w:val="12"/>
              </w:rPr>
            </w:pPr>
          </w:p>
        </w:tc>
      </w:tr>
      <w:tr w:rsidR="00A53A79" w:rsidRPr="00CC11D5" w14:paraId="7452D39F" w14:textId="77777777" w:rsidTr="006B61C6">
        <w:trPr>
          <w:trHeight w:val="20"/>
        </w:trPr>
        <w:tc>
          <w:tcPr>
            <w:tcW w:w="2547" w:type="dxa"/>
            <w:tcBorders>
              <w:top w:val="nil"/>
              <w:left w:val="single" w:sz="4" w:space="0" w:color="auto"/>
              <w:bottom w:val="single" w:sz="4" w:space="0" w:color="auto"/>
              <w:right w:val="single" w:sz="4" w:space="0" w:color="auto"/>
            </w:tcBorders>
            <w:shd w:val="clear" w:color="FFFFFF" w:fill="FFFFFF"/>
            <w:vAlign w:val="center"/>
          </w:tcPr>
          <w:p w14:paraId="3483CF37" w14:textId="2F08D9C1" w:rsidR="00A53A79" w:rsidRPr="00CC11D5" w:rsidRDefault="00A53A79" w:rsidP="006B61C6">
            <w:pPr>
              <w:jc w:val="center"/>
              <w:rPr>
                <w:rFonts w:ascii="Garamond" w:hAnsi="Garamond"/>
                <w:sz w:val="12"/>
                <w:szCs w:val="12"/>
              </w:rPr>
            </w:pPr>
            <w:r w:rsidRPr="00CC11D5">
              <w:rPr>
                <w:rFonts w:ascii="Garamond" w:hAnsi="Garamond"/>
                <w:sz w:val="12"/>
                <w:szCs w:val="12"/>
              </w:rPr>
              <w:t>Ulja e kohës mesatare të rimbursimit të</w:t>
            </w:r>
            <w:r w:rsidR="00DE65FB" w:rsidRPr="00CC11D5">
              <w:rPr>
                <w:rFonts w:ascii="Garamond" w:hAnsi="Garamond"/>
                <w:sz w:val="12"/>
                <w:szCs w:val="12"/>
              </w:rPr>
              <w:t xml:space="preserve"> TVSh</w:t>
            </w:r>
            <w:r w:rsidRPr="00CC11D5">
              <w:rPr>
                <w:rFonts w:ascii="Garamond" w:hAnsi="Garamond"/>
                <w:sz w:val="12"/>
                <w:szCs w:val="12"/>
              </w:rPr>
              <w:t>-së</w:t>
            </w:r>
          </w:p>
        </w:tc>
        <w:tc>
          <w:tcPr>
            <w:tcW w:w="1688" w:type="dxa"/>
            <w:tcBorders>
              <w:top w:val="nil"/>
              <w:left w:val="single" w:sz="4" w:space="0" w:color="auto"/>
              <w:bottom w:val="single" w:sz="4" w:space="0" w:color="auto"/>
              <w:right w:val="single" w:sz="4" w:space="0" w:color="auto"/>
            </w:tcBorders>
            <w:shd w:val="clear" w:color="FFFFFF" w:fill="FFFFFF"/>
            <w:vAlign w:val="center"/>
          </w:tcPr>
          <w:p w14:paraId="3FB1347E" w14:textId="7ABE4773" w:rsidR="00A53A79" w:rsidRPr="00CC11D5" w:rsidRDefault="00A53A79" w:rsidP="006B61C6">
            <w:pPr>
              <w:jc w:val="center"/>
              <w:rPr>
                <w:rFonts w:ascii="Garamond" w:hAnsi="Garamond"/>
                <w:sz w:val="12"/>
                <w:szCs w:val="12"/>
              </w:rPr>
            </w:pPr>
            <w:r w:rsidRPr="00CC11D5">
              <w:rPr>
                <w:rFonts w:ascii="Garamond" w:hAnsi="Garamond"/>
                <w:sz w:val="12"/>
                <w:szCs w:val="12"/>
              </w:rPr>
              <w:t>Afati mesatar</w:t>
            </w:r>
            <w:r w:rsidR="00D22EA5" w:rsidRPr="00CC11D5">
              <w:rPr>
                <w:rFonts w:ascii="Garamond" w:hAnsi="Garamond"/>
                <w:sz w:val="12"/>
                <w:szCs w:val="12"/>
              </w:rPr>
              <w:t xml:space="preserve"> </w:t>
            </w:r>
            <w:r w:rsidRPr="00CC11D5">
              <w:rPr>
                <w:rFonts w:ascii="Garamond" w:hAnsi="Garamond"/>
                <w:sz w:val="12"/>
                <w:szCs w:val="12"/>
              </w:rPr>
              <w:t>35 ditë</w:t>
            </w:r>
          </w:p>
          <w:p w14:paraId="0C379281" w14:textId="77777777" w:rsidR="00A53A79" w:rsidRPr="00CC11D5" w:rsidRDefault="00A53A79" w:rsidP="006B61C6">
            <w:pPr>
              <w:jc w:val="center"/>
              <w:rPr>
                <w:rFonts w:ascii="Garamond" w:hAnsi="Garamond"/>
                <w:sz w:val="12"/>
                <w:szCs w:val="12"/>
              </w:rPr>
            </w:pPr>
          </w:p>
        </w:tc>
        <w:tc>
          <w:tcPr>
            <w:tcW w:w="800" w:type="dxa"/>
            <w:tcBorders>
              <w:top w:val="nil"/>
              <w:left w:val="nil"/>
              <w:bottom w:val="single" w:sz="4" w:space="0" w:color="auto"/>
              <w:right w:val="single" w:sz="4" w:space="0" w:color="auto"/>
            </w:tcBorders>
            <w:shd w:val="clear" w:color="FFFFFF" w:fill="FFFFFF"/>
            <w:vAlign w:val="center"/>
          </w:tcPr>
          <w:p w14:paraId="4AFC1257" w14:textId="77777777" w:rsidR="00A53A79" w:rsidRPr="00CC11D5" w:rsidRDefault="00A53A79" w:rsidP="006B61C6">
            <w:pPr>
              <w:jc w:val="center"/>
              <w:rPr>
                <w:rFonts w:ascii="Garamond" w:hAnsi="Garamond"/>
                <w:sz w:val="12"/>
                <w:szCs w:val="12"/>
              </w:rPr>
            </w:pPr>
          </w:p>
        </w:tc>
        <w:tc>
          <w:tcPr>
            <w:tcW w:w="902" w:type="dxa"/>
            <w:tcBorders>
              <w:top w:val="nil"/>
              <w:left w:val="nil"/>
              <w:bottom w:val="single" w:sz="4" w:space="0" w:color="auto"/>
              <w:right w:val="single" w:sz="4" w:space="0" w:color="auto"/>
            </w:tcBorders>
            <w:shd w:val="clear" w:color="FFFFFF" w:fill="FFFFFF"/>
            <w:vAlign w:val="center"/>
          </w:tcPr>
          <w:p w14:paraId="43586547" w14:textId="77777777" w:rsidR="00A53A79" w:rsidRPr="00CC11D5" w:rsidRDefault="00A53A79" w:rsidP="006B61C6">
            <w:pPr>
              <w:jc w:val="center"/>
              <w:rPr>
                <w:rFonts w:ascii="Garamond" w:hAnsi="Garamond"/>
                <w:sz w:val="12"/>
                <w:szCs w:val="12"/>
              </w:rPr>
            </w:pPr>
          </w:p>
        </w:tc>
        <w:tc>
          <w:tcPr>
            <w:tcW w:w="1349" w:type="dxa"/>
            <w:tcBorders>
              <w:top w:val="nil"/>
              <w:left w:val="nil"/>
              <w:bottom w:val="single" w:sz="4" w:space="0" w:color="auto"/>
              <w:right w:val="single" w:sz="4" w:space="0" w:color="auto"/>
            </w:tcBorders>
            <w:shd w:val="clear" w:color="FFFFFF" w:fill="FFFFFF"/>
            <w:vAlign w:val="center"/>
          </w:tcPr>
          <w:p w14:paraId="31322E2F" w14:textId="77777777" w:rsidR="00A53A79" w:rsidRPr="00CC11D5" w:rsidRDefault="00A53A79" w:rsidP="006B61C6">
            <w:pPr>
              <w:jc w:val="center"/>
              <w:rPr>
                <w:rFonts w:ascii="Garamond" w:hAnsi="Garamond"/>
                <w:sz w:val="12"/>
                <w:szCs w:val="12"/>
              </w:rPr>
            </w:pPr>
          </w:p>
        </w:tc>
        <w:tc>
          <w:tcPr>
            <w:tcW w:w="1549" w:type="dxa"/>
            <w:tcBorders>
              <w:top w:val="nil"/>
              <w:left w:val="nil"/>
              <w:bottom w:val="single" w:sz="4" w:space="0" w:color="auto"/>
              <w:right w:val="single" w:sz="4" w:space="0" w:color="auto"/>
            </w:tcBorders>
            <w:shd w:val="clear" w:color="FFFFFF" w:fill="FFFFFF"/>
            <w:vAlign w:val="center"/>
          </w:tcPr>
          <w:p w14:paraId="6D228F4C" w14:textId="77777777" w:rsidR="00A53A79" w:rsidRPr="00CC11D5" w:rsidRDefault="00A53A79" w:rsidP="006B61C6">
            <w:pPr>
              <w:jc w:val="center"/>
              <w:rPr>
                <w:rFonts w:ascii="Garamond" w:hAnsi="Garamond"/>
                <w:sz w:val="12"/>
                <w:szCs w:val="12"/>
              </w:rPr>
            </w:pPr>
            <w:r w:rsidRPr="00CC11D5">
              <w:rPr>
                <w:rFonts w:ascii="Garamond" w:hAnsi="Garamond"/>
                <w:sz w:val="12"/>
                <w:szCs w:val="12"/>
              </w:rPr>
              <w:t>Afati mesatar brenda 25 ditëve</w:t>
            </w:r>
          </w:p>
          <w:p w14:paraId="61E048B9" w14:textId="77777777" w:rsidR="00A53A79" w:rsidRPr="00CC11D5" w:rsidRDefault="00A53A79" w:rsidP="006B61C6">
            <w:pPr>
              <w:jc w:val="center"/>
              <w:rPr>
                <w:rFonts w:ascii="Garamond" w:hAnsi="Garamond"/>
                <w:sz w:val="12"/>
                <w:szCs w:val="12"/>
              </w:rPr>
            </w:pPr>
          </w:p>
        </w:tc>
      </w:tr>
      <w:tr w:rsidR="00A53A79" w:rsidRPr="00CC11D5" w14:paraId="1B544DFC" w14:textId="77777777" w:rsidTr="006B61C6">
        <w:trPr>
          <w:trHeight w:val="20"/>
        </w:trPr>
        <w:tc>
          <w:tcPr>
            <w:tcW w:w="2547" w:type="dxa"/>
            <w:tcBorders>
              <w:top w:val="nil"/>
              <w:left w:val="single" w:sz="4" w:space="0" w:color="auto"/>
              <w:bottom w:val="single" w:sz="4" w:space="0" w:color="auto"/>
              <w:right w:val="single" w:sz="4" w:space="0" w:color="auto"/>
            </w:tcBorders>
            <w:vAlign w:val="center"/>
          </w:tcPr>
          <w:p w14:paraId="288D629D" w14:textId="77777777" w:rsidR="00A53A79" w:rsidRPr="00CC11D5" w:rsidRDefault="00A53A79" w:rsidP="006B61C6">
            <w:pPr>
              <w:jc w:val="center"/>
              <w:rPr>
                <w:rFonts w:ascii="Garamond" w:hAnsi="Garamond"/>
                <w:sz w:val="12"/>
                <w:szCs w:val="12"/>
              </w:rPr>
            </w:pPr>
            <w:r w:rsidRPr="00CC11D5">
              <w:rPr>
                <w:rFonts w:ascii="Garamond" w:hAnsi="Garamond"/>
                <w:sz w:val="12"/>
                <w:szCs w:val="12"/>
              </w:rPr>
              <w:t xml:space="preserve">Krijimi i një Forumi këshillues tek DPT me ekspertët kontabël, </w:t>
            </w:r>
            <w:r w:rsidRPr="003C36D3">
              <w:rPr>
                <w:rFonts w:ascii="Garamond" w:hAnsi="Garamond"/>
                <w:sz w:val="12"/>
                <w:szCs w:val="12"/>
              </w:rPr>
              <w:t>kontabistët</w:t>
            </w:r>
            <w:r w:rsidRPr="00CC11D5">
              <w:rPr>
                <w:rFonts w:ascii="Garamond" w:hAnsi="Garamond"/>
                <w:sz w:val="12"/>
                <w:szCs w:val="12"/>
              </w:rPr>
              <w:t xml:space="preserve"> e shoqatat e biznesit.</w:t>
            </w:r>
          </w:p>
        </w:tc>
        <w:tc>
          <w:tcPr>
            <w:tcW w:w="1688" w:type="dxa"/>
            <w:tcBorders>
              <w:top w:val="nil"/>
              <w:left w:val="single" w:sz="4" w:space="0" w:color="auto"/>
              <w:bottom w:val="single" w:sz="4" w:space="0" w:color="auto"/>
              <w:right w:val="single" w:sz="4" w:space="0" w:color="auto"/>
            </w:tcBorders>
            <w:shd w:val="clear" w:color="auto" w:fill="auto"/>
            <w:noWrap/>
            <w:vAlign w:val="center"/>
          </w:tcPr>
          <w:p w14:paraId="530CF195" w14:textId="77777777" w:rsidR="00A53A79" w:rsidRPr="00CC11D5" w:rsidRDefault="00A53A79" w:rsidP="006B61C6">
            <w:pPr>
              <w:jc w:val="center"/>
              <w:rPr>
                <w:rFonts w:ascii="Garamond" w:hAnsi="Garamond"/>
                <w:sz w:val="12"/>
                <w:szCs w:val="12"/>
              </w:rPr>
            </w:pPr>
          </w:p>
        </w:tc>
        <w:tc>
          <w:tcPr>
            <w:tcW w:w="800" w:type="dxa"/>
            <w:tcBorders>
              <w:top w:val="nil"/>
              <w:left w:val="nil"/>
              <w:bottom w:val="single" w:sz="4" w:space="0" w:color="auto"/>
              <w:right w:val="single" w:sz="4" w:space="0" w:color="auto"/>
            </w:tcBorders>
            <w:shd w:val="clear" w:color="auto" w:fill="auto"/>
            <w:vAlign w:val="center"/>
          </w:tcPr>
          <w:p w14:paraId="329CC516" w14:textId="77777777" w:rsidR="00A53A79" w:rsidRPr="00CC11D5" w:rsidRDefault="00A53A79" w:rsidP="006B61C6">
            <w:pPr>
              <w:jc w:val="center"/>
              <w:rPr>
                <w:rFonts w:ascii="Garamond" w:hAnsi="Garamond"/>
                <w:sz w:val="12"/>
                <w:szCs w:val="12"/>
              </w:rPr>
            </w:pPr>
          </w:p>
        </w:tc>
        <w:tc>
          <w:tcPr>
            <w:tcW w:w="902" w:type="dxa"/>
            <w:tcBorders>
              <w:top w:val="nil"/>
              <w:left w:val="nil"/>
              <w:bottom w:val="single" w:sz="4" w:space="0" w:color="auto"/>
              <w:right w:val="single" w:sz="4" w:space="0" w:color="auto"/>
            </w:tcBorders>
            <w:shd w:val="clear" w:color="auto" w:fill="auto"/>
            <w:vAlign w:val="center"/>
          </w:tcPr>
          <w:p w14:paraId="43419C4F" w14:textId="77777777" w:rsidR="00A53A79" w:rsidRPr="00CC11D5" w:rsidRDefault="00A53A79" w:rsidP="006B61C6">
            <w:pPr>
              <w:jc w:val="center"/>
              <w:rPr>
                <w:rFonts w:ascii="Garamond" w:hAnsi="Garamond"/>
                <w:sz w:val="12"/>
                <w:szCs w:val="12"/>
              </w:rPr>
            </w:pPr>
            <w:r w:rsidRPr="00CC11D5">
              <w:rPr>
                <w:rFonts w:ascii="Garamond" w:hAnsi="Garamond"/>
                <w:sz w:val="12"/>
                <w:szCs w:val="12"/>
              </w:rPr>
              <w:t>Qershor 2025</w:t>
            </w:r>
          </w:p>
        </w:tc>
        <w:tc>
          <w:tcPr>
            <w:tcW w:w="1349" w:type="dxa"/>
            <w:tcBorders>
              <w:top w:val="nil"/>
              <w:left w:val="nil"/>
              <w:bottom w:val="single" w:sz="4" w:space="0" w:color="auto"/>
              <w:right w:val="single" w:sz="4" w:space="0" w:color="auto"/>
            </w:tcBorders>
            <w:shd w:val="clear" w:color="auto" w:fill="auto"/>
            <w:vAlign w:val="center"/>
          </w:tcPr>
          <w:p w14:paraId="471648D5" w14:textId="77777777" w:rsidR="00A53A79" w:rsidRPr="00CC11D5" w:rsidRDefault="00A53A79" w:rsidP="006B61C6">
            <w:pPr>
              <w:jc w:val="center"/>
              <w:rPr>
                <w:rFonts w:ascii="Garamond" w:hAnsi="Garamond"/>
                <w:sz w:val="12"/>
                <w:szCs w:val="12"/>
              </w:rPr>
            </w:pPr>
          </w:p>
        </w:tc>
        <w:tc>
          <w:tcPr>
            <w:tcW w:w="1549" w:type="dxa"/>
            <w:tcBorders>
              <w:top w:val="nil"/>
              <w:left w:val="nil"/>
              <w:bottom w:val="single" w:sz="4" w:space="0" w:color="auto"/>
              <w:right w:val="single" w:sz="4" w:space="0" w:color="auto"/>
            </w:tcBorders>
            <w:shd w:val="clear" w:color="auto" w:fill="auto"/>
            <w:vAlign w:val="center"/>
          </w:tcPr>
          <w:p w14:paraId="3CF4EDD1" w14:textId="77777777" w:rsidR="00A53A79" w:rsidRPr="00CC11D5" w:rsidRDefault="00A53A79" w:rsidP="006B61C6">
            <w:pPr>
              <w:jc w:val="center"/>
              <w:rPr>
                <w:rFonts w:ascii="Garamond" w:hAnsi="Garamond"/>
                <w:sz w:val="12"/>
                <w:szCs w:val="12"/>
              </w:rPr>
            </w:pPr>
            <w:r w:rsidRPr="00CC11D5">
              <w:rPr>
                <w:rFonts w:ascii="Garamond" w:hAnsi="Garamond"/>
                <w:sz w:val="12"/>
                <w:szCs w:val="12"/>
              </w:rPr>
              <w:t>Krijohet</w:t>
            </w:r>
          </w:p>
        </w:tc>
      </w:tr>
      <w:tr w:rsidR="00A53A79" w:rsidRPr="00CC11D5" w14:paraId="6F9A6306" w14:textId="77777777" w:rsidTr="006B61C6">
        <w:trPr>
          <w:trHeight w:val="20"/>
        </w:trPr>
        <w:tc>
          <w:tcPr>
            <w:tcW w:w="2547" w:type="dxa"/>
            <w:tcBorders>
              <w:top w:val="single" w:sz="4" w:space="0" w:color="auto"/>
              <w:left w:val="single" w:sz="4" w:space="0" w:color="auto"/>
              <w:bottom w:val="single" w:sz="4" w:space="0" w:color="auto"/>
              <w:right w:val="single" w:sz="4" w:space="0" w:color="auto"/>
            </w:tcBorders>
            <w:vAlign w:val="center"/>
          </w:tcPr>
          <w:p w14:paraId="0C4074F9" w14:textId="77777777" w:rsidR="00A53A79" w:rsidRPr="00CC11D5" w:rsidRDefault="00A53A79" w:rsidP="006B61C6">
            <w:pPr>
              <w:jc w:val="center"/>
              <w:rPr>
                <w:rFonts w:ascii="Garamond" w:hAnsi="Garamond"/>
                <w:sz w:val="12"/>
                <w:szCs w:val="12"/>
              </w:rPr>
            </w:pPr>
            <w:r w:rsidRPr="00CC11D5">
              <w:rPr>
                <w:rFonts w:ascii="Garamond" w:eastAsiaTheme="minorHAnsi" w:hAnsi="Garamond"/>
                <w:sz w:val="12"/>
                <w:szCs w:val="12"/>
              </w:rPr>
              <w:t>Hartimi i Planit të integritetit të Administratës tatimore</w:t>
            </w:r>
          </w:p>
        </w:tc>
        <w:tc>
          <w:tcPr>
            <w:tcW w:w="16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D41F51" w14:textId="77777777" w:rsidR="00A53A79" w:rsidRPr="00CC11D5" w:rsidRDefault="00A53A79" w:rsidP="006B61C6">
            <w:pPr>
              <w:jc w:val="center"/>
              <w:rPr>
                <w:rFonts w:ascii="Garamond" w:hAnsi="Garamond"/>
                <w:sz w:val="12"/>
                <w:szCs w:val="12"/>
              </w:rPr>
            </w:pPr>
          </w:p>
        </w:tc>
        <w:tc>
          <w:tcPr>
            <w:tcW w:w="800" w:type="dxa"/>
            <w:tcBorders>
              <w:top w:val="single" w:sz="4" w:space="0" w:color="auto"/>
              <w:left w:val="nil"/>
              <w:bottom w:val="single" w:sz="4" w:space="0" w:color="auto"/>
              <w:right w:val="single" w:sz="4" w:space="0" w:color="auto"/>
            </w:tcBorders>
            <w:shd w:val="clear" w:color="auto" w:fill="auto"/>
            <w:vAlign w:val="center"/>
          </w:tcPr>
          <w:p w14:paraId="27C23C5F" w14:textId="77777777" w:rsidR="00A53A79" w:rsidRPr="00CC11D5" w:rsidRDefault="00A53A79" w:rsidP="006B61C6">
            <w:pPr>
              <w:jc w:val="center"/>
              <w:rPr>
                <w:rFonts w:ascii="Garamond" w:hAnsi="Garamond"/>
                <w:sz w:val="12"/>
                <w:szCs w:val="12"/>
              </w:rPr>
            </w:pPr>
          </w:p>
        </w:tc>
        <w:tc>
          <w:tcPr>
            <w:tcW w:w="902" w:type="dxa"/>
            <w:tcBorders>
              <w:top w:val="single" w:sz="4" w:space="0" w:color="auto"/>
              <w:left w:val="nil"/>
              <w:bottom w:val="single" w:sz="4" w:space="0" w:color="auto"/>
              <w:right w:val="single" w:sz="4" w:space="0" w:color="auto"/>
            </w:tcBorders>
            <w:shd w:val="clear" w:color="auto" w:fill="auto"/>
            <w:vAlign w:val="center"/>
          </w:tcPr>
          <w:p w14:paraId="6192C919" w14:textId="77777777" w:rsidR="00A53A79" w:rsidRPr="00CC11D5" w:rsidRDefault="00A53A79" w:rsidP="006B61C6">
            <w:pPr>
              <w:jc w:val="center"/>
              <w:rPr>
                <w:rFonts w:ascii="Garamond" w:hAnsi="Garamond"/>
                <w:sz w:val="12"/>
                <w:szCs w:val="12"/>
              </w:rPr>
            </w:pPr>
            <w:r w:rsidRPr="00CC11D5">
              <w:rPr>
                <w:rFonts w:ascii="Garamond" w:hAnsi="Garamond"/>
                <w:sz w:val="12"/>
                <w:szCs w:val="12"/>
              </w:rPr>
              <w:t>Qershor 2025</w:t>
            </w:r>
          </w:p>
        </w:tc>
        <w:tc>
          <w:tcPr>
            <w:tcW w:w="1349" w:type="dxa"/>
            <w:tcBorders>
              <w:top w:val="single" w:sz="4" w:space="0" w:color="auto"/>
              <w:left w:val="nil"/>
              <w:bottom w:val="single" w:sz="4" w:space="0" w:color="auto"/>
              <w:right w:val="single" w:sz="4" w:space="0" w:color="auto"/>
            </w:tcBorders>
            <w:shd w:val="clear" w:color="auto" w:fill="auto"/>
            <w:vAlign w:val="center"/>
          </w:tcPr>
          <w:p w14:paraId="5739B3F3" w14:textId="77777777" w:rsidR="00A53A79" w:rsidRPr="00CC11D5" w:rsidRDefault="00A53A79" w:rsidP="006B61C6">
            <w:pPr>
              <w:jc w:val="center"/>
              <w:rPr>
                <w:rFonts w:ascii="Garamond" w:hAnsi="Garamond"/>
                <w:sz w:val="12"/>
                <w:szCs w:val="12"/>
              </w:rPr>
            </w:pPr>
          </w:p>
        </w:tc>
        <w:tc>
          <w:tcPr>
            <w:tcW w:w="1549" w:type="dxa"/>
            <w:tcBorders>
              <w:top w:val="single" w:sz="4" w:space="0" w:color="auto"/>
              <w:left w:val="nil"/>
              <w:bottom w:val="single" w:sz="4" w:space="0" w:color="auto"/>
              <w:right w:val="single" w:sz="4" w:space="0" w:color="auto"/>
            </w:tcBorders>
            <w:shd w:val="clear" w:color="auto" w:fill="auto"/>
            <w:vAlign w:val="center"/>
          </w:tcPr>
          <w:p w14:paraId="5BB95262" w14:textId="77777777" w:rsidR="00A53A79" w:rsidRPr="00CC11D5" w:rsidRDefault="00A53A79" w:rsidP="006B61C6">
            <w:pPr>
              <w:jc w:val="center"/>
              <w:rPr>
                <w:rFonts w:ascii="Garamond" w:hAnsi="Garamond"/>
                <w:sz w:val="12"/>
                <w:szCs w:val="12"/>
              </w:rPr>
            </w:pPr>
          </w:p>
        </w:tc>
      </w:tr>
    </w:tbl>
    <w:p w14:paraId="10D5CCD3" w14:textId="77777777" w:rsidR="00A53A79" w:rsidRPr="00830F4C" w:rsidRDefault="00A53A79" w:rsidP="00A53A79">
      <w:pPr>
        <w:ind w:left="360"/>
        <w:jc w:val="both"/>
        <w:rPr>
          <w:b/>
        </w:rPr>
      </w:pPr>
    </w:p>
    <w:p w14:paraId="751F8700" w14:textId="77777777" w:rsidR="00A53A79" w:rsidRPr="00830F4C" w:rsidRDefault="00A53A79" w:rsidP="00A53A79">
      <w:pPr>
        <w:ind w:firstLine="284"/>
        <w:rPr>
          <w:rFonts w:ascii="Garamond" w:hAnsi="Garamond"/>
        </w:rPr>
      </w:pPr>
      <w:r w:rsidRPr="00830F4C">
        <w:rPr>
          <w:rFonts w:ascii="Garamond" w:hAnsi="Garamond"/>
        </w:rPr>
        <w:t>Më poshtë është një përshkrim i masave dhe aktiviteteve për realizimin e këtij komponenti.</w:t>
      </w:r>
    </w:p>
    <w:p w14:paraId="558B0EB9" w14:textId="3776322D" w:rsidR="00A53A79" w:rsidRPr="00830F4C" w:rsidRDefault="00A53A79" w:rsidP="00A53A79">
      <w:pPr>
        <w:ind w:firstLine="284"/>
        <w:jc w:val="both"/>
        <w:rPr>
          <w:rFonts w:ascii="Garamond" w:hAnsi="Garamond"/>
        </w:rPr>
      </w:pPr>
      <w:r w:rsidRPr="00830F4C">
        <w:rPr>
          <w:rFonts w:ascii="Garamond" w:hAnsi="Garamond"/>
          <w:b/>
          <w:bCs/>
        </w:rPr>
        <w:t>Masa 2.6.1</w:t>
      </w:r>
      <w:r w:rsidR="00B23EFE">
        <w:rPr>
          <w:rFonts w:ascii="Garamond" w:hAnsi="Garamond"/>
          <w:b/>
          <w:bCs/>
        </w:rPr>
        <w:t xml:space="preserve"> </w:t>
      </w:r>
      <w:r w:rsidRPr="00830F4C">
        <w:rPr>
          <w:rFonts w:ascii="Garamond" w:hAnsi="Garamond"/>
          <w:b/>
          <w:bCs/>
        </w:rPr>
        <w:t>Hartimi i një strategjie për shërbimin e tatimpaguesve</w:t>
      </w:r>
      <w:r w:rsidRPr="00830F4C">
        <w:rPr>
          <w:rFonts w:ascii="Garamond" w:hAnsi="Garamond"/>
        </w:rPr>
        <w:t xml:space="preserve"> </w:t>
      </w:r>
    </w:p>
    <w:p w14:paraId="52C0B5A2" w14:textId="4C6FB380" w:rsidR="00A53A79" w:rsidRPr="00830F4C" w:rsidRDefault="00A53A79" w:rsidP="00A53A79">
      <w:pPr>
        <w:ind w:firstLine="284"/>
        <w:jc w:val="both"/>
        <w:rPr>
          <w:rFonts w:ascii="Garamond" w:hAnsi="Garamond"/>
        </w:rPr>
      </w:pPr>
      <w:r w:rsidRPr="00830F4C">
        <w:rPr>
          <w:rFonts w:ascii="Garamond" w:hAnsi="Garamond"/>
        </w:rPr>
        <w:t xml:space="preserve">Përmirësime pozitive janë bërë ndër vite nga </w:t>
      </w:r>
      <w:r w:rsidR="005C7FB7" w:rsidRPr="00830F4C">
        <w:rPr>
          <w:rFonts w:ascii="Garamond" w:hAnsi="Garamond"/>
        </w:rPr>
        <w:t>administrata</w:t>
      </w:r>
      <w:r w:rsidRPr="00830F4C">
        <w:rPr>
          <w:rFonts w:ascii="Garamond" w:hAnsi="Garamond"/>
        </w:rPr>
        <w:t xml:space="preserve"> tatimore për dig</w:t>
      </w:r>
      <w:r w:rsidR="005C7FB7">
        <w:rPr>
          <w:rFonts w:ascii="Garamond" w:hAnsi="Garamond"/>
        </w:rPr>
        <w:t>j</w:t>
      </w:r>
      <w:r w:rsidRPr="00830F4C">
        <w:rPr>
          <w:rFonts w:ascii="Garamond" w:hAnsi="Garamond"/>
        </w:rPr>
        <w:t>italizimin e shërbimeve dhe rritjen e rolit këshil</w:t>
      </w:r>
      <w:r w:rsidR="005C7FB7">
        <w:rPr>
          <w:rFonts w:ascii="Garamond" w:hAnsi="Garamond"/>
        </w:rPr>
        <w:t>l</w:t>
      </w:r>
      <w:r w:rsidRPr="00830F4C">
        <w:rPr>
          <w:rFonts w:ascii="Garamond" w:hAnsi="Garamond"/>
        </w:rPr>
        <w:t>ues të saj. Shërbimi për tatimpaguesit, si prioritet i rëndësishëm, është pjesë e Strategjisë së përgjithshme të Administratës Tatimore.</w:t>
      </w:r>
    </w:p>
    <w:p w14:paraId="4604ED4E" w14:textId="72A85DC8" w:rsidR="00A53A79" w:rsidRPr="00830F4C" w:rsidRDefault="00A53A79" w:rsidP="00A53A79">
      <w:pPr>
        <w:ind w:firstLine="284"/>
        <w:jc w:val="both"/>
        <w:rPr>
          <w:rFonts w:ascii="Garamond" w:hAnsi="Garamond"/>
        </w:rPr>
      </w:pPr>
      <w:r w:rsidRPr="00830F4C">
        <w:rPr>
          <w:rFonts w:ascii="Garamond" w:hAnsi="Garamond"/>
        </w:rPr>
        <w:t>Brenda vitit 2025</w:t>
      </w:r>
      <w:r w:rsidR="00B23EFE">
        <w:rPr>
          <w:rFonts w:ascii="Garamond" w:hAnsi="Garamond"/>
        </w:rPr>
        <w:t>,</w:t>
      </w:r>
      <w:r w:rsidRPr="00830F4C">
        <w:rPr>
          <w:rFonts w:ascii="Garamond" w:hAnsi="Garamond"/>
        </w:rPr>
        <w:t xml:space="preserve"> nën asistencën dhe partneritetin e Administratës Tatimore Suedeze do të hartohet Strategjia për Shërbimin e Tatimpaguesit. Strategjia do të përshkruajë vizionin e shërbimeve që AT</w:t>
      </w:r>
      <w:r w:rsidR="00B23EFE">
        <w:rPr>
          <w:rFonts w:ascii="Garamond" w:hAnsi="Garamond"/>
        </w:rPr>
        <w:t>-ja</w:t>
      </w:r>
      <w:r w:rsidRPr="00830F4C">
        <w:rPr>
          <w:rFonts w:ascii="Garamond" w:hAnsi="Garamond"/>
        </w:rPr>
        <w:t xml:space="preserve"> do të sigurojë për tatimpaguesit dhe konsulentët e tyre. Për të adresuar këtë rekomandim, AT</w:t>
      </w:r>
      <w:r w:rsidR="00B23EFE">
        <w:rPr>
          <w:rFonts w:ascii="Garamond" w:hAnsi="Garamond"/>
        </w:rPr>
        <w:t>-ja</w:t>
      </w:r>
      <w:r w:rsidRPr="00830F4C">
        <w:rPr>
          <w:rFonts w:ascii="Garamond" w:hAnsi="Garamond"/>
        </w:rPr>
        <w:t xml:space="preserve"> do të punojë drejt përmirësimit të udhëzimeve interpretuese për taksapaguesit dhe </w:t>
      </w:r>
      <w:r w:rsidR="005C7FB7" w:rsidRPr="00830F4C">
        <w:rPr>
          <w:rFonts w:ascii="Garamond" w:hAnsi="Garamond"/>
        </w:rPr>
        <w:t>konsulentët</w:t>
      </w:r>
      <w:r w:rsidRPr="00830F4C">
        <w:rPr>
          <w:rFonts w:ascii="Garamond" w:hAnsi="Garamond"/>
        </w:rPr>
        <w:t xml:space="preserve"> e tyre, si dhe përmirësimin e shërbimeve dhe proceseve tatimore nëpërmjet ndërveprimit të rregullt me përdoruesit e shërbimeve të administratës tatimore.</w:t>
      </w:r>
    </w:p>
    <w:p w14:paraId="4610A0ED" w14:textId="0ED8D917" w:rsidR="00A53A79" w:rsidRPr="00830F4C" w:rsidRDefault="00A53A79" w:rsidP="00A53A79">
      <w:pPr>
        <w:ind w:firstLine="284"/>
        <w:jc w:val="both"/>
        <w:rPr>
          <w:rFonts w:ascii="Garamond" w:hAnsi="Garamond"/>
        </w:rPr>
      </w:pPr>
      <w:r w:rsidRPr="00830F4C">
        <w:rPr>
          <w:rFonts w:ascii="Garamond" w:hAnsi="Garamond" w:cs="Wingdings"/>
        </w:rPr>
        <w:t xml:space="preserve">- </w:t>
      </w:r>
      <w:r w:rsidRPr="00830F4C">
        <w:rPr>
          <w:rFonts w:ascii="Garamond" w:hAnsi="Garamond"/>
        </w:rPr>
        <w:t>Aktiviteti 2.6.1.1</w:t>
      </w:r>
      <w:r w:rsidR="00B23EFE">
        <w:rPr>
          <w:rFonts w:ascii="Garamond" w:hAnsi="Garamond"/>
        </w:rPr>
        <w:t>:</w:t>
      </w:r>
      <w:r w:rsidRPr="00830F4C">
        <w:rPr>
          <w:rFonts w:ascii="Garamond" w:hAnsi="Garamond"/>
        </w:rPr>
        <w:t xml:space="preserve"> Përmirësimi i udhëzuesve shpjegues për subjektet tatimpaguese dhe </w:t>
      </w:r>
      <w:r w:rsidR="005C7FB7" w:rsidRPr="00830F4C">
        <w:rPr>
          <w:rFonts w:ascii="Garamond" w:hAnsi="Garamond"/>
        </w:rPr>
        <w:t>konsulentët</w:t>
      </w:r>
      <w:r w:rsidRPr="00830F4C">
        <w:rPr>
          <w:rFonts w:ascii="Garamond" w:hAnsi="Garamond"/>
        </w:rPr>
        <w:t xml:space="preserve"> e tyre.</w:t>
      </w:r>
    </w:p>
    <w:p w14:paraId="06FA8AE7" w14:textId="0E5BC98B" w:rsidR="00A53A79" w:rsidRPr="00830F4C" w:rsidRDefault="00A53A79" w:rsidP="00A53A79">
      <w:pPr>
        <w:ind w:firstLine="284"/>
        <w:jc w:val="both"/>
        <w:rPr>
          <w:rFonts w:ascii="Garamond" w:hAnsi="Garamond"/>
        </w:rPr>
      </w:pPr>
      <w:r w:rsidRPr="00830F4C">
        <w:rPr>
          <w:rFonts w:ascii="Garamond" w:hAnsi="Garamond" w:cs="Wingdings"/>
        </w:rPr>
        <w:t xml:space="preserve">- </w:t>
      </w:r>
      <w:r w:rsidRPr="00830F4C">
        <w:rPr>
          <w:rFonts w:ascii="Garamond" w:hAnsi="Garamond"/>
        </w:rPr>
        <w:t>Aktiviteti 2.2.6.2</w:t>
      </w:r>
      <w:r w:rsidR="00B23EFE">
        <w:rPr>
          <w:rFonts w:ascii="Garamond" w:hAnsi="Garamond"/>
        </w:rPr>
        <w:t>:</w:t>
      </w:r>
      <w:r w:rsidRPr="00830F4C">
        <w:rPr>
          <w:rFonts w:ascii="Garamond" w:hAnsi="Garamond"/>
        </w:rPr>
        <w:t xml:space="preserve"> Përmirësimi i shërbimeve dhe proceseve tatimore nëpërmjet ndërveprimit dhe komunikimit të rregullt dhe në kohë me përdoruesit e shërbimeve të administratës tatimore</w:t>
      </w:r>
      <w:r w:rsidR="00B23EFE">
        <w:rPr>
          <w:rFonts w:ascii="Garamond" w:hAnsi="Garamond"/>
        </w:rPr>
        <w:t>.</w:t>
      </w:r>
    </w:p>
    <w:p w14:paraId="54AF7B7C" w14:textId="2C6E18C4" w:rsidR="00A53A79" w:rsidRPr="00830F4C" w:rsidRDefault="00A53A79" w:rsidP="00A53A79">
      <w:pPr>
        <w:ind w:firstLine="284"/>
        <w:jc w:val="both"/>
        <w:rPr>
          <w:rFonts w:ascii="Garamond" w:hAnsi="Garamond"/>
          <w:b/>
          <w:bCs/>
        </w:rPr>
      </w:pPr>
      <w:r w:rsidRPr="00830F4C">
        <w:rPr>
          <w:rFonts w:ascii="Garamond" w:hAnsi="Garamond"/>
          <w:b/>
          <w:bCs/>
        </w:rPr>
        <w:t>Masa 2.6.2</w:t>
      </w:r>
      <w:r w:rsidR="00B23EFE">
        <w:rPr>
          <w:rFonts w:ascii="Garamond" w:hAnsi="Garamond"/>
          <w:b/>
          <w:bCs/>
        </w:rPr>
        <w:t xml:space="preserve"> </w:t>
      </w:r>
      <w:r w:rsidRPr="00830F4C">
        <w:rPr>
          <w:rFonts w:ascii="Garamond" w:hAnsi="Garamond"/>
          <w:b/>
          <w:bCs/>
        </w:rPr>
        <w:t>Ulja e kohës mesatare të rimbursimit të</w:t>
      </w:r>
      <w:r w:rsidR="00DE65FB">
        <w:rPr>
          <w:rFonts w:ascii="Garamond" w:hAnsi="Garamond"/>
          <w:b/>
          <w:bCs/>
        </w:rPr>
        <w:t xml:space="preserve"> TVSh</w:t>
      </w:r>
      <w:r w:rsidRPr="00830F4C">
        <w:rPr>
          <w:rFonts w:ascii="Garamond" w:hAnsi="Garamond"/>
          <w:b/>
          <w:bCs/>
        </w:rPr>
        <w:t>-së</w:t>
      </w:r>
    </w:p>
    <w:p w14:paraId="6B212D65" w14:textId="724F9E0E" w:rsidR="00A53A79" w:rsidRPr="00830F4C" w:rsidRDefault="00A53A79" w:rsidP="00A53A79">
      <w:pPr>
        <w:ind w:firstLine="284"/>
        <w:jc w:val="both"/>
        <w:rPr>
          <w:rFonts w:ascii="Garamond" w:hAnsi="Garamond"/>
        </w:rPr>
      </w:pPr>
      <w:r w:rsidRPr="00830F4C">
        <w:rPr>
          <w:rFonts w:ascii="Garamond" w:hAnsi="Garamond" w:cs="Wingdings"/>
        </w:rPr>
        <w:t xml:space="preserve">- </w:t>
      </w:r>
      <w:r w:rsidRPr="00830F4C">
        <w:rPr>
          <w:rFonts w:ascii="Garamond" w:hAnsi="Garamond"/>
        </w:rPr>
        <w:t>Aktiviteti 2.6.2.1</w:t>
      </w:r>
      <w:r w:rsidR="00B23EFE">
        <w:rPr>
          <w:rFonts w:ascii="Garamond" w:hAnsi="Garamond"/>
        </w:rPr>
        <w:t>:</w:t>
      </w:r>
      <w:r w:rsidRPr="00830F4C">
        <w:rPr>
          <w:rFonts w:ascii="Garamond" w:hAnsi="Garamond"/>
        </w:rPr>
        <w:t xml:space="preserve"> Automatizimi i pagesës së shumës së miratuar për rimbursim nëpërmjet realizimit të lidhjes automatike ndërmjet dy sistemeve, sistemit C@ts të Tatimeve dhe sistemit </w:t>
      </w:r>
      <w:r w:rsidRPr="005C7FB7">
        <w:rPr>
          <w:rFonts w:ascii="Garamond" w:hAnsi="Garamond"/>
          <w:i/>
        </w:rPr>
        <w:t>Afmis</w:t>
      </w:r>
      <w:r w:rsidRPr="00830F4C">
        <w:rPr>
          <w:rFonts w:ascii="Garamond" w:hAnsi="Garamond"/>
        </w:rPr>
        <w:t xml:space="preserve"> të Thesarit.</w:t>
      </w:r>
      <w:r w:rsidR="00D22EA5" w:rsidRPr="00830F4C">
        <w:rPr>
          <w:rFonts w:ascii="Garamond" w:hAnsi="Garamond"/>
        </w:rPr>
        <w:t xml:space="preserve"> </w:t>
      </w:r>
    </w:p>
    <w:p w14:paraId="72D7645D" w14:textId="736F60A4" w:rsidR="00A53A79" w:rsidRPr="00830F4C" w:rsidRDefault="00A53A79" w:rsidP="00A53A79">
      <w:pPr>
        <w:ind w:firstLine="284"/>
        <w:jc w:val="both"/>
        <w:rPr>
          <w:rFonts w:ascii="Garamond" w:hAnsi="Garamond"/>
          <w:b/>
          <w:bCs/>
        </w:rPr>
      </w:pPr>
      <w:r w:rsidRPr="00830F4C">
        <w:rPr>
          <w:rFonts w:ascii="Garamond" w:hAnsi="Garamond"/>
          <w:b/>
          <w:bCs/>
        </w:rPr>
        <w:t xml:space="preserve">Masa 2.6.3 Digjitalizimi i proceseve të punës </w:t>
      </w:r>
    </w:p>
    <w:p w14:paraId="4C323A8C" w14:textId="16B8F47E" w:rsidR="00A53A79" w:rsidRPr="00830F4C" w:rsidRDefault="00A53A79" w:rsidP="00A53A79">
      <w:pPr>
        <w:tabs>
          <w:tab w:val="left" w:pos="720"/>
        </w:tabs>
        <w:ind w:firstLine="284"/>
        <w:jc w:val="both"/>
        <w:rPr>
          <w:rFonts w:ascii="Garamond" w:hAnsi="Garamond"/>
        </w:rPr>
      </w:pPr>
      <w:r w:rsidRPr="00830F4C">
        <w:rPr>
          <w:rFonts w:ascii="Garamond" w:hAnsi="Garamond" w:cs="Wingdings"/>
        </w:rPr>
        <w:t xml:space="preserve">- </w:t>
      </w:r>
      <w:r w:rsidRPr="00830F4C">
        <w:rPr>
          <w:rFonts w:ascii="Garamond" w:hAnsi="Garamond"/>
        </w:rPr>
        <w:t>Aktiviteti 2.6.3.1</w:t>
      </w:r>
      <w:r w:rsidR="00B23EFE">
        <w:rPr>
          <w:rFonts w:ascii="Garamond" w:hAnsi="Garamond"/>
        </w:rPr>
        <w:t>:</w:t>
      </w:r>
      <w:r w:rsidRPr="00830F4C">
        <w:rPr>
          <w:rFonts w:ascii="Garamond" w:hAnsi="Garamond"/>
        </w:rPr>
        <w:t xml:space="preserve"> Publikimi i shërbimit </w:t>
      </w:r>
      <w:r w:rsidRPr="005C7FB7">
        <w:rPr>
          <w:rFonts w:ascii="Garamond" w:hAnsi="Garamond"/>
          <w:i/>
        </w:rPr>
        <w:t>UserTest</w:t>
      </w:r>
      <w:r w:rsidRPr="00830F4C">
        <w:rPr>
          <w:rFonts w:ascii="Garamond" w:hAnsi="Garamond"/>
        </w:rPr>
        <w:t xml:space="preserve"> në </w:t>
      </w:r>
      <w:r w:rsidRPr="005C7FB7">
        <w:rPr>
          <w:rFonts w:ascii="Garamond" w:hAnsi="Garamond"/>
          <w:i/>
        </w:rPr>
        <w:t>web</w:t>
      </w:r>
      <w:r w:rsidRPr="00830F4C">
        <w:rPr>
          <w:rFonts w:ascii="Garamond" w:hAnsi="Garamond"/>
        </w:rPr>
        <w:t>: tatime.gov.al, për informimin e individëve në lidhje me detyrimin për deklarim te DIVA. </w:t>
      </w:r>
    </w:p>
    <w:p w14:paraId="3DFCE2F4" w14:textId="0BE1F225" w:rsidR="00A53A79" w:rsidRPr="00830F4C" w:rsidRDefault="00A53A79" w:rsidP="00A53A79">
      <w:pPr>
        <w:tabs>
          <w:tab w:val="left" w:pos="720"/>
        </w:tabs>
        <w:ind w:firstLine="284"/>
        <w:jc w:val="both"/>
        <w:rPr>
          <w:rFonts w:ascii="Garamond" w:hAnsi="Garamond"/>
        </w:rPr>
      </w:pPr>
      <w:r w:rsidRPr="00830F4C">
        <w:rPr>
          <w:rFonts w:ascii="Garamond" w:hAnsi="Garamond" w:cs="Wingdings"/>
        </w:rPr>
        <w:t xml:space="preserve">- </w:t>
      </w:r>
      <w:r w:rsidRPr="00830F4C">
        <w:rPr>
          <w:rFonts w:ascii="Garamond" w:hAnsi="Garamond"/>
        </w:rPr>
        <w:t>Aktiviteti 2.6.3.2</w:t>
      </w:r>
      <w:r w:rsidR="00B23EFE">
        <w:rPr>
          <w:rFonts w:ascii="Garamond" w:hAnsi="Garamond"/>
        </w:rPr>
        <w:t>:</w:t>
      </w:r>
      <w:r w:rsidRPr="00830F4C">
        <w:rPr>
          <w:rFonts w:ascii="Garamond" w:hAnsi="Garamond"/>
        </w:rPr>
        <w:t xml:space="preserve"> Implementimi i deklaratave të reja të Tatimit në Burim dhe DIVA dhe paraplotësimi i deklaratave</w:t>
      </w:r>
      <w:r w:rsidR="00B23EFE">
        <w:rPr>
          <w:rFonts w:ascii="Garamond" w:hAnsi="Garamond"/>
        </w:rPr>
        <w:t>.</w:t>
      </w:r>
    </w:p>
    <w:p w14:paraId="299B792B" w14:textId="442D096D" w:rsidR="00A53A79" w:rsidRPr="00830F4C" w:rsidRDefault="00A53A79" w:rsidP="00A53A79">
      <w:pPr>
        <w:tabs>
          <w:tab w:val="left" w:pos="720"/>
        </w:tabs>
        <w:ind w:firstLine="284"/>
        <w:jc w:val="both"/>
        <w:rPr>
          <w:rFonts w:ascii="Garamond" w:hAnsi="Garamond"/>
        </w:rPr>
      </w:pPr>
      <w:r w:rsidRPr="00830F4C">
        <w:rPr>
          <w:rFonts w:ascii="Garamond" w:hAnsi="Garamond" w:cs="Wingdings"/>
        </w:rPr>
        <w:t xml:space="preserve">- </w:t>
      </w:r>
      <w:r w:rsidRPr="00830F4C">
        <w:rPr>
          <w:rFonts w:ascii="Garamond" w:hAnsi="Garamond"/>
        </w:rPr>
        <w:t>Aktiviteti 2.6.3.3</w:t>
      </w:r>
      <w:r w:rsidR="00B23EFE">
        <w:rPr>
          <w:rFonts w:ascii="Garamond" w:hAnsi="Garamond"/>
        </w:rPr>
        <w:t>:</w:t>
      </w:r>
      <w:r w:rsidRPr="00830F4C">
        <w:rPr>
          <w:rFonts w:ascii="Garamond" w:hAnsi="Garamond"/>
        </w:rPr>
        <w:t xml:space="preserve"> Implementimi i deklaratave të reja, në zbatim të </w:t>
      </w:r>
      <w:r w:rsidR="00B23EFE">
        <w:rPr>
          <w:rFonts w:ascii="Garamond" w:hAnsi="Garamond"/>
        </w:rPr>
        <w:t>l</w:t>
      </w:r>
      <w:r w:rsidRPr="00830F4C">
        <w:rPr>
          <w:rFonts w:ascii="Garamond" w:hAnsi="Garamond"/>
        </w:rPr>
        <w:t xml:space="preserve">igjit të ri </w:t>
      </w:r>
      <w:r w:rsidR="00D22EA5" w:rsidRPr="00830F4C">
        <w:rPr>
          <w:rFonts w:ascii="Garamond" w:hAnsi="Garamond"/>
        </w:rPr>
        <w:t>“</w:t>
      </w:r>
      <w:r w:rsidRPr="00830F4C">
        <w:rPr>
          <w:rFonts w:ascii="Garamond" w:hAnsi="Garamond"/>
        </w:rPr>
        <w:t>Për tatimin mbi të ardhurat</w:t>
      </w:r>
      <w:r w:rsidR="00D22EA5" w:rsidRPr="00830F4C">
        <w:rPr>
          <w:rFonts w:ascii="Garamond" w:hAnsi="Garamond"/>
        </w:rPr>
        <w:t>”</w:t>
      </w:r>
      <w:r w:rsidRPr="00830F4C">
        <w:rPr>
          <w:rFonts w:ascii="Garamond" w:hAnsi="Garamond"/>
        </w:rPr>
        <w:t>.</w:t>
      </w:r>
    </w:p>
    <w:p w14:paraId="4C8427E2" w14:textId="463FEF0B" w:rsidR="00A53A79" w:rsidRPr="00830F4C" w:rsidRDefault="00A53A79" w:rsidP="00A53A79">
      <w:pPr>
        <w:tabs>
          <w:tab w:val="left" w:pos="720"/>
        </w:tabs>
        <w:ind w:firstLine="284"/>
        <w:jc w:val="both"/>
        <w:rPr>
          <w:rFonts w:ascii="Garamond" w:hAnsi="Garamond"/>
        </w:rPr>
      </w:pPr>
      <w:r w:rsidRPr="00830F4C">
        <w:rPr>
          <w:rFonts w:ascii="Garamond" w:hAnsi="Garamond" w:cs="Wingdings"/>
        </w:rPr>
        <w:t xml:space="preserve">- </w:t>
      </w:r>
      <w:r w:rsidRPr="00830F4C">
        <w:rPr>
          <w:rFonts w:ascii="Garamond" w:hAnsi="Garamond"/>
        </w:rPr>
        <w:t>Aktiviteti 2.6.3.4</w:t>
      </w:r>
      <w:r w:rsidR="00B23EFE">
        <w:rPr>
          <w:rFonts w:ascii="Garamond" w:hAnsi="Garamond"/>
        </w:rPr>
        <w:t>:</w:t>
      </w:r>
      <w:r w:rsidRPr="00830F4C">
        <w:rPr>
          <w:rFonts w:ascii="Garamond" w:hAnsi="Garamond"/>
        </w:rPr>
        <w:t xml:space="preserve"> Digjitalizimi i deklarimit të të dhënave pronësi/qira të </w:t>
      </w:r>
      <w:r w:rsidR="005C7FB7" w:rsidRPr="00830F4C">
        <w:rPr>
          <w:rFonts w:ascii="Garamond" w:hAnsi="Garamond"/>
        </w:rPr>
        <w:t>ambienteve</w:t>
      </w:r>
      <w:r w:rsidRPr="00830F4C">
        <w:rPr>
          <w:rFonts w:ascii="Garamond" w:hAnsi="Garamond"/>
        </w:rPr>
        <w:t xml:space="preserve"> të ushtrimit të aktivitetit nga ana e tatimpaguesve.</w:t>
      </w:r>
    </w:p>
    <w:p w14:paraId="04FAEAF6" w14:textId="1DC24CEB" w:rsidR="00A53A79" w:rsidRPr="00830F4C" w:rsidRDefault="00A53A79" w:rsidP="00A53A79">
      <w:pPr>
        <w:tabs>
          <w:tab w:val="left" w:pos="720"/>
        </w:tabs>
        <w:ind w:firstLine="284"/>
        <w:jc w:val="both"/>
        <w:rPr>
          <w:rFonts w:ascii="Garamond" w:hAnsi="Garamond"/>
        </w:rPr>
      </w:pPr>
      <w:r w:rsidRPr="00830F4C">
        <w:rPr>
          <w:rFonts w:ascii="Garamond" w:hAnsi="Garamond" w:cs="Wingdings"/>
        </w:rPr>
        <w:t xml:space="preserve">- </w:t>
      </w:r>
      <w:r w:rsidRPr="00830F4C">
        <w:rPr>
          <w:rFonts w:ascii="Garamond" w:hAnsi="Garamond"/>
        </w:rPr>
        <w:t>Aktiviteti 2.6.3.5</w:t>
      </w:r>
      <w:r w:rsidR="00B23EFE">
        <w:rPr>
          <w:rFonts w:ascii="Garamond" w:hAnsi="Garamond"/>
        </w:rPr>
        <w:t>:</w:t>
      </w:r>
      <w:r w:rsidRPr="00830F4C">
        <w:rPr>
          <w:rFonts w:ascii="Garamond" w:hAnsi="Garamond"/>
        </w:rPr>
        <w:t xml:space="preserve"> Vendosja e rregullave në plotësimin e deklaratave (</w:t>
      </w:r>
      <w:r w:rsidRPr="005C7FB7">
        <w:rPr>
          <w:rFonts w:ascii="Garamond" w:hAnsi="Garamond"/>
          <w:i/>
        </w:rPr>
        <w:t>Compliance by Design</w:t>
      </w:r>
      <w:r w:rsidRPr="00830F4C">
        <w:rPr>
          <w:rFonts w:ascii="Garamond" w:hAnsi="Garamond"/>
        </w:rPr>
        <w:t>).</w:t>
      </w:r>
    </w:p>
    <w:p w14:paraId="29149B63" w14:textId="656B9342" w:rsidR="00A53A79" w:rsidRPr="00830F4C" w:rsidRDefault="00A53A79" w:rsidP="00A53A79">
      <w:pPr>
        <w:tabs>
          <w:tab w:val="left" w:pos="720"/>
        </w:tabs>
        <w:ind w:firstLine="284"/>
        <w:jc w:val="both"/>
        <w:rPr>
          <w:rFonts w:ascii="Garamond" w:hAnsi="Garamond"/>
        </w:rPr>
      </w:pPr>
      <w:r w:rsidRPr="00830F4C">
        <w:rPr>
          <w:rFonts w:ascii="Garamond" w:hAnsi="Garamond" w:cs="Wingdings"/>
        </w:rPr>
        <w:t xml:space="preserve">- </w:t>
      </w:r>
      <w:r w:rsidRPr="00830F4C">
        <w:rPr>
          <w:rFonts w:ascii="Garamond" w:hAnsi="Garamond"/>
        </w:rPr>
        <w:t>Aktiviteti 2.6.3.6</w:t>
      </w:r>
      <w:r w:rsidR="00B23EFE">
        <w:rPr>
          <w:rFonts w:ascii="Garamond" w:hAnsi="Garamond"/>
        </w:rPr>
        <w:t>:</w:t>
      </w:r>
      <w:r w:rsidRPr="00830F4C">
        <w:rPr>
          <w:rFonts w:ascii="Garamond" w:hAnsi="Garamond"/>
        </w:rPr>
        <w:t xml:space="preserve"> Përmirësim i procedurave të mbledhjes së borxhit, finalizimi i projektit </w:t>
      </w:r>
      <w:r w:rsidR="00D22EA5" w:rsidRPr="00830F4C">
        <w:rPr>
          <w:rFonts w:ascii="Garamond" w:hAnsi="Garamond"/>
        </w:rPr>
        <w:t>“</w:t>
      </w:r>
      <w:r w:rsidRPr="00830F4C">
        <w:rPr>
          <w:rFonts w:ascii="Garamond" w:hAnsi="Garamond"/>
        </w:rPr>
        <w:t xml:space="preserve">Digjitalizimi i komunikimit me </w:t>
      </w:r>
      <w:r w:rsidR="00B23EFE">
        <w:rPr>
          <w:rFonts w:ascii="Garamond" w:hAnsi="Garamond"/>
        </w:rPr>
        <w:t>b</w:t>
      </w:r>
      <w:r w:rsidRPr="00830F4C">
        <w:rPr>
          <w:rFonts w:ascii="Garamond" w:hAnsi="Garamond"/>
        </w:rPr>
        <w:t>ankat për bllokimin/zhbllokimin e llogarive bankare</w:t>
      </w:r>
      <w:r w:rsidR="00D22EA5" w:rsidRPr="00830F4C">
        <w:rPr>
          <w:rFonts w:ascii="Garamond" w:hAnsi="Garamond"/>
        </w:rPr>
        <w:t>”</w:t>
      </w:r>
      <w:r w:rsidR="00B23EFE">
        <w:rPr>
          <w:rFonts w:ascii="Garamond" w:hAnsi="Garamond"/>
        </w:rPr>
        <w:t>.</w:t>
      </w:r>
    </w:p>
    <w:p w14:paraId="1699EB66" w14:textId="77777777" w:rsidR="00A53A79" w:rsidRPr="00830F4C" w:rsidRDefault="00A53A79" w:rsidP="00A53A79">
      <w:pPr>
        <w:ind w:firstLine="284"/>
        <w:jc w:val="both"/>
        <w:rPr>
          <w:rFonts w:ascii="Garamond" w:hAnsi="Garamond"/>
        </w:rPr>
      </w:pPr>
      <w:r w:rsidRPr="00830F4C">
        <w:rPr>
          <w:rFonts w:ascii="Garamond" w:hAnsi="Garamond"/>
        </w:rPr>
        <w:t>Aktiviteti për zbatimin e deklaratave të reja të tatimit në burim dhe DIVA dhe plotësimi paraprak i deklaratave është kusht i Planit të Rritjes që do të përmbyllet brenda vitit 2026.</w:t>
      </w:r>
    </w:p>
    <w:p w14:paraId="29E87801" w14:textId="77777777" w:rsidR="00A53A79" w:rsidRPr="00830F4C" w:rsidRDefault="00A53A79" w:rsidP="00A53A79">
      <w:pPr>
        <w:ind w:firstLine="284"/>
        <w:jc w:val="both"/>
        <w:rPr>
          <w:rFonts w:ascii="Garamond" w:hAnsi="Garamond"/>
        </w:rPr>
      </w:pPr>
      <w:r w:rsidRPr="00830F4C">
        <w:rPr>
          <w:rFonts w:ascii="Garamond" w:hAnsi="Garamond"/>
        </w:rPr>
        <w:t>Kjo lidhet edhe me zbatimin e ligjit të ri për të ardhurat.</w:t>
      </w:r>
    </w:p>
    <w:p w14:paraId="565090EF" w14:textId="0CE1B2F2" w:rsidR="00A53A79" w:rsidRPr="00830F4C" w:rsidRDefault="00A53A79" w:rsidP="00A53A79">
      <w:pPr>
        <w:ind w:firstLine="284"/>
        <w:jc w:val="both"/>
        <w:rPr>
          <w:rFonts w:ascii="Garamond" w:hAnsi="Garamond"/>
        </w:rPr>
      </w:pPr>
      <w:r w:rsidRPr="00830F4C">
        <w:rPr>
          <w:rFonts w:ascii="Garamond" w:hAnsi="Garamond"/>
        </w:rPr>
        <w:t xml:space="preserve">Administrata tatimore ka një kontratë me zhvilluesin ‘Për përmirësimin e sistemit C@TS’ është lidhur në 2 gusht 2024 dhe zgjat një vit. Kjo kontratë përfshin zbatimin e </w:t>
      </w:r>
      <w:r w:rsidR="00B23EFE">
        <w:rPr>
          <w:rFonts w:ascii="Garamond" w:hAnsi="Garamond"/>
        </w:rPr>
        <w:t>l</w:t>
      </w:r>
      <w:r w:rsidRPr="00830F4C">
        <w:rPr>
          <w:rFonts w:ascii="Garamond" w:hAnsi="Garamond"/>
        </w:rPr>
        <w:t>igjit të ri dhe përmirësimin e sistemit C@TS.</w:t>
      </w:r>
    </w:p>
    <w:p w14:paraId="6BD5011B" w14:textId="77777777" w:rsidR="00A53A79" w:rsidRPr="00830F4C" w:rsidRDefault="00A53A79" w:rsidP="00A53A79">
      <w:pPr>
        <w:ind w:firstLine="284"/>
        <w:jc w:val="both"/>
        <w:rPr>
          <w:rFonts w:ascii="Garamond" w:hAnsi="Garamond"/>
        </w:rPr>
      </w:pPr>
      <w:r w:rsidRPr="00830F4C">
        <w:rPr>
          <w:rFonts w:ascii="Garamond" w:hAnsi="Garamond"/>
        </w:rPr>
        <w:t>Sipas planit të punës të rënë dakord me zhvilluesin, duhet të realizohen sa vijon:</w:t>
      </w:r>
    </w:p>
    <w:p w14:paraId="6598524E" w14:textId="3F918898" w:rsidR="00A53A79" w:rsidRPr="00830F4C" w:rsidRDefault="00A53A79" w:rsidP="00A53A79">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 xml:space="preserve">- Zbatimi i 5 deklaratave të reja (lista e pagesës, </w:t>
      </w:r>
      <w:r w:rsidR="00B23EFE">
        <w:rPr>
          <w:rFonts w:ascii="Garamond" w:hAnsi="Garamond"/>
          <w:sz w:val="24"/>
          <w:szCs w:val="24"/>
        </w:rPr>
        <w:t>d</w:t>
      </w:r>
      <w:r w:rsidRPr="00830F4C">
        <w:rPr>
          <w:rFonts w:ascii="Garamond" w:hAnsi="Garamond"/>
          <w:sz w:val="24"/>
          <w:szCs w:val="24"/>
        </w:rPr>
        <w:t>eklarata e tatimit në burim, pasqyra e tatimit mbi fitimin e korporatës, pasqyra e tatimit mbi të ardhurat e biznesit personal, pasqyrat individuale), e cila përfshin analiza, zhvillim, testim, zbatim</w:t>
      </w:r>
      <w:r w:rsidR="00B23EFE">
        <w:rPr>
          <w:rFonts w:ascii="Garamond" w:hAnsi="Garamond"/>
          <w:sz w:val="24"/>
          <w:szCs w:val="24"/>
        </w:rPr>
        <w:t>;</w:t>
      </w:r>
    </w:p>
    <w:p w14:paraId="1F9A70F3" w14:textId="1CC88F88" w:rsidR="00A53A79" w:rsidRPr="00830F4C" w:rsidRDefault="00A53A79" w:rsidP="00A53A79">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 xml:space="preserve">- Ndryshime në Modulin e Regjistrimit (shtimi i </w:t>
      </w:r>
      <w:r w:rsidRPr="003945C7">
        <w:rPr>
          <w:rFonts w:ascii="Garamond" w:hAnsi="Garamond"/>
          <w:sz w:val="24"/>
          <w:szCs w:val="24"/>
        </w:rPr>
        <w:t>responsiveve</w:t>
      </w:r>
      <w:r w:rsidRPr="00830F4C">
        <w:rPr>
          <w:rFonts w:ascii="Garamond" w:hAnsi="Garamond"/>
          <w:sz w:val="24"/>
          <w:szCs w:val="24"/>
        </w:rPr>
        <w:t xml:space="preserve"> të reja, formularët e regjistrimit ose ndryshime të të dhënave nga </w:t>
      </w:r>
      <w:r w:rsidRPr="00830F4C">
        <w:rPr>
          <w:rFonts w:ascii="Garamond" w:hAnsi="Garamond"/>
          <w:i/>
          <w:sz w:val="24"/>
          <w:szCs w:val="24"/>
        </w:rPr>
        <w:t>e-albania</w:t>
      </w:r>
      <w:r w:rsidRPr="00830F4C">
        <w:rPr>
          <w:rFonts w:ascii="Garamond" w:hAnsi="Garamond"/>
          <w:sz w:val="24"/>
          <w:szCs w:val="24"/>
        </w:rPr>
        <w:t>, C@TS, rregullat e regjistrimit, kombinimi i sfungjerëve, procedurat automatike të regjistrimit/regjistrimit, kodet e të ardhurave</w:t>
      </w:r>
      <w:r w:rsidR="00B23EFE">
        <w:rPr>
          <w:rFonts w:ascii="Garamond" w:hAnsi="Garamond"/>
          <w:sz w:val="24"/>
          <w:szCs w:val="24"/>
        </w:rPr>
        <w:t>;</w:t>
      </w:r>
    </w:p>
    <w:p w14:paraId="02EBE25D" w14:textId="7077A964" w:rsidR="00A53A79" w:rsidRPr="00830F4C" w:rsidRDefault="00A53A79" w:rsidP="00A53A79">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 xml:space="preserve">- Analiza dhe përditësimi i raporteve ekzistuese në C@TS, për të dhënat e deklaratave, detyrimit tatimor, historikut të punësimit, kryqëzimit të faturave nga </w:t>
      </w:r>
      <w:r w:rsidR="00B23EFE">
        <w:rPr>
          <w:rFonts w:ascii="Garamond" w:hAnsi="Garamond"/>
          <w:sz w:val="24"/>
          <w:szCs w:val="24"/>
        </w:rPr>
        <w:t>f</w:t>
      </w:r>
      <w:r w:rsidRPr="00830F4C">
        <w:rPr>
          <w:rFonts w:ascii="Garamond" w:hAnsi="Garamond"/>
          <w:sz w:val="24"/>
          <w:szCs w:val="24"/>
        </w:rPr>
        <w:t>iskalizimi etj</w:t>
      </w:r>
      <w:r w:rsidR="008C0C0F" w:rsidRPr="00830F4C">
        <w:rPr>
          <w:rFonts w:ascii="Garamond" w:hAnsi="Garamond"/>
          <w:sz w:val="24"/>
          <w:szCs w:val="24"/>
        </w:rPr>
        <w:t>.,</w:t>
      </w:r>
      <w:r w:rsidRPr="00830F4C">
        <w:rPr>
          <w:rFonts w:ascii="Garamond" w:hAnsi="Garamond"/>
          <w:sz w:val="24"/>
          <w:szCs w:val="24"/>
        </w:rPr>
        <w:t xml:space="preserve"> si dhe raporteve të reja të regjistrimit, riskut etj</w:t>
      </w:r>
      <w:r w:rsidR="00B23EFE">
        <w:rPr>
          <w:rFonts w:ascii="Garamond" w:hAnsi="Garamond"/>
          <w:sz w:val="24"/>
          <w:szCs w:val="24"/>
        </w:rPr>
        <w:t>.;</w:t>
      </w:r>
    </w:p>
    <w:p w14:paraId="2E57B339" w14:textId="0E416E30" w:rsidR="00A53A79" w:rsidRPr="00830F4C" w:rsidRDefault="00A53A79" w:rsidP="00A53A79">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 Analiza e Modulit të Shkaqeve dhe përditësimi për çështjen e regjistrimit, kontrollit, rimbursimit, nënshkrimit di</w:t>
      </w:r>
      <w:r w:rsidR="008C0C0F" w:rsidRPr="00830F4C">
        <w:rPr>
          <w:rFonts w:ascii="Garamond" w:hAnsi="Garamond"/>
          <w:sz w:val="24"/>
          <w:szCs w:val="24"/>
        </w:rPr>
        <w:t>gj</w:t>
      </w:r>
      <w:r w:rsidRPr="00830F4C">
        <w:rPr>
          <w:rFonts w:ascii="Garamond" w:hAnsi="Garamond"/>
          <w:sz w:val="24"/>
          <w:szCs w:val="24"/>
        </w:rPr>
        <w:t>ital të vizitës së tatimpaguesit, etj.</w:t>
      </w:r>
    </w:p>
    <w:p w14:paraId="75835657" w14:textId="57D975DD" w:rsidR="00A53A79" w:rsidRPr="00830F4C" w:rsidRDefault="00A53A79" w:rsidP="00A53A79">
      <w:pPr>
        <w:ind w:firstLine="284"/>
        <w:jc w:val="both"/>
        <w:rPr>
          <w:rFonts w:ascii="Garamond" w:hAnsi="Garamond"/>
        </w:rPr>
      </w:pPr>
      <w:r w:rsidRPr="00830F4C">
        <w:rPr>
          <w:rFonts w:ascii="Garamond" w:hAnsi="Garamond"/>
          <w:b/>
          <w:bCs/>
        </w:rPr>
        <w:t>Masa 2.6.4 Ngritja e një kuadri më të strukturuar për sigurimin e pac</w:t>
      </w:r>
      <w:r w:rsidR="008C0C0F" w:rsidRPr="00830F4C">
        <w:rPr>
          <w:rFonts w:ascii="Garamond" w:hAnsi="Garamond"/>
          <w:b/>
          <w:bCs/>
        </w:rPr>
        <w:t>e</w:t>
      </w:r>
      <w:r w:rsidRPr="00830F4C">
        <w:rPr>
          <w:rFonts w:ascii="Garamond" w:hAnsi="Garamond"/>
          <w:b/>
          <w:bCs/>
        </w:rPr>
        <w:t>nueshmërisë së vlerave (integritetit)</w:t>
      </w:r>
    </w:p>
    <w:p w14:paraId="4A944722" w14:textId="77777777" w:rsidR="00A53A79" w:rsidRPr="00830F4C" w:rsidRDefault="00A53A79" w:rsidP="00A53A79">
      <w:pPr>
        <w:ind w:firstLine="284"/>
        <w:jc w:val="both"/>
        <w:rPr>
          <w:rFonts w:ascii="Garamond" w:hAnsi="Garamond"/>
        </w:rPr>
      </w:pPr>
      <w:r w:rsidRPr="00830F4C">
        <w:rPr>
          <w:rFonts w:ascii="Garamond" w:hAnsi="Garamond"/>
        </w:rPr>
        <w:t>Administrata tatimore do të fokusohet në zhvillimin e një kornizë më gjithëpërfshirëse të sigurimit të integritetit që përcakton, komunikon dhe promovon standardet e sjelljes; monitoron dhe zbaton ato standarde, korrigjon gabimet, vlerëson dhe raporton mbi rezultatet e punës së çdo inspektori.</w:t>
      </w:r>
    </w:p>
    <w:p w14:paraId="3579C330" w14:textId="5938870B" w:rsidR="00A53A79" w:rsidRPr="00830F4C" w:rsidRDefault="00A53A79" w:rsidP="00A53A79">
      <w:pPr>
        <w:pStyle w:val="ListParagraph"/>
        <w:spacing w:after="0" w:line="240" w:lineRule="auto"/>
        <w:ind w:left="0" w:firstLine="284"/>
        <w:jc w:val="both"/>
        <w:rPr>
          <w:rFonts w:ascii="Garamond" w:hAnsi="Garamond"/>
          <w:sz w:val="24"/>
          <w:szCs w:val="24"/>
        </w:rPr>
      </w:pPr>
      <w:r w:rsidRPr="00830F4C">
        <w:rPr>
          <w:rFonts w:ascii="Garamond" w:hAnsi="Garamond" w:cs="Wingdings"/>
          <w:sz w:val="24"/>
          <w:szCs w:val="24"/>
        </w:rPr>
        <w:t xml:space="preserve">- </w:t>
      </w:r>
      <w:r w:rsidRPr="00830F4C">
        <w:rPr>
          <w:rFonts w:ascii="Garamond" w:hAnsi="Garamond"/>
          <w:sz w:val="24"/>
          <w:szCs w:val="24"/>
        </w:rPr>
        <w:t>Aktiviteti</w:t>
      </w:r>
      <w:r w:rsidR="00D22EA5" w:rsidRPr="00830F4C">
        <w:rPr>
          <w:rFonts w:ascii="Garamond" w:hAnsi="Garamond"/>
          <w:sz w:val="24"/>
          <w:szCs w:val="24"/>
        </w:rPr>
        <w:t xml:space="preserve"> </w:t>
      </w:r>
      <w:r w:rsidRPr="00830F4C">
        <w:rPr>
          <w:rFonts w:ascii="Garamond" w:hAnsi="Garamond"/>
          <w:sz w:val="24"/>
          <w:szCs w:val="24"/>
        </w:rPr>
        <w:t>2.6.4.1</w:t>
      </w:r>
      <w:r w:rsidR="00B23EFE">
        <w:rPr>
          <w:rFonts w:ascii="Garamond" w:hAnsi="Garamond"/>
          <w:sz w:val="24"/>
          <w:szCs w:val="24"/>
        </w:rPr>
        <w:t>:</w:t>
      </w:r>
      <w:r w:rsidRPr="00830F4C">
        <w:rPr>
          <w:rFonts w:ascii="Garamond" w:hAnsi="Garamond"/>
          <w:sz w:val="24"/>
          <w:szCs w:val="24"/>
        </w:rPr>
        <w:t xml:space="preserve"> Hartimi dhe zbatimi i Planit të Integritetit për Administratën Tatimore</w:t>
      </w:r>
    </w:p>
    <w:p w14:paraId="1B41C821" w14:textId="7BEADF4E" w:rsidR="00A53A79" w:rsidRPr="00830F4C" w:rsidRDefault="00A53A79" w:rsidP="00A53A79">
      <w:pPr>
        <w:ind w:firstLine="284"/>
        <w:jc w:val="both"/>
        <w:rPr>
          <w:rFonts w:ascii="Garamond" w:hAnsi="Garamond"/>
        </w:rPr>
      </w:pPr>
      <w:r w:rsidRPr="00830F4C">
        <w:rPr>
          <w:rFonts w:ascii="Garamond" w:hAnsi="Garamond"/>
        </w:rPr>
        <w:t xml:space="preserve">Ky është një kusht i Planit të Rritjes që duhet të plotësohet brenda qershorit 2025. Puna ka nisur nga administrata tatimore. Administrata Tatimore ka përfunduar draftin e Planit të Integritetit dhe është në diskutime me aktorët kryesorë. Ky draftplan është rezultat i një procesi vlerësimi të gjatë dhe të detajuar, i cili ka nisur në nëntor 2023 dhe ka përfunduar në tetor 2024. Ky plan integriteti është hartuar në kuadër të projektit </w:t>
      </w:r>
      <w:r w:rsidR="00D22EA5" w:rsidRPr="00830F4C">
        <w:rPr>
          <w:rFonts w:ascii="Garamond" w:hAnsi="Garamond"/>
        </w:rPr>
        <w:t>“</w:t>
      </w:r>
      <w:r w:rsidRPr="00830F4C">
        <w:rPr>
          <w:rFonts w:ascii="Garamond" w:hAnsi="Garamond"/>
        </w:rPr>
        <w:t>Forcimi i integritetit për përmirësimin e shërbimeve publike</w:t>
      </w:r>
      <w:r w:rsidR="00D22EA5" w:rsidRPr="00830F4C">
        <w:rPr>
          <w:rFonts w:ascii="Garamond" w:hAnsi="Garamond"/>
        </w:rPr>
        <w:t>”</w:t>
      </w:r>
      <w:r w:rsidRPr="00830F4C">
        <w:rPr>
          <w:rFonts w:ascii="Garamond" w:hAnsi="Garamond"/>
        </w:rPr>
        <w:t>, i zbatuar nga Instituti për Demokraci dhe Ndërmjetësim</w:t>
      </w:r>
      <w:r w:rsidR="00B23EFE">
        <w:rPr>
          <w:rFonts w:ascii="Garamond" w:hAnsi="Garamond"/>
        </w:rPr>
        <w:t>,</w:t>
      </w:r>
      <w:r w:rsidRPr="00830F4C">
        <w:rPr>
          <w:rFonts w:ascii="Garamond" w:hAnsi="Garamond"/>
        </w:rPr>
        <w:t xml:space="preserve"> me mbështetjen financiare të Ambasadës Suedeze në Tiranë, e cila bashkëpunoi ngushtë me grupin e punës të ngritur nga </w:t>
      </w:r>
      <w:r w:rsidR="00B23EFE" w:rsidRPr="00830F4C">
        <w:rPr>
          <w:rFonts w:ascii="Garamond" w:hAnsi="Garamond"/>
        </w:rPr>
        <w:t xml:space="preserve">drejtori i përgjithshëm </w:t>
      </w:r>
      <w:r w:rsidRPr="00830F4C">
        <w:rPr>
          <w:rFonts w:ascii="Garamond" w:hAnsi="Garamond"/>
        </w:rPr>
        <w:t>dhe stafin kyç të DPT-së. Procesi përfshin identifikimin dhe analizimin e rreziqeve të integritetit, si dhe diskutimin e sjelljeve joetike dhe joprofesionale që mund të shfaqen brenda institucionit.</w:t>
      </w:r>
    </w:p>
    <w:p w14:paraId="45A75C99" w14:textId="2CA7F086" w:rsidR="00A53A79" w:rsidRPr="00830F4C" w:rsidRDefault="00A53A79" w:rsidP="00A53A79">
      <w:pPr>
        <w:pStyle w:val="ListParagraph"/>
        <w:spacing w:after="0" w:line="240" w:lineRule="auto"/>
        <w:ind w:left="0" w:firstLine="284"/>
        <w:jc w:val="both"/>
        <w:rPr>
          <w:rFonts w:ascii="Garamond" w:hAnsi="Garamond"/>
          <w:sz w:val="24"/>
          <w:szCs w:val="24"/>
        </w:rPr>
      </w:pPr>
      <w:r w:rsidRPr="00830F4C">
        <w:rPr>
          <w:rFonts w:ascii="Garamond" w:hAnsi="Garamond" w:cs="Wingdings"/>
          <w:sz w:val="24"/>
          <w:szCs w:val="24"/>
        </w:rPr>
        <w:t xml:space="preserve">- </w:t>
      </w:r>
      <w:r w:rsidRPr="00830F4C">
        <w:rPr>
          <w:rFonts w:ascii="Garamond" w:hAnsi="Garamond"/>
          <w:sz w:val="24"/>
          <w:szCs w:val="24"/>
        </w:rPr>
        <w:t>Aktiviteti 2.6.4.2</w:t>
      </w:r>
      <w:r w:rsidR="00B23EFE">
        <w:rPr>
          <w:rFonts w:ascii="Garamond" w:hAnsi="Garamond"/>
          <w:sz w:val="24"/>
          <w:szCs w:val="24"/>
        </w:rPr>
        <w:t>:</w:t>
      </w:r>
      <w:r w:rsidRPr="00830F4C">
        <w:rPr>
          <w:rFonts w:ascii="Garamond" w:hAnsi="Garamond"/>
          <w:sz w:val="24"/>
          <w:szCs w:val="24"/>
        </w:rPr>
        <w:t xml:space="preserve"> Zbatimi i një programi të dedikuar për antikorrupsionin. Kryerja e trajnimeve dhe njohja e punonjësve të administratës tatimore mbi mënyrat e sjelljes (Kodi i Etikës), ligjin për Bilbilfryrësit dhe ligjin për konfliktin e interesit.</w:t>
      </w:r>
    </w:p>
    <w:p w14:paraId="409845C7" w14:textId="3463F922" w:rsidR="00A53A79" w:rsidRPr="00B23EFE" w:rsidRDefault="00A53A79" w:rsidP="00B23EFE">
      <w:pPr>
        <w:ind w:firstLine="284"/>
        <w:jc w:val="both"/>
        <w:rPr>
          <w:rFonts w:ascii="Garamond" w:hAnsi="Garamond"/>
        </w:rPr>
      </w:pPr>
      <w:r w:rsidRPr="00830F4C">
        <w:rPr>
          <w:rFonts w:ascii="Garamond" w:hAnsi="Garamond"/>
          <w:b/>
          <w:bCs/>
        </w:rPr>
        <w:t>Masa 2.6.5 Procese dhe shërbime tatimore në ndërveprim të rregullt me përdoruesit e shërbimeve të DPT</w:t>
      </w:r>
      <w:r w:rsidR="00B23EFE" w:rsidRPr="00B23EFE">
        <w:rPr>
          <w:rFonts w:ascii="Garamond" w:hAnsi="Garamond"/>
          <w:b/>
        </w:rPr>
        <w:t>-së</w:t>
      </w:r>
    </w:p>
    <w:p w14:paraId="2CB9C839" w14:textId="7C2ECE1F" w:rsidR="00A53A79" w:rsidRPr="00830F4C" w:rsidRDefault="00A53A79" w:rsidP="00A53A79">
      <w:pPr>
        <w:ind w:firstLine="284"/>
        <w:jc w:val="both"/>
        <w:rPr>
          <w:rFonts w:ascii="Garamond" w:hAnsi="Garamond"/>
        </w:rPr>
      </w:pPr>
      <w:r w:rsidRPr="00830F4C">
        <w:rPr>
          <w:rFonts w:ascii="Garamond" w:hAnsi="Garamond"/>
        </w:rPr>
        <w:t>Ndërsa AT</w:t>
      </w:r>
      <w:r w:rsidR="00044EDE">
        <w:rPr>
          <w:rFonts w:ascii="Garamond" w:hAnsi="Garamond"/>
        </w:rPr>
        <w:t>-ja</w:t>
      </w:r>
      <w:r w:rsidRPr="00830F4C">
        <w:rPr>
          <w:rFonts w:ascii="Garamond" w:hAnsi="Garamond"/>
        </w:rPr>
        <w:t xml:space="preserve"> angazhohet herë pas herë me tatimpaguesit dhe ekspertët fiskalë apo kontabilistët, nuk ka një forum të rregullt me këta aktorë. Këshilli Tatimor është forum, i cili përfshin AT</w:t>
      </w:r>
      <w:r w:rsidR="00044EDE" w:rsidRPr="00044EDE">
        <w:rPr>
          <w:rFonts w:ascii="Garamond" w:hAnsi="Garamond"/>
        </w:rPr>
        <w:t>-në</w:t>
      </w:r>
      <w:r w:rsidRPr="00830F4C">
        <w:rPr>
          <w:rFonts w:ascii="Garamond" w:hAnsi="Garamond"/>
        </w:rPr>
        <w:t xml:space="preserve"> dhe përfaqësues të komunitetit të biznesit, por ky Këshill është i fokusuar të ofrojë konsultime dhe këshillime për Ministrinë e Financave për</w:t>
      </w:r>
      <w:r w:rsidR="00044EDE">
        <w:rPr>
          <w:rFonts w:ascii="Garamond" w:hAnsi="Garamond"/>
        </w:rPr>
        <w:t xml:space="preserve"> </w:t>
      </w:r>
      <w:r w:rsidRPr="00830F4C">
        <w:rPr>
          <w:rFonts w:ascii="Garamond" w:hAnsi="Garamond"/>
        </w:rPr>
        <w:t>sa lidhet me çështjet e dispozitave ligjore dhe nënligjore të politikave fiskale.</w:t>
      </w:r>
    </w:p>
    <w:p w14:paraId="6E42FFE1" w14:textId="612B5E9C" w:rsidR="00A53A79" w:rsidRPr="00830F4C" w:rsidRDefault="00A53A79" w:rsidP="00A53A79">
      <w:pPr>
        <w:ind w:firstLine="284"/>
        <w:jc w:val="both"/>
        <w:rPr>
          <w:rFonts w:ascii="Garamond" w:hAnsi="Garamond"/>
        </w:rPr>
      </w:pPr>
      <w:r w:rsidRPr="00830F4C">
        <w:rPr>
          <w:rFonts w:ascii="Garamond" w:hAnsi="Garamond"/>
        </w:rPr>
        <w:t xml:space="preserve">Përfshirja në diskutime dhe angazhimi i tatimpaguesve, kontabilistëve dhe ekspertëve fiskalë në hartimin e akteve ligjore dhe nënligjore tatimore, formularëve, procedurave dhe sistemeve të deklarimit, do të ndihmojë në thjeshtimin e sistemit tatimor dhe uljen e kostove të </w:t>
      </w:r>
      <w:r w:rsidR="005C7FB7" w:rsidRPr="00830F4C">
        <w:rPr>
          <w:rFonts w:ascii="Garamond" w:hAnsi="Garamond"/>
        </w:rPr>
        <w:t>pajtueshmërisë</w:t>
      </w:r>
      <w:r w:rsidRPr="00830F4C">
        <w:rPr>
          <w:rFonts w:ascii="Garamond" w:hAnsi="Garamond"/>
        </w:rPr>
        <w:t xml:space="preserve"> së detyrimeve tatimore.</w:t>
      </w:r>
    </w:p>
    <w:p w14:paraId="1B5F5E64" w14:textId="340D358A" w:rsidR="00A53A79" w:rsidRPr="00830F4C" w:rsidRDefault="00A53A79" w:rsidP="00A53A79">
      <w:pPr>
        <w:pStyle w:val="ListParagraph"/>
        <w:spacing w:after="0" w:line="240" w:lineRule="auto"/>
        <w:ind w:left="0" w:firstLine="284"/>
        <w:jc w:val="both"/>
        <w:rPr>
          <w:rFonts w:ascii="Garamond" w:hAnsi="Garamond"/>
          <w:sz w:val="24"/>
          <w:szCs w:val="24"/>
        </w:rPr>
      </w:pPr>
      <w:r w:rsidRPr="00830F4C">
        <w:rPr>
          <w:rFonts w:ascii="Garamond" w:hAnsi="Garamond" w:cs="Wingdings"/>
          <w:sz w:val="24"/>
          <w:szCs w:val="24"/>
        </w:rPr>
        <w:t xml:space="preserve">- </w:t>
      </w:r>
      <w:r w:rsidRPr="00830F4C">
        <w:rPr>
          <w:rFonts w:ascii="Garamond" w:hAnsi="Garamond"/>
          <w:sz w:val="24"/>
          <w:szCs w:val="24"/>
        </w:rPr>
        <w:t>Aktiviteti 2.6.5.1</w:t>
      </w:r>
      <w:r w:rsidR="00044EDE">
        <w:rPr>
          <w:rFonts w:ascii="Garamond" w:hAnsi="Garamond"/>
          <w:sz w:val="24"/>
          <w:szCs w:val="24"/>
        </w:rPr>
        <w:t>:</w:t>
      </w:r>
      <w:r w:rsidRPr="00830F4C">
        <w:rPr>
          <w:rFonts w:ascii="Garamond" w:hAnsi="Garamond"/>
          <w:sz w:val="24"/>
          <w:szCs w:val="24"/>
        </w:rPr>
        <w:t xml:space="preserve"> Krijimi i një Forum</w:t>
      </w:r>
      <w:r w:rsidR="00044EDE">
        <w:rPr>
          <w:rFonts w:ascii="Garamond" w:hAnsi="Garamond"/>
          <w:sz w:val="24"/>
          <w:szCs w:val="24"/>
        </w:rPr>
        <w:t>i</w:t>
      </w:r>
      <w:r w:rsidRPr="00830F4C">
        <w:rPr>
          <w:rFonts w:ascii="Garamond" w:hAnsi="Garamond"/>
          <w:sz w:val="24"/>
          <w:szCs w:val="24"/>
        </w:rPr>
        <w:t xml:space="preserve"> Këshillimor pranë AT</w:t>
      </w:r>
      <w:r w:rsidR="00044EDE" w:rsidRPr="00044EDE">
        <w:rPr>
          <w:rFonts w:ascii="Garamond" w:hAnsi="Garamond"/>
          <w:sz w:val="24"/>
          <w:szCs w:val="24"/>
        </w:rPr>
        <w:t>-</w:t>
      </w:r>
      <w:r w:rsidR="00044EDE">
        <w:rPr>
          <w:rFonts w:ascii="Garamond" w:hAnsi="Garamond"/>
          <w:sz w:val="24"/>
          <w:szCs w:val="24"/>
        </w:rPr>
        <w:t>s</w:t>
      </w:r>
      <w:r w:rsidR="00044EDE" w:rsidRPr="00044EDE">
        <w:rPr>
          <w:rFonts w:ascii="Garamond" w:hAnsi="Garamond"/>
          <w:sz w:val="24"/>
          <w:szCs w:val="24"/>
        </w:rPr>
        <w:t>ë</w:t>
      </w:r>
      <w:r w:rsidRPr="00830F4C">
        <w:rPr>
          <w:rFonts w:ascii="Garamond" w:hAnsi="Garamond"/>
          <w:sz w:val="24"/>
          <w:szCs w:val="24"/>
        </w:rPr>
        <w:t xml:space="preserve"> me ekspertë fiskalë, kontabilistë dhe përfaqësues të shoqatave profesionale për dizenjimin e proceseve dhe produkteve tatimore.</w:t>
      </w:r>
    </w:p>
    <w:p w14:paraId="34B4DB59" w14:textId="0DFE9D8E" w:rsidR="00A53A79" w:rsidRPr="00830F4C" w:rsidRDefault="00A53A79" w:rsidP="005C7FB7">
      <w:pPr>
        <w:pStyle w:val="Heading2"/>
        <w:spacing w:before="0"/>
        <w:ind w:firstLine="284"/>
        <w:jc w:val="both"/>
        <w:rPr>
          <w:rFonts w:ascii="Garamond" w:hAnsi="Garamond"/>
          <w:b/>
          <w:bCs/>
          <w:color w:val="auto"/>
          <w:sz w:val="24"/>
          <w:szCs w:val="24"/>
        </w:rPr>
      </w:pPr>
      <w:r w:rsidRPr="00830F4C">
        <w:rPr>
          <w:rFonts w:ascii="Garamond" w:hAnsi="Garamond"/>
          <w:b/>
          <w:bCs/>
          <w:color w:val="auto"/>
          <w:sz w:val="24"/>
          <w:szCs w:val="24"/>
        </w:rPr>
        <w:t>V.6 Komponenti 2.7 Përmirësimi i cilësisë së shërbimit të ofruar nga administratës tatimore nëpërmjet zhvillimit të kapaciteteve institucionale</w:t>
      </w:r>
    </w:p>
    <w:p w14:paraId="194FC7F1" w14:textId="77777777" w:rsidR="00A53A79" w:rsidRPr="00830F4C" w:rsidRDefault="00A53A79" w:rsidP="00A53A79">
      <w:pPr>
        <w:ind w:firstLine="284"/>
        <w:jc w:val="both"/>
        <w:rPr>
          <w:rFonts w:ascii="Garamond" w:hAnsi="Garamond"/>
          <w:b/>
          <w:bCs/>
        </w:rPr>
      </w:pPr>
      <w:r w:rsidRPr="00830F4C">
        <w:rPr>
          <w:rFonts w:ascii="Garamond" w:hAnsi="Garamond"/>
          <w:b/>
          <w:bCs/>
        </w:rPr>
        <w:t>Objektivi</w:t>
      </w:r>
    </w:p>
    <w:p w14:paraId="24B61D87" w14:textId="77777777" w:rsidR="00A53A79" w:rsidRPr="00830F4C" w:rsidRDefault="00A53A79" w:rsidP="00A53A79">
      <w:pPr>
        <w:ind w:firstLine="284"/>
        <w:jc w:val="both"/>
        <w:rPr>
          <w:rFonts w:ascii="Garamond" w:hAnsi="Garamond"/>
        </w:rPr>
      </w:pPr>
      <w:r w:rsidRPr="00830F4C">
        <w:rPr>
          <w:rFonts w:ascii="Garamond" w:hAnsi="Garamond"/>
        </w:rPr>
        <w:t>Objektivi është rritja e efikasitetit të administratës bazuar në parimet e një Administrate Tatimore Efektive dhe rritja e bashkëpunimit me palët e treta.</w:t>
      </w:r>
    </w:p>
    <w:p w14:paraId="799787A0" w14:textId="77777777" w:rsidR="00A53A79" w:rsidRPr="00830F4C" w:rsidRDefault="00A53A79" w:rsidP="00A53A79">
      <w:pPr>
        <w:ind w:firstLine="284"/>
        <w:jc w:val="both"/>
        <w:rPr>
          <w:rFonts w:ascii="Garamond" w:hAnsi="Garamond"/>
          <w:b/>
          <w:bCs/>
        </w:rPr>
      </w:pPr>
      <w:r w:rsidRPr="00830F4C">
        <w:rPr>
          <w:rFonts w:ascii="Garamond" w:hAnsi="Garamond"/>
          <w:b/>
          <w:bCs/>
        </w:rPr>
        <w:t>Konteksti</w:t>
      </w:r>
    </w:p>
    <w:p w14:paraId="453AFF2F" w14:textId="77777777" w:rsidR="00A53A79" w:rsidRPr="00830F4C" w:rsidRDefault="00A53A79" w:rsidP="00A53A79">
      <w:pPr>
        <w:ind w:firstLine="284"/>
        <w:jc w:val="both"/>
        <w:rPr>
          <w:rFonts w:ascii="Garamond" w:hAnsi="Garamond"/>
        </w:rPr>
      </w:pPr>
      <w:r w:rsidRPr="00830F4C">
        <w:rPr>
          <w:rFonts w:ascii="Garamond" w:hAnsi="Garamond"/>
        </w:rPr>
        <w:t>Forcimi dhe modernizimi i agjencive të administrimit të të ardhurave është thelbësor për mbledhjen efektive të të ardhurave. Ndërkohë që përfshirja e masave të reja të politikës së të ardhurave mund çojë në rritje të tyre, pjesa më e madhe varet nga efikasiteti i administratës bazuar në parimet e një Administrate Tatimore Efektive.</w:t>
      </w:r>
    </w:p>
    <w:p w14:paraId="035C83DF" w14:textId="4B2D9917" w:rsidR="00A53A79" w:rsidRPr="00830F4C" w:rsidRDefault="00A53A79" w:rsidP="00A53A79">
      <w:pPr>
        <w:ind w:firstLine="284"/>
        <w:jc w:val="both"/>
        <w:rPr>
          <w:rFonts w:ascii="Garamond" w:hAnsi="Garamond"/>
        </w:rPr>
      </w:pPr>
      <w:r w:rsidRPr="00830F4C">
        <w:rPr>
          <w:rFonts w:ascii="Garamond" w:hAnsi="Garamond"/>
        </w:rPr>
        <w:t>Janë ndërmarrë disa hapa të rëndësishëm për të përmirësuar efektivitetin e AT</w:t>
      </w:r>
      <w:r w:rsidR="00044EDE" w:rsidRPr="00044EDE">
        <w:rPr>
          <w:rFonts w:ascii="Garamond" w:hAnsi="Garamond"/>
        </w:rPr>
        <w:t>-</w:t>
      </w:r>
      <w:r w:rsidR="00044EDE">
        <w:rPr>
          <w:rFonts w:ascii="Garamond" w:hAnsi="Garamond"/>
        </w:rPr>
        <w:t>s</w:t>
      </w:r>
      <w:r w:rsidR="00044EDE" w:rsidRPr="00044EDE">
        <w:rPr>
          <w:rFonts w:ascii="Garamond" w:hAnsi="Garamond"/>
        </w:rPr>
        <w:t>ë</w:t>
      </w:r>
      <w:r w:rsidRPr="00830F4C">
        <w:rPr>
          <w:rFonts w:ascii="Garamond" w:hAnsi="Garamond"/>
        </w:rPr>
        <w:t xml:space="preserve"> vitet e fundit. </w:t>
      </w:r>
    </w:p>
    <w:p w14:paraId="0F3BB4AB" w14:textId="27882C5E" w:rsidR="00A53A79" w:rsidRPr="00830F4C" w:rsidRDefault="00A53A79" w:rsidP="00A53A79">
      <w:pPr>
        <w:ind w:firstLine="284"/>
        <w:jc w:val="both"/>
        <w:rPr>
          <w:rFonts w:ascii="Garamond" w:hAnsi="Garamond"/>
        </w:rPr>
      </w:pPr>
      <w:r w:rsidRPr="00830F4C">
        <w:rPr>
          <w:rFonts w:ascii="Garamond" w:hAnsi="Garamond"/>
        </w:rPr>
        <w:t xml:space="preserve">Prej viti 2015, deklarimi elektronik është forma e vetme e deklarimit të çdo deklarate tatimore, për </w:t>
      </w:r>
      <w:r w:rsidR="00044EDE" w:rsidRPr="00830F4C">
        <w:rPr>
          <w:rFonts w:ascii="Garamond" w:hAnsi="Garamond"/>
        </w:rPr>
        <w:t>çdo</w:t>
      </w:r>
      <w:r w:rsidRPr="00830F4C">
        <w:rPr>
          <w:rFonts w:ascii="Garamond" w:hAnsi="Garamond"/>
        </w:rPr>
        <w:t xml:space="preserve"> përgjegjësi dhe për çdo tatimpagues.</w:t>
      </w:r>
    </w:p>
    <w:p w14:paraId="008EAF82" w14:textId="5630C7D8" w:rsidR="00A53A79" w:rsidRPr="00830F4C" w:rsidRDefault="00A53A79" w:rsidP="00A53A79">
      <w:pPr>
        <w:ind w:firstLine="284"/>
        <w:jc w:val="both"/>
        <w:rPr>
          <w:rFonts w:ascii="Garamond" w:hAnsi="Garamond"/>
        </w:rPr>
      </w:pPr>
      <w:r w:rsidRPr="00830F4C">
        <w:rPr>
          <w:rFonts w:ascii="Garamond" w:hAnsi="Garamond"/>
        </w:rPr>
        <w:t xml:space="preserve">Prej vitit 2017, Administrata Tatimore ka vijuar me ofrimin e shërbimeve </w:t>
      </w:r>
      <w:r w:rsidRPr="005C7FB7">
        <w:rPr>
          <w:rFonts w:ascii="Garamond" w:hAnsi="Garamond"/>
          <w:i/>
        </w:rPr>
        <w:t>online</w:t>
      </w:r>
      <w:r w:rsidRPr="00830F4C">
        <w:rPr>
          <w:rFonts w:ascii="Garamond" w:hAnsi="Garamond"/>
        </w:rPr>
        <w:t xml:space="preserve"> </w:t>
      </w:r>
      <w:r w:rsidR="005C7FB7" w:rsidRPr="00830F4C">
        <w:rPr>
          <w:rFonts w:ascii="Garamond" w:hAnsi="Garamond"/>
        </w:rPr>
        <w:t>për</w:t>
      </w:r>
      <w:r w:rsidRPr="00830F4C">
        <w:rPr>
          <w:rFonts w:ascii="Garamond" w:hAnsi="Garamond"/>
        </w:rPr>
        <w:t xml:space="preserve"> tatimpaguesit dhe individët, ku aktualisht 95% e kërkesave trajtohen elektronikisht nëpërmjet portalit </w:t>
      </w:r>
      <w:r w:rsidRPr="005C7FB7">
        <w:rPr>
          <w:rFonts w:ascii="Garamond" w:hAnsi="Garamond"/>
          <w:i/>
        </w:rPr>
        <w:t>e-albania</w:t>
      </w:r>
      <w:r w:rsidRPr="00830F4C">
        <w:rPr>
          <w:rFonts w:ascii="Garamond" w:hAnsi="Garamond"/>
        </w:rPr>
        <w:t>. Aktualisht AT</w:t>
      </w:r>
      <w:r w:rsidR="00044EDE" w:rsidRPr="00044EDE">
        <w:rPr>
          <w:rFonts w:ascii="Garamond" w:hAnsi="Garamond"/>
        </w:rPr>
        <w:t>-</w:t>
      </w:r>
      <w:r w:rsidR="00044EDE">
        <w:rPr>
          <w:rFonts w:ascii="Garamond" w:hAnsi="Garamond"/>
        </w:rPr>
        <w:t>ja</w:t>
      </w:r>
      <w:r w:rsidRPr="00830F4C">
        <w:rPr>
          <w:rFonts w:ascii="Garamond" w:hAnsi="Garamond"/>
        </w:rPr>
        <w:t xml:space="preserve"> është në fazën e zhvillimeve për automatizimin dhe digjitalizimin e disa proceseve, gjithashtu</w:t>
      </w:r>
      <w:r w:rsidR="00044EDE">
        <w:rPr>
          <w:rFonts w:ascii="Garamond" w:hAnsi="Garamond"/>
        </w:rPr>
        <w:t>,</w:t>
      </w:r>
      <w:r w:rsidRPr="00830F4C">
        <w:rPr>
          <w:rFonts w:ascii="Garamond" w:hAnsi="Garamond"/>
        </w:rPr>
        <w:t xml:space="preserve"> pritet të shtohen edhe 10 shërbime të reja </w:t>
      </w:r>
      <w:r w:rsidRPr="005C7FB7">
        <w:rPr>
          <w:rFonts w:ascii="Garamond" w:hAnsi="Garamond"/>
          <w:i/>
        </w:rPr>
        <w:t>online</w:t>
      </w:r>
      <w:r w:rsidRPr="00830F4C">
        <w:rPr>
          <w:rFonts w:ascii="Garamond" w:hAnsi="Garamond"/>
        </w:rPr>
        <w:t>. Tashmë, AT</w:t>
      </w:r>
      <w:r w:rsidR="00044EDE" w:rsidRPr="00044EDE">
        <w:rPr>
          <w:rFonts w:ascii="Garamond" w:hAnsi="Garamond"/>
        </w:rPr>
        <w:t>-</w:t>
      </w:r>
      <w:r w:rsidR="00044EDE">
        <w:rPr>
          <w:rFonts w:ascii="Garamond" w:hAnsi="Garamond"/>
        </w:rPr>
        <w:t>ja</w:t>
      </w:r>
      <w:r w:rsidRPr="00830F4C">
        <w:rPr>
          <w:rFonts w:ascii="Garamond" w:hAnsi="Garamond"/>
        </w:rPr>
        <w:t xml:space="preserve"> ka një sistem modern të IT-së, bashkëveprimi elektronik me taksapaguesit është procedurë normale duke përfshirë regjistrimin elektronik të deklaratave tatimore. Struktura e AT</w:t>
      </w:r>
      <w:r w:rsidR="00044EDE" w:rsidRPr="00044EDE">
        <w:rPr>
          <w:rFonts w:ascii="Garamond" w:hAnsi="Garamond"/>
        </w:rPr>
        <w:t>-</w:t>
      </w:r>
      <w:r w:rsidR="00044EDE">
        <w:rPr>
          <w:rFonts w:ascii="Garamond" w:hAnsi="Garamond"/>
        </w:rPr>
        <w:t>s</w:t>
      </w:r>
      <w:r w:rsidR="00044EDE" w:rsidRPr="00044EDE">
        <w:rPr>
          <w:rFonts w:ascii="Garamond" w:hAnsi="Garamond"/>
        </w:rPr>
        <w:t>ë</w:t>
      </w:r>
      <w:r w:rsidRPr="00830F4C">
        <w:rPr>
          <w:rFonts w:ascii="Garamond" w:hAnsi="Garamond"/>
        </w:rPr>
        <w:t xml:space="preserve"> është thjeshtuar, është krijuar një Qendër Kombëtare e Thirrjeve dhe është bërë një progres domethënës në zhvillimin e një qasjeje moderne të menaxhimit të riskut të pajtueshmërisë. </w:t>
      </w:r>
    </w:p>
    <w:p w14:paraId="7AE95C5B" w14:textId="77777777" w:rsidR="00CF0705" w:rsidRDefault="00CF0705" w:rsidP="00A53A79">
      <w:pPr>
        <w:ind w:firstLine="284"/>
        <w:jc w:val="both"/>
        <w:rPr>
          <w:rFonts w:ascii="Garamond" w:hAnsi="Garamond"/>
        </w:rPr>
      </w:pPr>
    </w:p>
    <w:p w14:paraId="7CEFC838" w14:textId="143F909D" w:rsidR="00A53A79" w:rsidRPr="00830F4C" w:rsidRDefault="00A53A79" w:rsidP="00A53A79">
      <w:pPr>
        <w:ind w:firstLine="284"/>
        <w:jc w:val="both"/>
        <w:rPr>
          <w:rFonts w:ascii="Garamond" w:hAnsi="Garamond"/>
        </w:rPr>
      </w:pPr>
      <w:r w:rsidRPr="00830F4C">
        <w:rPr>
          <w:rFonts w:ascii="Garamond" w:hAnsi="Garamond"/>
        </w:rPr>
        <w:t>Në partneritet me Institutin e Statistikave dhe Regjistrin Kombëtar të Biznesit, AT</w:t>
      </w:r>
      <w:r w:rsidR="00044EDE" w:rsidRPr="00044EDE">
        <w:rPr>
          <w:rFonts w:ascii="Garamond" w:hAnsi="Garamond"/>
        </w:rPr>
        <w:t>-</w:t>
      </w:r>
      <w:r w:rsidR="00044EDE">
        <w:rPr>
          <w:rFonts w:ascii="Garamond" w:hAnsi="Garamond"/>
        </w:rPr>
        <w:t>ja</w:t>
      </w:r>
      <w:r w:rsidRPr="00830F4C">
        <w:rPr>
          <w:rFonts w:ascii="Garamond" w:hAnsi="Garamond"/>
        </w:rPr>
        <w:t xml:space="preserve"> ka ndërmarrë</w:t>
      </w:r>
      <w:r w:rsidR="00044EDE">
        <w:rPr>
          <w:rFonts w:ascii="Garamond" w:hAnsi="Garamond"/>
        </w:rPr>
        <w:t>,</w:t>
      </w:r>
      <w:r w:rsidRPr="00830F4C">
        <w:rPr>
          <w:rFonts w:ascii="Garamond" w:hAnsi="Garamond"/>
        </w:rPr>
        <w:t xml:space="preserve"> gjithashtu</w:t>
      </w:r>
      <w:r w:rsidR="00044EDE">
        <w:rPr>
          <w:rFonts w:ascii="Garamond" w:hAnsi="Garamond"/>
        </w:rPr>
        <w:t>,</w:t>
      </w:r>
      <w:r w:rsidRPr="00830F4C">
        <w:rPr>
          <w:rFonts w:ascii="Garamond" w:hAnsi="Garamond"/>
        </w:rPr>
        <w:t xml:space="preserve"> një rifreskim gjithëpërfshirës të kodeve ekonomike t</w:t>
      </w:r>
      <w:r w:rsidR="008C0C0F" w:rsidRPr="00830F4C">
        <w:rPr>
          <w:rFonts w:ascii="Garamond" w:hAnsi="Garamond"/>
        </w:rPr>
        <w:t>ë</w:t>
      </w:r>
      <w:r w:rsidRPr="00830F4C">
        <w:rPr>
          <w:rFonts w:ascii="Garamond" w:hAnsi="Garamond"/>
        </w:rPr>
        <w:t xml:space="preserve"> </w:t>
      </w:r>
      <w:r w:rsidR="008C0C0F" w:rsidRPr="00830F4C">
        <w:rPr>
          <w:rFonts w:ascii="Garamond" w:hAnsi="Garamond"/>
        </w:rPr>
        <w:t>bizneseve</w:t>
      </w:r>
      <w:r w:rsidRPr="00830F4C">
        <w:rPr>
          <w:rFonts w:ascii="Garamond" w:hAnsi="Garamond"/>
        </w:rPr>
        <w:t xml:space="preserve"> dhe të dhënave të tjera të tatimpaguesve të regjistruara në regjistrin e saj kombëtar të tatimpaguesve. Për më tepër, projekti i Fiskalizimit po i siguron AT</w:t>
      </w:r>
      <w:r w:rsidR="00044EDE" w:rsidRPr="00044EDE">
        <w:rPr>
          <w:rFonts w:ascii="Garamond" w:hAnsi="Garamond"/>
        </w:rPr>
        <w:t>-</w:t>
      </w:r>
      <w:r w:rsidR="00044EDE">
        <w:rPr>
          <w:rFonts w:ascii="Garamond" w:hAnsi="Garamond"/>
        </w:rPr>
        <w:t>s</w:t>
      </w:r>
      <w:r w:rsidR="00044EDE" w:rsidRPr="00044EDE">
        <w:rPr>
          <w:rFonts w:ascii="Garamond" w:hAnsi="Garamond"/>
        </w:rPr>
        <w:t>ë</w:t>
      </w:r>
      <w:r w:rsidRPr="00830F4C">
        <w:rPr>
          <w:rFonts w:ascii="Garamond" w:hAnsi="Garamond"/>
        </w:rPr>
        <w:t xml:space="preserve"> të dhëna sasiore dhe cilësore në kohë reale.</w:t>
      </w:r>
    </w:p>
    <w:p w14:paraId="15E0FCD1" w14:textId="08D0F555" w:rsidR="00A53A79" w:rsidRPr="00830F4C" w:rsidRDefault="00A53A79" w:rsidP="00A53A79">
      <w:pPr>
        <w:ind w:firstLine="284"/>
        <w:jc w:val="both"/>
        <w:rPr>
          <w:rFonts w:ascii="Garamond" w:hAnsi="Garamond"/>
        </w:rPr>
      </w:pPr>
      <w:r w:rsidRPr="00830F4C">
        <w:rPr>
          <w:rFonts w:ascii="Garamond" w:hAnsi="Garamond"/>
        </w:rPr>
        <w:t xml:space="preserve">Faqja e internetit të Administratës Tatimore është konceptuar për të </w:t>
      </w:r>
      <w:r w:rsidR="00044EDE" w:rsidRPr="00830F4C">
        <w:rPr>
          <w:rFonts w:ascii="Garamond" w:hAnsi="Garamond"/>
        </w:rPr>
        <w:t>qenë</w:t>
      </w:r>
      <w:r w:rsidRPr="00830F4C">
        <w:rPr>
          <w:rFonts w:ascii="Garamond" w:hAnsi="Garamond"/>
        </w:rPr>
        <w:t xml:space="preserve"> </w:t>
      </w:r>
      <w:r w:rsidRPr="00044EDE">
        <w:rPr>
          <w:rFonts w:ascii="Garamond" w:hAnsi="Garamond"/>
          <w:i/>
        </w:rPr>
        <w:t>user-friendly</w:t>
      </w:r>
      <w:r w:rsidRPr="00830F4C">
        <w:rPr>
          <w:rFonts w:ascii="Garamond" w:hAnsi="Garamond"/>
        </w:rPr>
        <w:t xml:space="preserve"> në funksion të informimit të tatimpaguesve dhe individëve për lehtësimin dhe rritjen e nivelit të </w:t>
      </w:r>
      <w:r w:rsidR="00044EDE" w:rsidRPr="00830F4C">
        <w:rPr>
          <w:rFonts w:ascii="Garamond" w:hAnsi="Garamond"/>
        </w:rPr>
        <w:t>përmbushjes</w:t>
      </w:r>
      <w:r w:rsidRPr="00830F4C">
        <w:rPr>
          <w:rFonts w:ascii="Garamond" w:hAnsi="Garamond"/>
        </w:rPr>
        <w:t xml:space="preserve"> së detyrimeve tatimore. Kjo faqe përmban informacion të përditësuar për legjislacionin tatimor në fuqi, kalendarin tatimor, njoftime periodike për ndryshimet ligjore dhe detyrimet apo afatet e deklarimit dhe pagesës, kontaktet dhe kanalet e komunikimit me Drejtorinë e Përgjithshme të Tatimeve dhe Drejtoritë Rajonale Tatimore etj</w:t>
      </w:r>
      <w:r w:rsidR="008C0C0F" w:rsidRPr="00830F4C">
        <w:rPr>
          <w:rFonts w:ascii="Garamond" w:hAnsi="Garamond"/>
        </w:rPr>
        <w:t>.</w:t>
      </w:r>
      <w:r w:rsidRPr="00830F4C">
        <w:rPr>
          <w:rFonts w:ascii="Garamond" w:hAnsi="Garamond"/>
        </w:rPr>
        <w:t>, si dhe është e ndërtuar dhe orientuar sipas kategorive të tatimpaguesve: Individë, Biznese, OJF</w:t>
      </w:r>
      <w:r w:rsidR="00044EDE">
        <w:rPr>
          <w:rFonts w:ascii="Garamond" w:hAnsi="Garamond"/>
        </w:rPr>
        <w:t xml:space="preserve"> </w:t>
      </w:r>
      <w:r w:rsidRPr="00830F4C">
        <w:rPr>
          <w:rFonts w:ascii="Garamond" w:hAnsi="Garamond"/>
        </w:rPr>
        <w:t>&amp;</w:t>
      </w:r>
      <w:r w:rsidR="00044EDE">
        <w:rPr>
          <w:rFonts w:ascii="Garamond" w:hAnsi="Garamond"/>
        </w:rPr>
        <w:t xml:space="preserve"> </w:t>
      </w:r>
      <w:r w:rsidRPr="00830F4C">
        <w:rPr>
          <w:rFonts w:ascii="Garamond" w:hAnsi="Garamond"/>
        </w:rPr>
        <w:t xml:space="preserve">Ente publike. </w:t>
      </w:r>
    </w:p>
    <w:p w14:paraId="734F8F4D" w14:textId="6E0C1B4C" w:rsidR="00A53A79" w:rsidRPr="00830F4C" w:rsidRDefault="00A53A79" w:rsidP="00A53A79">
      <w:pPr>
        <w:ind w:firstLine="284"/>
        <w:jc w:val="both"/>
        <w:rPr>
          <w:rFonts w:ascii="Garamond" w:hAnsi="Garamond"/>
        </w:rPr>
      </w:pPr>
      <w:r w:rsidRPr="00830F4C">
        <w:rPr>
          <w:rFonts w:ascii="Garamond" w:hAnsi="Garamond"/>
        </w:rPr>
        <w:t xml:space="preserve">Gjithashtu, një menu e veçantë për Fiskalizimin ofron informacion të detajuar si për tatimpaguesit ashtu edhe për ofruesit e zgjidhjeve </w:t>
      </w:r>
      <w:r w:rsidRPr="00830F4C">
        <w:rPr>
          <w:rFonts w:ascii="Garamond" w:hAnsi="Garamond"/>
          <w:i/>
        </w:rPr>
        <w:t>soft</w:t>
      </w:r>
      <w:r w:rsidR="008C0C0F" w:rsidRPr="00830F4C">
        <w:rPr>
          <w:rFonts w:ascii="Garamond" w:hAnsi="Garamond"/>
          <w:i/>
        </w:rPr>
        <w:t>w</w:t>
      </w:r>
      <w:r w:rsidRPr="00830F4C">
        <w:rPr>
          <w:rFonts w:ascii="Garamond" w:hAnsi="Garamond"/>
          <w:i/>
        </w:rPr>
        <w:t>erike</w:t>
      </w:r>
      <w:r w:rsidRPr="00830F4C">
        <w:rPr>
          <w:rFonts w:ascii="Garamond" w:hAnsi="Garamond"/>
        </w:rPr>
        <w:t>. Në kuadër të zbatimit të ligjit të ri për tatimin mbi të ardhurat, në faqe u krijua një menu e dedikuar me informacion të detajuar për bazën ligjore, si dhe informacione t</w:t>
      </w:r>
      <w:r w:rsidR="008C0C0F" w:rsidRPr="00830F4C">
        <w:rPr>
          <w:rFonts w:ascii="Garamond" w:hAnsi="Garamond"/>
        </w:rPr>
        <w:t>ë</w:t>
      </w:r>
      <w:r w:rsidRPr="00830F4C">
        <w:rPr>
          <w:rFonts w:ascii="Garamond" w:hAnsi="Garamond"/>
        </w:rPr>
        <w:t xml:space="preserve"> tjera </w:t>
      </w:r>
      <w:r w:rsidR="008C0C0F" w:rsidRPr="00830F4C">
        <w:rPr>
          <w:rFonts w:ascii="Garamond" w:hAnsi="Garamond"/>
        </w:rPr>
        <w:t>të</w:t>
      </w:r>
      <w:r w:rsidRPr="00830F4C">
        <w:rPr>
          <w:rFonts w:ascii="Garamond" w:hAnsi="Garamond"/>
        </w:rPr>
        <w:t xml:space="preserve"> nevojshme. </w:t>
      </w:r>
    </w:p>
    <w:p w14:paraId="4E3971B6" w14:textId="3798FDAB" w:rsidR="00A53A79" w:rsidRPr="00830F4C" w:rsidRDefault="00A53A79" w:rsidP="00A53A79">
      <w:pPr>
        <w:ind w:firstLine="284"/>
        <w:jc w:val="both"/>
        <w:rPr>
          <w:rFonts w:ascii="Garamond" w:hAnsi="Garamond"/>
        </w:rPr>
      </w:pPr>
      <w:r w:rsidRPr="00830F4C">
        <w:rPr>
          <w:rFonts w:ascii="Garamond" w:hAnsi="Garamond"/>
        </w:rPr>
        <w:t>Qendra e Thirrjeve është strukturë, pjesë përbërëse e Drejtorisë së Shërbimit për Tatimpaguesit, e cila pret thirrjet nga tatimpaguesit apo publiku i interesuar</w:t>
      </w:r>
      <w:r w:rsidR="009D2B13">
        <w:rPr>
          <w:rFonts w:ascii="Garamond" w:hAnsi="Garamond"/>
        </w:rPr>
        <w:t>,</w:t>
      </w:r>
      <w:r w:rsidRPr="00830F4C">
        <w:rPr>
          <w:rFonts w:ascii="Garamond" w:hAnsi="Garamond"/>
        </w:rPr>
        <w:t xml:space="preserve"> si dhe kryen thirrje dalëse sipas planeve të përbashkëta ta punës me funksionet e tjera të Administratës Tatimore. </w:t>
      </w:r>
    </w:p>
    <w:p w14:paraId="0CCC2CF6" w14:textId="77777777" w:rsidR="00A53A79" w:rsidRPr="00830F4C" w:rsidRDefault="00A53A79" w:rsidP="00A53A79">
      <w:pPr>
        <w:ind w:firstLine="284"/>
        <w:jc w:val="both"/>
        <w:rPr>
          <w:rFonts w:ascii="Garamond" w:hAnsi="Garamond"/>
          <w:b/>
          <w:bCs/>
        </w:rPr>
      </w:pPr>
      <w:r w:rsidRPr="00830F4C">
        <w:rPr>
          <w:rFonts w:ascii="Garamond" w:hAnsi="Garamond"/>
          <w:b/>
          <w:bCs/>
        </w:rPr>
        <w:t>Prioritetet:</w:t>
      </w:r>
    </w:p>
    <w:p w14:paraId="0FE584AE" w14:textId="6654F1EA" w:rsidR="00A53A79" w:rsidRPr="00830F4C" w:rsidRDefault="00A53A79" w:rsidP="00A53A79">
      <w:pPr>
        <w:ind w:firstLine="284"/>
        <w:jc w:val="both"/>
        <w:rPr>
          <w:rFonts w:ascii="Garamond" w:hAnsi="Garamond"/>
        </w:rPr>
      </w:pPr>
      <w:r w:rsidRPr="00830F4C">
        <w:rPr>
          <w:rFonts w:ascii="Garamond" w:hAnsi="Garamond"/>
        </w:rPr>
        <w:t>Prioritetet për periudhën</w:t>
      </w:r>
      <w:r w:rsidR="00800B00" w:rsidRPr="00830F4C">
        <w:rPr>
          <w:rFonts w:ascii="Garamond" w:hAnsi="Garamond"/>
        </w:rPr>
        <w:t xml:space="preserve"> </w:t>
      </w:r>
      <w:r w:rsidR="00D22EA5" w:rsidRPr="00830F4C">
        <w:rPr>
          <w:rFonts w:ascii="Garamond" w:hAnsi="Garamond"/>
        </w:rPr>
        <w:t>2024–2027</w:t>
      </w:r>
      <w:r w:rsidRPr="00830F4C">
        <w:rPr>
          <w:rFonts w:ascii="Garamond" w:hAnsi="Garamond"/>
        </w:rPr>
        <w:t xml:space="preserve"> janë:</w:t>
      </w:r>
    </w:p>
    <w:p w14:paraId="731FBA3C" w14:textId="77777777" w:rsidR="00A53A79" w:rsidRPr="00830F4C" w:rsidRDefault="00A53A79" w:rsidP="00A53A79">
      <w:pPr>
        <w:pStyle w:val="ListParagraph"/>
        <w:spacing w:after="0" w:line="240" w:lineRule="auto"/>
        <w:ind w:left="0" w:firstLine="284"/>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Ngritja e kapaciteteve institucionale në administratën tatimore;</w:t>
      </w:r>
    </w:p>
    <w:p w14:paraId="23388463" w14:textId="7136DA75" w:rsidR="00A53A79" w:rsidRPr="00830F4C" w:rsidRDefault="00A53A79" w:rsidP="00A53A79">
      <w:pPr>
        <w:pStyle w:val="ListParagraph"/>
        <w:spacing w:after="0" w:line="240" w:lineRule="auto"/>
        <w:ind w:left="0" w:firstLine="284"/>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Fuqizimi i aftësive të Drejtorisë së Menaxhimit t</w:t>
      </w:r>
      <w:r w:rsidR="008C0C0F" w:rsidRPr="00830F4C">
        <w:rPr>
          <w:rFonts w:ascii="Garamond" w:hAnsi="Garamond"/>
        </w:rPr>
        <w:t>ë</w:t>
      </w:r>
      <w:r w:rsidRPr="00830F4C">
        <w:rPr>
          <w:rFonts w:ascii="Garamond" w:hAnsi="Garamond"/>
          <w:sz w:val="24"/>
          <w:szCs w:val="24"/>
        </w:rPr>
        <w:t xml:space="preserve"> Riskut (DMR); </w:t>
      </w:r>
    </w:p>
    <w:p w14:paraId="4A3B95B8" w14:textId="77777777" w:rsidR="00A53A79" w:rsidRPr="00830F4C" w:rsidRDefault="00A53A79" w:rsidP="00A53A79">
      <w:pPr>
        <w:pStyle w:val="ListParagraph"/>
        <w:spacing w:after="0" w:line="240" w:lineRule="auto"/>
        <w:ind w:left="0" w:firstLine="284"/>
        <w:rPr>
          <w:rFonts w:ascii="Garamond" w:hAnsi="Garamond"/>
          <w:sz w:val="24"/>
          <w:szCs w:val="24"/>
        </w:rPr>
      </w:pPr>
      <w:r w:rsidRPr="00830F4C">
        <w:rPr>
          <w:rFonts w:ascii="Garamond" w:hAnsi="Garamond" w:cs="Symbol"/>
          <w:sz w:val="24"/>
          <w:szCs w:val="24"/>
        </w:rPr>
        <w:t xml:space="preserve">- </w:t>
      </w:r>
      <w:r w:rsidRPr="00830F4C">
        <w:rPr>
          <w:rFonts w:ascii="Garamond" w:hAnsi="Garamond"/>
          <w:sz w:val="24"/>
          <w:szCs w:val="24"/>
        </w:rPr>
        <w:t xml:space="preserve">Zhvillimi i një administrate tatimore të aftë dhe efektive. </w:t>
      </w:r>
    </w:p>
    <w:p w14:paraId="6AEB7FD2" w14:textId="77777777" w:rsidR="00A53A79" w:rsidRPr="00830F4C" w:rsidRDefault="00A53A79" w:rsidP="00316D86">
      <w:pPr>
        <w:ind w:firstLine="284"/>
        <w:jc w:val="both"/>
        <w:rPr>
          <w:rFonts w:ascii="Garamond" w:hAnsi="Garamond"/>
          <w:b/>
          <w:bCs/>
        </w:rPr>
      </w:pPr>
      <w:r w:rsidRPr="00830F4C">
        <w:rPr>
          <w:rFonts w:ascii="Garamond" w:hAnsi="Garamond"/>
          <w:b/>
          <w:bCs/>
        </w:rPr>
        <w:t>Masat dhe aktivitetet</w:t>
      </w:r>
    </w:p>
    <w:tbl>
      <w:tblPr>
        <w:tblStyle w:val="TableGrid"/>
        <w:tblW w:w="9403" w:type="dxa"/>
        <w:tblLook w:val="04A0" w:firstRow="1" w:lastRow="0" w:firstColumn="1" w:lastColumn="0" w:noHBand="0" w:noVBand="1"/>
      </w:tblPr>
      <w:tblGrid>
        <w:gridCol w:w="3400"/>
        <w:gridCol w:w="1698"/>
        <w:gridCol w:w="1995"/>
        <w:gridCol w:w="2310"/>
      </w:tblGrid>
      <w:tr w:rsidR="00A53A79" w:rsidRPr="00CC11D5" w14:paraId="42D29A87" w14:textId="77777777" w:rsidTr="00316D86">
        <w:trPr>
          <w:trHeight w:val="20"/>
        </w:trPr>
        <w:tc>
          <w:tcPr>
            <w:tcW w:w="3400" w:type="dxa"/>
          </w:tcPr>
          <w:p w14:paraId="67937C2B" w14:textId="77777777" w:rsidR="00A53A79" w:rsidRPr="00CC11D5" w:rsidRDefault="00A53A79" w:rsidP="00316D86">
            <w:pPr>
              <w:jc w:val="center"/>
              <w:rPr>
                <w:rFonts w:ascii="Garamond" w:hAnsi="Garamond"/>
                <w:b/>
                <w:sz w:val="12"/>
                <w:szCs w:val="12"/>
              </w:rPr>
            </w:pPr>
            <w:r w:rsidRPr="00CC11D5">
              <w:rPr>
                <w:rFonts w:ascii="Garamond" w:hAnsi="Garamond"/>
                <w:b/>
                <w:sz w:val="12"/>
                <w:szCs w:val="12"/>
              </w:rPr>
              <w:t>Masa</w:t>
            </w:r>
          </w:p>
        </w:tc>
        <w:tc>
          <w:tcPr>
            <w:tcW w:w="1698" w:type="dxa"/>
          </w:tcPr>
          <w:p w14:paraId="200F7895" w14:textId="77777777" w:rsidR="00A53A79" w:rsidRPr="00CC11D5" w:rsidRDefault="00A53A79" w:rsidP="00316D86">
            <w:pPr>
              <w:jc w:val="center"/>
              <w:rPr>
                <w:rFonts w:ascii="Garamond" w:hAnsi="Garamond"/>
                <w:b/>
                <w:sz w:val="12"/>
                <w:szCs w:val="12"/>
              </w:rPr>
            </w:pPr>
            <w:r w:rsidRPr="00CC11D5">
              <w:rPr>
                <w:rFonts w:ascii="Garamond" w:hAnsi="Garamond"/>
                <w:b/>
                <w:sz w:val="12"/>
                <w:szCs w:val="12"/>
              </w:rPr>
              <w:t>Fillimi</w:t>
            </w:r>
          </w:p>
        </w:tc>
        <w:tc>
          <w:tcPr>
            <w:tcW w:w="1995" w:type="dxa"/>
          </w:tcPr>
          <w:p w14:paraId="0C91A261" w14:textId="77777777" w:rsidR="00A53A79" w:rsidRPr="00CC11D5" w:rsidRDefault="00A53A79" w:rsidP="00316D86">
            <w:pPr>
              <w:jc w:val="center"/>
              <w:rPr>
                <w:rFonts w:ascii="Garamond" w:hAnsi="Garamond"/>
                <w:b/>
                <w:sz w:val="12"/>
                <w:szCs w:val="12"/>
              </w:rPr>
            </w:pPr>
            <w:r w:rsidRPr="00CC11D5">
              <w:rPr>
                <w:rFonts w:ascii="Garamond" w:hAnsi="Garamond"/>
                <w:b/>
                <w:sz w:val="12"/>
                <w:szCs w:val="12"/>
              </w:rPr>
              <w:t>Mbarimi</w:t>
            </w:r>
          </w:p>
        </w:tc>
        <w:tc>
          <w:tcPr>
            <w:tcW w:w="2310" w:type="dxa"/>
          </w:tcPr>
          <w:p w14:paraId="4A0F2A32" w14:textId="77777777" w:rsidR="00A53A79" w:rsidRPr="00CC11D5" w:rsidRDefault="00A53A79" w:rsidP="00316D86">
            <w:pPr>
              <w:jc w:val="center"/>
              <w:rPr>
                <w:rFonts w:ascii="Garamond" w:hAnsi="Garamond"/>
                <w:b/>
                <w:sz w:val="12"/>
                <w:szCs w:val="12"/>
              </w:rPr>
            </w:pPr>
            <w:r w:rsidRPr="00CC11D5">
              <w:rPr>
                <w:rFonts w:ascii="Garamond" w:hAnsi="Garamond"/>
                <w:b/>
                <w:sz w:val="12"/>
                <w:szCs w:val="12"/>
              </w:rPr>
              <w:t>Institucioni përgjegjës</w:t>
            </w:r>
          </w:p>
        </w:tc>
      </w:tr>
      <w:tr w:rsidR="00A53A79" w:rsidRPr="00CC11D5" w14:paraId="4BE71846" w14:textId="77777777" w:rsidTr="00316D86">
        <w:trPr>
          <w:trHeight w:val="20"/>
        </w:trPr>
        <w:tc>
          <w:tcPr>
            <w:tcW w:w="3400" w:type="dxa"/>
          </w:tcPr>
          <w:p w14:paraId="247F0922" w14:textId="0A870229" w:rsidR="00A53A79" w:rsidRPr="00CC11D5" w:rsidRDefault="00A53A79" w:rsidP="00316D86">
            <w:pPr>
              <w:jc w:val="center"/>
              <w:rPr>
                <w:rFonts w:ascii="Garamond" w:eastAsiaTheme="minorHAnsi" w:hAnsi="Garamond"/>
                <w:sz w:val="12"/>
                <w:szCs w:val="12"/>
              </w:rPr>
            </w:pPr>
            <w:r w:rsidRPr="00CC11D5">
              <w:rPr>
                <w:rFonts w:ascii="Garamond" w:eastAsiaTheme="minorHAnsi" w:hAnsi="Garamond"/>
                <w:sz w:val="12"/>
                <w:szCs w:val="12"/>
              </w:rPr>
              <w:t xml:space="preserve">Masa 2.7.1 Fuqizimi i Qendrës së Thirrjeve, si pjesë përbërëse e </w:t>
            </w:r>
            <w:r w:rsidR="009D2B13" w:rsidRPr="00CC11D5">
              <w:rPr>
                <w:rFonts w:ascii="Garamond" w:eastAsiaTheme="minorHAnsi" w:hAnsi="Garamond"/>
                <w:sz w:val="12"/>
                <w:szCs w:val="12"/>
              </w:rPr>
              <w:t>Strategjisë</w:t>
            </w:r>
            <w:r w:rsidRPr="00CC11D5">
              <w:rPr>
                <w:rFonts w:ascii="Garamond" w:eastAsiaTheme="minorHAnsi" w:hAnsi="Garamond"/>
                <w:sz w:val="12"/>
                <w:szCs w:val="12"/>
              </w:rPr>
              <w:t xml:space="preserve"> së Shërbimit për Tatimpaguesit</w:t>
            </w:r>
          </w:p>
        </w:tc>
        <w:tc>
          <w:tcPr>
            <w:tcW w:w="1698" w:type="dxa"/>
          </w:tcPr>
          <w:p w14:paraId="388E19E5" w14:textId="77777777" w:rsidR="00A53A79" w:rsidRPr="00CC11D5" w:rsidRDefault="00A53A79" w:rsidP="00316D86">
            <w:pPr>
              <w:jc w:val="center"/>
              <w:rPr>
                <w:rFonts w:ascii="Garamond" w:hAnsi="Garamond"/>
                <w:sz w:val="12"/>
                <w:szCs w:val="12"/>
              </w:rPr>
            </w:pPr>
            <w:r w:rsidRPr="00CC11D5">
              <w:rPr>
                <w:rFonts w:ascii="Garamond" w:hAnsi="Garamond"/>
                <w:sz w:val="12"/>
                <w:szCs w:val="12"/>
              </w:rPr>
              <w:t>2024</w:t>
            </w:r>
          </w:p>
        </w:tc>
        <w:tc>
          <w:tcPr>
            <w:tcW w:w="1995" w:type="dxa"/>
          </w:tcPr>
          <w:p w14:paraId="3E84370A" w14:textId="77777777" w:rsidR="00A53A79" w:rsidRPr="00CC11D5" w:rsidRDefault="00A53A79" w:rsidP="00316D86">
            <w:pPr>
              <w:jc w:val="center"/>
              <w:rPr>
                <w:rFonts w:ascii="Garamond" w:hAnsi="Garamond"/>
                <w:sz w:val="12"/>
                <w:szCs w:val="12"/>
              </w:rPr>
            </w:pPr>
            <w:r w:rsidRPr="00CC11D5">
              <w:rPr>
                <w:rFonts w:ascii="Garamond" w:hAnsi="Garamond"/>
                <w:sz w:val="12"/>
                <w:szCs w:val="12"/>
              </w:rPr>
              <w:t>2026</w:t>
            </w:r>
          </w:p>
        </w:tc>
        <w:tc>
          <w:tcPr>
            <w:tcW w:w="2310" w:type="dxa"/>
          </w:tcPr>
          <w:p w14:paraId="71405418" w14:textId="1721AAE9" w:rsidR="00A53A79" w:rsidRPr="00CC11D5" w:rsidRDefault="00A53A79" w:rsidP="00316D86">
            <w:pPr>
              <w:jc w:val="center"/>
              <w:rPr>
                <w:rFonts w:ascii="Garamond" w:hAnsi="Garamond"/>
                <w:sz w:val="12"/>
                <w:szCs w:val="12"/>
              </w:rPr>
            </w:pPr>
            <w:r w:rsidRPr="00CC11D5">
              <w:rPr>
                <w:rFonts w:ascii="Garamond" w:eastAsiaTheme="minorHAnsi" w:hAnsi="Garamond"/>
                <w:sz w:val="12"/>
                <w:szCs w:val="12"/>
              </w:rPr>
              <w:t>DPT/Shërbimi i Tatimpaguesve në bashkëpunim me</w:t>
            </w:r>
            <w:r w:rsidR="00D22EA5" w:rsidRPr="00CC11D5">
              <w:rPr>
                <w:rFonts w:ascii="Garamond" w:eastAsiaTheme="minorHAnsi" w:hAnsi="Garamond"/>
                <w:sz w:val="12"/>
                <w:szCs w:val="12"/>
              </w:rPr>
              <w:t xml:space="preserve"> </w:t>
            </w:r>
            <w:r w:rsidRPr="00CC11D5">
              <w:rPr>
                <w:rFonts w:ascii="Garamond" w:eastAsiaTheme="minorHAnsi" w:hAnsi="Garamond"/>
                <w:sz w:val="12"/>
                <w:szCs w:val="12"/>
              </w:rPr>
              <w:t>administratën tatimore suedeze (SIDA)</w:t>
            </w:r>
          </w:p>
        </w:tc>
      </w:tr>
      <w:tr w:rsidR="00A53A79" w:rsidRPr="00CC11D5" w14:paraId="6DD3AEA8" w14:textId="77777777" w:rsidTr="00316D86">
        <w:trPr>
          <w:trHeight w:val="20"/>
        </w:trPr>
        <w:tc>
          <w:tcPr>
            <w:tcW w:w="3400" w:type="dxa"/>
          </w:tcPr>
          <w:p w14:paraId="7B9B237F" w14:textId="2B471EA9" w:rsidR="00A53A79" w:rsidRPr="00CC11D5" w:rsidRDefault="00A53A79" w:rsidP="00316D86">
            <w:pPr>
              <w:jc w:val="center"/>
              <w:rPr>
                <w:rFonts w:ascii="Garamond" w:eastAsiaTheme="minorHAnsi" w:hAnsi="Garamond"/>
                <w:sz w:val="12"/>
                <w:szCs w:val="12"/>
              </w:rPr>
            </w:pPr>
            <w:r w:rsidRPr="00CC11D5">
              <w:rPr>
                <w:rFonts w:ascii="Garamond" w:eastAsiaTheme="minorHAnsi" w:hAnsi="Garamond"/>
                <w:sz w:val="12"/>
                <w:szCs w:val="12"/>
              </w:rPr>
              <w:t>Masa 2.7.2 Trajnimi për përdorimin, përpunimin dhe analizimin e të dhënave sasiore që sigurohen nga fiskalizimi dhe për të kryer projekte të veçanta të analizës</w:t>
            </w:r>
            <w:r w:rsidR="009D2B13" w:rsidRPr="00CC11D5">
              <w:rPr>
                <w:rFonts w:ascii="Garamond" w:eastAsiaTheme="minorHAnsi" w:hAnsi="Garamond"/>
                <w:sz w:val="12"/>
                <w:szCs w:val="12"/>
              </w:rPr>
              <w:t>,</w:t>
            </w:r>
            <w:r w:rsidRPr="00CC11D5">
              <w:rPr>
                <w:rFonts w:ascii="Garamond" w:eastAsiaTheme="minorHAnsi" w:hAnsi="Garamond"/>
                <w:sz w:val="12"/>
                <w:szCs w:val="12"/>
              </w:rPr>
              <w:t xml:space="preserve"> duke përfshirë detyrimin për transferimin e aftësive te personeli i DPT-së</w:t>
            </w:r>
          </w:p>
        </w:tc>
        <w:tc>
          <w:tcPr>
            <w:tcW w:w="1698" w:type="dxa"/>
          </w:tcPr>
          <w:p w14:paraId="09ADB8D3" w14:textId="77777777" w:rsidR="00A53A79" w:rsidRPr="00CC11D5" w:rsidRDefault="00A53A79" w:rsidP="00316D86">
            <w:pPr>
              <w:jc w:val="center"/>
              <w:rPr>
                <w:rFonts w:ascii="Garamond" w:hAnsi="Garamond"/>
                <w:sz w:val="12"/>
                <w:szCs w:val="12"/>
              </w:rPr>
            </w:pPr>
            <w:r w:rsidRPr="00CC11D5">
              <w:rPr>
                <w:rFonts w:ascii="Garamond" w:hAnsi="Garamond"/>
                <w:sz w:val="12"/>
                <w:szCs w:val="12"/>
              </w:rPr>
              <w:t>2024</w:t>
            </w:r>
          </w:p>
        </w:tc>
        <w:tc>
          <w:tcPr>
            <w:tcW w:w="1995" w:type="dxa"/>
          </w:tcPr>
          <w:p w14:paraId="68982987" w14:textId="77777777" w:rsidR="00A53A79" w:rsidRPr="00CC11D5" w:rsidRDefault="00A53A79" w:rsidP="00316D86">
            <w:pPr>
              <w:jc w:val="center"/>
              <w:rPr>
                <w:rFonts w:ascii="Garamond" w:hAnsi="Garamond"/>
                <w:sz w:val="12"/>
                <w:szCs w:val="12"/>
              </w:rPr>
            </w:pPr>
            <w:r w:rsidRPr="00CC11D5">
              <w:rPr>
                <w:rFonts w:ascii="Garamond" w:hAnsi="Garamond"/>
                <w:sz w:val="12"/>
                <w:szCs w:val="12"/>
              </w:rPr>
              <w:t>2026</w:t>
            </w:r>
          </w:p>
        </w:tc>
        <w:tc>
          <w:tcPr>
            <w:tcW w:w="2310" w:type="dxa"/>
          </w:tcPr>
          <w:p w14:paraId="307E06B2" w14:textId="09058CFC" w:rsidR="00A53A79" w:rsidRPr="00CC11D5" w:rsidRDefault="00A53A79" w:rsidP="00316D86">
            <w:pPr>
              <w:jc w:val="center"/>
              <w:rPr>
                <w:rFonts w:ascii="Garamond" w:hAnsi="Garamond"/>
                <w:sz w:val="12"/>
                <w:szCs w:val="12"/>
              </w:rPr>
            </w:pPr>
            <w:r w:rsidRPr="00CC11D5">
              <w:rPr>
                <w:rFonts w:ascii="Garamond" w:hAnsi="Garamond"/>
                <w:sz w:val="12"/>
                <w:szCs w:val="12"/>
              </w:rPr>
              <w:t>DPT, n</w:t>
            </w:r>
            <w:r w:rsidRPr="00CC11D5">
              <w:rPr>
                <w:rFonts w:ascii="Garamond" w:eastAsiaTheme="minorHAnsi" w:hAnsi="Garamond"/>
                <w:sz w:val="12"/>
                <w:szCs w:val="12"/>
              </w:rPr>
              <w:t>ën asistencën e partnerëve FMN</w:t>
            </w:r>
            <w:r w:rsidR="009D2B13" w:rsidRPr="00CC11D5">
              <w:rPr>
                <w:rFonts w:ascii="Garamond" w:hAnsi="Garamond"/>
                <w:sz w:val="12"/>
                <w:szCs w:val="12"/>
              </w:rPr>
              <w:t>-së</w:t>
            </w:r>
          </w:p>
        </w:tc>
      </w:tr>
      <w:tr w:rsidR="00A53A79" w:rsidRPr="00CC11D5" w14:paraId="52B7B37D" w14:textId="77777777" w:rsidTr="00316D86">
        <w:trPr>
          <w:trHeight w:val="20"/>
        </w:trPr>
        <w:tc>
          <w:tcPr>
            <w:tcW w:w="3400" w:type="dxa"/>
          </w:tcPr>
          <w:p w14:paraId="6CE0549F" w14:textId="626FF350" w:rsidR="00A53A79" w:rsidRPr="00CC11D5" w:rsidRDefault="00A53A79" w:rsidP="00316D86">
            <w:pPr>
              <w:jc w:val="center"/>
              <w:rPr>
                <w:rFonts w:ascii="Garamond" w:eastAsiaTheme="minorHAnsi" w:hAnsi="Garamond"/>
                <w:sz w:val="12"/>
                <w:szCs w:val="12"/>
              </w:rPr>
            </w:pPr>
            <w:r w:rsidRPr="00CC11D5">
              <w:rPr>
                <w:rFonts w:ascii="Garamond" w:eastAsiaTheme="minorHAnsi" w:hAnsi="Garamond"/>
                <w:sz w:val="12"/>
                <w:szCs w:val="12"/>
              </w:rPr>
              <w:t xml:space="preserve">Masa 2.7.3 </w:t>
            </w:r>
            <w:r w:rsidRPr="00CC11D5">
              <w:rPr>
                <w:rFonts w:ascii="Garamond" w:hAnsi="Garamond"/>
                <w:sz w:val="12"/>
                <w:szCs w:val="12"/>
              </w:rPr>
              <w:t>Shtrirja e analizave të riskut në çdo funksion të administratës tatimore</w:t>
            </w:r>
          </w:p>
        </w:tc>
        <w:tc>
          <w:tcPr>
            <w:tcW w:w="1698" w:type="dxa"/>
          </w:tcPr>
          <w:p w14:paraId="751B3FAF" w14:textId="77777777" w:rsidR="00A53A79" w:rsidRPr="00CC11D5" w:rsidRDefault="00A53A79" w:rsidP="00316D86">
            <w:pPr>
              <w:jc w:val="center"/>
              <w:rPr>
                <w:rFonts w:ascii="Garamond" w:hAnsi="Garamond"/>
                <w:sz w:val="12"/>
                <w:szCs w:val="12"/>
              </w:rPr>
            </w:pPr>
            <w:r w:rsidRPr="00CC11D5">
              <w:rPr>
                <w:rFonts w:ascii="Garamond" w:hAnsi="Garamond"/>
                <w:sz w:val="12"/>
                <w:szCs w:val="12"/>
              </w:rPr>
              <w:t>2024</w:t>
            </w:r>
          </w:p>
        </w:tc>
        <w:tc>
          <w:tcPr>
            <w:tcW w:w="1995" w:type="dxa"/>
          </w:tcPr>
          <w:p w14:paraId="31671A61" w14:textId="77777777" w:rsidR="00A53A79" w:rsidRPr="00CC11D5" w:rsidRDefault="00A53A79" w:rsidP="00316D86">
            <w:pPr>
              <w:jc w:val="center"/>
              <w:rPr>
                <w:rFonts w:ascii="Garamond" w:hAnsi="Garamond"/>
                <w:sz w:val="12"/>
                <w:szCs w:val="12"/>
              </w:rPr>
            </w:pPr>
            <w:r w:rsidRPr="00CC11D5">
              <w:rPr>
                <w:rFonts w:ascii="Garamond" w:hAnsi="Garamond"/>
                <w:sz w:val="12"/>
                <w:szCs w:val="12"/>
              </w:rPr>
              <w:t>2027</w:t>
            </w:r>
          </w:p>
        </w:tc>
        <w:tc>
          <w:tcPr>
            <w:tcW w:w="2310" w:type="dxa"/>
          </w:tcPr>
          <w:p w14:paraId="5B6BD42D" w14:textId="77777777" w:rsidR="00A53A79" w:rsidRPr="00CC11D5" w:rsidRDefault="00A53A79" w:rsidP="00316D86">
            <w:pPr>
              <w:jc w:val="center"/>
              <w:rPr>
                <w:rFonts w:ascii="Garamond" w:hAnsi="Garamond"/>
                <w:sz w:val="12"/>
                <w:szCs w:val="12"/>
              </w:rPr>
            </w:pPr>
            <w:r w:rsidRPr="00CC11D5">
              <w:rPr>
                <w:rFonts w:ascii="Garamond" w:hAnsi="Garamond"/>
                <w:sz w:val="12"/>
                <w:szCs w:val="12"/>
              </w:rPr>
              <w:t>DPT/Shërbimi i Tatimpaguesve</w:t>
            </w:r>
          </w:p>
        </w:tc>
      </w:tr>
      <w:tr w:rsidR="00A53A79" w:rsidRPr="00CC11D5" w14:paraId="14E61559" w14:textId="77777777" w:rsidTr="00316D86">
        <w:trPr>
          <w:trHeight w:val="20"/>
        </w:trPr>
        <w:tc>
          <w:tcPr>
            <w:tcW w:w="3400" w:type="dxa"/>
          </w:tcPr>
          <w:p w14:paraId="6C6DA6E3" w14:textId="7EDB0577" w:rsidR="00A53A79" w:rsidRPr="00CC11D5" w:rsidRDefault="00A53A79" w:rsidP="00316D86">
            <w:pPr>
              <w:jc w:val="center"/>
              <w:rPr>
                <w:rFonts w:ascii="Garamond" w:eastAsiaTheme="minorHAnsi" w:hAnsi="Garamond"/>
                <w:sz w:val="12"/>
                <w:szCs w:val="12"/>
              </w:rPr>
            </w:pPr>
            <w:r w:rsidRPr="00CC11D5">
              <w:rPr>
                <w:rFonts w:ascii="Garamond" w:eastAsiaTheme="minorHAnsi" w:hAnsi="Garamond"/>
                <w:sz w:val="12"/>
                <w:szCs w:val="12"/>
              </w:rPr>
              <w:t xml:space="preserve">Masa 2.7.4 </w:t>
            </w:r>
            <w:r w:rsidRPr="00CC11D5">
              <w:rPr>
                <w:rFonts w:ascii="Garamond" w:hAnsi="Garamond"/>
                <w:sz w:val="12"/>
                <w:szCs w:val="12"/>
              </w:rPr>
              <w:t>Trajnim i stafit të Njësisë së Tatimpaguesve të Mëdhenj</w:t>
            </w:r>
            <w:r w:rsidR="009D2B13" w:rsidRPr="00CC11D5">
              <w:rPr>
                <w:rFonts w:ascii="Garamond" w:hAnsi="Garamond"/>
                <w:sz w:val="12"/>
                <w:szCs w:val="12"/>
              </w:rPr>
              <w:t>,</w:t>
            </w:r>
            <w:r w:rsidRPr="00CC11D5">
              <w:rPr>
                <w:rFonts w:ascii="Garamond" w:hAnsi="Garamond"/>
                <w:sz w:val="12"/>
                <w:szCs w:val="12"/>
              </w:rPr>
              <w:t xml:space="preserve"> me qëllim rritjen e kapaciteteve për analizën dhe kontrollin e sektorëve specifikë të ekonomisë</w:t>
            </w:r>
          </w:p>
        </w:tc>
        <w:tc>
          <w:tcPr>
            <w:tcW w:w="1698" w:type="dxa"/>
          </w:tcPr>
          <w:p w14:paraId="45A8428F" w14:textId="77777777" w:rsidR="00A53A79" w:rsidRPr="00CC11D5" w:rsidRDefault="00A53A79" w:rsidP="00316D86">
            <w:pPr>
              <w:jc w:val="center"/>
              <w:rPr>
                <w:rFonts w:ascii="Garamond" w:hAnsi="Garamond"/>
                <w:sz w:val="12"/>
                <w:szCs w:val="12"/>
              </w:rPr>
            </w:pPr>
            <w:r w:rsidRPr="00CC11D5">
              <w:rPr>
                <w:rFonts w:ascii="Garamond" w:hAnsi="Garamond"/>
                <w:sz w:val="12"/>
                <w:szCs w:val="12"/>
              </w:rPr>
              <w:t>2026</w:t>
            </w:r>
          </w:p>
        </w:tc>
        <w:tc>
          <w:tcPr>
            <w:tcW w:w="1995" w:type="dxa"/>
          </w:tcPr>
          <w:p w14:paraId="630E3799" w14:textId="77777777" w:rsidR="00A53A79" w:rsidRPr="00CC11D5" w:rsidRDefault="00A53A79" w:rsidP="00316D86">
            <w:pPr>
              <w:jc w:val="center"/>
              <w:rPr>
                <w:rFonts w:ascii="Garamond" w:hAnsi="Garamond"/>
                <w:sz w:val="12"/>
                <w:szCs w:val="12"/>
              </w:rPr>
            </w:pPr>
            <w:r w:rsidRPr="00CC11D5">
              <w:rPr>
                <w:rFonts w:ascii="Garamond" w:hAnsi="Garamond"/>
                <w:sz w:val="12"/>
                <w:szCs w:val="12"/>
              </w:rPr>
              <w:t>2027</w:t>
            </w:r>
          </w:p>
        </w:tc>
        <w:tc>
          <w:tcPr>
            <w:tcW w:w="2310" w:type="dxa"/>
          </w:tcPr>
          <w:p w14:paraId="3377C5A5" w14:textId="77777777" w:rsidR="00A53A79" w:rsidRPr="00CC11D5" w:rsidRDefault="00A53A79" w:rsidP="00316D86">
            <w:pPr>
              <w:jc w:val="center"/>
              <w:rPr>
                <w:rFonts w:ascii="Garamond" w:hAnsi="Garamond"/>
                <w:sz w:val="12"/>
                <w:szCs w:val="12"/>
              </w:rPr>
            </w:pPr>
            <w:r w:rsidRPr="00CC11D5">
              <w:rPr>
                <w:rFonts w:ascii="Garamond" w:hAnsi="Garamond"/>
                <w:sz w:val="12"/>
                <w:szCs w:val="12"/>
              </w:rPr>
              <w:t>DPT në bashkëpunim me Shoqatat e Biznesit</w:t>
            </w:r>
          </w:p>
        </w:tc>
      </w:tr>
      <w:tr w:rsidR="00A53A79" w:rsidRPr="00CC11D5" w14:paraId="3F150B6F" w14:textId="77777777" w:rsidTr="00316D86">
        <w:trPr>
          <w:trHeight w:val="20"/>
        </w:trPr>
        <w:tc>
          <w:tcPr>
            <w:tcW w:w="3400" w:type="dxa"/>
          </w:tcPr>
          <w:p w14:paraId="59CDB8F8" w14:textId="274A4F01" w:rsidR="00A53A79" w:rsidRPr="00CC11D5" w:rsidRDefault="00A53A79" w:rsidP="00316D86">
            <w:pPr>
              <w:jc w:val="center"/>
              <w:rPr>
                <w:rFonts w:ascii="Garamond" w:eastAsiaTheme="minorHAnsi" w:hAnsi="Garamond"/>
                <w:sz w:val="12"/>
                <w:szCs w:val="12"/>
              </w:rPr>
            </w:pPr>
            <w:r w:rsidRPr="00CC11D5">
              <w:rPr>
                <w:rFonts w:ascii="Garamond" w:eastAsiaTheme="minorHAnsi" w:hAnsi="Garamond"/>
                <w:sz w:val="12"/>
                <w:szCs w:val="12"/>
              </w:rPr>
              <w:t>Masa 2.7.5 Memorandume bashkëpunimi me universitetet për të zhvilluar kurse të analizës së të dhënave dhe shkencës së psikologjisë së sjelljes</w:t>
            </w:r>
          </w:p>
        </w:tc>
        <w:tc>
          <w:tcPr>
            <w:tcW w:w="1698" w:type="dxa"/>
          </w:tcPr>
          <w:p w14:paraId="443DE06E" w14:textId="77777777" w:rsidR="00A53A79" w:rsidRPr="00CC11D5" w:rsidRDefault="00A53A79" w:rsidP="00316D86">
            <w:pPr>
              <w:jc w:val="center"/>
              <w:rPr>
                <w:rFonts w:ascii="Garamond" w:hAnsi="Garamond"/>
                <w:sz w:val="12"/>
                <w:szCs w:val="12"/>
              </w:rPr>
            </w:pPr>
            <w:r w:rsidRPr="00CC11D5">
              <w:rPr>
                <w:rFonts w:ascii="Garamond" w:hAnsi="Garamond"/>
                <w:sz w:val="12"/>
                <w:szCs w:val="12"/>
              </w:rPr>
              <w:t>2026</w:t>
            </w:r>
          </w:p>
        </w:tc>
        <w:tc>
          <w:tcPr>
            <w:tcW w:w="1995" w:type="dxa"/>
          </w:tcPr>
          <w:p w14:paraId="14D7A9BD" w14:textId="77777777" w:rsidR="00A53A79" w:rsidRPr="00CC11D5" w:rsidRDefault="00A53A79" w:rsidP="00316D86">
            <w:pPr>
              <w:jc w:val="center"/>
              <w:rPr>
                <w:rFonts w:ascii="Garamond" w:hAnsi="Garamond"/>
                <w:sz w:val="12"/>
                <w:szCs w:val="12"/>
              </w:rPr>
            </w:pPr>
            <w:r w:rsidRPr="00CC11D5">
              <w:rPr>
                <w:rFonts w:ascii="Garamond" w:hAnsi="Garamond"/>
                <w:sz w:val="12"/>
                <w:szCs w:val="12"/>
              </w:rPr>
              <w:t>2027</w:t>
            </w:r>
          </w:p>
        </w:tc>
        <w:tc>
          <w:tcPr>
            <w:tcW w:w="2310" w:type="dxa"/>
          </w:tcPr>
          <w:p w14:paraId="30977FF8" w14:textId="03B30FE1" w:rsidR="00A53A79" w:rsidRPr="00CC11D5" w:rsidRDefault="00A53A79" w:rsidP="00316D86">
            <w:pPr>
              <w:jc w:val="center"/>
              <w:rPr>
                <w:rFonts w:ascii="Garamond" w:hAnsi="Garamond"/>
                <w:sz w:val="12"/>
                <w:szCs w:val="12"/>
              </w:rPr>
            </w:pPr>
            <w:r w:rsidRPr="00CC11D5">
              <w:rPr>
                <w:rFonts w:ascii="Garamond" w:hAnsi="Garamond"/>
                <w:sz w:val="12"/>
                <w:szCs w:val="12"/>
              </w:rPr>
              <w:t xml:space="preserve">DPT në bashkëpunim me </w:t>
            </w:r>
            <w:r w:rsidR="009D2B13" w:rsidRPr="00CC11D5">
              <w:rPr>
                <w:rFonts w:ascii="Garamond" w:hAnsi="Garamond"/>
                <w:sz w:val="12"/>
                <w:szCs w:val="12"/>
              </w:rPr>
              <w:t>u</w:t>
            </w:r>
            <w:r w:rsidRPr="00CC11D5">
              <w:rPr>
                <w:rFonts w:ascii="Garamond" w:hAnsi="Garamond"/>
                <w:sz w:val="12"/>
                <w:szCs w:val="12"/>
              </w:rPr>
              <w:t>niversitetet</w:t>
            </w:r>
          </w:p>
        </w:tc>
      </w:tr>
      <w:tr w:rsidR="00A53A79" w:rsidRPr="00CC11D5" w14:paraId="2760999B" w14:textId="77777777" w:rsidTr="00316D86">
        <w:trPr>
          <w:trHeight w:val="20"/>
        </w:trPr>
        <w:tc>
          <w:tcPr>
            <w:tcW w:w="3400" w:type="dxa"/>
          </w:tcPr>
          <w:p w14:paraId="25647FF6" w14:textId="68C58E7C" w:rsidR="00A53A79" w:rsidRPr="00CC11D5" w:rsidRDefault="00A53A79" w:rsidP="00316D86">
            <w:pPr>
              <w:jc w:val="center"/>
              <w:rPr>
                <w:rFonts w:ascii="Garamond" w:hAnsi="Garamond"/>
                <w:sz w:val="12"/>
                <w:szCs w:val="12"/>
              </w:rPr>
            </w:pPr>
            <w:r w:rsidRPr="00CC11D5">
              <w:rPr>
                <w:rFonts w:ascii="Garamond" w:eastAsiaTheme="minorHAnsi" w:hAnsi="Garamond"/>
                <w:sz w:val="12"/>
                <w:szCs w:val="12"/>
              </w:rPr>
              <w:t>Masa 2.7.6 Bashkëpunim me universitetet, administratat e tjera tatimore dhe shoqatave profesionale për hartimin e programeve që synojnë zgjidhjen e boshllëqeve në aftësi</w:t>
            </w:r>
          </w:p>
        </w:tc>
        <w:tc>
          <w:tcPr>
            <w:tcW w:w="1698" w:type="dxa"/>
          </w:tcPr>
          <w:p w14:paraId="1B8DC3A8" w14:textId="77777777" w:rsidR="00A53A79" w:rsidRPr="00CC11D5" w:rsidRDefault="00A53A79" w:rsidP="00316D86">
            <w:pPr>
              <w:jc w:val="center"/>
              <w:rPr>
                <w:rFonts w:ascii="Garamond" w:hAnsi="Garamond"/>
                <w:sz w:val="12"/>
                <w:szCs w:val="12"/>
              </w:rPr>
            </w:pPr>
            <w:r w:rsidRPr="00CC11D5">
              <w:rPr>
                <w:rFonts w:ascii="Garamond" w:hAnsi="Garamond"/>
                <w:sz w:val="12"/>
                <w:szCs w:val="12"/>
              </w:rPr>
              <w:t>2024</w:t>
            </w:r>
          </w:p>
        </w:tc>
        <w:tc>
          <w:tcPr>
            <w:tcW w:w="1995" w:type="dxa"/>
          </w:tcPr>
          <w:p w14:paraId="2897BBDB" w14:textId="77777777" w:rsidR="00A53A79" w:rsidRPr="00CC11D5" w:rsidRDefault="00A53A79" w:rsidP="00316D86">
            <w:pPr>
              <w:jc w:val="center"/>
              <w:rPr>
                <w:rFonts w:ascii="Garamond" w:hAnsi="Garamond"/>
                <w:sz w:val="12"/>
                <w:szCs w:val="12"/>
              </w:rPr>
            </w:pPr>
            <w:r w:rsidRPr="00CC11D5">
              <w:rPr>
                <w:rFonts w:ascii="Garamond" w:hAnsi="Garamond"/>
                <w:sz w:val="12"/>
                <w:szCs w:val="12"/>
              </w:rPr>
              <w:t>2027</w:t>
            </w:r>
          </w:p>
        </w:tc>
        <w:tc>
          <w:tcPr>
            <w:tcW w:w="2310" w:type="dxa"/>
          </w:tcPr>
          <w:p w14:paraId="600E8065" w14:textId="7DF822EE" w:rsidR="00A53A79" w:rsidRPr="00CC11D5" w:rsidRDefault="00A53A79" w:rsidP="00316D86">
            <w:pPr>
              <w:jc w:val="center"/>
              <w:rPr>
                <w:rFonts w:ascii="Garamond" w:hAnsi="Garamond"/>
                <w:sz w:val="12"/>
                <w:szCs w:val="12"/>
              </w:rPr>
            </w:pPr>
            <w:r w:rsidRPr="00CC11D5">
              <w:rPr>
                <w:rFonts w:ascii="Garamond" w:eastAsiaTheme="minorHAnsi" w:hAnsi="Garamond"/>
                <w:sz w:val="12"/>
                <w:szCs w:val="12"/>
              </w:rPr>
              <w:t>DPT në partneritet me QTAD/CEF/FMN</w:t>
            </w:r>
          </w:p>
        </w:tc>
      </w:tr>
    </w:tbl>
    <w:p w14:paraId="3FF18CE6" w14:textId="77777777" w:rsidR="00A53A79" w:rsidRPr="00830F4C" w:rsidRDefault="00A53A79" w:rsidP="00A53A79">
      <w:pPr>
        <w:ind w:left="360"/>
        <w:jc w:val="both"/>
      </w:pPr>
    </w:p>
    <w:p w14:paraId="30B7393C" w14:textId="77777777" w:rsidR="00A53A79" w:rsidRPr="00830F4C" w:rsidRDefault="00A53A79" w:rsidP="00A53A79">
      <w:pPr>
        <w:jc w:val="both"/>
        <w:rPr>
          <w:rFonts w:ascii="Garamond" w:hAnsi="Garamond"/>
          <w:b/>
        </w:rPr>
      </w:pPr>
      <w:r w:rsidRPr="00830F4C">
        <w:rPr>
          <w:rFonts w:ascii="Garamond" w:hAnsi="Garamond"/>
          <w:b/>
        </w:rPr>
        <w:t>Treguesit e performancës dhe vlerat e synuara</w:t>
      </w:r>
    </w:p>
    <w:tbl>
      <w:tblPr>
        <w:tblStyle w:val="TableGrid1"/>
        <w:tblW w:w="8835" w:type="dxa"/>
        <w:tblLook w:val="04A0" w:firstRow="1" w:lastRow="0" w:firstColumn="1" w:lastColumn="0" w:noHBand="0" w:noVBand="1"/>
      </w:tblPr>
      <w:tblGrid>
        <w:gridCol w:w="2293"/>
        <w:gridCol w:w="1494"/>
        <w:gridCol w:w="1323"/>
        <w:gridCol w:w="1077"/>
        <w:gridCol w:w="1340"/>
        <w:gridCol w:w="1308"/>
      </w:tblGrid>
      <w:tr w:rsidR="00A53A79" w:rsidRPr="00CC11D5" w14:paraId="0788FBD9" w14:textId="77777777" w:rsidTr="00316D86">
        <w:trPr>
          <w:trHeight w:val="20"/>
        </w:trPr>
        <w:tc>
          <w:tcPr>
            <w:tcW w:w="2293" w:type="dxa"/>
            <w:vMerge w:val="restart"/>
          </w:tcPr>
          <w:p w14:paraId="001B78EF" w14:textId="77777777" w:rsidR="00A53A79" w:rsidRPr="00CC11D5" w:rsidRDefault="00A53A79" w:rsidP="00316D86">
            <w:pPr>
              <w:jc w:val="center"/>
              <w:rPr>
                <w:rFonts w:ascii="Garamond" w:hAnsi="Garamond"/>
                <w:sz w:val="12"/>
                <w:szCs w:val="12"/>
              </w:rPr>
            </w:pPr>
            <w:r w:rsidRPr="00CC11D5">
              <w:rPr>
                <w:rFonts w:ascii="Garamond" w:hAnsi="Garamond"/>
                <w:b/>
                <w:sz w:val="12"/>
                <w:szCs w:val="12"/>
              </w:rPr>
              <w:t>Treguesi</w:t>
            </w:r>
          </w:p>
        </w:tc>
        <w:tc>
          <w:tcPr>
            <w:tcW w:w="1494" w:type="dxa"/>
            <w:vMerge w:val="restart"/>
          </w:tcPr>
          <w:p w14:paraId="45C8BEBF" w14:textId="77777777" w:rsidR="00377F8B" w:rsidRPr="00CC11D5" w:rsidRDefault="00A53A79" w:rsidP="00316D86">
            <w:pPr>
              <w:jc w:val="center"/>
              <w:rPr>
                <w:rFonts w:ascii="Garamond" w:hAnsi="Garamond"/>
                <w:b/>
                <w:sz w:val="12"/>
                <w:szCs w:val="12"/>
              </w:rPr>
            </w:pPr>
            <w:r w:rsidRPr="00CC11D5">
              <w:rPr>
                <w:rFonts w:ascii="Garamond" w:hAnsi="Garamond"/>
                <w:b/>
                <w:sz w:val="12"/>
                <w:szCs w:val="12"/>
              </w:rPr>
              <w:t xml:space="preserve">Vlera </w:t>
            </w:r>
            <w:r w:rsidR="00377F8B" w:rsidRPr="00CC11D5">
              <w:rPr>
                <w:rFonts w:ascii="Garamond" w:hAnsi="Garamond"/>
                <w:b/>
                <w:sz w:val="12"/>
                <w:szCs w:val="12"/>
              </w:rPr>
              <w:t>b</w:t>
            </w:r>
            <w:r w:rsidRPr="00CC11D5">
              <w:rPr>
                <w:rFonts w:ascii="Garamond" w:hAnsi="Garamond"/>
                <w:b/>
                <w:sz w:val="12"/>
                <w:szCs w:val="12"/>
              </w:rPr>
              <w:t>azë</w:t>
            </w:r>
          </w:p>
          <w:p w14:paraId="38FB1CE6" w14:textId="11E2D316" w:rsidR="00A53A79" w:rsidRPr="00CC11D5" w:rsidRDefault="00A53A79" w:rsidP="00316D86">
            <w:pPr>
              <w:jc w:val="center"/>
              <w:rPr>
                <w:rFonts w:ascii="Garamond" w:hAnsi="Garamond"/>
                <w:sz w:val="12"/>
                <w:szCs w:val="12"/>
              </w:rPr>
            </w:pPr>
            <w:r w:rsidRPr="00CC11D5">
              <w:rPr>
                <w:rFonts w:ascii="Garamond" w:hAnsi="Garamond"/>
                <w:b/>
                <w:sz w:val="12"/>
                <w:szCs w:val="12"/>
              </w:rPr>
              <w:t>(viti</w:t>
            </w:r>
          </w:p>
        </w:tc>
        <w:tc>
          <w:tcPr>
            <w:tcW w:w="5048" w:type="dxa"/>
            <w:gridSpan w:val="4"/>
          </w:tcPr>
          <w:p w14:paraId="1490869D" w14:textId="77777777" w:rsidR="00A53A79" w:rsidRPr="00CC11D5" w:rsidRDefault="00A53A79" w:rsidP="00316D86">
            <w:pPr>
              <w:jc w:val="center"/>
              <w:rPr>
                <w:rFonts w:ascii="Garamond" w:hAnsi="Garamond"/>
                <w:sz w:val="12"/>
                <w:szCs w:val="12"/>
              </w:rPr>
            </w:pPr>
            <w:r w:rsidRPr="00CC11D5">
              <w:rPr>
                <w:rFonts w:ascii="Garamond" w:hAnsi="Garamond"/>
                <w:b/>
                <w:sz w:val="12"/>
                <w:szCs w:val="12"/>
              </w:rPr>
              <w:t>Vlera e synuar</w:t>
            </w:r>
          </w:p>
        </w:tc>
      </w:tr>
      <w:tr w:rsidR="00A53A79" w:rsidRPr="00CC11D5" w14:paraId="20D093B8" w14:textId="77777777" w:rsidTr="00316D86">
        <w:trPr>
          <w:trHeight w:val="20"/>
        </w:trPr>
        <w:tc>
          <w:tcPr>
            <w:tcW w:w="2293" w:type="dxa"/>
            <w:vMerge/>
          </w:tcPr>
          <w:p w14:paraId="2D3259E6" w14:textId="77777777" w:rsidR="00A53A79" w:rsidRPr="00CC11D5" w:rsidRDefault="00A53A79" w:rsidP="00316D86">
            <w:pPr>
              <w:jc w:val="center"/>
              <w:rPr>
                <w:rFonts w:ascii="Garamond" w:hAnsi="Garamond"/>
                <w:sz w:val="12"/>
                <w:szCs w:val="12"/>
              </w:rPr>
            </w:pPr>
          </w:p>
        </w:tc>
        <w:tc>
          <w:tcPr>
            <w:tcW w:w="1494" w:type="dxa"/>
            <w:vMerge/>
          </w:tcPr>
          <w:p w14:paraId="7FAF8A84" w14:textId="77777777" w:rsidR="00A53A79" w:rsidRPr="00CC11D5" w:rsidRDefault="00A53A79" w:rsidP="00316D86">
            <w:pPr>
              <w:jc w:val="center"/>
              <w:rPr>
                <w:rFonts w:ascii="Garamond" w:hAnsi="Garamond"/>
                <w:sz w:val="12"/>
                <w:szCs w:val="12"/>
              </w:rPr>
            </w:pPr>
          </w:p>
        </w:tc>
        <w:tc>
          <w:tcPr>
            <w:tcW w:w="1323" w:type="dxa"/>
          </w:tcPr>
          <w:p w14:paraId="0C61F27A" w14:textId="77777777" w:rsidR="00A53A79" w:rsidRPr="00CC11D5" w:rsidRDefault="00A53A79" w:rsidP="00316D86">
            <w:pPr>
              <w:jc w:val="center"/>
              <w:rPr>
                <w:rFonts w:ascii="Garamond" w:hAnsi="Garamond"/>
                <w:sz w:val="12"/>
                <w:szCs w:val="12"/>
              </w:rPr>
            </w:pPr>
            <w:r w:rsidRPr="00CC11D5">
              <w:rPr>
                <w:rFonts w:ascii="Garamond" w:hAnsi="Garamond"/>
                <w:b/>
                <w:sz w:val="12"/>
                <w:szCs w:val="12"/>
              </w:rPr>
              <w:t>2024</w:t>
            </w:r>
          </w:p>
        </w:tc>
        <w:tc>
          <w:tcPr>
            <w:tcW w:w="1077" w:type="dxa"/>
          </w:tcPr>
          <w:p w14:paraId="249FE400" w14:textId="77777777" w:rsidR="00A53A79" w:rsidRPr="00CC11D5" w:rsidRDefault="00A53A79" w:rsidP="00316D86">
            <w:pPr>
              <w:jc w:val="center"/>
              <w:rPr>
                <w:rFonts w:ascii="Garamond" w:hAnsi="Garamond"/>
                <w:sz w:val="12"/>
                <w:szCs w:val="12"/>
              </w:rPr>
            </w:pPr>
            <w:r w:rsidRPr="00CC11D5">
              <w:rPr>
                <w:rFonts w:ascii="Garamond" w:hAnsi="Garamond"/>
                <w:b/>
                <w:sz w:val="12"/>
                <w:szCs w:val="12"/>
              </w:rPr>
              <w:t>2025</w:t>
            </w:r>
          </w:p>
        </w:tc>
        <w:tc>
          <w:tcPr>
            <w:tcW w:w="1340" w:type="dxa"/>
          </w:tcPr>
          <w:p w14:paraId="24FA97E3" w14:textId="77777777" w:rsidR="00A53A79" w:rsidRPr="00CC11D5" w:rsidRDefault="00A53A79" w:rsidP="00316D86">
            <w:pPr>
              <w:jc w:val="center"/>
              <w:rPr>
                <w:rFonts w:ascii="Garamond" w:hAnsi="Garamond"/>
                <w:sz w:val="12"/>
                <w:szCs w:val="12"/>
              </w:rPr>
            </w:pPr>
            <w:r w:rsidRPr="00CC11D5">
              <w:rPr>
                <w:rFonts w:ascii="Garamond" w:hAnsi="Garamond"/>
                <w:b/>
                <w:sz w:val="12"/>
                <w:szCs w:val="12"/>
              </w:rPr>
              <w:t>2026</w:t>
            </w:r>
          </w:p>
        </w:tc>
        <w:tc>
          <w:tcPr>
            <w:tcW w:w="1307" w:type="dxa"/>
          </w:tcPr>
          <w:p w14:paraId="3CA1A8AC" w14:textId="77777777" w:rsidR="00A53A79" w:rsidRPr="00CC11D5" w:rsidRDefault="00A53A79" w:rsidP="00316D86">
            <w:pPr>
              <w:jc w:val="center"/>
              <w:rPr>
                <w:rFonts w:ascii="Garamond" w:hAnsi="Garamond"/>
                <w:sz w:val="12"/>
                <w:szCs w:val="12"/>
              </w:rPr>
            </w:pPr>
            <w:r w:rsidRPr="00CC11D5">
              <w:rPr>
                <w:rFonts w:ascii="Garamond" w:hAnsi="Garamond"/>
                <w:b/>
                <w:sz w:val="12"/>
                <w:szCs w:val="12"/>
              </w:rPr>
              <w:t>2027</w:t>
            </w:r>
          </w:p>
        </w:tc>
      </w:tr>
      <w:tr w:rsidR="00A53A79" w:rsidRPr="00CC11D5" w14:paraId="4EEA8619" w14:textId="77777777" w:rsidTr="00316D86">
        <w:trPr>
          <w:trHeight w:val="20"/>
        </w:trPr>
        <w:tc>
          <w:tcPr>
            <w:tcW w:w="2293" w:type="dxa"/>
          </w:tcPr>
          <w:p w14:paraId="7CBFCD63" w14:textId="3360F647" w:rsidR="00A53A79" w:rsidRPr="00CC11D5" w:rsidRDefault="00A53A79" w:rsidP="00316D86">
            <w:pPr>
              <w:jc w:val="center"/>
              <w:rPr>
                <w:rFonts w:ascii="Garamond" w:hAnsi="Garamond"/>
                <w:sz w:val="12"/>
                <w:szCs w:val="12"/>
              </w:rPr>
            </w:pPr>
            <w:r w:rsidRPr="00CC11D5">
              <w:rPr>
                <w:rFonts w:ascii="Garamond" w:hAnsi="Garamond"/>
                <w:sz w:val="12"/>
                <w:szCs w:val="12"/>
              </w:rPr>
              <w:t>Përfshirja në Strategjinë e Shërbimit për Tatimpaguesit të</w:t>
            </w:r>
            <w:r w:rsidRPr="00CC11D5">
              <w:rPr>
                <w:rFonts w:ascii="Garamond" w:eastAsiaTheme="minorHAnsi" w:hAnsi="Garamond"/>
                <w:sz w:val="12"/>
                <w:szCs w:val="12"/>
              </w:rPr>
              <w:t xml:space="preserve"> Qendrës së Thirrjeve</w:t>
            </w:r>
          </w:p>
        </w:tc>
        <w:tc>
          <w:tcPr>
            <w:tcW w:w="1494" w:type="dxa"/>
          </w:tcPr>
          <w:p w14:paraId="65373D1C" w14:textId="77777777" w:rsidR="00A53A79" w:rsidRPr="00CC11D5" w:rsidRDefault="00A53A79" w:rsidP="00316D86">
            <w:pPr>
              <w:jc w:val="center"/>
              <w:rPr>
                <w:rFonts w:ascii="Garamond" w:hAnsi="Garamond"/>
                <w:sz w:val="12"/>
                <w:szCs w:val="12"/>
              </w:rPr>
            </w:pPr>
            <w:r w:rsidRPr="00CC11D5">
              <w:rPr>
                <w:rFonts w:ascii="Garamond" w:hAnsi="Garamond"/>
                <w:sz w:val="12"/>
                <w:szCs w:val="12"/>
              </w:rPr>
              <w:t>Nuk ka</w:t>
            </w:r>
          </w:p>
        </w:tc>
        <w:tc>
          <w:tcPr>
            <w:tcW w:w="1323" w:type="dxa"/>
          </w:tcPr>
          <w:p w14:paraId="1330359D" w14:textId="77777777" w:rsidR="00A53A79" w:rsidRPr="00CC11D5" w:rsidRDefault="00A53A79" w:rsidP="00316D86">
            <w:pPr>
              <w:jc w:val="center"/>
              <w:rPr>
                <w:rFonts w:ascii="Garamond" w:hAnsi="Garamond"/>
                <w:sz w:val="12"/>
                <w:szCs w:val="12"/>
              </w:rPr>
            </w:pPr>
          </w:p>
        </w:tc>
        <w:tc>
          <w:tcPr>
            <w:tcW w:w="1077" w:type="dxa"/>
          </w:tcPr>
          <w:p w14:paraId="3B8584BA" w14:textId="77777777" w:rsidR="00A53A79" w:rsidRPr="00CC11D5" w:rsidRDefault="00A53A79" w:rsidP="00316D86">
            <w:pPr>
              <w:jc w:val="center"/>
              <w:rPr>
                <w:rFonts w:ascii="Garamond" w:hAnsi="Garamond"/>
                <w:sz w:val="12"/>
                <w:szCs w:val="12"/>
              </w:rPr>
            </w:pPr>
            <w:r w:rsidRPr="00CC11D5">
              <w:rPr>
                <w:rFonts w:ascii="Garamond" w:hAnsi="Garamond"/>
                <w:sz w:val="12"/>
                <w:szCs w:val="12"/>
              </w:rPr>
              <w:t>Strategjia është miratuar</w:t>
            </w:r>
          </w:p>
        </w:tc>
        <w:tc>
          <w:tcPr>
            <w:tcW w:w="1340" w:type="dxa"/>
          </w:tcPr>
          <w:p w14:paraId="0C41B25C" w14:textId="77777777" w:rsidR="00A53A79" w:rsidRPr="00CC11D5" w:rsidRDefault="00A53A79" w:rsidP="00316D86">
            <w:pPr>
              <w:jc w:val="center"/>
              <w:rPr>
                <w:rFonts w:ascii="Garamond" w:hAnsi="Garamond"/>
                <w:sz w:val="12"/>
                <w:szCs w:val="12"/>
              </w:rPr>
            </w:pPr>
          </w:p>
        </w:tc>
        <w:tc>
          <w:tcPr>
            <w:tcW w:w="1307" w:type="dxa"/>
          </w:tcPr>
          <w:p w14:paraId="4F641E48" w14:textId="77777777" w:rsidR="00A53A79" w:rsidRPr="00CC11D5" w:rsidRDefault="00A53A79" w:rsidP="00316D86">
            <w:pPr>
              <w:jc w:val="center"/>
              <w:rPr>
                <w:rFonts w:ascii="Garamond" w:hAnsi="Garamond"/>
                <w:sz w:val="12"/>
                <w:szCs w:val="12"/>
              </w:rPr>
            </w:pPr>
          </w:p>
        </w:tc>
      </w:tr>
      <w:tr w:rsidR="00A53A79" w:rsidRPr="00CC11D5" w14:paraId="4B141066" w14:textId="77777777" w:rsidTr="00316D86">
        <w:trPr>
          <w:trHeight w:val="20"/>
        </w:trPr>
        <w:tc>
          <w:tcPr>
            <w:tcW w:w="2293" w:type="dxa"/>
          </w:tcPr>
          <w:p w14:paraId="16275409" w14:textId="67DF65E1" w:rsidR="00A53A79" w:rsidRPr="00CC11D5" w:rsidRDefault="00A53A79" w:rsidP="00316D86">
            <w:pPr>
              <w:jc w:val="center"/>
              <w:rPr>
                <w:rFonts w:ascii="Garamond" w:hAnsi="Garamond"/>
                <w:sz w:val="12"/>
                <w:szCs w:val="12"/>
              </w:rPr>
            </w:pPr>
            <w:r w:rsidRPr="00CC11D5">
              <w:rPr>
                <w:rFonts w:ascii="Garamond" w:eastAsiaTheme="minorHAnsi" w:hAnsi="Garamond"/>
                <w:sz w:val="12"/>
                <w:szCs w:val="12"/>
              </w:rPr>
              <w:t>Numri i punonjësve të DTM</w:t>
            </w:r>
            <w:r w:rsidR="009D2B13" w:rsidRPr="00CC11D5">
              <w:rPr>
                <w:rFonts w:ascii="Garamond" w:hAnsi="Garamond"/>
                <w:sz w:val="12"/>
                <w:szCs w:val="12"/>
              </w:rPr>
              <w:t>-së</w:t>
            </w:r>
            <w:r w:rsidRPr="00CC11D5">
              <w:rPr>
                <w:rFonts w:ascii="Garamond" w:eastAsiaTheme="minorHAnsi" w:hAnsi="Garamond"/>
                <w:sz w:val="12"/>
                <w:szCs w:val="12"/>
              </w:rPr>
              <w:t xml:space="preserve"> të trajnuar</w:t>
            </w:r>
          </w:p>
        </w:tc>
        <w:tc>
          <w:tcPr>
            <w:tcW w:w="1494" w:type="dxa"/>
          </w:tcPr>
          <w:p w14:paraId="7DCFA6C5" w14:textId="77777777" w:rsidR="00A53A79" w:rsidRPr="00CC11D5" w:rsidRDefault="00A53A79" w:rsidP="00316D86">
            <w:pPr>
              <w:jc w:val="center"/>
              <w:rPr>
                <w:rFonts w:ascii="Garamond" w:hAnsi="Garamond"/>
                <w:sz w:val="12"/>
                <w:szCs w:val="12"/>
              </w:rPr>
            </w:pPr>
          </w:p>
        </w:tc>
        <w:tc>
          <w:tcPr>
            <w:tcW w:w="1323" w:type="dxa"/>
          </w:tcPr>
          <w:p w14:paraId="223DDB0A" w14:textId="77777777" w:rsidR="00A53A79" w:rsidRPr="00CC11D5" w:rsidRDefault="00A53A79" w:rsidP="00316D86">
            <w:pPr>
              <w:jc w:val="center"/>
              <w:rPr>
                <w:rFonts w:ascii="Garamond" w:hAnsi="Garamond"/>
                <w:sz w:val="12"/>
                <w:szCs w:val="12"/>
              </w:rPr>
            </w:pPr>
          </w:p>
        </w:tc>
        <w:tc>
          <w:tcPr>
            <w:tcW w:w="1077" w:type="dxa"/>
          </w:tcPr>
          <w:p w14:paraId="3A08D1B2" w14:textId="77777777" w:rsidR="00A53A79" w:rsidRPr="00CC11D5" w:rsidRDefault="00A53A79" w:rsidP="00316D86">
            <w:pPr>
              <w:jc w:val="center"/>
              <w:rPr>
                <w:rFonts w:ascii="Garamond" w:hAnsi="Garamond"/>
                <w:sz w:val="12"/>
                <w:szCs w:val="12"/>
              </w:rPr>
            </w:pPr>
          </w:p>
        </w:tc>
        <w:tc>
          <w:tcPr>
            <w:tcW w:w="1340" w:type="dxa"/>
          </w:tcPr>
          <w:p w14:paraId="7F6162F1" w14:textId="77777777" w:rsidR="00A53A79" w:rsidRPr="00CC11D5" w:rsidRDefault="00A53A79" w:rsidP="00316D86">
            <w:pPr>
              <w:jc w:val="center"/>
              <w:rPr>
                <w:rFonts w:ascii="Garamond" w:hAnsi="Garamond"/>
                <w:sz w:val="12"/>
                <w:szCs w:val="12"/>
              </w:rPr>
            </w:pPr>
            <w:r w:rsidRPr="00CC11D5">
              <w:rPr>
                <w:rFonts w:ascii="Garamond" w:hAnsi="Garamond"/>
                <w:sz w:val="12"/>
                <w:szCs w:val="12"/>
              </w:rPr>
              <w:t>20 punonjës</w:t>
            </w:r>
          </w:p>
        </w:tc>
        <w:tc>
          <w:tcPr>
            <w:tcW w:w="1307" w:type="dxa"/>
          </w:tcPr>
          <w:p w14:paraId="561DAA1D" w14:textId="77777777" w:rsidR="00A53A79" w:rsidRPr="00CC11D5" w:rsidRDefault="00A53A79" w:rsidP="00316D86">
            <w:pPr>
              <w:jc w:val="center"/>
              <w:rPr>
                <w:rFonts w:ascii="Garamond" w:hAnsi="Garamond"/>
                <w:sz w:val="12"/>
                <w:szCs w:val="12"/>
              </w:rPr>
            </w:pPr>
            <w:r w:rsidRPr="00CC11D5">
              <w:rPr>
                <w:rFonts w:ascii="Garamond" w:hAnsi="Garamond"/>
                <w:sz w:val="12"/>
                <w:szCs w:val="12"/>
              </w:rPr>
              <w:t>30 punonjës</w:t>
            </w:r>
          </w:p>
        </w:tc>
      </w:tr>
      <w:tr w:rsidR="00A53A79" w:rsidRPr="00CC11D5" w14:paraId="3B382119" w14:textId="77777777" w:rsidTr="00316D86">
        <w:trPr>
          <w:trHeight w:val="20"/>
        </w:trPr>
        <w:tc>
          <w:tcPr>
            <w:tcW w:w="2293" w:type="dxa"/>
          </w:tcPr>
          <w:p w14:paraId="5BC5E82D" w14:textId="77777777" w:rsidR="00A53A79" w:rsidRPr="00CC11D5" w:rsidRDefault="00A53A79" w:rsidP="00316D86">
            <w:pPr>
              <w:jc w:val="center"/>
              <w:rPr>
                <w:rFonts w:ascii="Garamond" w:hAnsi="Garamond"/>
                <w:sz w:val="12"/>
                <w:szCs w:val="12"/>
              </w:rPr>
            </w:pPr>
            <w:r w:rsidRPr="00CC11D5">
              <w:rPr>
                <w:rFonts w:ascii="Garamond" w:hAnsi="Garamond"/>
                <w:sz w:val="12"/>
                <w:szCs w:val="12"/>
              </w:rPr>
              <w:t>Marrëveshje me Universitetin e Tiranës, Fakulteti i Ekonomisë dhe Fakulteti i Sociologjisë</w:t>
            </w:r>
          </w:p>
        </w:tc>
        <w:tc>
          <w:tcPr>
            <w:tcW w:w="1494" w:type="dxa"/>
            <w:noWrap/>
          </w:tcPr>
          <w:p w14:paraId="5268FF5B" w14:textId="77777777" w:rsidR="00A53A79" w:rsidRPr="00CC11D5" w:rsidRDefault="00A53A79" w:rsidP="00316D86">
            <w:pPr>
              <w:jc w:val="center"/>
              <w:rPr>
                <w:rFonts w:ascii="Garamond" w:hAnsi="Garamond"/>
                <w:sz w:val="12"/>
                <w:szCs w:val="12"/>
              </w:rPr>
            </w:pPr>
          </w:p>
        </w:tc>
        <w:tc>
          <w:tcPr>
            <w:tcW w:w="1323" w:type="dxa"/>
          </w:tcPr>
          <w:p w14:paraId="21192D50" w14:textId="77777777" w:rsidR="00A53A79" w:rsidRPr="00CC11D5" w:rsidRDefault="00A53A79" w:rsidP="00316D86">
            <w:pPr>
              <w:jc w:val="center"/>
              <w:rPr>
                <w:rFonts w:ascii="Garamond" w:hAnsi="Garamond"/>
                <w:sz w:val="12"/>
                <w:szCs w:val="12"/>
              </w:rPr>
            </w:pPr>
          </w:p>
        </w:tc>
        <w:tc>
          <w:tcPr>
            <w:tcW w:w="1077" w:type="dxa"/>
          </w:tcPr>
          <w:p w14:paraId="5DEC1513" w14:textId="77777777" w:rsidR="00A53A79" w:rsidRPr="00CC11D5" w:rsidRDefault="00A53A79" w:rsidP="00316D86">
            <w:pPr>
              <w:jc w:val="center"/>
              <w:rPr>
                <w:rFonts w:ascii="Garamond" w:hAnsi="Garamond"/>
                <w:sz w:val="12"/>
                <w:szCs w:val="12"/>
              </w:rPr>
            </w:pPr>
          </w:p>
        </w:tc>
        <w:tc>
          <w:tcPr>
            <w:tcW w:w="1340" w:type="dxa"/>
          </w:tcPr>
          <w:p w14:paraId="44F170E3" w14:textId="77777777" w:rsidR="00A53A79" w:rsidRPr="00CC11D5" w:rsidRDefault="00A53A79" w:rsidP="00316D86">
            <w:pPr>
              <w:jc w:val="center"/>
              <w:rPr>
                <w:rFonts w:ascii="Garamond" w:hAnsi="Garamond"/>
                <w:sz w:val="12"/>
                <w:szCs w:val="12"/>
              </w:rPr>
            </w:pPr>
            <w:r w:rsidRPr="00CC11D5">
              <w:rPr>
                <w:rFonts w:ascii="Garamond" w:hAnsi="Garamond"/>
                <w:sz w:val="12"/>
                <w:szCs w:val="12"/>
              </w:rPr>
              <w:t>Marrëveshje e lidhur</w:t>
            </w:r>
          </w:p>
          <w:p w14:paraId="7D849F62" w14:textId="77777777" w:rsidR="00A53A79" w:rsidRPr="00CC11D5" w:rsidRDefault="00A53A79" w:rsidP="00316D86">
            <w:pPr>
              <w:jc w:val="center"/>
              <w:rPr>
                <w:rFonts w:ascii="Garamond" w:hAnsi="Garamond"/>
                <w:sz w:val="12"/>
                <w:szCs w:val="12"/>
              </w:rPr>
            </w:pPr>
          </w:p>
          <w:p w14:paraId="63E37A85" w14:textId="77777777" w:rsidR="00A53A79" w:rsidRPr="00CC11D5" w:rsidRDefault="00A53A79" w:rsidP="00316D86">
            <w:pPr>
              <w:jc w:val="center"/>
              <w:rPr>
                <w:rFonts w:ascii="Garamond" w:hAnsi="Garamond"/>
                <w:sz w:val="12"/>
                <w:szCs w:val="12"/>
              </w:rPr>
            </w:pPr>
            <w:r w:rsidRPr="00CC11D5">
              <w:rPr>
                <w:rFonts w:ascii="Garamond" w:hAnsi="Garamond"/>
                <w:sz w:val="12"/>
                <w:szCs w:val="12"/>
              </w:rPr>
              <w:t>Marrëveshje e lidhur</w:t>
            </w:r>
          </w:p>
        </w:tc>
        <w:tc>
          <w:tcPr>
            <w:tcW w:w="1307" w:type="dxa"/>
          </w:tcPr>
          <w:p w14:paraId="28E02D57" w14:textId="77777777" w:rsidR="00A53A79" w:rsidRPr="00CC11D5" w:rsidRDefault="00A53A79" w:rsidP="00316D86">
            <w:pPr>
              <w:jc w:val="center"/>
              <w:rPr>
                <w:rFonts w:ascii="Garamond" w:hAnsi="Garamond"/>
                <w:sz w:val="12"/>
                <w:szCs w:val="12"/>
              </w:rPr>
            </w:pPr>
          </w:p>
        </w:tc>
      </w:tr>
      <w:tr w:rsidR="00A53A79" w:rsidRPr="00CC11D5" w14:paraId="09271408" w14:textId="77777777" w:rsidTr="00316D86">
        <w:trPr>
          <w:trHeight w:val="20"/>
        </w:trPr>
        <w:tc>
          <w:tcPr>
            <w:tcW w:w="2293" w:type="dxa"/>
          </w:tcPr>
          <w:p w14:paraId="735A8249" w14:textId="77777777" w:rsidR="00A53A79" w:rsidRPr="00CC11D5" w:rsidRDefault="00A53A79" w:rsidP="00316D86">
            <w:pPr>
              <w:jc w:val="center"/>
              <w:rPr>
                <w:rFonts w:ascii="Garamond" w:hAnsi="Garamond"/>
                <w:sz w:val="12"/>
                <w:szCs w:val="12"/>
              </w:rPr>
            </w:pPr>
            <w:r w:rsidRPr="00CC11D5">
              <w:rPr>
                <w:rFonts w:ascii="Garamond" w:hAnsi="Garamond"/>
                <w:sz w:val="12"/>
                <w:szCs w:val="12"/>
              </w:rPr>
              <w:t>Numri i programeve të zbatuara me universitetin</w:t>
            </w:r>
          </w:p>
        </w:tc>
        <w:tc>
          <w:tcPr>
            <w:tcW w:w="1494" w:type="dxa"/>
            <w:noWrap/>
          </w:tcPr>
          <w:p w14:paraId="72453249" w14:textId="77777777" w:rsidR="00A53A79" w:rsidRPr="00CC11D5" w:rsidRDefault="00A53A79" w:rsidP="00316D86">
            <w:pPr>
              <w:jc w:val="center"/>
              <w:rPr>
                <w:rFonts w:ascii="Garamond" w:hAnsi="Garamond"/>
                <w:sz w:val="12"/>
                <w:szCs w:val="12"/>
              </w:rPr>
            </w:pPr>
          </w:p>
        </w:tc>
        <w:tc>
          <w:tcPr>
            <w:tcW w:w="1323" w:type="dxa"/>
          </w:tcPr>
          <w:p w14:paraId="63A71FD1" w14:textId="77777777" w:rsidR="00A53A79" w:rsidRPr="00CC11D5" w:rsidRDefault="00A53A79" w:rsidP="00316D86">
            <w:pPr>
              <w:jc w:val="center"/>
              <w:rPr>
                <w:rFonts w:ascii="Garamond" w:hAnsi="Garamond"/>
                <w:sz w:val="12"/>
                <w:szCs w:val="12"/>
              </w:rPr>
            </w:pPr>
          </w:p>
        </w:tc>
        <w:tc>
          <w:tcPr>
            <w:tcW w:w="1077" w:type="dxa"/>
          </w:tcPr>
          <w:p w14:paraId="1D7C7429" w14:textId="77777777" w:rsidR="00A53A79" w:rsidRPr="00CC11D5" w:rsidRDefault="00A53A79" w:rsidP="00316D86">
            <w:pPr>
              <w:jc w:val="center"/>
              <w:rPr>
                <w:rFonts w:ascii="Garamond" w:hAnsi="Garamond"/>
                <w:sz w:val="12"/>
                <w:szCs w:val="12"/>
              </w:rPr>
            </w:pPr>
          </w:p>
        </w:tc>
        <w:tc>
          <w:tcPr>
            <w:tcW w:w="1340" w:type="dxa"/>
          </w:tcPr>
          <w:p w14:paraId="4A811D90" w14:textId="77777777" w:rsidR="00A53A79" w:rsidRPr="00CC11D5" w:rsidRDefault="00A53A79" w:rsidP="00316D86">
            <w:pPr>
              <w:jc w:val="center"/>
              <w:rPr>
                <w:rFonts w:ascii="Garamond" w:hAnsi="Garamond"/>
                <w:sz w:val="12"/>
                <w:szCs w:val="12"/>
              </w:rPr>
            </w:pPr>
            <w:r w:rsidRPr="00CC11D5">
              <w:rPr>
                <w:rFonts w:ascii="Garamond" w:hAnsi="Garamond"/>
                <w:sz w:val="12"/>
                <w:szCs w:val="12"/>
              </w:rPr>
              <w:t>4 programe</w:t>
            </w:r>
          </w:p>
        </w:tc>
        <w:tc>
          <w:tcPr>
            <w:tcW w:w="1307" w:type="dxa"/>
          </w:tcPr>
          <w:p w14:paraId="565800E4" w14:textId="77777777" w:rsidR="00A53A79" w:rsidRPr="00CC11D5" w:rsidRDefault="00A53A79" w:rsidP="00316D86">
            <w:pPr>
              <w:jc w:val="center"/>
              <w:rPr>
                <w:rFonts w:ascii="Garamond" w:hAnsi="Garamond"/>
                <w:sz w:val="12"/>
                <w:szCs w:val="12"/>
              </w:rPr>
            </w:pPr>
            <w:r w:rsidRPr="00CC11D5">
              <w:rPr>
                <w:rFonts w:ascii="Garamond" w:hAnsi="Garamond"/>
                <w:sz w:val="12"/>
                <w:szCs w:val="12"/>
              </w:rPr>
              <w:t>4 programe</w:t>
            </w:r>
          </w:p>
        </w:tc>
      </w:tr>
    </w:tbl>
    <w:p w14:paraId="3B382B48" w14:textId="77777777" w:rsidR="00A53A79" w:rsidRDefault="00A53A79" w:rsidP="00316D86">
      <w:pPr>
        <w:ind w:firstLine="284"/>
      </w:pPr>
    </w:p>
    <w:p w14:paraId="77A4AF0D" w14:textId="77777777" w:rsidR="00F13549" w:rsidRDefault="00F13549" w:rsidP="00316D86">
      <w:pPr>
        <w:ind w:firstLine="284"/>
      </w:pPr>
    </w:p>
    <w:p w14:paraId="24474BB3" w14:textId="77777777" w:rsidR="00F13549" w:rsidRDefault="00F13549" w:rsidP="00316D86">
      <w:pPr>
        <w:ind w:firstLine="284"/>
      </w:pPr>
    </w:p>
    <w:p w14:paraId="5E2FCF8B" w14:textId="77777777" w:rsidR="00F13549" w:rsidRDefault="00F13549" w:rsidP="00316D86">
      <w:pPr>
        <w:ind w:firstLine="284"/>
      </w:pPr>
    </w:p>
    <w:p w14:paraId="6B39E634" w14:textId="77777777" w:rsidR="00F13549" w:rsidRDefault="00F13549" w:rsidP="00316D86">
      <w:pPr>
        <w:ind w:firstLine="284"/>
      </w:pPr>
    </w:p>
    <w:p w14:paraId="27414982" w14:textId="77777777" w:rsidR="00F13549" w:rsidRPr="00830F4C" w:rsidRDefault="00F13549" w:rsidP="00316D86">
      <w:pPr>
        <w:ind w:firstLine="284"/>
      </w:pPr>
    </w:p>
    <w:p w14:paraId="74E141B8" w14:textId="414A715D" w:rsidR="00316D86" w:rsidRPr="00830F4C" w:rsidRDefault="00316D86" w:rsidP="00316D86">
      <w:pPr>
        <w:pStyle w:val="Heading1"/>
        <w:spacing w:before="0" w:line="240" w:lineRule="auto"/>
        <w:ind w:firstLine="284"/>
        <w:rPr>
          <w:rFonts w:ascii="Garamond" w:hAnsi="Garamond" w:cs="Times New Roman"/>
          <w:b/>
          <w:color w:val="auto"/>
          <w:sz w:val="24"/>
          <w:szCs w:val="24"/>
        </w:rPr>
      </w:pPr>
      <w:bookmarkStart w:id="62" w:name="_Toc185235100"/>
      <w:r w:rsidRPr="00961E5A">
        <w:rPr>
          <w:rFonts w:ascii="Garamond" w:hAnsi="Garamond" w:cs="Times New Roman"/>
          <w:b/>
          <w:color w:val="auto"/>
          <w:sz w:val="24"/>
          <w:szCs w:val="24"/>
        </w:rPr>
        <w:t>VI.</w:t>
      </w:r>
      <w:r w:rsidR="00377F8B" w:rsidRPr="00961E5A">
        <w:rPr>
          <w:rFonts w:ascii="Garamond" w:hAnsi="Garamond" w:cs="Times New Roman"/>
          <w:b/>
          <w:color w:val="auto"/>
          <w:sz w:val="24"/>
          <w:szCs w:val="24"/>
        </w:rPr>
        <w:t xml:space="preserve"> </w:t>
      </w:r>
      <w:r w:rsidRPr="00961E5A">
        <w:rPr>
          <w:rFonts w:ascii="Garamond" w:hAnsi="Garamond" w:cs="Times New Roman"/>
          <w:b/>
          <w:color w:val="auto"/>
          <w:sz w:val="24"/>
          <w:szCs w:val="24"/>
        </w:rPr>
        <w:t>Shtylla</w:t>
      </w:r>
      <w:r w:rsidRPr="00830F4C">
        <w:rPr>
          <w:rFonts w:ascii="Garamond" w:hAnsi="Garamond" w:cs="Times New Roman"/>
          <w:b/>
          <w:color w:val="auto"/>
          <w:sz w:val="24"/>
          <w:szCs w:val="24"/>
        </w:rPr>
        <w:t xml:space="preserve"> 3: Mirëadministrimi doganor</w:t>
      </w:r>
      <w:bookmarkEnd w:id="62"/>
    </w:p>
    <w:p w14:paraId="00A32483" w14:textId="54638136" w:rsidR="00316D86" w:rsidRPr="00830F4C" w:rsidRDefault="00316D86" w:rsidP="00316D86">
      <w:pPr>
        <w:pStyle w:val="Heading2"/>
        <w:spacing w:before="0"/>
        <w:ind w:firstLine="284"/>
        <w:rPr>
          <w:rFonts w:ascii="Garamond" w:hAnsi="Garamond" w:cs="Times New Roman"/>
          <w:b/>
          <w:color w:val="auto"/>
          <w:sz w:val="24"/>
          <w:szCs w:val="24"/>
        </w:rPr>
      </w:pPr>
      <w:bookmarkStart w:id="63" w:name="_Toc168066234"/>
      <w:bookmarkStart w:id="64" w:name="_Toc185235101"/>
      <w:r w:rsidRPr="00830F4C">
        <w:rPr>
          <w:rFonts w:ascii="Garamond" w:hAnsi="Garamond" w:cs="Times New Roman"/>
          <w:b/>
          <w:color w:val="auto"/>
          <w:sz w:val="24"/>
          <w:szCs w:val="24"/>
        </w:rPr>
        <w:t>VI.1</w:t>
      </w:r>
      <w:r w:rsidR="009D2B13">
        <w:rPr>
          <w:rFonts w:ascii="Garamond" w:hAnsi="Garamond" w:cs="Times New Roman"/>
          <w:b/>
          <w:color w:val="auto"/>
          <w:sz w:val="24"/>
          <w:szCs w:val="24"/>
        </w:rPr>
        <w:t xml:space="preserve"> </w:t>
      </w:r>
      <w:r w:rsidRPr="00830F4C">
        <w:rPr>
          <w:rFonts w:ascii="Garamond" w:hAnsi="Garamond" w:cs="Times New Roman"/>
          <w:b/>
          <w:color w:val="auto"/>
          <w:sz w:val="24"/>
          <w:szCs w:val="24"/>
        </w:rPr>
        <w:t>Hyrje</w:t>
      </w:r>
      <w:bookmarkEnd w:id="63"/>
      <w:bookmarkEnd w:id="64"/>
    </w:p>
    <w:p w14:paraId="0DBC6207" w14:textId="432B3495" w:rsidR="00316D86" w:rsidRPr="00830F4C" w:rsidRDefault="00316D86" w:rsidP="00316D86">
      <w:pPr>
        <w:ind w:firstLine="284"/>
        <w:jc w:val="both"/>
        <w:rPr>
          <w:rFonts w:ascii="Garamond" w:hAnsi="Garamond"/>
        </w:rPr>
      </w:pPr>
      <w:r w:rsidRPr="00830F4C">
        <w:rPr>
          <w:rFonts w:ascii="Garamond" w:hAnsi="Garamond"/>
        </w:rPr>
        <w:t xml:space="preserve">Objektivi specifik i </w:t>
      </w:r>
      <w:r w:rsidR="00961E5A" w:rsidRPr="00830F4C">
        <w:rPr>
          <w:rFonts w:ascii="Garamond" w:hAnsi="Garamond"/>
        </w:rPr>
        <w:t xml:space="preserve">shtyllës </w:t>
      </w:r>
      <w:r w:rsidRPr="00830F4C">
        <w:rPr>
          <w:rFonts w:ascii="Garamond" w:hAnsi="Garamond"/>
        </w:rPr>
        <w:t>3 është përmirësimi i shërbimit doganor dhe rritja e të ardhurave doganore me 0.17% e PBB</w:t>
      </w:r>
      <w:r w:rsidR="00236281" w:rsidRPr="00830F4C">
        <w:rPr>
          <w:rFonts w:ascii="Garamond" w:hAnsi="Garamond"/>
        </w:rPr>
        <w:t>-së</w:t>
      </w:r>
      <w:r w:rsidRPr="00830F4C">
        <w:rPr>
          <w:rFonts w:ascii="Garamond" w:hAnsi="Garamond"/>
        </w:rPr>
        <w:t xml:space="preserve"> ose 4.5 miliardë lek</w:t>
      </w:r>
      <w:r w:rsidR="00961E5A" w:rsidRPr="00830F4C">
        <w:rPr>
          <w:rFonts w:ascii="Garamond" w:hAnsi="Garamond"/>
        </w:rPr>
        <w:t>ë</w:t>
      </w:r>
      <w:r w:rsidRPr="00830F4C">
        <w:rPr>
          <w:rFonts w:ascii="Garamond" w:hAnsi="Garamond"/>
        </w:rPr>
        <w:t xml:space="preserve"> brenda një periudhe </w:t>
      </w:r>
      <w:r w:rsidR="00236281" w:rsidRPr="00830F4C">
        <w:rPr>
          <w:rFonts w:ascii="Garamond" w:hAnsi="Garamond"/>
        </w:rPr>
        <w:t>katërvjeçare</w:t>
      </w:r>
      <w:r w:rsidRPr="00830F4C">
        <w:rPr>
          <w:rFonts w:ascii="Garamond" w:hAnsi="Garamond"/>
        </w:rPr>
        <w:t>.</w:t>
      </w:r>
    </w:p>
    <w:p w14:paraId="0F094F02" w14:textId="6B8D03E1" w:rsidR="00316D86" w:rsidRPr="00830F4C" w:rsidRDefault="00316D86" w:rsidP="00316D86">
      <w:pPr>
        <w:ind w:firstLine="284"/>
        <w:jc w:val="both"/>
        <w:rPr>
          <w:rFonts w:ascii="Garamond" w:hAnsi="Garamond"/>
        </w:rPr>
      </w:pPr>
      <w:r w:rsidRPr="00830F4C">
        <w:rPr>
          <w:rFonts w:ascii="Garamond" w:hAnsi="Garamond"/>
        </w:rPr>
        <w:t>Administrata doganore ndër vite ka bërë prog</w:t>
      </w:r>
      <w:r w:rsidR="005C7FB7">
        <w:rPr>
          <w:rFonts w:ascii="Garamond" w:hAnsi="Garamond"/>
        </w:rPr>
        <w:t>r</w:t>
      </w:r>
      <w:r w:rsidRPr="00830F4C">
        <w:rPr>
          <w:rFonts w:ascii="Garamond" w:hAnsi="Garamond"/>
        </w:rPr>
        <w:t>es të konsiderueshëm në procedurat doganore dhe lehtësimin e tregtisë. Aktualisht, administrata doganore mbledh rreth 43% të të gjitha taksave dhe detyrimeve tatimore.</w:t>
      </w:r>
    </w:p>
    <w:p w14:paraId="7328C1FF" w14:textId="12373599" w:rsidR="00316D86" w:rsidRPr="00830F4C" w:rsidRDefault="00316D86" w:rsidP="00316D86">
      <w:pPr>
        <w:ind w:firstLine="284"/>
        <w:jc w:val="both"/>
        <w:rPr>
          <w:rFonts w:ascii="Garamond" w:hAnsi="Garamond"/>
        </w:rPr>
      </w:pPr>
      <w:r w:rsidRPr="00830F4C">
        <w:rPr>
          <w:rFonts w:ascii="Garamond" w:hAnsi="Garamond"/>
        </w:rPr>
        <w:t xml:space="preserve">Kodi </w:t>
      </w:r>
      <w:r w:rsidR="00961E5A" w:rsidRPr="00830F4C">
        <w:rPr>
          <w:rFonts w:ascii="Garamond" w:hAnsi="Garamond"/>
        </w:rPr>
        <w:t xml:space="preserve">Doganor Shqiptar </w:t>
      </w:r>
      <w:r w:rsidRPr="00830F4C">
        <w:rPr>
          <w:rFonts w:ascii="Garamond" w:hAnsi="Garamond"/>
        </w:rPr>
        <w:t>është në përputhje me Kodin Doganor të BE-së. Administrata</w:t>
      </w:r>
      <w:r w:rsidR="00D22EA5" w:rsidRPr="00830F4C">
        <w:rPr>
          <w:rFonts w:ascii="Garamond" w:hAnsi="Garamond"/>
        </w:rPr>
        <w:t xml:space="preserve"> </w:t>
      </w:r>
      <w:r w:rsidRPr="00830F4C">
        <w:rPr>
          <w:rFonts w:ascii="Garamond" w:hAnsi="Garamond"/>
        </w:rPr>
        <w:t xml:space="preserve">doganore mbështetet nga sistemet </w:t>
      </w:r>
      <w:r w:rsidRPr="00830F4C">
        <w:rPr>
          <w:rFonts w:ascii="Garamond" w:hAnsi="Garamond"/>
          <w:i/>
        </w:rPr>
        <w:t>online</w:t>
      </w:r>
      <w:r w:rsidRPr="00830F4C">
        <w:rPr>
          <w:rFonts w:ascii="Garamond" w:hAnsi="Garamond"/>
        </w:rPr>
        <w:t xml:space="preserve"> dhe përpunimin automatik të të dhënave duke përdorur sistemin e automatizuar të të dhënave doganore (ASYCUDA </w:t>
      </w:r>
      <w:r w:rsidRPr="00961E5A">
        <w:rPr>
          <w:rFonts w:ascii="Garamond" w:hAnsi="Garamond"/>
          <w:i/>
        </w:rPr>
        <w:t>World</w:t>
      </w:r>
      <w:r w:rsidRPr="00830F4C">
        <w:rPr>
          <w:rFonts w:ascii="Garamond" w:hAnsi="Garamond"/>
        </w:rPr>
        <w:t>). Ky sistem përfshin një modul që kategorizon importet sipas nivelit të riskut.</w:t>
      </w:r>
    </w:p>
    <w:p w14:paraId="7DA75A04" w14:textId="1C30C006" w:rsidR="00316D86" w:rsidRPr="00830F4C" w:rsidRDefault="00316D86" w:rsidP="00316D86">
      <w:pPr>
        <w:ind w:firstLine="284"/>
        <w:jc w:val="both"/>
        <w:rPr>
          <w:rFonts w:ascii="Garamond" w:hAnsi="Garamond"/>
        </w:rPr>
      </w:pPr>
      <w:r w:rsidRPr="00830F4C">
        <w:rPr>
          <w:rFonts w:ascii="Garamond" w:hAnsi="Garamond"/>
        </w:rPr>
        <w:t>Administrata doganore ka përparuar dukshëm në përmirësimin e performancës së lehtësimit të tregtisë. Në treguesit e lehtësimit të tregtisë, OECD</w:t>
      </w:r>
      <w:r w:rsidRPr="00830F4C">
        <w:rPr>
          <w:rStyle w:val="FootnoteReference"/>
          <w:rFonts w:ascii="Garamond" w:hAnsi="Garamond"/>
        </w:rPr>
        <w:footnoteReference w:id="9"/>
      </w:r>
      <w:r w:rsidRPr="00830F4C">
        <w:rPr>
          <w:rFonts w:ascii="Garamond" w:hAnsi="Garamond"/>
        </w:rPr>
        <w:t xml:space="preserve"> konstaton se që nga viti 2019, Shqipëria është përmirësuar në fushat e: disponueshmërisë së informacionit, përfshirjes së komunitetit tregtar, procedurat e apelimit, uljes së tarifave, thjeshtimi dhe harmonizimi i dokumenteve, automatizimi, modernizimi i procedurave dhe bashkëpunimi i agjencive kufitare të brendshme dhe të jashtme. Shqipëria ka tejkaluar mesataren e vendeve së OECD-së</w:t>
      </w:r>
      <w:r w:rsidR="00961E5A">
        <w:rPr>
          <w:rFonts w:ascii="Garamond" w:hAnsi="Garamond"/>
        </w:rPr>
        <w:t>,</w:t>
      </w:r>
      <w:r w:rsidRPr="00830F4C">
        <w:rPr>
          <w:rFonts w:ascii="Garamond" w:hAnsi="Garamond"/>
        </w:rPr>
        <w:t xml:space="preserve"> lidhur me procedurat e apelimit dhe është në nivelin e vendeve të OECD</w:t>
      </w:r>
      <w:r w:rsidR="00961E5A">
        <w:rPr>
          <w:rFonts w:ascii="Garamond" w:hAnsi="Garamond"/>
        </w:rPr>
        <w:t>-s</w:t>
      </w:r>
      <w:r w:rsidR="00961E5A" w:rsidRPr="00830F4C">
        <w:rPr>
          <w:rFonts w:ascii="Garamond" w:hAnsi="Garamond"/>
        </w:rPr>
        <w:t>ë</w:t>
      </w:r>
      <w:r w:rsidRPr="00830F4C">
        <w:rPr>
          <w:rFonts w:ascii="Garamond" w:hAnsi="Garamond"/>
        </w:rPr>
        <w:t xml:space="preserve"> lidhur me nivelin e tarifave. Në vitin 2022, Shqipëria</w:t>
      </w:r>
      <w:r w:rsidR="00961E5A">
        <w:rPr>
          <w:rFonts w:ascii="Garamond" w:hAnsi="Garamond"/>
        </w:rPr>
        <w:t>,</w:t>
      </w:r>
      <w:r w:rsidRPr="00830F4C">
        <w:rPr>
          <w:rFonts w:ascii="Garamond" w:hAnsi="Garamond"/>
        </w:rPr>
        <w:t xml:space="preserve"> gjithashtu</w:t>
      </w:r>
      <w:r w:rsidR="00961E5A">
        <w:rPr>
          <w:rFonts w:ascii="Garamond" w:hAnsi="Garamond"/>
        </w:rPr>
        <w:t>,</w:t>
      </w:r>
      <w:r w:rsidRPr="00830F4C">
        <w:rPr>
          <w:rFonts w:ascii="Garamond" w:hAnsi="Garamond"/>
        </w:rPr>
        <w:t xml:space="preserve"> i tejkaloi vendet e Ballkanit Perëndimor në tre fusha: disponueshmëria e informacionit, procedurat e apelimit dhe niveli i tarifave.</w:t>
      </w:r>
    </w:p>
    <w:p w14:paraId="18355626" w14:textId="6987C6F1" w:rsidR="00316D86" w:rsidRPr="00830F4C" w:rsidRDefault="00316D86" w:rsidP="00316D86">
      <w:pPr>
        <w:ind w:firstLine="284"/>
        <w:jc w:val="both"/>
        <w:rPr>
          <w:rFonts w:ascii="Garamond" w:hAnsi="Garamond"/>
        </w:rPr>
      </w:pPr>
      <w:r w:rsidRPr="00830F4C">
        <w:rPr>
          <w:rFonts w:ascii="Garamond" w:hAnsi="Garamond"/>
        </w:rPr>
        <w:t>Megjithatë, janë identifikuar hapësira për përmirësim të mëtejshëm</w:t>
      </w:r>
      <w:r w:rsidR="00961E5A">
        <w:rPr>
          <w:rFonts w:ascii="Garamond" w:hAnsi="Garamond"/>
        </w:rPr>
        <w:t>,</w:t>
      </w:r>
      <w:r w:rsidRPr="00830F4C">
        <w:rPr>
          <w:rFonts w:ascii="Garamond" w:hAnsi="Garamond"/>
        </w:rPr>
        <w:t xml:space="preserve"> si për shembull duke rritur numrin e Operatorëve të Autorizuar Ekonomik, dhe futjen e </w:t>
      </w:r>
      <w:r w:rsidRPr="00961E5A">
        <w:rPr>
          <w:rFonts w:ascii="Garamond" w:hAnsi="Garamond"/>
          <w:i/>
        </w:rPr>
        <w:t xml:space="preserve">Single </w:t>
      </w:r>
      <w:r w:rsidR="00961E5A" w:rsidRPr="00961E5A">
        <w:rPr>
          <w:rFonts w:ascii="Garamond" w:hAnsi="Garamond"/>
          <w:i/>
        </w:rPr>
        <w:t>W</w:t>
      </w:r>
      <w:r w:rsidRPr="00961E5A">
        <w:rPr>
          <w:rFonts w:ascii="Garamond" w:hAnsi="Garamond"/>
          <w:i/>
        </w:rPr>
        <w:t>indo</w:t>
      </w:r>
      <w:r w:rsidR="00961E5A" w:rsidRPr="00961E5A">
        <w:rPr>
          <w:rFonts w:ascii="Garamond" w:hAnsi="Garamond"/>
          <w:i/>
        </w:rPr>
        <w:t>w</w:t>
      </w:r>
      <w:r w:rsidRPr="00830F4C">
        <w:rPr>
          <w:rFonts w:ascii="Garamond" w:hAnsi="Garamond"/>
        </w:rPr>
        <w:t xml:space="preserve"> dhe zbatimin e sistemit të ri të kompjuterizuar të tranzitit.</w:t>
      </w:r>
    </w:p>
    <w:p w14:paraId="5136ABAC" w14:textId="0A3ED82F" w:rsidR="00316D86" w:rsidRPr="00830F4C" w:rsidRDefault="00316D86" w:rsidP="00316D86">
      <w:pPr>
        <w:ind w:firstLine="284"/>
        <w:jc w:val="both"/>
        <w:rPr>
          <w:rFonts w:ascii="Garamond" w:hAnsi="Garamond"/>
        </w:rPr>
      </w:pPr>
      <w:r w:rsidRPr="00830F4C">
        <w:rPr>
          <w:rFonts w:ascii="Garamond" w:hAnsi="Garamond"/>
        </w:rPr>
        <w:t>Administrata doganore përballet me sfida operacionale në trajtimin e evazionit fiskal, kontrabandës, menaxhimit të riskut dhe kontrollit</w:t>
      </w:r>
      <w:r w:rsidR="00C0323B">
        <w:rPr>
          <w:rFonts w:ascii="Garamond" w:hAnsi="Garamond"/>
        </w:rPr>
        <w:t>,</w:t>
      </w:r>
      <w:r w:rsidRPr="00830F4C">
        <w:rPr>
          <w:rFonts w:ascii="Garamond" w:hAnsi="Garamond"/>
        </w:rPr>
        <w:t xml:space="preserve"> dhe për këtë arsye një theks i rëndësishëm i është vënë vazhdimisht t</w:t>
      </w:r>
      <w:r w:rsidR="00C0323B">
        <w:rPr>
          <w:rFonts w:ascii="Garamond" w:hAnsi="Garamond"/>
        </w:rPr>
        <w:t>ek</w:t>
      </w:r>
      <w:r w:rsidRPr="00830F4C">
        <w:rPr>
          <w:rFonts w:ascii="Garamond" w:hAnsi="Garamond"/>
        </w:rPr>
        <w:t xml:space="preserve"> investimet në sisteme TI (Teknologjisë së Informacionit).</w:t>
      </w:r>
    </w:p>
    <w:p w14:paraId="3964C458" w14:textId="27F84982" w:rsidR="00316D86" w:rsidRPr="00830F4C" w:rsidRDefault="00316D86" w:rsidP="00316D86">
      <w:pPr>
        <w:ind w:firstLine="284"/>
        <w:jc w:val="both"/>
        <w:rPr>
          <w:rFonts w:ascii="Garamond" w:hAnsi="Garamond"/>
        </w:rPr>
      </w:pPr>
      <w:r w:rsidRPr="00830F4C">
        <w:rPr>
          <w:rFonts w:ascii="Garamond" w:hAnsi="Garamond"/>
        </w:rPr>
        <w:t>Në këtë strategji, mirëadministrimi doganor i të ardhurave fokusohet në 9 komponentë që konsistojnë në ngritjen e sistemeve të reja doganore</w:t>
      </w:r>
      <w:r w:rsidR="00C0323B">
        <w:rPr>
          <w:rFonts w:ascii="Garamond" w:hAnsi="Garamond"/>
        </w:rPr>
        <w:t>,</w:t>
      </w:r>
      <w:r w:rsidRPr="00830F4C">
        <w:rPr>
          <w:rFonts w:ascii="Garamond" w:hAnsi="Garamond"/>
        </w:rPr>
        <w:t xml:space="preserve"> si dhe adresimin e </w:t>
      </w:r>
      <w:r w:rsidR="00236281" w:rsidRPr="00830F4C">
        <w:rPr>
          <w:rFonts w:ascii="Garamond" w:hAnsi="Garamond"/>
        </w:rPr>
        <w:t>çështjeve</w:t>
      </w:r>
      <w:r w:rsidRPr="00830F4C">
        <w:rPr>
          <w:rFonts w:ascii="Garamond" w:hAnsi="Garamond"/>
        </w:rPr>
        <w:t xml:space="preserve"> kryesore doganore. Për zbatimin e këtyre komponentëve do të ndërmerren disa masa për përmirësimin e performancës së administrimit doganor gjatë periudhës 4</w:t>
      </w:r>
      <w:r w:rsidR="0052377F" w:rsidRPr="00830F4C">
        <w:rPr>
          <w:rFonts w:ascii="Garamond" w:hAnsi="Garamond"/>
        </w:rPr>
        <w:t>-</w:t>
      </w:r>
      <w:r w:rsidRPr="00830F4C">
        <w:rPr>
          <w:rFonts w:ascii="Garamond" w:hAnsi="Garamond"/>
        </w:rPr>
        <w:t>vjeçare (</w:t>
      </w:r>
      <w:r w:rsidR="00D22EA5" w:rsidRPr="00830F4C">
        <w:rPr>
          <w:rFonts w:ascii="Garamond" w:hAnsi="Garamond"/>
        </w:rPr>
        <w:t>2024–2027</w:t>
      </w:r>
      <w:r w:rsidRPr="00830F4C">
        <w:rPr>
          <w:rFonts w:ascii="Garamond" w:hAnsi="Garamond"/>
        </w:rPr>
        <w:t>), paraqitur në kutinë më poshtë.</w:t>
      </w:r>
    </w:p>
    <w:tbl>
      <w:tblPr>
        <w:tblStyle w:val="TableGrid"/>
        <w:tblW w:w="0" w:type="auto"/>
        <w:shd w:val="clear" w:color="auto" w:fill="DBE5F1" w:themeFill="accent1" w:themeFillTint="33"/>
        <w:tblLook w:val="04A0" w:firstRow="1" w:lastRow="0" w:firstColumn="1" w:lastColumn="0" w:noHBand="0" w:noVBand="1"/>
      </w:tblPr>
      <w:tblGrid>
        <w:gridCol w:w="9016"/>
      </w:tblGrid>
      <w:tr w:rsidR="00316D86" w:rsidRPr="00CC11D5" w14:paraId="2C837CD7" w14:textId="77777777" w:rsidTr="005D2226">
        <w:tc>
          <w:tcPr>
            <w:tcW w:w="9016" w:type="dxa"/>
            <w:shd w:val="clear" w:color="auto" w:fill="DBE5F1" w:themeFill="accent1" w:themeFillTint="33"/>
          </w:tcPr>
          <w:p w14:paraId="69CD3C28" w14:textId="40E83258" w:rsidR="00316D86" w:rsidRPr="00CC11D5" w:rsidRDefault="00316D86" w:rsidP="00444267">
            <w:pPr>
              <w:jc w:val="both"/>
              <w:rPr>
                <w:rFonts w:ascii="Garamond" w:hAnsi="Garamond"/>
                <w:b/>
                <w:sz w:val="12"/>
                <w:szCs w:val="12"/>
              </w:rPr>
            </w:pPr>
            <w:r w:rsidRPr="00CC11D5">
              <w:rPr>
                <w:rFonts w:ascii="Garamond" w:hAnsi="Garamond"/>
                <w:b/>
                <w:sz w:val="12"/>
                <w:szCs w:val="12"/>
              </w:rPr>
              <w:t>Komponenti 3.1 Modernizimi i proceseve të biznesit, duke përfshirë centralizimin e funksionit të profilizimit të riskut</w:t>
            </w:r>
          </w:p>
          <w:p w14:paraId="0189C2B8" w14:textId="28114AA2" w:rsidR="00316D86" w:rsidRPr="00CC11D5" w:rsidRDefault="00316D86" w:rsidP="00316D86">
            <w:pPr>
              <w:rPr>
                <w:rFonts w:ascii="Garamond" w:hAnsi="Garamond"/>
                <w:sz w:val="12"/>
                <w:szCs w:val="12"/>
              </w:rPr>
            </w:pPr>
            <w:r w:rsidRPr="00CC11D5">
              <w:rPr>
                <w:rFonts w:ascii="Garamond" w:hAnsi="Garamond"/>
                <w:sz w:val="12"/>
                <w:szCs w:val="12"/>
              </w:rPr>
              <w:t>Synimi i këtij objektivi është zhvillimi i sistemeve/moduleve të IT</w:t>
            </w:r>
            <w:r w:rsidR="00444267" w:rsidRPr="00CC11D5">
              <w:rPr>
                <w:rFonts w:ascii="Garamond" w:hAnsi="Garamond"/>
                <w:sz w:val="12"/>
                <w:szCs w:val="12"/>
              </w:rPr>
              <w:t>-së</w:t>
            </w:r>
            <w:r w:rsidRPr="00CC11D5">
              <w:rPr>
                <w:rFonts w:ascii="Garamond" w:hAnsi="Garamond"/>
                <w:sz w:val="12"/>
                <w:szCs w:val="12"/>
              </w:rPr>
              <w:t xml:space="preserve"> dhe kapaciteteve të administratës doganore për të rritur efektivitetin në mbledhjen e të ardhurave doganore.</w:t>
            </w:r>
          </w:p>
          <w:p w14:paraId="1CFFCDCF" w14:textId="77777777" w:rsidR="00316D86" w:rsidRPr="00CC11D5" w:rsidRDefault="00316D86" w:rsidP="00316D86">
            <w:pPr>
              <w:rPr>
                <w:rFonts w:ascii="Garamond" w:hAnsi="Garamond"/>
                <w:sz w:val="12"/>
                <w:szCs w:val="12"/>
              </w:rPr>
            </w:pPr>
          </w:p>
          <w:p w14:paraId="1C874430" w14:textId="79A146F4" w:rsidR="00316D86" w:rsidRPr="00CC11D5" w:rsidRDefault="00316D86" w:rsidP="00316D86">
            <w:pPr>
              <w:rPr>
                <w:rFonts w:ascii="Garamond" w:hAnsi="Garamond"/>
                <w:sz w:val="12"/>
                <w:szCs w:val="12"/>
              </w:rPr>
            </w:pPr>
            <w:r w:rsidRPr="00CC11D5">
              <w:rPr>
                <w:rFonts w:ascii="Garamond" w:hAnsi="Garamond"/>
                <w:sz w:val="12"/>
                <w:szCs w:val="12"/>
              </w:rPr>
              <w:t>Masat për vitet</w:t>
            </w:r>
            <w:r w:rsidR="00800B00" w:rsidRPr="00CC11D5">
              <w:rPr>
                <w:rFonts w:ascii="Garamond" w:hAnsi="Garamond"/>
                <w:sz w:val="12"/>
                <w:szCs w:val="12"/>
              </w:rPr>
              <w:t xml:space="preserve"> </w:t>
            </w:r>
            <w:r w:rsidR="00D22EA5" w:rsidRPr="00CC11D5">
              <w:rPr>
                <w:rFonts w:ascii="Garamond" w:hAnsi="Garamond"/>
                <w:sz w:val="12"/>
                <w:szCs w:val="12"/>
              </w:rPr>
              <w:t>2024–2027</w:t>
            </w:r>
            <w:r w:rsidRPr="00CC11D5">
              <w:rPr>
                <w:rFonts w:ascii="Garamond" w:hAnsi="Garamond"/>
                <w:sz w:val="12"/>
                <w:szCs w:val="12"/>
              </w:rPr>
              <w:t>:</w:t>
            </w:r>
          </w:p>
          <w:p w14:paraId="0C4F9715" w14:textId="78EAC6E3" w:rsidR="00316D86" w:rsidRPr="00CC11D5" w:rsidRDefault="00316D86" w:rsidP="004347E4">
            <w:pPr>
              <w:pStyle w:val="ListParagraph"/>
              <w:numPr>
                <w:ilvl w:val="0"/>
                <w:numId w:val="15"/>
              </w:numPr>
              <w:spacing w:after="0" w:line="240" w:lineRule="auto"/>
              <w:ind w:left="0" w:firstLine="0"/>
              <w:jc w:val="both"/>
              <w:rPr>
                <w:rFonts w:ascii="Garamond" w:hAnsi="Garamond" w:cs="Times New Roman"/>
                <w:bCs/>
                <w:sz w:val="12"/>
                <w:szCs w:val="12"/>
              </w:rPr>
            </w:pPr>
            <w:r w:rsidRPr="00CC11D5">
              <w:rPr>
                <w:rFonts w:ascii="Garamond" w:hAnsi="Garamond" w:cs="Times New Roman"/>
                <w:bCs/>
                <w:sz w:val="12"/>
                <w:szCs w:val="12"/>
              </w:rPr>
              <w:t>Masa 3.1.1 Përmirësimi i përzgjedhjes së kanaleve të riskut;</w:t>
            </w:r>
          </w:p>
          <w:p w14:paraId="6463ADD9" w14:textId="61DCDCF0" w:rsidR="00316D86" w:rsidRPr="00CC11D5" w:rsidRDefault="00316D86" w:rsidP="004347E4">
            <w:pPr>
              <w:pStyle w:val="ListParagraph"/>
              <w:numPr>
                <w:ilvl w:val="0"/>
                <w:numId w:val="15"/>
              </w:numPr>
              <w:spacing w:after="0" w:line="240" w:lineRule="auto"/>
              <w:ind w:left="0" w:firstLine="0"/>
              <w:jc w:val="both"/>
              <w:rPr>
                <w:rFonts w:ascii="Garamond" w:hAnsi="Garamond"/>
                <w:sz w:val="12"/>
                <w:szCs w:val="12"/>
              </w:rPr>
            </w:pPr>
            <w:r w:rsidRPr="00CC11D5">
              <w:rPr>
                <w:rFonts w:ascii="Garamond" w:hAnsi="Garamond"/>
                <w:sz w:val="12"/>
                <w:szCs w:val="12"/>
              </w:rPr>
              <w:t>Masa 3.1.2 Centralizimi i profileve të riskut për të përfshirë edhe akcizën;</w:t>
            </w:r>
          </w:p>
          <w:p w14:paraId="5F113C47" w14:textId="7114C15F" w:rsidR="00316D86" w:rsidRPr="00CC11D5" w:rsidRDefault="00316D86" w:rsidP="004347E4">
            <w:pPr>
              <w:pStyle w:val="ListParagraph"/>
              <w:numPr>
                <w:ilvl w:val="0"/>
                <w:numId w:val="15"/>
              </w:numPr>
              <w:spacing w:after="0" w:line="240" w:lineRule="auto"/>
              <w:ind w:left="0" w:firstLine="0"/>
              <w:jc w:val="both"/>
              <w:rPr>
                <w:rStyle w:val="contentpasted0"/>
                <w:rFonts w:ascii="Garamond" w:hAnsi="Garamond" w:cs="Times New Roman"/>
                <w:sz w:val="12"/>
                <w:szCs w:val="12"/>
              </w:rPr>
            </w:pPr>
            <w:r w:rsidRPr="00CC11D5">
              <w:rPr>
                <w:rStyle w:val="contentpasted0"/>
                <w:rFonts w:ascii="Garamond" w:hAnsi="Garamond"/>
                <w:sz w:val="12"/>
                <w:szCs w:val="12"/>
              </w:rPr>
              <w:t xml:space="preserve">Masa 3.1.3 Implementimi i lidhjes në kohë reale midis sistemeve ASYCUDA </w:t>
            </w:r>
            <w:r w:rsidRPr="00CC11D5">
              <w:rPr>
                <w:rStyle w:val="contentpasted0"/>
                <w:rFonts w:ascii="Garamond" w:hAnsi="Garamond"/>
                <w:i/>
                <w:sz w:val="12"/>
                <w:szCs w:val="12"/>
              </w:rPr>
              <w:t>World</w:t>
            </w:r>
            <w:r w:rsidRPr="00CC11D5">
              <w:rPr>
                <w:rStyle w:val="contentpasted0"/>
                <w:rFonts w:ascii="Garamond" w:hAnsi="Garamond"/>
                <w:sz w:val="12"/>
                <w:szCs w:val="12"/>
              </w:rPr>
              <w:t xml:space="preserve"> dhe ASYHUB;</w:t>
            </w:r>
          </w:p>
          <w:p w14:paraId="33425B3E" w14:textId="714D410E" w:rsidR="00316D86" w:rsidRPr="00CC11D5" w:rsidRDefault="00316D86" w:rsidP="004347E4">
            <w:pPr>
              <w:pStyle w:val="ListParagraph"/>
              <w:numPr>
                <w:ilvl w:val="0"/>
                <w:numId w:val="15"/>
              </w:numPr>
              <w:spacing w:after="0" w:line="240" w:lineRule="auto"/>
              <w:ind w:left="0" w:firstLine="0"/>
              <w:jc w:val="both"/>
              <w:rPr>
                <w:rFonts w:ascii="Garamond" w:hAnsi="Garamond" w:cs="Times New Roman"/>
                <w:sz w:val="12"/>
                <w:szCs w:val="12"/>
              </w:rPr>
            </w:pPr>
            <w:r w:rsidRPr="00CC11D5">
              <w:rPr>
                <w:rFonts w:ascii="Garamond" w:hAnsi="Garamond" w:cs="Times New Roman"/>
                <w:sz w:val="12"/>
                <w:szCs w:val="12"/>
              </w:rPr>
              <w:t>Masa 3.1.4</w:t>
            </w:r>
            <w:r w:rsidR="00444267" w:rsidRPr="00CC11D5">
              <w:rPr>
                <w:rFonts w:ascii="Garamond" w:hAnsi="Garamond" w:cs="Times New Roman"/>
                <w:sz w:val="12"/>
                <w:szCs w:val="12"/>
              </w:rPr>
              <w:t xml:space="preserve"> </w:t>
            </w:r>
            <w:r w:rsidRPr="00CC11D5">
              <w:rPr>
                <w:rFonts w:ascii="Garamond" w:hAnsi="Garamond" w:cs="Times New Roman"/>
                <w:sz w:val="12"/>
                <w:szCs w:val="12"/>
              </w:rPr>
              <w:t>Fuqizimi i kapaciteteve të punonjësve të AD</w:t>
            </w:r>
            <w:r w:rsidR="00444267" w:rsidRPr="00CC11D5">
              <w:rPr>
                <w:rFonts w:ascii="Garamond" w:hAnsi="Garamond" w:cs="Times New Roman"/>
                <w:sz w:val="12"/>
                <w:szCs w:val="12"/>
              </w:rPr>
              <w:t>-s</w:t>
            </w:r>
            <w:r w:rsidR="00444267" w:rsidRPr="00CC11D5">
              <w:rPr>
                <w:rFonts w:ascii="Garamond" w:hAnsi="Garamond"/>
                <w:sz w:val="12"/>
                <w:szCs w:val="12"/>
              </w:rPr>
              <w:t>ë</w:t>
            </w:r>
            <w:r w:rsidRPr="00CC11D5">
              <w:rPr>
                <w:rFonts w:ascii="Garamond" w:hAnsi="Garamond" w:cs="Times New Roman"/>
                <w:sz w:val="12"/>
                <w:szCs w:val="12"/>
              </w:rPr>
              <w:t xml:space="preserve"> përmes përmirësimit të praktikave të burimeve njerëzore dhe ofrimit të zhvillimit të kapaciteteve.</w:t>
            </w:r>
          </w:p>
          <w:p w14:paraId="13B31F23" w14:textId="3BC5B6E3" w:rsidR="00316D86" w:rsidRPr="00CC11D5" w:rsidRDefault="00316D86" w:rsidP="00316D86">
            <w:pPr>
              <w:rPr>
                <w:rFonts w:ascii="Garamond" w:hAnsi="Garamond"/>
                <w:b/>
                <w:sz w:val="12"/>
                <w:szCs w:val="12"/>
              </w:rPr>
            </w:pPr>
            <w:r w:rsidRPr="00CC11D5">
              <w:rPr>
                <w:rFonts w:ascii="Garamond" w:hAnsi="Garamond"/>
                <w:b/>
                <w:sz w:val="12"/>
                <w:szCs w:val="12"/>
              </w:rPr>
              <w:t xml:space="preserve">Komponenti 3.2 Zhvillimi i aftësive të zgjeruara analitike të të dhënave </w:t>
            </w:r>
          </w:p>
          <w:p w14:paraId="6F92DB69" w14:textId="76A3BDA3" w:rsidR="00316D86" w:rsidRPr="00CC11D5" w:rsidRDefault="00316D86" w:rsidP="00377F8B">
            <w:pPr>
              <w:jc w:val="both"/>
              <w:rPr>
                <w:rFonts w:ascii="Garamond" w:hAnsi="Garamond"/>
                <w:b/>
                <w:sz w:val="12"/>
                <w:szCs w:val="12"/>
              </w:rPr>
            </w:pPr>
            <w:r w:rsidRPr="00CC11D5">
              <w:rPr>
                <w:rFonts w:ascii="Garamond" w:hAnsi="Garamond"/>
                <w:sz w:val="12"/>
                <w:szCs w:val="12"/>
              </w:rPr>
              <w:t>Synimi është që brenda vitit 2027, administrata doganore të ketë zhvilluar modele makroekonomike që rrisin aftësitë</w:t>
            </w:r>
            <w:r w:rsidRPr="00CC11D5">
              <w:rPr>
                <w:rFonts w:ascii="Garamond" w:eastAsiaTheme="minorHAnsi" w:hAnsi="Garamond"/>
                <w:sz w:val="12"/>
                <w:szCs w:val="12"/>
              </w:rPr>
              <w:t xml:space="preserve"> analitike dhe parashikuese të fenomeneve ekonomike</w:t>
            </w:r>
            <w:r w:rsidRPr="00CC11D5">
              <w:rPr>
                <w:rFonts w:ascii="Garamond" w:hAnsi="Garamond"/>
                <w:b/>
                <w:sz w:val="12"/>
                <w:szCs w:val="12"/>
              </w:rPr>
              <w:t>.</w:t>
            </w:r>
          </w:p>
          <w:p w14:paraId="6FF84DAB" w14:textId="1FD42DB3" w:rsidR="00316D86" w:rsidRPr="00CC11D5" w:rsidRDefault="00316D86" w:rsidP="00316D86">
            <w:pPr>
              <w:contextualSpacing/>
              <w:jc w:val="both"/>
              <w:rPr>
                <w:rFonts w:ascii="Garamond" w:hAnsi="Garamond"/>
                <w:sz w:val="12"/>
                <w:szCs w:val="12"/>
              </w:rPr>
            </w:pPr>
            <w:r w:rsidRPr="00CC11D5">
              <w:rPr>
                <w:rFonts w:ascii="Garamond" w:hAnsi="Garamond"/>
                <w:sz w:val="12"/>
                <w:szCs w:val="12"/>
              </w:rPr>
              <w:t>Masat për vitet</w:t>
            </w:r>
            <w:r w:rsidR="00800B00" w:rsidRPr="00CC11D5">
              <w:rPr>
                <w:rFonts w:ascii="Garamond" w:hAnsi="Garamond"/>
                <w:sz w:val="12"/>
                <w:szCs w:val="12"/>
              </w:rPr>
              <w:t xml:space="preserve"> </w:t>
            </w:r>
            <w:r w:rsidR="00D22EA5" w:rsidRPr="00CC11D5">
              <w:rPr>
                <w:rFonts w:ascii="Garamond" w:hAnsi="Garamond"/>
                <w:sz w:val="12"/>
                <w:szCs w:val="12"/>
              </w:rPr>
              <w:t>2024–2027</w:t>
            </w:r>
            <w:r w:rsidRPr="00CC11D5">
              <w:rPr>
                <w:rFonts w:ascii="Garamond" w:hAnsi="Garamond"/>
                <w:sz w:val="12"/>
                <w:szCs w:val="12"/>
              </w:rPr>
              <w:t>:</w:t>
            </w:r>
          </w:p>
          <w:p w14:paraId="23C88326" w14:textId="2B060599" w:rsidR="00316D86" w:rsidRPr="00CC11D5" w:rsidRDefault="00316D86" w:rsidP="004347E4">
            <w:pPr>
              <w:numPr>
                <w:ilvl w:val="0"/>
                <w:numId w:val="12"/>
              </w:numPr>
              <w:ind w:left="0" w:firstLine="0"/>
              <w:contextualSpacing/>
              <w:jc w:val="both"/>
              <w:rPr>
                <w:rFonts w:ascii="Garamond" w:hAnsi="Garamond"/>
                <w:sz w:val="12"/>
                <w:szCs w:val="12"/>
              </w:rPr>
            </w:pPr>
            <w:r w:rsidRPr="00CC11D5">
              <w:rPr>
                <w:rFonts w:ascii="Garamond" w:eastAsiaTheme="minorHAnsi" w:hAnsi="Garamond"/>
                <w:sz w:val="12"/>
                <w:szCs w:val="12"/>
              </w:rPr>
              <w:t>Masa 3.2.1 Krijimi i modeleve të reja ekonometrike për analizimin e të dhënave</w:t>
            </w:r>
            <w:r w:rsidRPr="00CC11D5">
              <w:rPr>
                <w:rFonts w:ascii="Garamond" w:hAnsi="Garamond"/>
                <w:sz w:val="12"/>
                <w:szCs w:val="12"/>
              </w:rPr>
              <w:t>.</w:t>
            </w:r>
          </w:p>
          <w:p w14:paraId="0A0CA648" w14:textId="371A868F" w:rsidR="00316D86" w:rsidRPr="00CC11D5" w:rsidRDefault="00316D86" w:rsidP="00316D86">
            <w:pPr>
              <w:numPr>
                <w:ilvl w:val="0"/>
                <w:numId w:val="12"/>
              </w:numPr>
              <w:ind w:left="0" w:firstLine="0"/>
              <w:contextualSpacing/>
              <w:jc w:val="both"/>
              <w:rPr>
                <w:rFonts w:ascii="Garamond" w:hAnsi="Garamond"/>
                <w:sz w:val="12"/>
                <w:szCs w:val="12"/>
              </w:rPr>
            </w:pPr>
            <w:r w:rsidRPr="00CC11D5">
              <w:rPr>
                <w:rFonts w:ascii="Garamond" w:eastAsiaTheme="minorHAnsi" w:hAnsi="Garamond"/>
                <w:sz w:val="12"/>
                <w:szCs w:val="12"/>
              </w:rPr>
              <w:t>Masa 3.2.2. Analizimi m</w:t>
            </w:r>
            <w:r w:rsidR="00444267" w:rsidRPr="00CC11D5">
              <w:rPr>
                <w:rFonts w:ascii="Garamond" w:hAnsi="Garamond"/>
                <w:sz w:val="12"/>
                <w:szCs w:val="12"/>
              </w:rPr>
              <w:t>ë</w:t>
            </w:r>
            <w:r w:rsidRPr="00CC11D5">
              <w:rPr>
                <w:rFonts w:ascii="Garamond" w:eastAsiaTheme="minorHAnsi" w:hAnsi="Garamond"/>
                <w:sz w:val="12"/>
                <w:szCs w:val="12"/>
              </w:rPr>
              <w:t xml:space="preserve"> i detajuar i të dhënave të gatshme në sistemin ASYCUDA </w:t>
            </w:r>
            <w:r w:rsidRPr="00CC11D5">
              <w:rPr>
                <w:rFonts w:ascii="Garamond" w:eastAsiaTheme="minorHAnsi" w:hAnsi="Garamond"/>
                <w:i/>
                <w:sz w:val="12"/>
                <w:szCs w:val="12"/>
              </w:rPr>
              <w:t>World</w:t>
            </w:r>
            <w:r w:rsidRPr="00CC11D5">
              <w:rPr>
                <w:rFonts w:ascii="Garamond" w:hAnsi="Garamond"/>
                <w:sz w:val="12"/>
                <w:szCs w:val="12"/>
              </w:rPr>
              <w:t>.</w:t>
            </w:r>
          </w:p>
          <w:p w14:paraId="2253C018" w14:textId="729A8D02" w:rsidR="00316D86" w:rsidRPr="00CC11D5" w:rsidRDefault="00316D86" w:rsidP="00316D86">
            <w:pPr>
              <w:rPr>
                <w:rFonts w:ascii="Garamond" w:hAnsi="Garamond"/>
                <w:b/>
                <w:sz w:val="12"/>
                <w:szCs w:val="12"/>
              </w:rPr>
            </w:pPr>
            <w:r w:rsidRPr="00CC11D5">
              <w:rPr>
                <w:rFonts w:ascii="Garamond" w:hAnsi="Garamond"/>
                <w:b/>
                <w:sz w:val="12"/>
                <w:szCs w:val="12"/>
              </w:rPr>
              <w:t>Komponenti 3.3 Rritja e investimeve në zhvillimin e sistemeve të IT</w:t>
            </w:r>
            <w:r w:rsidR="00444267" w:rsidRPr="00CC11D5">
              <w:rPr>
                <w:rFonts w:ascii="Garamond" w:hAnsi="Garamond"/>
                <w:sz w:val="12"/>
                <w:szCs w:val="12"/>
              </w:rPr>
              <w:t>-së</w:t>
            </w:r>
            <w:r w:rsidRPr="00CC11D5">
              <w:rPr>
                <w:rFonts w:ascii="Garamond" w:hAnsi="Garamond"/>
                <w:b/>
                <w:sz w:val="12"/>
                <w:szCs w:val="12"/>
              </w:rPr>
              <w:t xml:space="preserve"> (Teknologjisë së Informacionit) </w:t>
            </w:r>
          </w:p>
          <w:p w14:paraId="687855E8" w14:textId="5FEBDDAA" w:rsidR="00316D86" w:rsidRPr="00CC11D5" w:rsidRDefault="00316D86" w:rsidP="00316D86">
            <w:pPr>
              <w:jc w:val="both"/>
              <w:rPr>
                <w:rFonts w:ascii="Garamond" w:hAnsi="Garamond"/>
                <w:sz w:val="12"/>
                <w:szCs w:val="12"/>
              </w:rPr>
            </w:pPr>
            <w:r w:rsidRPr="00CC11D5">
              <w:rPr>
                <w:rFonts w:ascii="Garamond" w:eastAsiaTheme="minorHAnsi" w:hAnsi="Garamond"/>
                <w:sz w:val="12"/>
                <w:szCs w:val="12"/>
              </w:rPr>
              <w:t>Synimi i këtij komponenti është që brenda vitit 2027 të jenë kryer zhvillime teknologjike IT për përmirësimin e infrastrukturës aktuale të administratës doganore.</w:t>
            </w:r>
          </w:p>
          <w:p w14:paraId="6B84868A" w14:textId="10C214E7" w:rsidR="00316D86" w:rsidRPr="00CC11D5" w:rsidRDefault="00316D86" w:rsidP="00316D86">
            <w:pPr>
              <w:contextualSpacing/>
              <w:jc w:val="both"/>
              <w:rPr>
                <w:rFonts w:ascii="Garamond" w:hAnsi="Garamond"/>
                <w:sz w:val="12"/>
                <w:szCs w:val="12"/>
              </w:rPr>
            </w:pPr>
            <w:r w:rsidRPr="00CC11D5">
              <w:rPr>
                <w:rFonts w:ascii="Garamond" w:hAnsi="Garamond"/>
                <w:sz w:val="12"/>
                <w:szCs w:val="12"/>
              </w:rPr>
              <w:t>Masat për vitet</w:t>
            </w:r>
            <w:r w:rsidR="00800B00" w:rsidRPr="00CC11D5">
              <w:rPr>
                <w:rFonts w:ascii="Garamond" w:hAnsi="Garamond"/>
                <w:sz w:val="12"/>
                <w:szCs w:val="12"/>
              </w:rPr>
              <w:t xml:space="preserve"> </w:t>
            </w:r>
            <w:r w:rsidR="00D22EA5" w:rsidRPr="00CC11D5">
              <w:rPr>
                <w:rFonts w:ascii="Garamond" w:hAnsi="Garamond"/>
                <w:sz w:val="12"/>
                <w:szCs w:val="12"/>
              </w:rPr>
              <w:t>2024–2027</w:t>
            </w:r>
            <w:r w:rsidRPr="00CC11D5">
              <w:rPr>
                <w:rFonts w:ascii="Garamond" w:hAnsi="Garamond"/>
                <w:sz w:val="12"/>
                <w:szCs w:val="12"/>
              </w:rPr>
              <w:t>:</w:t>
            </w:r>
          </w:p>
          <w:p w14:paraId="2E84AAB0" w14:textId="6DA96827" w:rsidR="00316D86" w:rsidRPr="00CC11D5" w:rsidRDefault="00316D86" w:rsidP="00316D86">
            <w:pPr>
              <w:pStyle w:val="ListParagraph"/>
              <w:numPr>
                <w:ilvl w:val="0"/>
                <w:numId w:val="13"/>
              </w:numPr>
              <w:spacing w:after="0" w:line="240" w:lineRule="auto"/>
              <w:ind w:left="0" w:firstLine="0"/>
              <w:jc w:val="both"/>
              <w:rPr>
                <w:rFonts w:ascii="Garamond" w:eastAsiaTheme="minorHAnsi" w:hAnsi="Garamond" w:cs="Times New Roman"/>
                <w:sz w:val="12"/>
                <w:szCs w:val="12"/>
              </w:rPr>
            </w:pPr>
            <w:r w:rsidRPr="00CC11D5">
              <w:rPr>
                <w:rFonts w:ascii="Garamond" w:eastAsiaTheme="minorHAnsi" w:hAnsi="Garamond" w:cs="Times New Roman"/>
                <w:sz w:val="12"/>
                <w:szCs w:val="12"/>
              </w:rPr>
              <w:t xml:space="preserve">Masa 3.3.1 Zhvillime IT për uljen e kohës së procesimit të </w:t>
            </w:r>
            <w:r w:rsidR="00444267" w:rsidRPr="00CC11D5">
              <w:rPr>
                <w:rFonts w:ascii="Garamond" w:eastAsiaTheme="minorHAnsi" w:hAnsi="Garamond" w:cs="Times New Roman"/>
                <w:sz w:val="12"/>
                <w:szCs w:val="12"/>
              </w:rPr>
              <w:t>çdo</w:t>
            </w:r>
            <w:r w:rsidRPr="00CC11D5">
              <w:rPr>
                <w:rFonts w:ascii="Garamond" w:eastAsiaTheme="minorHAnsi" w:hAnsi="Garamond" w:cs="Times New Roman"/>
                <w:sz w:val="12"/>
                <w:szCs w:val="12"/>
              </w:rPr>
              <w:t xml:space="preserve"> kërkese nga subjektet.</w:t>
            </w:r>
          </w:p>
          <w:p w14:paraId="3294EFB7" w14:textId="500E11AB" w:rsidR="00316D86" w:rsidRPr="00CC11D5" w:rsidRDefault="00316D86" w:rsidP="00316D86">
            <w:pPr>
              <w:jc w:val="both"/>
              <w:rPr>
                <w:rFonts w:ascii="Garamond" w:hAnsi="Garamond"/>
                <w:b/>
                <w:sz w:val="12"/>
                <w:szCs w:val="12"/>
              </w:rPr>
            </w:pPr>
            <w:r w:rsidRPr="00CC11D5">
              <w:rPr>
                <w:rFonts w:ascii="Garamond" w:hAnsi="Garamond"/>
                <w:b/>
                <w:sz w:val="12"/>
                <w:szCs w:val="12"/>
              </w:rPr>
              <w:t>Komponenti 3.4 Zhvillimi dhe zbatimi plotësisht i një korniz</w:t>
            </w:r>
            <w:r w:rsidR="00444267" w:rsidRPr="00CC11D5">
              <w:rPr>
                <w:rFonts w:ascii="Garamond" w:hAnsi="Garamond"/>
                <w:b/>
                <w:sz w:val="12"/>
                <w:szCs w:val="12"/>
              </w:rPr>
              <w:t>e</w:t>
            </w:r>
            <w:r w:rsidRPr="00CC11D5">
              <w:rPr>
                <w:rFonts w:ascii="Garamond" w:hAnsi="Garamond"/>
                <w:b/>
                <w:sz w:val="12"/>
                <w:szCs w:val="12"/>
              </w:rPr>
              <w:t xml:space="preserve"> integriteti për të ndihmuar në ndërtimin e besimit të komunitetit</w:t>
            </w:r>
          </w:p>
          <w:p w14:paraId="6CE08EB9" w14:textId="2077B7D8" w:rsidR="00316D86" w:rsidRPr="00CC11D5" w:rsidRDefault="00316D86" w:rsidP="00444267">
            <w:pPr>
              <w:jc w:val="both"/>
              <w:rPr>
                <w:rFonts w:ascii="Garamond" w:hAnsi="Garamond"/>
                <w:sz w:val="12"/>
                <w:szCs w:val="12"/>
              </w:rPr>
            </w:pPr>
            <w:r w:rsidRPr="00CC11D5">
              <w:rPr>
                <w:rFonts w:ascii="Garamond" w:hAnsi="Garamond"/>
                <w:sz w:val="12"/>
                <w:szCs w:val="12"/>
              </w:rPr>
              <w:t>Synimi është që brenda vitit 2027 të jetë hartuar dhe të jetë në zbatim një plan gjithëpërfshirës integriteti</w:t>
            </w:r>
            <w:r w:rsidR="00444267" w:rsidRPr="00CC11D5">
              <w:rPr>
                <w:rFonts w:ascii="Garamond" w:hAnsi="Garamond"/>
                <w:sz w:val="12"/>
                <w:szCs w:val="12"/>
              </w:rPr>
              <w:t>,</w:t>
            </w:r>
            <w:r w:rsidRPr="00CC11D5">
              <w:rPr>
                <w:rFonts w:ascii="Garamond" w:hAnsi="Garamond"/>
                <w:sz w:val="12"/>
                <w:szCs w:val="12"/>
              </w:rPr>
              <w:t xml:space="preserve"> me qëllim që të rritet besimi i komunitetit tek administrata doganore.</w:t>
            </w:r>
          </w:p>
          <w:p w14:paraId="7DD02DD7" w14:textId="6001E3A5" w:rsidR="00316D86" w:rsidRPr="00CC11D5" w:rsidRDefault="00316D86" w:rsidP="00316D86">
            <w:pPr>
              <w:rPr>
                <w:rFonts w:ascii="Garamond" w:hAnsi="Garamond"/>
                <w:sz w:val="12"/>
                <w:szCs w:val="12"/>
              </w:rPr>
            </w:pPr>
            <w:r w:rsidRPr="00CC11D5">
              <w:rPr>
                <w:rFonts w:ascii="Garamond" w:hAnsi="Garamond"/>
                <w:sz w:val="12"/>
                <w:szCs w:val="12"/>
              </w:rPr>
              <w:t>Masat për</w:t>
            </w:r>
            <w:r w:rsidR="00800B00" w:rsidRPr="00CC11D5">
              <w:rPr>
                <w:rFonts w:ascii="Garamond" w:hAnsi="Garamond"/>
                <w:sz w:val="12"/>
                <w:szCs w:val="12"/>
              </w:rPr>
              <w:t xml:space="preserve"> </w:t>
            </w:r>
            <w:r w:rsidR="00D22EA5" w:rsidRPr="00CC11D5">
              <w:rPr>
                <w:rFonts w:ascii="Garamond" w:hAnsi="Garamond"/>
                <w:sz w:val="12"/>
                <w:szCs w:val="12"/>
              </w:rPr>
              <w:t>2024–2027</w:t>
            </w:r>
            <w:r w:rsidRPr="00CC11D5">
              <w:rPr>
                <w:rFonts w:ascii="Garamond" w:hAnsi="Garamond"/>
                <w:sz w:val="12"/>
                <w:szCs w:val="12"/>
              </w:rPr>
              <w:t xml:space="preserve"> janë:</w:t>
            </w:r>
          </w:p>
          <w:p w14:paraId="367B7AD5" w14:textId="36B547E6" w:rsidR="00316D86" w:rsidRPr="00CC11D5" w:rsidRDefault="00316D86" w:rsidP="004347E4">
            <w:pPr>
              <w:pStyle w:val="ListParagraph"/>
              <w:numPr>
                <w:ilvl w:val="0"/>
                <w:numId w:val="14"/>
              </w:numPr>
              <w:spacing w:after="0" w:line="240" w:lineRule="auto"/>
              <w:ind w:left="0" w:firstLine="0"/>
              <w:rPr>
                <w:rFonts w:ascii="Garamond" w:eastAsiaTheme="minorHAnsi" w:hAnsi="Garamond" w:cs="Times New Roman"/>
                <w:sz w:val="12"/>
                <w:szCs w:val="12"/>
              </w:rPr>
            </w:pPr>
            <w:r w:rsidRPr="00CC11D5">
              <w:rPr>
                <w:rFonts w:ascii="Garamond" w:eastAsiaTheme="minorHAnsi" w:hAnsi="Garamond" w:cs="Times New Roman"/>
                <w:sz w:val="12"/>
                <w:szCs w:val="12"/>
              </w:rPr>
              <w:t>Masa 3.4.1 Hartimi dhe miratimi i Planit të Integritetit dhe planit të veprimit</w:t>
            </w:r>
            <w:r w:rsidR="00444267" w:rsidRPr="00CC11D5">
              <w:rPr>
                <w:rFonts w:ascii="Garamond" w:eastAsiaTheme="minorHAnsi" w:hAnsi="Garamond" w:cs="Times New Roman"/>
                <w:sz w:val="12"/>
                <w:szCs w:val="12"/>
              </w:rPr>
              <w:t>;</w:t>
            </w:r>
          </w:p>
          <w:p w14:paraId="3A23FC3F" w14:textId="43124BE0" w:rsidR="00316D86" w:rsidRPr="00CC11D5" w:rsidRDefault="00316D86" w:rsidP="004347E4">
            <w:pPr>
              <w:pStyle w:val="ListParagraph"/>
              <w:numPr>
                <w:ilvl w:val="0"/>
                <w:numId w:val="14"/>
              </w:numPr>
              <w:spacing w:after="0" w:line="240" w:lineRule="auto"/>
              <w:ind w:left="0" w:firstLine="0"/>
              <w:jc w:val="both"/>
              <w:rPr>
                <w:rFonts w:ascii="Garamond" w:hAnsi="Garamond" w:cs="Times New Roman"/>
                <w:sz w:val="12"/>
                <w:szCs w:val="12"/>
              </w:rPr>
            </w:pPr>
            <w:r w:rsidRPr="00CC11D5">
              <w:rPr>
                <w:rFonts w:ascii="Garamond" w:eastAsiaTheme="minorHAnsi" w:hAnsi="Garamond" w:cs="Times New Roman"/>
                <w:sz w:val="12"/>
                <w:szCs w:val="12"/>
              </w:rPr>
              <w:t xml:space="preserve">Masa 3.4.2 </w:t>
            </w:r>
            <w:r w:rsidR="00444267" w:rsidRPr="00CC11D5">
              <w:rPr>
                <w:rFonts w:ascii="Garamond" w:eastAsiaTheme="minorHAnsi" w:hAnsi="Garamond" w:cs="Times New Roman"/>
                <w:sz w:val="12"/>
                <w:szCs w:val="12"/>
              </w:rPr>
              <w:t>Trajnime</w:t>
            </w:r>
            <w:r w:rsidRPr="00CC11D5">
              <w:rPr>
                <w:rFonts w:ascii="Garamond" w:eastAsiaTheme="minorHAnsi" w:hAnsi="Garamond" w:cs="Times New Roman"/>
                <w:sz w:val="12"/>
                <w:szCs w:val="12"/>
              </w:rPr>
              <w:t xml:space="preserve"> të vazhdueshme të punonjësve të </w:t>
            </w:r>
            <w:r w:rsidR="00444267" w:rsidRPr="00CC11D5">
              <w:rPr>
                <w:rFonts w:ascii="Garamond" w:eastAsiaTheme="minorHAnsi" w:hAnsi="Garamond" w:cs="Times New Roman"/>
                <w:sz w:val="12"/>
                <w:szCs w:val="12"/>
              </w:rPr>
              <w:t>administratës</w:t>
            </w:r>
            <w:r w:rsidRPr="00CC11D5">
              <w:rPr>
                <w:rFonts w:ascii="Garamond" w:eastAsiaTheme="minorHAnsi" w:hAnsi="Garamond" w:cs="Times New Roman"/>
                <w:sz w:val="12"/>
                <w:szCs w:val="12"/>
              </w:rPr>
              <w:t xml:space="preserve"> doganore</w:t>
            </w:r>
            <w:r w:rsidR="00444267" w:rsidRPr="00CC11D5">
              <w:rPr>
                <w:rFonts w:ascii="Garamond" w:hAnsi="Garamond" w:cs="Times New Roman"/>
                <w:sz w:val="12"/>
                <w:szCs w:val="12"/>
              </w:rPr>
              <w:t>;</w:t>
            </w:r>
            <w:r w:rsidRPr="00CC11D5">
              <w:rPr>
                <w:rFonts w:ascii="Garamond" w:hAnsi="Garamond" w:cs="Times New Roman"/>
                <w:sz w:val="12"/>
                <w:szCs w:val="12"/>
              </w:rPr>
              <w:t xml:space="preserve"> </w:t>
            </w:r>
          </w:p>
          <w:p w14:paraId="79123733" w14:textId="68E86651" w:rsidR="00316D86" w:rsidRPr="00CC11D5" w:rsidRDefault="00316D86" w:rsidP="00316D86">
            <w:pPr>
              <w:pStyle w:val="ListParagraph"/>
              <w:numPr>
                <w:ilvl w:val="0"/>
                <w:numId w:val="14"/>
              </w:numPr>
              <w:spacing w:after="0" w:line="240" w:lineRule="auto"/>
              <w:ind w:left="0" w:firstLine="0"/>
              <w:jc w:val="both"/>
              <w:rPr>
                <w:rFonts w:ascii="Garamond" w:hAnsi="Garamond"/>
                <w:sz w:val="12"/>
                <w:szCs w:val="12"/>
              </w:rPr>
            </w:pPr>
            <w:r w:rsidRPr="00CC11D5">
              <w:rPr>
                <w:rFonts w:ascii="Garamond" w:hAnsi="Garamond"/>
                <w:sz w:val="12"/>
                <w:szCs w:val="12"/>
              </w:rPr>
              <w:t>Masa 3.4.3 Shmangia e konfliktit të interesit.</w:t>
            </w:r>
          </w:p>
          <w:p w14:paraId="4ADCA6B3" w14:textId="2FF598E8" w:rsidR="00316D86" w:rsidRPr="00CC11D5" w:rsidRDefault="00316D86" w:rsidP="00316D86">
            <w:pPr>
              <w:rPr>
                <w:rFonts w:ascii="Garamond" w:hAnsi="Garamond"/>
                <w:b/>
                <w:sz w:val="12"/>
                <w:szCs w:val="12"/>
              </w:rPr>
            </w:pPr>
            <w:r w:rsidRPr="00CC11D5">
              <w:rPr>
                <w:rFonts w:ascii="Garamond" w:hAnsi="Garamond"/>
                <w:b/>
                <w:sz w:val="12"/>
                <w:szCs w:val="12"/>
              </w:rPr>
              <w:t xml:space="preserve">Komponenti 3.5 Rritja e numrit të Operatorëve Ekonomikë të Autorizuar </w:t>
            </w:r>
          </w:p>
          <w:p w14:paraId="0DF3EE95" w14:textId="2EA3D02E" w:rsidR="00316D86" w:rsidRPr="00CC11D5" w:rsidRDefault="00316D86" w:rsidP="00316D86">
            <w:pPr>
              <w:jc w:val="both"/>
              <w:rPr>
                <w:rFonts w:ascii="Garamond" w:hAnsi="Garamond"/>
                <w:sz w:val="12"/>
                <w:szCs w:val="12"/>
              </w:rPr>
            </w:pPr>
            <w:r w:rsidRPr="00CC11D5">
              <w:rPr>
                <w:rFonts w:ascii="Garamond" w:hAnsi="Garamond"/>
                <w:sz w:val="12"/>
                <w:szCs w:val="12"/>
              </w:rPr>
              <w:t>Synimi i këtij komponenti është zhvillimi i Programit për Operatorët Ekonomik të Autorizuar, me qëllim rritjen e numrit të autorizimeve të dhëna për AEO</w:t>
            </w:r>
            <w:r w:rsidR="00444267" w:rsidRPr="00CC11D5">
              <w:rPr>
                <w:rFonts w:ascii="Garamond" w:hAnsi="Garamond"/>
                <w:sz w:val="12"/>
                <w:szCs w:val="12"/>
              </w:rPr>
              <w:t>,</w:t>
            </w:r>
            <w:r w:rsidRPr="00CC11D5">
              <w:rPr>
                <w:rFonts w:ascii="Garamond" w:hAnsi="Garamond"/>
                <w:sz w:val="12"/>
                <w:szCs w:val="12"/>
              </w:rPr>
              <w:t xml:space="preserve"> si dhe nënshkrimi i një marrëveshjeve për njohje reciproke me BE</w:t>
            </w:r>
            <w:r w:rsidR="00444267" w:rsidRPr="00CC11D5">
              <w:rPr>
                <w:rFonts w:ascii="Garamond" w:hAnsi="Garamond"/>
                <w:sz w:val="12"/>
                <w:szCs w:val="12"/>
              </w:rPr>
              <w:t>-në</w:t>
            </w:r>
            <w:r w:rsidRPr="00CC11D5">
              <w:rPr>
                <w:rFonts w:ascii="Garamond" w:hAnsi="Garamond"/>
                <w:sz w:val="12"/>
                <w:szCs w:val="12"/>
              </w:rPr>
              <w:t>.</w:t>
            </w:r>
          </w:p>
          <w:p w14:paraId="62147D87" w14:textId="304505D1" w:rsidR="00316D86" w:rsidRPr="00CC11D5" w:rsidRDefault="00316D86" w:rsidP="00316D86">
            <w:pPr>
              <w:tabs>
                <w:tab w:val="left" w:pos="826"/>
              </w:tabs>
              <w:jc w:val="both"/>
              <w:rPr>
                <w:rFonts w:ascii="Garamond" w:hAnsi="Garamond"/>
                <w:sz w:val="12"/>
                <w:szCs w:val="12"/>
              </w:rPr>
            </w:pPr>
            <w:r w:rsidRPr="00CC11D5">
              <w:rPr>
                <w:rFonts w:ascii="Garamond" w:hAnsi="Garamond"/>
                <w:sz w:val="12"/>
                <w:szCs w:val="12"/>
              </w:rPr>
              <w:t>Masat për</w:t>
            </w:r>
            <w:r w:rsidR="00800B00" w:rsidRPr="00CC11D5">
              <w:rPr>
                <w:rFonts w:ascii="Garamond" w:hAnsi="Garamond"/>
                <w:sz w:val="12"/>
                <w:szCs w:val="12"/>
              </w:rPr>
              <w:t xml:space="preserve"> </w:t>
            </w:r>
            <w:r w:rsidR="00D22EA5" w:rsidRPr="00CC11D5">
              <w:rPr>
                <w:rFonts w:ascii="Garamond" w:hAnsi="Garamond"/>
                <w:sz w:val="12"/>
                <w:szCs w:val="12"/>
              </w:rPr>
              <w:t>2024–2027</w:t>
            </w:r>
            <w:r w:rsidRPr="00CC11D5">
              <w:rPr>
                <w:rFonts w:ascii="Garamond" w:hAnsi="Garamond"/>
                <w:sz w:val="12"/>
                <w:szCs w:val="12"/>
              </w:rPr>
              <w:t xml:space="preserve"> janë</w:t>
            </w:r>
          </w:p>
          <w:p w14:paraId="4720951C" w14:textId="5887129F" w:rsidR="00316D86" w:rsidRPr="00CC11D5" w:rsidRDefault="00316D86" w:rsidP="004347E4">
            <w:pPr>
              <w:pStyle w:val="ListParagraph"/>
              <w:numPr>
                <w:ilvl w:val="0"/>
                <w:numId w:val="16"/>
              </w:numPr>
              <w:spacing w:after="0" w:line="240" w:lineRule="auto"/>
              <w:ind w:left="0" w:firstLine="0"/>
              <w:jc w:val="both"/>
              <w:rPr>
                <w:rFonts w:ascii="Garamond" w:hAnsi="Garamond"/>
                <w:sz w:val="12"/>
                <w:szCs w:val="12"/>
              </w:rPr>
            </w:pPr>
            <w:r w:rsidRPr="00CC11D5">
              <w:rPr>
                <w:rFonts w:ascii="Garamond" w:hAnsi="Garamond"/>
                <w:sz w:val="12"/>
                <w:szCs w:val="12"/>
              </w:rPr>
              <w:t>Masa 3.5.1 Sensibiliz</w:t>
            </w:r>
            <w:r w:rsidR="00444267" w:rsidRPr="00CC11D5">
              <w:rPr>
                <w:rFonts w:ascii="Garamond" w:hAnsi="Garamond"/>
                <w:sz w:val="12"/>
                <w:szCs w:val="12"/>
              </w:rPr>
              <w:t>i</w:t>
            </w:r>
            <w:r w:rsidRPr="00CC11D5">
              <w:rPr>
                <w:rFonts w:ascii="Garamond" w:hAnsi="Garamond"/>
                <w:sz w:val="12"/>
                <w:szCs w:val="12"/>
              </w:rPr>
              <w:t xml:space="preserve">mi i subjekteve mbi rëndësinë e pasjes së statusit AEO për kompanitë shqiptare. </w:t>
            </w:r>
          </w:p>
          <w:p w14:paraId="480530AF" w14:textId="34B400B9" w:rsidR="00316D86" w:rsidRPr="00CC11D5" w:rsidRDefault="00316D86" w:rsidP="004347E4">
            <w:pPr>
              <w:pStyle w:val="ListParagraph"/>
              <w:numPr>
                <w:ilvl w:val="0"/>
                <w:numId w:val="16"/>
              </w:numPr>
              <w:spacing w:after="0" w:line="240" w:lineRule="auto"/>
              <w:ind w:left="0" w:firstLine="0"/>
              <w:rPr>
                <w:rFonts w:ascii="Garamond" w:hAnsi="Garamond"/>
                <w:sz w:val="12"/>
                <w:szCs w:val="12"/>
              </w:rPr>
            </w:pPr>
            <w:r w:rsidRPr="00CC11D5">
              <w:rPr>
                <w:rFonts w:ascii="Garamond" w:hAnsi="Garamond"/>
                <w:sz w:val="12"/>
                <w:szCs w:val="12"/>
              </w:rPr>
              <w:t>Masa 3.5.2 Monitorimi i vazhdueshëm i AEO</w:t>
            </w:r>
            <w:r w:rsidR="00444267" w:rsidRPr="00CC11D5">
              <w:rPr>
                <w:rFonts w:ascii="Garamond" w:hAnsi="Garamond"/>
                <w:sz w:val="12"/>
                <w:szCs w:val="12"/>
              </w:rPr>
              <w:t>-ve</w:t>
            </w:r>
            <w:r w:rsidRPr="00CC11D5">
              <w:rPr>
                <w:rFonts w:ascii="Garamond" w:hAnsi="Garamond"/>
                <w:sz w:val="12"/>
                <w:szCs w:val="12"/>
              </w:rPr>
              <w:t xml:space="preserve"> të miratuara.</w:t>
            </w:r>
          </w:p>
          <w:p w14:paraId="73D75FDE" w14:textId="5E9FDE45" w:rsidR="00316D86" w:rsidRPr="00CC11D5" w:rsidRDefault="00316D86" w:rsidP="00316D86">
            <w:pPr>
              <w:pStyle w:val="ListParagraph"/>
              <w:numPr>
                <w:ilvl w:val="0"/>
                <w:numId w:val="16"/>
              </w:numPr>
              <w:spacing w:after="0" w:line="240" w:lineRule="auto"/>
              <w:ind w:left="0" w:firstLine="0"/>
              <w:rPr>
                <w:rFonts w:ascii="Garamond" w:hAnsi="Garamond"/>
                <w:b/>
                <w:sz w:val="12"/>
                <w:szCs w:val="12"/>
              </w:rPr>
            </w:pPr>
            <w:r w:rsidRPr="00CC11D5">
              <w:rPr>
                <w:rFonts w:ascii="Garamond" w:hAnsi="Garamond"/>
                <w:sz w:val="12"/>
                <w:szCs w:val="12"/>
              </w:rPr>
              <w:t xml:space="preserve">Masa 3.5.3 Nënshkrimi i një </w:t>
            </w:r>
            <w:r w:rsidR="00444267" w:rsidRPr="00CC11D5">
              <w:rPr>
                <w:rFonts w:ascii="Garamond" w:hAnsi="Garamond"/>
                <w:sz w:val="12"/>
                <w:szCs w:val="12"/>
              </w:rPr>
              <w:t>marrëveshjeje</w:t>
            </w:r>
            <w:r w:rsidRPr="00CC11D5">
              <w:rPr>
                <w:rFonts w:ascii="Garamond" w:hAnsi="Garamond"/>
                <w:sz w:val="12"/>
                <w:szCs w:val="12"/>
              </w:rPr>
              <w:t xml:space="preserve"> me BE</w:t>
            </w:r>
            <w:r w:rsidR="00444267" w:rsidRPr="00CC11D5">
              <w:rPr>
                <w:rFonts w:ascii="Garamond" w:hAnsi="Garamond"/>
                <w:sz w:val="12"/>
                <w:szCs w:val="12"/>
              </w:rPr>
              <w:t>-në</w:t>
            </w:r>
            <w:r w:rsidRPr="00CC11D5">
              <w:rPr>
                <w:rFonts w:ascii="Garamond" w:hAnsi="Garamond"/>
                <w:sz w:val="12"/>
                <w:szCs w:val="12"/>
              </w:rPr>
              <w:t xml:space="preserve"> për njohjen reciproke të AEO-ve.</w:t>
            </w:r>
          </w:p>
          <w:p w14:paraId="30537C4E" w14:textId="40B90A26" w:rsidR="00316D86" w:rsidRPr="00CC11D5" w:rsidRDefault="00316D86" w:rsidP="00377F8B">
            <w:pPr>
              <w:jc w:val="both"/>
              <w:rPr>
                <w:rFonts w:ascii="Garamond" w:hAnsi="Garamond"/>
                <w:b/>
                <w:sz w:val="12"/>
                <w:szCs w:val="12"/>
              </w:rPr>
            </w:pPr>
            <w:r w:rsidRPr="00CC11D5">
              <w:rPr>
                <w:rFonts w:ascii="Garamond" w:hAnsi="Garamond"/>
                <w:b/>
                <w:sz w:val="12"/>
                <w:szCs w:val="12"/>
              </w:rPr>
              <w:t>Komponenti 3.6 Implementimi i Dritares së Vetme Kombëtare (</w:t>
            </w:r>
            <w:r w:rsidRPr="00CC11D5">
              <w:rPr>
                <w:rFonts w:ascii="Garamond" w:hAnsi="Garamond"/>
                <w:b/>
                <w:i/>
                <w:sz w:val="12"/>
                <w:szCs w:val="12"/>
              </w:rPr>
              <w:t>National Single Window</w:t>
            </w:r>
            <w:r w:rsidRPr="00CC11D5">
              <w:rPr>
                <w:rFonts w:ascii="Garamond" w:hAnsi="Garamond"/>
                <w:b/>
                <w:sz w:val="12"/>
                <w:szCs w:val="12"/>
              </w:rPr>
              <w:t>)</w:t>
            </w:r>
          </w:p>
          <w:p w14:paraId="0DD48312" w14:textId="77777777" w:rsidR="00316D86" w:rsidRPr="00CC11D5" w:rsidRDefault="00316D86" w:rsidP="00316D86">
            <w:pPr>
              <w:rPr>
                <w:rFonts w:ascii="Garamond" w:hAnsi="Garamond"/>
                <w:sz w:val="12"/>
                <w:szCs w:val="12"/>
              </w:rPr>
            </w:pPr>
            <w:r w:rsidRPr="00CC11D5">
              <w:rPr>
                <w:rFonts w:ascii="Garamond" w:hAnsi="Garamond"/>
                <w:sz w:val="12"/>
                <w:szCs w:val="12"/>
              </w:rPr>
              <w:t>Synimi i këtij komponenti është që brenda vitit 2026 të jetë krijuar Dritarja e Vetme Kombëtare (</w:t>
            </w:r>
            <w:r w:rsidRPr="00CC11D5">
              <w:rPr>
                <w:rFonts w:ascii="Garamond" w:hAnsi="Garamond"/>
                <w:i/>
                <w:sz w:val="12"/>
                <w:szCs w:val="12"/>
              </w:rPr>
              <w:t>National Single Window</w:t>
            </w:r>
            <w:r w:rsidRPr="00CC11D5">
              <w:rPr>
                <w:rFonts w:ascii="Garamond" w:hAnsi="Garamond"/>
                <w:sz w:val="12"/>
                <w:szCs w:val="12"/>
              </w:rPr>
              <w:t>-NSW)</w:t>
            </w:r>
          </w:p>
          <w:p w14:paraId="2CB50F00" w14:textId="1D9986F7" w:rsidR="00316D86" w:rsidRPr="00CC11D5" w:rsidRDefault="00316D86" w:rsidP="00316D86">
            <w:pPr>
              <w:tabs>
                <w:tab w:val="left" w:pos="826"/>
              </w:tabs>
              <w:jc w:val="both"/>
              <w:rPr>
                <w:rFonts w:ascii="Garamond" w:hAnsi="Garamond"/>
                <w:sz w:val="12"/>
                <w:szCs w:val="12"/>
              </w:rPr>
            </w:pPr>
            <w:r w:rsidRPr="00CC11D5">
              <w:rPr>
                <w:rFonts w:ascii="Garamond" w:hAnsi="Garamond"/>
                <w:sz w:val="12"/>
                <w:szCs w:val="12"/>
              </w:rPr>
              <w:t>Masat për</w:t>
            </w:r>
            <w:r w:rsidR="00800B00" w:rsidRPr="00CC11D5">
              <w:rPr>
                <w:rFonts w:ascii="Garamond" w:hAnsi="Garamond"/>
                <w:sz w:val="12"/>
                <w:szCs w:val="12"/>
              </w:rPr>
              <w:t xml:space="preserve"> </w:t>
            </w:r>
            <w:r w:rsidR="00D22EA5" w:rsidRPr="00CC11D5">
              <w:rPr>
                <w:rFonts w:ascii="Garamond" w:hAnsi="Garamond"/>
                <w:sz w:val="12"/>
                <w:szCs w:val="12"/>
              </w:rPr>
              <w:t>2024–2027</w:t>
            </w:r>
            <w:r w:rsidRPr="00CC11D5">
              <w:rPr>
                <w:rFonts w:ascii="Garamond" w:hAnsi="Garamond"/>
                <w:sz w:val="12"/>
                <w:szCs w:val="12"/>
              </w:rPr>
              <w:t xml:space="preserve"> janë:</w:t>
            </w:r>
          </w:p>
          <w:p w14:paraId="390D3516" w14:textId="14267084" w:rsidR="00316D86" w:rsidRPr="00CC11D5" w:rsidRDefault="00316D86" w:rsidP="004347E4">
            <w:pPr>
              <w:pStyle w:val="ListParagraph"/>
              <w:numPr>
                <w:ilvl w:val="0"/>
                <w:numId w:val="16"/>
              </w:numPr>
              <w:spacing w:after="0" w:line="240" w:lineRule="auto"/>
              <w:ind w:left="0" w:firstLine="0"/>
              <w:rPr>
                <w:rFonts w:ascii="Garamond" w:hAnsi="Garamond"/>
                <w:sz w:val="12"/>
                <w:szCs w:val="12"/>
              </w:rPr>
            </w:pPr>
            <w:r w:rsidRPr="00CC11D5">
              <w:rPr>
                <w:rFonts w:ascii="Garamond" w:hAnsi="Garamond"/>
                <w:sz w:val="12"/>
                <w:szCs w:val="12"/>
              </w:rPr>
              <w:t>Masa 3.6.1</w:t>
            </w:r>
            <w:r w:rsidR="00444267" w:rsidRPr="00CC11D5">
              <w:rPr>
                <w:rFonts w:ascii="Garamond" w:hAnsi="Garamond"/>
                <w:sz w:val="12"/>
                <w:szCs w:val="12"/>
              </w:rPr>
              <w:t xml:space="preserve"> </w:t>
            </w:r>
            <w:r w:rsidRPr="00CC11D5">
              <w:rPr>
                <w:rFonts w:ascii="Garamond" w:hAnsi="Garamond"/>
                <w:sz w:val="12"/>
                <w:szCs w:val="12"/>
              </w:rPr>
              <w:t>Zhvillimi i konceptit dhe strukturës institucionale të Dritares së Vetme Kombëtare (</w:t>
            </w:r>
            <w:r w:rsidRPr="00CC11D5">
              <w:rPr>
                <w:rFonts w:ascii="Garamond" w:hAnsi="Garamond"/>
                <w:i/>
                <w:sz w:val="12"/>
                <w:szCs w:val="12"/>
              </w:rPr>
              <w:t>National Single Window</w:t>
            </w:r>
            <w:r w:rsidRPr="00CC11D5">
              <w:rPr>
                <w:rFonts w:ascii="Garamond" w:hAnsi="Garamond"/>
                <w:sz w:val="12"/>
                <w:szCs w:val="12"/>
              </w:rPr>
              <w:t>);</w:t>
            </w:r>
          </w:p>
          <w:p w14:paraId="4ABA6EC6" w14:textId="0A4C352C" w:rsidR="00316D86" w:rsidRPr="00CC11D5" w:rsidRDefault="00316D86" w:rsidP="004347E4">
            <w:pPr>
              <w:pStyle w:val="ListParagraph"/>
              <w:numPr>
                <w:ilvl w:val="0"/>
                <w:numId w:val="16"/>
              </w:numPr>
              <w:spacing w:after="0" w:line="240" w:lineRule="auto"/>
              <w:ind w:left="0" w:firstLine="0"/>
              <w:rPr>
                <w:rFonts w:ascii="Garamond" w:hAnsi="Garamond"/>
                <w:sz w:val="12"/>
                <w:szCs w:val="12"/>
              </w:rPr>
            </w:pPr>
            <w:r w:rsidRPr="00CC11D5">
              <w:rPr>
                <w:rFonts w:ascii="Garamond" w:hAnsi="Garamond"/>
                <w:sz w:val="12"/>
                <w:szCs w:val="12"/>
              </w:rPr>
              <w:t>Masa 3.6.2</w:t>
            </w:r>
            <w:r w:rsidR="00444267" w:rsidRPr="00CC11D5">
              <w:rPr>
                <w:rFonts w:ascii="Garamond" w:hAnsi="Garamond"/>
                <w:sz w:val="12"/>
                <w:szCs w:val="12"/>
              </w:rPr>
              <w:t xml:space="preserve"> </w:t>
            </w:r>
            <w:r w:rsidRPr="00CC11D5">
              <w:rPr>
                <w:rFonts w:ascii="Garamond" w:hAnsi="Garamond"/>
                <w:sz w:val="12"/>
                <w:szCs w:val="12"/>
              </w:rPr>
              <w:t>Rishikimi dhe ndryshimi i legjislacionit dhe i rregulloreve për Dritaren e Vetme Kombëtare (</w:t>
            </w:r>
            <w:r w:rsidRPr="00CC11D5">
              <w:rPr>
                <w:rFonts w:ascii="Garamond" w:hAnsi="Garamond"/>
                <w:i/>
                <w:sz w:val="12"/>
                <w:szCs w:val="12"/>
              </w:rPr>
              <w:t>National Single Window</w:t>
            </w:r>
            <w:r w:rsidRPr="00CC11D5">
              <w:rPr>
                <w:rFonts w:ascii="Garamond" w:hAnsi="Garamond"/>
                <w:sz w:val="12"/>
                <w:szCs w:val="12"/>
              </w:rPr>
              <w:t>);</w:t>
            </w:r>
          </w:p>
          <w:p w14:paraId="6D387D57" w14:textId="18A07F27" w:rsidR="00316D86" w:rsidRPr="00CC11D5" w:rsidRDefault="00316D86" w:rsidP="004347E4">
            <w:pPr>
              <w:pStyle w:val="ListParagraph"/>
              <w:numPr>
                <w:ilvl w:val="0"/>
                <w:numId w:val="16"/>
              </w:numPr>
              <w:spacing w:after="0" w:line="240" w:lineRule="auto"/>
              <w:ind w:left="0" w:firstLine="0"/>
              <w:rPr>
                <w:rFonts w:ascii="Garamond" w:hAnsi="Garamond"/>
                <w:sz w:val="12"/>
                <w:szCs w:val="12"/>
              </w:rPr>
            </w:pPr>
            <w:r w:rsidRPr="00CC11D5">
              <w:rPr>
                <w:rFonts w:ascii="Garamond" w:hAnsi="Garamond"/>
                <w:sz w:val="12"/>
                <w:szCs w:val="12"/>
              </w:rPr>
              <w:t>Masa 3.6.3 Zhvillimi dhe vendosja e zgjidhjes së IT-</w:t>
            </w:r>
            <w:r w:rsidR="00444267" w:rsidRPr="00CC11D5">
              <w:rPr>
                <w:rFonts w:ascii="Garamond" w:hAnsi="Garamond"/>
                <w:sz w:val="12"/>
                <w:szCs w:val="12"/>
              </w:rPr>
              <w:t>së</w:t>
            </w:r>
            <w:r w:rsidRPr="00CC11D5">
              <w:rPr>
                <w:rFonts w:ascii="Garamond" w:hAnsi="Garamond"/>
                <w:sz w:val="12"/>
                <w:szCs w:val="12"/>
              </w:rPr>
              <w:t xml:space="preserve"> për Dritaren e Vetme Kombëtare (</w:t>
            </w:r>
            <w:r w:rsidRPr="00CC11D5">
              <w:rPr>
                <w:rFonts w:ascii="Garamond" w:hAnsi="Garamond"/>
                <w:i/>
                <w:sz w:val="12"/>
                <w:szCs w:val="12"/>
              </w:rPr>
              <w:t>National Single Window</w:t>
            </w:r>
            <w:r w:rsidRPr="00CC11D5">
              <w:rPr>
                <w:rFonts w:ascii="Garamond" w:hAnsi="Garamond"/>
                <w:sz w:val="12"/>
                <w:szCs w:val="12"/>
              </w:rPr>
              <w:t>);</w:t>
            </w:r>
          </w:p>
          <w:p w14:paraId="074FDB55" w14:textId="603AB204" w:rsidR="00316D86" w:rsidRPr="00CC11D5" w:rsidRDefault="00316D86" w:rsidP="00316D86">
            <w:pPr>
              <w:pStyle w:val="ListParagraph"/>
              <w:numPr>
                <w:ilvl w:val="0"/>
                <w:numId w:val="16"/>
              </w:numPr>
              <w:spacing w:after="0" w:line="240" w:lineRule="auto"/>
              <w:ind w:left="0" w:firstLine="0"/>
              <w:rPr>
                <w:rFonts w:ascii="Garamond" w:eastAsiaTheme="minorHAnsi" w:hAnsi="Garamond" w:cs="Times New Roman"/>
                <w:sz w:val="12"/>
                <w:szCs w:val="12"/>
              </w:rPr>
            </w:pPr>
            <w:r w:rsidRPr="00CC11D5">
              <w:rPr>
                <w:rFonts w:ascii="Garamond" w:hAnsi="Garamond"/>
                <w:sz w:val="12"/>
                <w:szCs w:val="12"/>
              </w:rPr>
              <w:t xml:space="preserve">Masa 3.6.4 </w:t>
            </w:r>
            <w:r w:rsidRPr="00CC11D5">
              <w:rPr>
                <w:rFonts w:ascii="Garamond" w:eastAsiaTheme="minorHAnsi" w:hAnsi="Garamond" w:cs="Times New Roman"/>
                <w:sz w:val="12"/>
                <w:szCs w:val="12"/>
              </w:rPr>
              <w:t>Dritarja e Vetme Kombëtare (</w:t>
            </w:r>
            <w:r w:rsidRPr="00CC11D5">
              <w:rPr>
                <w:rFonts w:ascii="Garamond" w:eastAsiaTheme="minorHAnsi" w:hAnsi="Garamond" w:cs="Times New Roman"/>
                <w:i/>
                <w:sz w:val="12"/>
                <w:szCs w:val="12"/>
              </w:rPr>
              <w:t>National Single Window</w:t>
            </w:r>
            <w:r w:rsidRPr="00CC11D5">
              <w:rPr>
                <w:rFonts w:ascii="Garamond" w:eastAsiaTheme="minorHAnsi" w:hAnsi="Garamond" w:cs="Times New Roman"/>
                <w:sz w:val="12"/>
                <w:szCs w:val="12"/>
              </w:rPr>
              <w:t>) është plotësisht funksionale.</w:t>
            </w:r>
          </w:p>
          <w:p w14:paraId="1D9E0294" w14:textId="46CC1BCB" w:rsidR="00316D86" w:rsidRPr="00CC11D5" w:rsidRDefault="00316D86" w:rsidP="00316D86">
            <w:pPr>
              <w:rPr>
                <w:rFonts w:ascii="Garamond" w:hAnsi="Garamond"/>
                <w:b/>
                <w:sz w:val="12"/>
                <w:szCs w:val="12"/>
              </w:rPr>
            </w:pPr>
            <w:r w:rsidRPr="00CC11D5">
              <w:rPr>
                <w:rFonts w:ascii="Garamond" w:hAnsi="Garamond"/>
                <w:b/>
                <w:sz w:val="12"/>
                <w:szCs w:val="12"/>
              </w:rPr>
              <w:t>Komponenti 3.7 Implementimi i Sistemit të Ri të Kompjuterizuar të Transitit (NCTS)</w:t>
            </w:r>
          </w:p>
          <w:p w14:paraId="51D5B22B" w14:textId="522CA5F2" w:rsidR="00316D86" w:rsidRPr="00CC11D5" w:rsidRDefault="00316D86" w:rsidP="00316D86">
            <w:pPr>
              <w:jc w:val="both"/>
              <w:rPr>
                <w:rFonts w:ascii="Garamond" w:hAnsi="Garamond"/>
                <w:sz w:val="12"/>
                <w:szCs w:val="12"/>
              </w:rPr>
            </w:pPr>
            <w:r w:rsidRPr="00CC11D5">
              <w:rPr>
                <w:rFonts w:ascii="Garamond" w:hAnsi="Garamond"/>
                <w:sz w:val="12"/>
                <w:szCs w:val="12"/>
              </w:rPr>
              <w:t xml:space="preserve">Synimi i këtij komponenti është që Shqipëria të bëhet pjesë e tranzitit </w:t>
            </w:r>
            <w:r w:rsidR="00444267" w:rsidRPr="00CC11D5">
              <w:rPr>
                <w:rFonts w:ascii="Garamond" w:hAnsi="Garamond"/>
                <w:sz w:val="12"/>
                <w:szCs w:val="12"/>
              </w:rPr>
              <w:t>Evropian</w:t>
            </w:r>
            <w:r w:rsidRPr="00CC11D5">
              <w:rPr>
                <w:rFonts w:ascii="Garamond" w:hAnsi="Garamond"/>
                <w:sz w:val="12"/>
                <w:szCs w:val="12"/>
              </w:rPr>
              <w:t xml:space="preserve"> brenda vitit 2027.</w:t>
            </w:r>
          </w:p>
          <w:p w14:paraId="0E2103A0" w14:textId="6EE2DB9C" w:rsidR="00316D86" w:rsidRPr="00CC11D5" w:rsidRDefault="00316D86" w:rsidP="00316D86">
            <w:pPr>
              <w:tabs>
                <w:tab w:val="left" w:pos="826"/>
              </w:tabs>
              <w:jc w:val="both"/>
              <w:rPr>
                <w:rFonts w:ascii="Garamond" w:hAnsi="Garamond"/>
                <w:sz w:val="12"/>
                <w:szCs w:val="12"/>
              </w:rPr>
            </w:pPr>
            <w:r w:rsidRPr="00CC11D5">
              <w:rPr>
                <w:rFonts w:ascii="Garamond" w:hAnsi="Garamond"/>
                <w:sz w:val="12"/>
                <w:szCs w:val="12"/>
              </w:rPr>
              <w:t>Masat për</w:t>
            </w:r>
            <w:r w:rsidR="00800B00" w:rsidRPr="00CC11D5">
              <w:rPr>
                <w:rFonts w:ascii="Garamond" w:hAnsi="Garamond"/>
                <w:sz w:val="12"/>
                <w:szCs w:val="12"/>
              </w:rPr>
              <w:t xml:space="preserve"> </w:t>
            </w:r>
            <w:r w:rsidR="00D22EA5" w:rsidRPr="00CC11D5">
              <w:rPr>
                <w:rFonts w:ascii="Garamond" w:hAnsi="Garamond"/>
                <w:sz w:val="12"/>
                <w:szCs w:val="12"/>
              </w:rPr>
              <w:t>2024–2027</w:t>
            </w:r>
            <w:r w:rsidRPr="00CC11D5">
              <w:rPr>
                <w:rFonts w:ascii="Garamond" w:hAnsi="Garamond"/>
                <w:sz w:val="12"/>
                <w:szCs w:val="12"/>
              </w:rPr>
              <w:t xml:space="preserve"> janë:</w:t>
            </w:r>
          </w:p>
          <w:p w14:paraId="4BE6D17B" w14:textId="3FB2B74C" w:rsidR="00444267" w:rsidRPr="00CC11D5" w:rsidRDefault="00316D86" w:rsidP="00444267">
            <w:pPr>
              <w:pStyle w:val="ListParagraph"/>
              <w:numPr>
                <w:ilvl w:val="0"/>
                <w:numId w:val="17"/>
              </w:numPr>
              <w:spacing w:after="0" w:line="240" w:lineRule="auto"/>
              <w:ind w:left="0" w:firstLine="0"/>
              <w:jc w:val="both"/>
              <w:rPr>
                <w:rFonts w:ascii="Garamond" w:hAnsi="Garamond"/>
                <w:b/>
                <w:sz w:val="12"/>
                <w:szCs w:val="12"/>
              </w:rPr>
            </w:pPr>
            <w:r w:rsidRPr="00CC11D5">
              <w:rPr>
                <w:rFonts w:ascii="Garamond" w:hAnsi="Garamond"/>
                <w:sz w:val="12"/>
                <w:szCs w:val="12"/>
              </w:rPr>
              <w:t>Masa 3.7.1 Arkitektura dhe vendosja e Aplikacionit Kombëtar të Tranzitit dhe Regjistrimi</w:t>
            </w:r>
            <w:r w:rsidR="00444267" w:rsidRPr="00CC11D5">
              <w:rPr>
                <w:rFonts w:ascii="Garamond" w:hAnsi="Garamond"/>
                <w:sz w:val="12"/>
                <w:szCs w:val="12"/>
              </w:rPr>
              <w:t>,</w:t>
            </w:r>
            <w:r w:rsidRPr="00CC11D5">
              <w:rPr>
                <w:rFonts w:ascii="Garamond" w:hAnsi="Garamond"/>
                <w:sz w:val="12"/>
                <w:szCs w:val="12"/>
              </w:rPr>
              <w:t xml:space="preserve"> dhe Identifikimi i Operatorit Ekonomik (EORI) plotësisht në përputhje me EU-NCTS</w:t>
            </w:r>
            <w:r w:rsidR="00444267" w:rsidRPr="00CC11D5">
              <w:rPr>
                <w:rFonts w:ascii="Garamond" w:hAnsi="Garamond"/>
                <w:sz w:val="12"/>
                <w:szCs w:val="12"/>
              </w:rPr>
              <w:t>;</w:t>
            </w:r>
          </w:p>
          <w:p w14:paraId="2394C919" w14:textId="17B16B59" w:rsidR="00316D86" w:rsidRPr="00CC11D5" w:rsidRDefault="00316D86" w:rsidP="00444267">
            <w:pPr>
              <w:pStyle w:val="ListParagraph"/>
              <w:numPr>
                <w:ilvl w:val="0"/>
                <w:numId w:val="17"/>
              </w:numPr>
              <w:spacing w:after="0" w:line="240" w:lineRule="auto"/>
              <w:ind w:left="0" w:firstLine="0"/>
              <w:jc w:val="both"/>
              <w:rPr>
                <w:rFonts w:ascii="Garamond" w:hAnsi="Garamond"/>
                <w:b/>
                <w:sz w:val="12"/>
                <w:szCs w:val="12"/>
              </w:rPr>
            </w:pPr>
            <w:r w:rsidRPr="00CC11D5">
              <w:rPr>
                <w:rFonts w:ascii="Garamond" w:hAnsi="Garamond"/>
                <w:sz w:val="12"/>
                <w:szCs w:val="12"/>
              </w:rPr>
              <w:t>Masa 3.7.2 Implementimi dhe testimi në nivel kombëtar</w:t>
            </w:r>
            <w:r w:rsidR="00444267" w:rsidRPr="00CC11D5">
              <w:rPr>
                <w:rFonts w:ascii="Garamond" w:hAnsi="Garamond"/>
                <w:sz w:val="12"/>
                <w:szCs w:val="12"/>
              </w:rPr>
              <w:t>;</w:t>
            </w:r>
          </w:p>
          <w:p w14:paraId="1DF391DC" w14:textId="65DC7A03" w:rsidR="00316D86" w:rsidRPr="00CC11D5" w:rsidRDefault="00316D86" w:rsidP="00444267">
            <w:pPr>
              <w:pStyle w:val="ListParagraph"/>
              <w:numPr>
                <w:ilvl w:val="0"/>
                <w:numId w:val="17"/>
              </w:numPr>
              <w:spacing w:after="0" w:line="240" w:lineRule="auto"/>
              <w:ind w:left="0" w:firstLine="0"/>
              <w:jc w:val="both"/>
              <w:rPr>
                <w:rFonts w:ascii="Garamond" w:hAnsi="Garamond"/>
                <w:sz w:val="12"/>
                <w:szCs w:val="12"/>
              </w:rPr>
            </w:pPr>
            <w:r w:rsidRPr="00CC11D5">
              <w:rPr>
                <w:rFonts w:ascii="Garamond" w:hAnsi="Garamond"/>
                <w:sz w:val="12"/>
                <w:szCs w:val="12"/>
              </w:rPr>
              <w:t xml:space="preserve">Masa 3.7.3 </w:t>
            </w:r>
            <w:r w:rsidRPr="00CC11D5">
              <w:rPr>
                <w:rStyle w:val="cf01"/>
                <w:rFonts w:ascii="Garamond" w:hAnsi="Garamond"/>
                <w:sz w:val="12"/>
                <w:szCs w:val="12"/>
              </w:rPr>
              <w:t>Aderimi në Konventën Ndërkombëtare të Tranzitit (CTC)</w:t>
            </w:r>
            <w:r w:rsidR="00444267" w:rsidRPr="00CC11D5">
              <w:rPr>
                <w:rStyle w:val="cf01"/>
                <w:rFonts w:ascii="Garamond" w:hAnsi="Garamond"/>
                <w:sz w:val="12"/>
                <w:szCs w:val="12"/>
              </w:rPr>
              <w:t>;</w:t>
            </w:r>
          </w:p>
          <w:p w14:paraId="4A7E2EC6" w14:textId="5641A3B9" w:rsidR="00316D86" w:rsidRPr="00CC11D5" w:rsidRDefault="00316D86" w:rsidP="00444267">
            <w:pPr>
              <w:pStyle w:val="ListParagraph"/>
              <w:numPr>
                <w:ilvl w:val="0"/>
                <w:numId w:val="17"/>
              </w:numPr>
              <w:spacing w:after="0" w:line="240" w:lineRule="auto"/>
              <w:ind w:left="0" w:firstLine="0"/>
              <w:jc w:val="both"/>
              <w:rPr>
                <w:rFonts w:ascii="Garamond" w:hAnsi="Garamond"/>
                <w:sz w:val="12"/>
                <w:szCs w:val="12"/>
              </w:rPr>
            </w:pPr>
            <w:r w:rsidRPr="00CC11D5">
              <w:rPr>
                <w:rFonts w:ascii="Garamond" w:hAnsi="Garamond"/>
                <w:sz w:val="12"/>
                <w:szCs w:val="12"/>
              </w:rPr>
              <w:t>Masa 3.7.4 Lidhja e sistemit shqiptar me sistemin ndërkombëtar të tranzitit</w:t>
            </w:r>
            <w:r w:rsidR="00444267" w:rsidRPr="00CC11D5">
              <w:rPr>
                <w:rFonts w:ascii="Garamond" w:hAnsi="Garamond"/>
                <w:sz w:val="12"/>
                <w:szCs w:val="12"/>
              </w:rPr>
              <w:t>.</w:t>
            </w:r>
            <w:r w:rsidRPr="00CC11D5">
              <w:rPr>
                <w:rFonts w:ascii="Garamond" w:hAnsi="Garamond"/>
                <w:sz w:val="12"/>
                <w:szCs w:val="12"/>
              </w:rPr>
              <w:t xml:space="preserve"> </w:t>
            </w:r>
          </w:p>
          <w:p w14:paraId="65D54090" w14:textId="2F32D9DB" w:rsidR="00316D86" w:rsidRPr="00CC11D5" w:rsidRDefault="00316D86" w:rsidP="00444267">
            <w:pPr>
              <w:jc w:val="both"/>
              <w:rPr>
                <w:rFonts w:ascii="Garamond" w:hAnsi="Garamond"/>
                <w:b/>
                <w:sz w:val="12"/>
                <w:szCs w:val="12"/>
              </w:rPr>
            </w:pPr>
            <w:r w:rsidRPr="00CC11D5">
              <w:rPr>
                <w:rFonts w:ascii="Garamond" w:hAnsi="Garamond"/>
                <w:b/>
                <w:sz w:val="12"/>
                <w:szCs w:val="12"/>
              </w:rPr>
              <w:t xml:space="preserve">Komponenti 3.8 </w:t>
            </w:r>
            <w:hyperlink w:anchor="_Toc167113880" w:history="1">
              <w:r w:rsidRPr="00CC11D5">
                <w:rPr>
                  <w:rFonts w:ascii="Garamond" w:hAnsi="Garamond"/>
                  <w:b/>
                  <w:sz w:val="12"/>
                  <w:szCs w:val="12"/>
                </w:rPr>
                <w:t>Rritja e bashkëpunimit në luftën kundër informalitetit, kontrabandës, korrupsionit dhe importit të mallrave të falsifikuara</w:t>
              </w:r>
              <w:r w:rsidR="005D2226" w:rsidRPr="00CC11D5">
                <w:rPr>
                  <w:rFonts w:ascii="Garamond" w:hAnsi="Garamond"/>
                  <w:b/>
                  <w:webHidden/>
                  <w:sz w:val="12"/>
                  <w:szCs w:val="12"/>
                </w:rPr>
                <w:t xml:space="preserve"> </w:t>
              </w:r>
            </w:hyperlink>
          </w:p>
          <w:p w14:paraId="411ABDF6" w14:textId="77777777" w:rsidR="00316D86" w:rsidRPr="00CC11D5" w:rsidRDefault="00316D86" w:rsidP="00444267">
            <w:pPr>
              <w:jc w:val="both"/>
              <w:rPr>
                <w:rFonts w:ascii="Garamond" w:hAnsi="Garamond"/>
                <w:sz w:val="12"/>
                <w:szCs w:val="12"/>
              </w:rPr>
            </w:pPr>
            <w:r w:rsidRPr="00CC11D5">
              <w:rPr>
                <w:rFonts w:ascii="Garamond" w:hAnsi="Garamond"/>
                <w:sz w:val="12"/>
                <w:szCs w:val="12"/>
              </w:rPr>
              <w:t>Synimi është që brenda vitit 2027 të jetë rritur bashkëpunimi në luftën kundër informalitetit, kontrabandës, korrupsionit dhe importit të mallrave të falsifikuara.</w:t>
            </w:r>
          </w:p>
          <w:p w14:paraId="39F6648E" w14:textId="4D4183D4" w:rsidR="00316D86" w:rsidRPr="00CC11D5" w:rsidRDefault="00316D86" w:rsidP="00444267">
            <w:pPr>
              <w:tabs>
                <w:tab w:val="left" w:pos="826"/>
              </w:tabs>
              <w:jc w:val="both"/>
              <w:rPr>
                <w:rFonts w:ascii="Garamond" w:hAnsi="Garamond"/>
                <w:sz w:val="12"/>
                <w:szCs w:val="12"/>
              </w:rPr>
            </w:pPr>
            <w:r w:rsidRPr="00CC11D5">
              <w:rPr>
                <w:rFonts w:ascii="Garamond" w:hAnsi="Garamond"/>
                <w:sz w:val="12"/>
                <w:szCs w:val="12"/>
              </w:rPr>
              <w:t>Masat për</w:t>
            </w:r>
            <w:r w:rsidR="00800B00" w:rsidRPr="00CC11D5">
              <w:rPr>
                <w:rFonts w:ascii="Garamond" w:hAnsi="Garamond"/>
                <w:sz w:val="12"/>
                <w:szCs w:val="12"/>
              </w:rPr>
              <w:t xml:space="preserve"> </w:t>
            </w:r>
            <w:r w:rsidR="00D22EA5" w:rsidRPr="00CC11D5">
              <w:rPr>
                <w:rFonts w:ascii="Garamond" w:hAnsi="Garamond"/>
                <w:sz w:val="12"/>
                <w:szCs w:val="12"/>
              </w:rPr>
              <w:t>2024–2027</w:t>
            </w:r>
            <w:r w:rsidRPr="00CC11D5">
              <w:rPr>
                <w:rFonts w:ascii="Garamond" w:hAnsi="Garamond"/>
                <w:sz w:val="12"/>
                <w:szCs w:val="12"/>
              </w:rPr>
              <w:t xml:space="preserve"> janë:</w:t>
            </w:r>
          </w:p>
          <w:p w14:paraId="3C7C5B6D" w14:textId="4F54C16C" w:rsidR="00316D86" w:rsidRPr="00CC11D5" w:rsidRDefault="00316D86" w:rsidP="00444267">
            <w:pPr>
              <w:pStyle w:val="ListParagraph"/>
              <w:numPr>
                <w:ilvl w:val="0"/>
                <w:numId w:val="18"/>
              </w:numPr>
              <w:spacing w:after="0" w:line="240" w:lineRule="auto"/>
              <w:ind w:left="0" w:firstLine="0"/>
              <w:jc w:val="both"/>
              <w:rPr>
                <w:rFonts w:ascii="Garamond" w:hAnsi="Garamond"/>
                <w:sz w:val="12"/>
                <w:szCs w:val="12"/>
              </w:rPr>
            </w:pPr>
            <w:r w:rsidRPr="00CC11D5">
              <w:rPr>
                <w:rFonts w:ascii="Garamond" w:hAnsi="Garamond"/>
                <w:sz w:val="12"/>
                <w:szCs w:val="12"/>
              </w:rPr>
              <w:t>Masa 3.8.1 Bashkëpunimi me organet ligjzbatuese për rritjen e kapjeve të mallrave të falsifikuara</w:t>
            </w:r>
            <w:r w:rsidR="00444267" w:rsidRPr="00CC11D5">
              <w:rPr>
                <w:rFonts w:ascii="Garamond" w:hAnsi="Garamond"/>
                <w:sz w:val="12"/>
                <w:szCs w:val="12"/>
              </w:rPr>
              <w:t>;</w:t>
            </w:r>
          </w:p>
          <w:p w14:paraId="09CC3526" w14:textId="210E40A7" w:rsidR="00316D86" w:rsidRPr="00CC11D5" w:rsidRDefault="00316D86" w:rsidP="00444267">
            <w:pPr>
              <w:pStyle w:val="ListParagraph"/>
              <w:numPr>
                <w:ilvl w:val="0"/>
                <w:numId w:val="18"/>
              </w:numPr>
              <w:spacing w:after="0" w:line="240" w:lineRule="auto"/>
              <w:ind w:left="0" w:firstLine="0"/>
              <w:jc w:val="both"/>
              <w:rPr>
                <w:rFonts w:ascii="Garamond" w:hAnsi="Garamond"/>
                <w:sz w:val="12"/>
                <w:szCs w:val="12"/>
              </w:rPr>
            </w:pPr>
            <w:r w:rsidRPr="00CC11D5">
              <w:rPr>
                <w:rFonts w:ascii="Garamond" w:hAnsi="Garamond"/>
                <w:sz w:val="12"/>
                <w:szCs w:val="12"/>
              </w:rPr>
              <w:t>Masa 3.8.2 Shkëmbimi i informacionit me dogana homologe</w:t>
            </w:r>
            <w:r w:rsidR="00444267" w:rsidRPr="00CC11D5">
              <w:rPr>
                <w:rFonts w:ascii="Garamond" w:hAnsi="Garamond"/>
                <w:sz w:val="12"/>
                <w:szCs w:val="12"/>
              </w:rPr>
              <w:t>;</w:t>
            </w:r>
          </w:p>
          <w:p w14:paraId="2CBEF85F" w14:textId="3562DB09" w:rsidR="00316D86" w:rsidRPr="00CC11D5" w:rsidRDefault="00316D86" w:rsidP="00444267">
            <w:pPr>
              <w:pStyle w:val="ListParagraph"/>
              <w:numPr>
                <w:ilvl w:val="0"/>
                <w:numId w:val="18"/>
              </w:numPr>
              <w:spacing w:after="0" w:line="240" w:lineRule="auto"/>
              <w:ind w:left="0" w:firstLine="0"/>
              <w:jc w:val="both"/>
              <w:rPr>
                <w:rFonts w:ascii="Garamond" w:hAnsi="Garamond"/>
                <w:sz w:val="12"/>
                <w:szCs w:val="12"/>
              </w:rPr>
            </w:pPr>
            <w:r w:rsidRPr="00CC11D5">
              <w:rPr>
                <w:rFonts w:ascii="Garamond" w:hAnsi="Garamond"/>
                <w:sz w:val="12"/>
                <w:szCs w:val="12"/>
              </w:rPr>
              <w:t>Masa 3.8.3 Bashkëpunimi me kompanitë importuese për sensibilizimin/regjistrimin/verifikimin e markave origjinuese.</w:t>
            </w:r>
          </w:p>
          <w:p w14:paraId="354B1AB8" w14:textId="3AD2FE91" w:rsidR="00316D86" w:rsidRPr="00CC11D5" w:rsidRDefault="00974EA6" w:rsidP="00444267">
            <w:pPr>
              <w:contextualSpacing/>
              <w:jc w:val="both"/>
              <w:rPr>
                <w:rFonts w:ascii="Garamond" w:hAnsi="Garamond"/>
                <w:sz w:val="12"/>
                <w:szCs w:val="12"/>
              </w:rPr>
            </w:pPr>
            <w:hyperlink w:anchor="_Toc167113881" w:history="1">
              <w:r w:rsidR="00316D86" w:rsidRPr="00CC11D5">
                <w:rPr>
                  <w:rFonts w:ascii="Garamond" w:hAnsi="Garamond"/>
                  <w:sz w:val="12"/>
                  <w:szCs w:val="12"/>
                </w:rPr>
                <w:t>K</w:t>
              </w:r>
              <w:r w:rsidR="00316D86" w:rsidRPr="00CC11D5">
                <w:rPr>
                  <w:rFonts w:ascii="Garamond" w:hAnsi="Garamond"/>
                  <w:b/>
                  <w:sz w:val="12"/>
                  <w:szCs w:val="12"/>
                </w:rPr>
                <w:t>omponenti 3.9 Zgjerimi i shkëmbimit të informacionit me partnerët vendas dhe ndërkombëtarë për të përmirësuar profilin e riskut.</w:t>
              </w:r>
              <w:r w:rsidR="005D2226" w:rsidRPr="00CC11D5">
                <w:rPr>
                  <w:rFonts w:ascii="Garamond" w:hAnsi="Garamond"/>
                  <w:b/>
                  <w:webHidden/>
                  <w:sz w:val="12"/>
                  <w:szCs w:val="12"/>
                </w:rPr>
                <w:t xml:space="preserve"> </w:t>
              </w:r>
            </w:hyperlink>
          </w:p>
          <w:p w14:paraId="2A2A0430" w14:textId="378D1450" w:rsidR="00316D86" w:rsidRPr="00CC11D5" w:rsidRDefault="00316D86" w:rsidP="00444267">
            <w:pPr>
              <w:jc w:val="both"/>
              <w:rPr>
                <w:rFonts w:ascii="Garamond" w:hAnsi="Garamond"/>
                <w:sz w:val="12"/>
                <w:szCs w:val="12"/>
              </w:rPr>
            </w:pPr>
            <w:r w:rsidRPr="00CC11D5">
              <w:rPr>
                <w:rFonts w:ascii="Garamond" w:hAnsi="Garamond"/>
                <w:sz w:val="12"/>
                <w:szCs w:val="12"/>
              </w:rPr>
              <w:t xml:space="preserve">Synimi në 2027 është që të jetë zgjeruar shkëmbimi i informacionit me partnerët vendas dhe ndërkombëtarë për të përmirësuar profilin e riskut. </w:t>
            </w:r>
          </w:p>
          <w:p w14:paraId="28EF5E3C" w14:textId="60311F5F" w:rsidR="00316D86" w:rsidRPr="00CC11D5" w:rsidRDefault="00316D86" w:rsidP="00444267">
            <w:pPr>
              <w:jc w:val="both"/>
              <w:rPr>
                <w:rFonts w:ascii="Garamond" w:hAnsi="Garamond"/>
                <w:sz w:val="12"/>
                <w:szCs w:val="12"/>
              </w:rPr>
            </w:pPr>
            <w:r w:rsidRPr="00CC11D5">
              <w:rPr>
                <w:rFonts w:ascii="Garamond" w:hAnsi="Garamond"/>
                <w:sz w:val="12"/>
                <w:szCs w:val="12"/>
              </w:rPr>
              <w:t>Masat për</w:t>
            </w:r>
            <w:r w:rsidR="00800B00" w:rsidRPr="00CC11D5">
              <w:rPr>
                <w:rFonts w:ascii="Garamond" w:hAnsi="Garamond"/>
                <w:sz w:val="12"/>
                <w:szCs w:val="12"/>
              </w:rPr>
              <w:t xml:space="preserve"> </w:t>
            </w:r>
            <w:r w:rsidR="00D22EA5" w:rsidRPr="00CC11D5">
              <w:rPr>
                <w:rFonts w:ascii="Garamond" w:hAnsi="Garamond"/>
                <w:sz w:val="12"/>
                <w:szCs w:val="12"/>
              </w:rPr>
              <w:t>2024–2027</w:t>
            </w:r>
            <w:r w:rsidRPr="00CC11D5">
              <w:rPr>
                <w:rFonts w:ascii="Garamond" w:hAnsi="Garamond"/>
                <w:sz w:val="12"/>
                <w:szCs w:val="12"/>
              </w:rPr>
              <w:t xml:space="preserve"> janë:</w:t>
            </w:r>
          </w:p>
          <w:p w14:paraId="01FEF180" w14:textId="0EB6E8AA" w:rsidR="00316D86" w:rsidRPr="00CC11D5" w:rsidRDefault="00316D86" w:rsidP="00444267">
            <w:pPr>
              <w:pStyle w:val="ListParagraph"/>
              <w:numPr>
                <w:ilvl w:val="0"/>
                <w:numId w:val="19"/>
              </w:numPr>
              <w:spacing w:after="0" w:line="240" w:lineRule="auto"/>
              <w:ind w:left="0" w:firstLine="0"/>
              <w:jc w:val="both"/>
              <w:rPr>
                <w:rFonts w:ascii="Garamond" w:hAnsi="Garamond"/>
                <w:sz w:val="12"/>
                <w:szCs w:val="12"/>
              </w:rPr>
            </w:pPr>
            <w:r w:rsidRPr="00CC11D5">
              <w:rPr>
                <w:rFonts w:ascii="Garamond" w:hAnsi="Garamond"/>
                <w:sz w:val="12"/>
                <w:szCs w:val="12"/>
              </w:rPr>
              <w:t>Masa 3.9.1 Trajnimi i vijueshëm i pikave të kontaktit</w:t>
            </w:r>
            <w:r w:rsidR="00444267" w:rsidRPr="00CC11D5">
              <w:rPr>
                <w:rFonts w:ascii="Garamond" w:hAnsi="Garamond"/>
                <w:sz w:val="12"/>
                <w:szCs w:val="12"/>
              </w:rPr>
              <w:t>,</w:t>
            </w:r>
            <w:r w:rsidRPr="00CC11D5">
              <w:rPr>
                <w:rFonts w:ascii="Garamond" w:hAnsi="Garamond"/>
                <w:sz w:val="12"/>
                <w:szCs w:val="12"/>
              </w:rPr>
              <w:t xml:space="preserve"> ekzistuese dhe të reja.</w:t>
            </w:r>
          </w:p>
        </w:tc>
      </w:tr>
    </w:tbl>
    <w:p w14:paraId="4B590692" w14:textId="50CE58BF" w:rsidR="00316D86" w:rsidRPr="00830F4C" w:rsidRDefault="00316D86" w:rsidP="00316D86">
      <w:pPr>
        <w:ind w:firstLine="284"/>
        <w:jc w:val="both"/>
        <w:rPr>
          <w:rFonts w:ascii="Garamond" w:hAnsi="Garamond"/>
        </w:rPr>
      </w:pPr>
      <w:r w:rsidRPr="00830F4C">
        <w:rPr>
          <w:rFonts w:ascii="Garamond" w:hAnsi="Garamond"/>
        </w:rPr>
        <w:t>Zbatimi i këtyre masave pritet të ulë kostot e biznesit</w:t>
      </w:r>
      <w:r w:rsidR="00444267">
        <w:rPr>
          <w:rFonts w:ascii="Garamond" w:hAnsi="Garamond"/>
        </w:rPr>
        <w:t>,</w:t>
      </w:r>
      <w:r w:rsidRPr="00830F4C">
        <w:rPr>
          <w:rFonts w:ascii="Garamond" w:hAnsi="Garamond"/>
        </w:rPr>
        <w:t xml:space="preserve"> lidhur me procedurat doganore</w:t>
      </w:r>
      <w:r w:rsidR="00444267">
        <w:rPr>
          <w:rFonts w:ascii="Garamond" w:hAnsi="Garamond"/>
        </w:rPr>
        <w:t>,</w:t>
      </w:r>
      <w:r w:rsidRPr="00830F4C">
        <w:rPr>
          <w:rFonts w:ascii="Garamond" w:hAnsi="Garamond"/>
        </w:rPr>
        <w:t xml:space="preserve"> si dhe të gjenerojë të ardhura shtesë në rreth 0.17% e PBB</w:t>
      </w:r>
      <w:r w:rsidR="00236281" w:rsidRPr="00830F4C">
        <w:rPr>
          <w:rFonts w:ascii="Garamond" w:hAnsi="Garamond"/>
          <w:sz w:val="20"/>
          <w:szCs w:val="20"/>
        </w:rPr>
        <w:t>-së</w:t>
      </w:r>
      <w:r w:rsidRPr="00830F4C">
        <w:rPr>
          <w:rFonts w:ascii="Garamond" w:hAnsi="Garamond"/>
        </w:rPr>
        <w:t xml:space="preserve"> ose 4.5 </w:t>
      </w:r>
      <w:r w:rsidR="00D22EA5" w:rsidRPr="00830F4C">
        <w:rPr>
          <w:rFonts w:ascii="Garamond" w:hAnsi="Garamond"/>
        </w:rPr>
        <w:t xml:space="preserve">miliardë </w:t>
      </w:r>
      <w:r w:rsidRPr="00830F4C">
        <w:rPr>
          <w:rFonts w:ascii="Garamond" w:hAnsi="Garamond"/>
        </w:rPr>
        <w:t>lek</w:t>
      </w:r>
      <w:r w:rsidR="00236281" w:rsidRPr="00830F4C">
        <w:rPr>
          <w:rFonts w:ascii="Garamond" w:hAnsi="Garamond"/>
        </w:rPr>
        <w:t>ë</w:t>
      </w:r>
      <w:r w:rsidRPr="00830F4C">
        <w:rPr>
          <w:rFonts w:ascii="Garamond" w:hAnsi="Garamond"/>
        </w:rPr>
        <w:t>. Vlerësuar sipas komponentëve, të ardhurat shtesë paraqiten në tabelën më poshtë.</w:t>
      </w:r>
    </w:p>
    <w:p w14:paraId="2EF5C615" w14:textId="77777777" w:rsidR="00A04B0A" w:rsidRDefault="00A04B0A" w:rsidP="00316D86">
      <w:pPr>
        <w:pStyle w:val="Caption"/>
        <w:keepNext/>
        <w:spacing w:after="0"/>
        <w:ind w:firstLine="284"/>
        <w:jc w:val="both"/>
        <w:rPr>
          <w:rFonts w:ascii="Garamond" w:hAnsi="Garamond"/>
          <w:color w:val="auto"/>
          <w:sz w:val="24"/>
          <w:szCs w:val="24"/>
        </w:rPr>
      </w:pPr>
      <w:bookmarkStart w:id="65" w:name="_Toc185235143"/>
    </w:p>
    <w:p w14:paraId="315DDDF1" w14:textId="0E13F6F5" w:rsidR="00316D86" w:rsidRPr="00830F4C" w:rsidRDefault="00316D86" w:rsidP="00316D86">
      <w:pPr>
        <w:pStyle w:val="Caption"/>
        <w:keepNext/>
        <w:spacing w:after="0"/>
        <w:ind w:firstLine="284"/>
        <w:jc w:val="both"/>
        <w:rPr>
          <w:rFonts w:ascii="Garamond" w:hAnsi="Garamond"/>
          <w:color w:val="auto"/>
          <w:sz w:val="24"/>
          <w:szCs w:val="24"/>
        </w:rPr>
      </w:pPr>
      <w:bookmarkStart w:id="66" w:name="_GoBack"/>
      <w:bookmarkEnd w:id="66"/>
      <w:r w:rsidRPr="00830F4C">
        <w:rPr>
          <w:rFonts w:ascii="Garamond" w:hAnsi="Garamond"/>
          <w:color w:val="auto"/>
          <w:sz w:val="24"/>
          <w:szCs w:val="24"/>
        </w:rPr>
        <w:t xml:space="preserve">Tabela </w:t>
      </w:r>
      <w:r w:rsidRPr="00830F4C">
        <w:rPr>
          <w:rFonts w:ascii="Garamond" w:hAnsi="Garamond"/>
          <w:color w:val="auto"/>
          <w:sz w:val="24"/>
          <w:szCs w:val="24"/>
        </w:rPr>
        <w:fldChar w:fldCharType="begin"/>
      </w:r>
      <w:r w:rsidRPr="00830F4C">
        <w:rPr>
          <w:rFonts w:ascii="Garamond" w:hAnsi="Garamond"/>
          <w:color w:val="auto"/>
          <w:sz w:val="24"/>
          <w:szCs w:val="24"/>
        </w:rPr>
        <w:instrText xml:space="preserve"> SEQ Tabela \* ARABIC </w:instrText>
      </w:r>
      <w:r w:rsidRPr="00830F4C">
        <w:rPr>
          <w:rFonts w:ascii="Garamond" w:hAnsi="Garamond"/>
          <w:color w:val="auto"/>
          <w:sz w:val="24"/>
          <w:szCs w:val="24"/>
        </w:rPr>
        <w:fldChar w:fldCharType="separate"/>
      </w:r>
      <w:r w:rsidRPr="00830F4C">
        <w:rPr>
          <w:rFonts w:ascii="Garamond" w:hAnsi="Garamond"/>
          <w:color w:val="auto"/>
          <w:sz w:val="24"/>
          <w:szCs w:val="24"/>
        </w:rPr>
        <w:t>18</w:t>
      </w:r>
      <w:r w:rsidRPr="00830F4C">
        <w:rPr>
          <w:rFonts w:ascii="Garamond" w:hAnsi="Garamond"/>
          <w:color w:val="auto"/>
          <w:sz w:val="24"/>
          <w:szCs w:val="24"/>
        </w:rPr>
        <w:fldChar w:fldCharType="end"/>
      </w:r>
      <w:r w:rsidRPr="00830F4C">
        <w:rPr>
          <w:rFonts w:ascii="Garamond" w:hAnsi="Garamond"/>
          <w:color w:val="auto"/>
          <w:sz w:val="24"/>
          <w:szCs w:val="24"/>
        </w:rPr>
        <w:t>:</w:t>
      </w:r>
      <w:r w:rsidRPr="00830F4C">
        <w:rPr>
          <w:rFonts w:ascii="Garamond" w:hAnsi="Garamond" w:cs="Times New Roman"/>
          <w:color w:val="auto"/>
          <w:sz w:val="24"/>
          <w:szCs w:val="24"/>
        </w:rPr>
        <w:t xml:space="preserve"> Të ardhura shtesë</w:t>
      </w:r>
      <w:r w:rsidR="00D22EA5" w:rsidRPr="00830F4C">
        <w:rPr>
          <w:rFonts w:ascii="Garamond" w:hAnsi="Garamond" w:cs="Times New Roman"/>
          <w:color w:val="auto"/>
          <w:sz w:val="24"/>
          <w:szCs w:val="24"/>
        </w:rPr>
        <w:t xml:space="preserve"> </w:t>
      </w:r>
      <w:r w:rsidRPr="00830F4C">
        <w:rPr>
          <w:rFonts w:ascii="Garamond" w:hAnsi="Garamond" w:cs="Times New Roman"/>
          <w:color w:val="auto"/>
          <w:sz w:val="24"/>
          <w:szCs w:val="24"/>
        </w:rPr>
        <w:t xml:space="preserve">nga </w:t>
      </w:r>
      <w:r w:rsidR="00444267">
        <w:rPr>
          <w:rFonts w:ascii="Garamond" w:hAnsi="Garamond" w:cs="Times New Roman"/>
          <w:color w:val="auto"/>
          <w:sz w:val="24"/>
          <w:szCs w:val="24"/>
        </w:rPr>
        <w:t>s</w:t>
      </w:r>
      <w:r w:rsidRPr="00830F4C">
        <w:rPr>
          <w:rFonts w:ascii="Garamond" w:hAnsi="Garamond" w:cs="Times New Roman"/>
          <w:color w:val="auto"/>
          <w:sz w:val="24"/>
          <w:szCs w:val="24"/>
        </w:rPr>
        <w:t>htylla 3</w:t>
      </w:r>
      <w:r w:rsidR="00236281" w:rsidRPr="00830F4C">
        <w:rPr>
          <w:rFonts w:ascii="Garamond" w:hAnsi="Garamond" w:cs="Times New Roman"/>
          <w:color w:val="auto"/>
          <w:sz w:val="24"/>
          <w:szCs w:val="24"/>
        </w:rPr>
        <w:t xml:space="preserve"> “</w:t>
      </w:r>
      <w:r w:rsidRPr="00830F4C">
        <w:rPr>
          <w:rFonts w:ascii="Garamond" w:hAnsi="Garamond" w:cs="Times New Roman"/>
          <w:color w:val="auto"/>
          <w:sz w:val="24"/>
          <w:szCs w:val="24"/>
        </w:rPr>
        <w:t>Mirëadministrimi doganor</w:t>
      </w:r>
      <w:r w:rsidR="00D22EA5" w:rsidRPr="00830F4C">
        <w:rPr>
          <w:rFonts w:ascii="Garamond" w:hAnsi="Garamond" w:cs="Times New Roman"/>
          <w:color w:val="auto"/>
          <w:sz w:val="24"/>
          <w:szCs w:val="24"/>
        </w:rPr>
        <w:t>”</w:t>
      </w:r>
      <w:r w:rsidRPr="00830F4C">
        <w:rPr>
          <w:rFonts w:ascii="Garamond" w:hAnsi="Garamond" w:cs="Times New Roman"/>
          <w:color w:val="auto"/>
          <w:sz w:val="24"/>
          <w:szCs w:val="24"/>
        </w:rPr>
        <w:t>, sipas komponentëve</w:t>
      </w:r>
      <w:bookmarkEnd w:id="65"/>
    </w:p>
    <w:p w14:paraId="7918244A" w14:textId="05B15112" w:rsidR="00316D86" w:rsidRPr="00830F4C" w:rsidRDefault="00316D86" w:rsidP="00316D86">
      <w:pPr>
        <w:jc w:val="right"/>
        <w:rPr>
          <w:rFonts w:ascii="Garamond" w:hAnsi="Garamond"/>
          <w:i/>
          <w:sz w:val="32"/>
        </w:rPr>
      </w:pPr>
      <w:bookmarkStart w:id="67" w:name="_Hlk167129574"/>
      <w:r w:rsidRPr="00830F4C">
        <w:rPr>
          <w:rFonts w:ascii="Garamond" w:hAnsi="Garamond"/>
          <w:i/>
        </w:rPr>
        <w:t>Në % të PPB</w:t>
      </w:r>
      <w:r w:rsidR="00444267">
        <w:rPr>
          <w:rFonts w:ascii="Garamond" w:hAnsi="Garamond"/>
          <w:sz w:val="20"/>
        </w:rPr>
        <w:t>-</w:t>
      </w:r>
      <w:r w:rsidR="00444267" w:rsidRPr="00444267">
        <w:rPr>
          <w:rFonts w:ascii="Garamond" w:hAnsi="Garamond"/>
          <w:sz w:val="20"/>
          <w:szCs w:val="20"/>
        </w:rPr>
        <w:t>së</w:t>
      </w:r>
      <w:r w:rsidRPr="00830F4C" w:rsidDel="0066150C">
        <w:rPr>
          <w:rFonts w:ascii="Garamond" w:hAnsi="Garamond"/>
          <w:i/>
          <w:sz w:val="32"/>
        </w:rPr>
        <w:t xml:space="preserve"> </w:t>
      </w:r>
    </w:p>
    <w:tbl>
      <w:tblPr>
        <w:tblStyle w:val="GridTable1Light-Accent211"/>
        <w:tblW w:w="0" w:type="auto"/>
        <w:tblLayout w:type="fixed"/>
        <w:tblLook w:val="04A0" w:firstRow="1" w:lastRow="0" w:firstColumn="1" w:lastColumn="0" w:noHBand="0" w:noVBand="1"/>
      </w:tblPr>
      <w:tblGrid>
        <w:gridCol w:w="2965"/>
        <w:gridCol w:w="990"/>
        <w:gridCol w:w="1440"/>
        <w:gridCol w:w="1260"/>
        <w:gridCol w:w="1080"/>
        <w:gridCol w:w="1281"/>
      </w:tblGrid>
      <w:tr w:rsidR="00316D86" w:rsidRPr="00CC11D5" w14:paraId="46DFD277" w14:textId="77777777" w:rsidTr="00316D86">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016" w:type="dxa"/>
            <w:gridSpan w:val="6"/>
            <w:noWrap/>
            <w:hideMark/>
          </w:tcPr>
          <w:p w14:paraId="2E351E80" w14:textId="77777777" w:rsidR="00316D86" w:rsidRPr="00CC11D5" w:rsidRDefault="00316D86" w:rsidP="00316D86">
            <w:pPr>
              <w:jc w:val="center"/>
              <w:rPr>
                <w:rFonts w:ascii="Garamond" w:hAnsi="Garamond"/>
                <w:b w:val="0"/>
                <w:i/>
                <w:sz w:val="12"/>
                <w:szCs w:val="12"/>
              </w:rPr>
            </w:pPr>
          </w:p>
        </w:tc>
      </w:tr>
      <w:tr w:rsidR="00316D86" w:rsidRPr="00CC11D5" w14:paraId="4C944C26" w14:textId="77777777" w:rsidTr="00316D86">
        <w:trPr>
          <w:trHeight w:val="20"/>
        </w:trPr>
        <w:tc>
          <w:tcPr>
            <w:cnfStyle w:val="001000000000" w:firstRow="0" w:lastRow="0" w:firstColumn="1" w:lastColumn="0" w:oddVBand="0" w:evenVBand="0" w:oddHBand="0" w:evenHBand="0" w:firstRowFirstColumn="0" w:firstRowLastColumn="0" w:lastRowFirstColumn="0" w:lastRowLastColumn="0"/>
            <w:tcW w:w="2965" w:type="dxa"/>
            <w:hideMark/>
          </w:tcPr>
          <w:p w14:paraId="139A0164" w14:textId="77777777" w:rsidR="00316D86" w:rsidRPr="00CC11D5" w:rsidRDefault="00316D86" w:rsidP="00316D86">
            <w:pPr>
              <w:jc w:val="center"/>
              <w:rPr>
                <w:rFonts w:ascii="Garamond" w:hAnsi="Garamond"/>
                <w:sz w:val="12"/>
                <w:szCs w:val="12"/>
              </w:rPr>
            </w:pPr>
            <w:r w:rsidRPr="00CC11D5">
              <w:rPr>
                <w:rFonts w:ascii="Garamond" w:hAnsi="Garamond"/>
                <w:sz w:val="12"/>
                <w:szCs w:val="12"/>
              </w:rPr>
              <w:t>Rritja e të ardhurave doganore</w:t>
            </w:r>
          </w:p>
        </w:tc>
        <w:tc>
          <w:tcPr>
            <w:tcW w:w="990" w:type="dxa"/>
            <w:noWrap/>
            <w:hideMark/>
          </w:tcPr>
          <w:p w14:paraId="16340ADC" w14:textId="77777777" w:rsidR="00316D86" w:rsidRPr="00CC11D5" w:rsidRDefault="00316D86" w:rsidP="00316D86">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sz w:val="12"/>
                <w:szCs w:val="12"/>
              </w:rPr>
              <w:t>2024</w:t>
            </w:r>
          </w:p>
        </w:tc>
        <w:tc>
          <w:tcPr>
            <w:tcW w:w="1440" w:type="dxa"/>
            <w:noWrap/>
            <w:hideMark/>
          </w:tcPr>
          <w:p w14:paraId="65914FDE" w14:textId="77777777" w:rsidR="00316D86" w:rsidRPr="00CC11D5" w:rsidRDefault="00316D86" w:rsidP="00316D86">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sz w:val="12"/>
                <w:szCs w:val="12"/>
              </w:rPr>
              <w:t>2025</w:t>
            </w:r>
          </w:p>
        </w:tc>
        <w:tc>
          <w:tcPr>
            <w:tcW w:w="1260" w:type="dxa"/>
            <w:noWrap/>
            <w:hideMark/>
          </w:tcPr>
          <w:p w14:paraId="12B1EF76" w14:textId="77777777" w:rsidR="00316D86" w:rsidRPr="00CC11D5" w:rsidRDefault="00316D86" w:rsidP="00316D86">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sz w:val="12"/>
                <w:szCs w:val="12"/>
              </w:rPr>
              <w:t>2026</w:t>
            </w:r>
          </w:p>
        </w:tc>
        <w:tc>
          <w:tcPr>
            <w:tcW w:w="1080" w:type="dxa"/>
            <w:noWrap/>
            <w:hideMark/>
          </w:tcPr>
          <w:p w14:paraId="4F3C465A" w14:textId="77777777" w:rsidR="00316D86" w:rsidRPr="00CC11D5" w:rsidRDefault="00316D86" w:rsidP="00316D86">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sz w:val="12"/>
                <w:szCs w:val="12"/>
              </w:rPr>
              <w:t>2027</w:t>
            </w:r>
          </w:p>
        </w:tc>
        <w:tc>
          <w:tcPr>
            <w:tcW w:w="1281" w:type="dxa"/>
            <w:noWrap/>
            <w:hideMark/>
          </w:tcPr>
          <w:p w14:paraId="5663C548" w14:textId="66CEAAAA" w:rsidR="00316D86" w:rsidRPr="00CC11D5" w:rsidRDefault="00316D86" w:rsidP="00316D86">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sz w:val="12"/>
                <w:szCs w:val="12"/>
              </w:rPr>
              <w:t>Total</w:t>
            </w:r>
            <w:r w:rsidR="00800B00" w:rsidRPr="00CC11D5">
              <w:rPr>
                <w:rFonts w:ascii="Garamond" w:hAnsi="Garamond"/>
                <w:b/>
                <w:sz w:val="12"/>
                <w:szCs w:val="12"/>
              </w:rPr>
              <w:t xml:space="preserve"> </w:t>
            </w:r>
            <w:r w:rsidR="00D22EA5" w:rsidRPr="00CC11D5">
              <w:rPr>
                <w:rFonts w:ascii="Garamond" w:hAnsi="Garamond"/>
                <w:b/>
                <w:sz w:val="12"/>
                <w:szCs w:val="12"/>
              </w:rPr>
              <w:t>2024–2027</w:t>
            </w:r>
          </w:p>
        </w:tc>
      </w:tr>
      <w:tr w:rsidR="00316D86" w:rsidRPr="00CC11D5" w14:paraId="4435E892" w14:textId="77777777" w:rsidTr="00444267">
        <w:trPr>
          <w:trHeight w:val="20"/>
        </w:trPr>
        <w:tc>
          <w:tcPr>
            <w:cnfStyle w:val="001000000000" w:firstRow="0" w:lastRow="0" w:firstColumn="1" w:lastColumn="0" w:oddVBand="0" w:evenVBand="0" w:oddHBand="0" w:evenHBand="0" w:firstRowFirstColumn="0" w:firstRowLastColumn="0" w:lastRowFirstColumn="0" w:lastRowLastColumn="0"/>
            <w:tcW w:w="2965" w:type="dxa"/>
            <w:hideMark/>
          </w:tcPr>
          <w:p w14:paraId="703A2458" w14:textId="7E7FD389" w:rsidR="00316D86" w:rsidRPr="00CC11D5" w:rsidRDefault="00316D86" w:rsidP="00316D86">
            <w:pPr>
              <w:jc w:val="center"/>
              <w:rPr>
                <w:rFonts w:ascii="Garamond" w:hAnsi="Garamond"/>
                <w:b w:val="0"/>
                <w:sz w:val="12"/>
                <w:szCs w:val="12"/>
              </w:rPr>
            </w:pPr>
            <w:r w:rsidRPr="00CC11D5">
              <w:rPr>
                <w:rFonts w:ascii="Garamond" w:hAnsi="Garamond"/>
                <w:b w:val="0"/>
                <w:sz w:val="12"/>
                <w:szCs w:val="12"/>
              </w:rPr>
              <w:t>Komponenti 3.1 Modernizimi i proceseve të biznesit, duke përfshirë centralizimin e funksionit të profilizimit të riskut</w:t>
            </w:r>
          </w:p>
        </w:tc>
        <w:tc>
          <w:tcPr>
            <w:tcW w:w="990" w:type="dxa"/>
            <w:noWrap/>
            <w:vAlign w:val="center"/>
            <w:hideMark/>
          </w:tcPr>
          <w:p w14:paraId="01913C4F" w14:textId="77777777" w:rsidR="00316D86" w:rsidRPr="00CC11D5" w:rsidRDefault="00316D86" w:rsidP="0044426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0.02%</w:t>
            </w:r>
          </w:p>
        </w:tc>
        <w:tc>
          <w:tcPr>
            <w:tcW w:w="1440" w:type="dxa"/>
            <w:noWrap/>
            <w:vAlign w:val="center"/>
            <w:hideMark/>
          </w:tcPr>
          <w:p w14:paraId="3BC34B63" w14:textId="77777777" w:rsidR="00316D86" w:rsidRPr="00CC11D5" w:rsidRDefault="00316D86" w:rsidP="0044426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0.02%</w:t>
            </w:r>
          </w:p>
        </w:tc>
        <w:tc>
          <w:tcPr>
            <w:tcW w:w="1260" w:type="dxa"/>
            <w:noWrap/>
            <w:vAlign w:val="center"/>
            <w:hideMark/>
          </w:tcPr>
          <w:p w14:paraId="4E2FE0A5" w14:textId="77777777" w:rsidR="00316D86" w:rsidRPr="00CC11D5" w:rsidRDefault="00316D86" w:rsidP="0044426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0.01%</w:t>
            </w:r>
          </w:p>
        </w:tc>
        <w:tc>
          <w:tcPr>
            <w:tcW w:w="1080" w:type="dxa"/>
            <w:noWrap/>
            <w:vAlign w:val="center"/>
            <w:hideMark/>
          </w:tcPr>
          <w:p w14:paraId="1DC9EA6B" w14:textId="77777777" w:rsidR="00316D86" w:rsidRPr="00CC11D5" w:rsidRDefault="00316D86" w:rsidP="0044426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0.01%</w:t>
            </w:r>
          </w:p>
        </w:tc>
        <w:tc>
          <w:tcPr>
            <w:tcW w:w="1281" w:type="dxa"/>
            <w:noWrap/>
            <w:vAlign w:val="center"/>
            <w:hideMark/>
          </w:tcPr>
          <w:p w14:paraId="6632C17E" w14:textId="77777777" w:rsidR="00316D86" w:rsidRPr="00CC11D5" w:rsidRDefault="00316D86" w:rsidP="0044426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0.05%</w:t>
            </w:r>
          </w:p>
        </w:tc>
      </w:tr>
      <w:tr w:rsidR="00316D86" w:rsidRPr="00CC11D5" w14:paraId="77BE45E7" w14:textId="77777777" w:rsidTr="00444267">
        <w:trPr>
          <w:trHeight w:val="20"/>
        </w:trPr>
        <w:tc>
          <w:tcPr>
            <w:cnfStyle w:val="001000000000" w:firstRow="0" w:lastRow="0" w:firstColumn="1" w:lastColumn="0" w:oddVBand="0" w:evenVBand="0" w:oddHBand="0" w:evenHBand="0" w:firstRowFirstColumn="0" w:firstRowLastColumn="0" w:lastRowFirstColumn="0" w:lastRowLastColumn="0"/>
            <w:tcW w:w="2965" w:type="dxa"/>
            <w:hideMark/>
          </w:tcPr>
          <w:p w14:paraId="63281529" w14:textId="08E33139" w:rsidR="00316D86" w:rsidRPr="00CC11D5" w:rsidRDefault="00316D86" w:rsidP="00316D86">
            <w:pPr>
              <w:jc w:val="center"/>
              <w:rPr>
                <w:rFonts w:ascii="Garamond" w:hAnsi="Garamond"/>
                <w:b w:val="0"/>
                <w:sz w:val="12"/>
                <w:szCs w:val="12"/>
              </w:rPr>
            </w:pPr>
            <w:r w:rsidRPr="00CC11D5">
              <w:rPr>
                <w:rFonts w:ascii="Garamond" w:hAnsi="Garamond"/>
                <w:b w:val="0"/>
                <w:sz w:val="12"/>
                <w:szCs w:val="12"/>
              </w:rPr>
              <w:t>Komponenti 3.5 Rritja e numrit të Operatorëve Ekonomikë të Autorizuar</w:t>
            </w:r>
          </w:p>
        </w:tc>
        <w:tc>
          <w:tcPr>
            <w:tcW w:w="990" w:type="dxa"/>
            <w:noWrap/>
            <w:vAlign w:val="center"/>
            <w:hideMark/>
          </w:tcPr>
          <w:p w14:paraId="13C0A3DC" w14:textId="77777777" w:rsidR="00316D86" w:rsidRPr="00CC11D5" w:rsidRDefault="00316D86" w:rsidP="0044426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0.02%</w:t>
            </w:r>
          </w:p>
        </w:tc>
        <w:tc>
          <w:tcPr>
            <w:tcW w:w="1440" w:type="dxa"/>
            <w:noWrap/>
            <w:vAlign w:val="center"/>
            <w:hideMark/>
          </w:tcPr>
          <w:p w14:paraId="605AD9DB" w14:textId="77777777" w:rsidR="00316D86" w:rsidRPr="00CC11D5" w:rsidRDefault="00316D86" w:rsidP="0044426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0.02%</w:t>
            </w:r>
          </w:p>
        </w:tc>
        <w:tc>
          <w:tcPr>
            <w:tcW w:w="1260" w:type="dxa"/>
            <w:noWrap/>
            <w:vAlign w:val="center"/>
            <w:hideMark/>
          </w:tcPr>
          <w:p w14:paraId="18648379" w14:textId="77777777" w:rsidR="00316D86" w:rsidRPr="00CC11D5" w:rsidRDefault="00316D86" w:rsidP="0044426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0.02%</w:t>
            </w:r>
          </w:p>
        </w:tc>
        <w:tc>
          <w:tcPr>
            <w:tcW w:w="1080" w:type="dxa"/>
            <w:noWrap/>
            <w:vAlign w:val="center"/>
            <w:hideMark/>
          </w:tcPr>
          <w:p w14:paraId="6314756C" w14:textId="77777777" w:rsidR="00316D86" w:rsidRPr="00CC11D5" w:rsidRDefault="00316D86" w:rsidP="0044426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tc>
        <w:tc>
          <w:tcPr>
            <w:tcW w:w="1281" w:type="dxa"/>
            <w:noWrap/>
            <w:vAlign w:val="center"/>
            <w:hideMark/>
          </w:tcPr>
          <w:p w14:paraId="22E9A07B" w14:textId="77777777" w:rsidR="00316D86" w:rsidRPr="00CC11D5" w:rsidRDefault="00316D86" w:rsidP="0044426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0.06%</w:t>
            </w:r>
          </w:p>
        </w:tc>
      </w:tr>
      <w:tr w:rsidR="00316D86" w:rsidRPr="00CC11D5" w14:paraId="31860800" w14:textId="77777777" w:rsidTr="00444267">
        <w:trPr>
          <w:trHeight w:val="20"/>
        </w:trPr>
        <w:tc>
          <w:tcPr>
            <w:cnfStyle w:val="001000000000" w:firstRow="0" w:lastRow="0" w:firstColumn="1" w:lastColumn="0" w:oddVBand="0" w:evenVBand="0" w:oddHBand="0" w:evenHBand="0" w:firstRowFirstColumn="0" w:firstRowLastColumn="0" w:lastRowFirstColumn="0" w:lastRowLastColumn="0"/>
            <w:tcW w:w="2965" w:type="dxa"/>
            <w:hideMark/>
          </w:tcPr>
          <w:p w14:paraId="598CAA19" w14:textId="0EE41454" w:rsidR="00316D86" w:rsidRPr="00CC11D5" w:rsidRDefault="00316D86" w:rsidP="00316D86">
            <w:pPr>
              <w:jc w:val="center"/>
              <w:rPr>
                <w:rFonts w:ascii="Garamond" w:hAnsi="Garamond"/>
                <w:b w:val="0"/>
                <w:sz w:val="12"/>
                <w:szCs w:val="12"/>
              </w:rPr>
            </w:pPr>
            <w:r w:rsidRPr="00CC11D5">
              <w:rPr>
                <w:rFonts w:ascii="Garamond" w:hAnsi="Garamond"/>
                <w:b w:val="0"/>
                <w:sz w:val="12"/>
                <w:szCs w:val="12"/>
              </w:rPr>
              <w:t>Komponenti 3.8 Rritja e bashkëpunimit në luftën kundër informalitetit, kontrabandës, korrupsionit dhe importit të mallrave të falsifikuara</w:t>
            </w:r>
          </w:p>
        </w:tc>
        <w:tc>
          <w:tcPr>
            <w:tcW w:w="990" w:type="dxa"/>
            <w:noWrap/>
            <w:vAlign w:val="center"/>
            <w:hideMark/>
          </w:tcPr>
          <w:p w14:paraId="0466729A" w14:textId="77777777" w:rsidR="00316D86" w:rsidRPr="00CC11D5" w:rsidRDefault="00316D86" w:rsidP="0044426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0.01%</w:t>
            </w:r>
          </w:p>
        </w:tc>
        <w:tc>
          <w:tcPr>
            <w:tcW w:w="1440" w:type="dxa"/>
            <w:noWrap/>
            <w:vAlign w:val="center"/>
            <w:hideMark/>
          </w:tcPr>
          <w:p w14:paraId="69473889" w14:textId="77777777" w:rsidR="00316D86" w:rsidRPr="00CC11D5" w:rsidRDefault="00316D86" w:rsidP="0044426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0.01%</w:t>
            </w:r>
          </w:p>
        </w:tc>
        <w:tc>
          <w:tcPr>
            <w:tcW w:w="1260" w:type="dxa"/>
            <w:noWrap/>
            <w:vAlign w:val="center"/>
            <w:hideMark/>
          </w:tcPr>
          <w:p w14:paraId="6C50E19E" w14:textId="77777777" w:rsidR="00316D86" w:rsidRPr="00CC11D5" w:rsidRDefault="00316D86" w:rsidP="0044426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0.003%</w:t>
            </w:r>
          </w:p>
        </w:tc>
        <w:tc>
          <w:tcPr>
            <w:tcW w:w="1080" w:type="dxa"/>
            <w:noWrap/>
            <w:vAlign w:val="center"/>
            <w:hideMark/>
          </w:tcPr>
          <w:p w14:paraId="75EC6248" w14:textId="77777777" w:rsidR="00316D86" w:rsidRPr="00CC11D5" w:rsidRDefault="00316D86" w:rsidP="0044426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0.003%</w:t>
            </w:r>
          </w:p>
        </w:tc>
        <w:tc>
          <w:tcPr>
            <w:tcW w:w="1281" w:type="dxa"/>
            <w:noWrap/>
            <w:vAlign w:val="center"/>
            <w:hideMark/>
          </w:tcPr>
          <w:p w14:paraId="088355FA" w14:textId="77777777" w:rsidR="00316D86" w:rsidRPr="00CC11D5" w:rsidRDefault="00316D86" w:rsidP="0044426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0.02%</w:t>
            </w:r>
          </w:p>
        </w:tc>
      </w:tr>
      <w:tr w:rsidR="00316D86" w:rsidRPr="00CC11D5" w14:paraId="395AAD65" w14:textId="77777777" w:rsidTr="00444267">
        <w:trPr>
          <w:trHeight w:val="20"/>
        </w:trPr>
        <w:tc>
          <w:tcPr>
            <w:cnfStyle w:val="001000000000" w:firstRow="0" w:lastRow="0" w:firstColumn="1" w:lastColumn="0" w:oddVBand="0" w:evenVBand="0" w:oddHBand="0" w:evenHBand="0" w:firstRowFirstColumn="0" w:firstRowLastColumn="0" w:lastRowFirstColumn="0" w:lastRowLastColumn="0"/>
            <w:tcW w:w="2965" w:type="dxa"/>
            <w:hideMark/>
          </w:tcPr>
          <w:p w14:paraId="7DEDB9F8" w14:textId="77777777" w:rsidR="00316D86" w:rsidRPr="00CC11D5" w:rsidRDefault="00316D86" w:rsidP="00316D86">
            <w:pPr>
              <w:jc w:val="center"/>
              <w:rPr>
                <w:rFonts w:ascii="Garamond" w:hAnsi="Garamond"/>
                <w:b w:val="0"/>
                <w:sz w:val="12"/>
                <w:szCs w:val="12"/>
              </w:rPr>
            </w:pPr>
            <w:r w:rsidRPr="00CC11D5">
              <w:rPr>
                <w:rFonts w:ascii="Garamond" w:hAnsi="Garamond"/>
                <w:b w:val="0"/>
                <w:sz w:val="12"/>
                <w:szCs w:val="12"/>
              </w:rPr>
              <w:t>Zgjerimi i shkëmbimit të informacionit me partnerët vendas dhe ndërkombëtarë për të përmirësuar profilin e riskut</w:t>
            </w:r>
          </w:p>
        </w:tc>
        <w:tc>
          <w:tcPr>
            <w:tcW w:w="990" w:type="dxa"/>
            <w:noWrap/>
            <w:vAlign w:val="center"/>
            <w:hideMark/>
          </w:tcPr>
          <w:p w14:paraId="2404545C" w14:textId="77777777" w:rsidR="00316D86" w:rsidRPr="00CC11D5" w:rsidRDefault="00316D86" w:rsidP="0044426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0.01%</w:t>
            </w:r>
          </w:p>
        </w:tc>
        <w:tc>
          <w:tcPr>
            <w:tcW w:w="1440" w:type="dxa"/>
            <w:noWrap/>
            <w:vAlign w:val="center"/>
            <w:hideMark/>
          </w:tcPr>
          <w:p w14:paraId="55250B3D" w14:textId="77777777" w:rsidR="00316D86" w:rsidRPr="00CC11D5" w:rsidRDefault="00316D86" w:rsidP="0044426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0.01%</w:t>
            </w:r>
          </w:p>
        </w:tc>
        <w:tc>
          <w:tcPr>
            <w:tcW w:w="1260" w:type="dxa"/>
            <w:noWrap/>
            <w:vAlign w:val="center"/>
            <w:hideMark/>
          </w:tcPr>
          <w:p w14:paraId="092CF762" w14:textId="77777777" w:rsidR="00316D86" w:rsidRPr="00CC11D5" w:rsidRDefault="00316D86" w:rsidP="0044426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0.01%</w:t>
            </w:r>
          </w:p>
        </w:tc>
        <w:tc>
          <w:tcPr>
            <w:tcW w:w="1080" w:type="dxa"/>
            <w:noWrap/>
            <w:vAlign w:val="center"/>
            <w:hideMark/>
          </w:tcPr>
          <w:p w14:paraId="1D1B2460" w14:textId="77777777" w:rsidR="00316D86" w:rsidRPr="00CC11D5" w:rsidRDefault="00316D86" w:rsidP="0044426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0.01%</w:t>
            </w:r>
          </w:p>
        </w:tc>
        <w:tc>
          <w:tcPr>
            <w:tcW w:w="1281" w:type="dxa"/>
            <w:noWrap/>
            <w:vAlign w:val="center"/>
            <w:hideMark/>
          </w:tcPr>
          <w:p w14:paraId="354F2C13" w14:textId="77777777" w:rsidR="00316D86" w:rsidRPr="00CC11D5" w:rsidRDefault="00316D86" w:rsidP="00444267">
            <w:pPr>
              <w:jc w:val="cente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CC11D5">
              <w:rPr>
                <w:rFonts w:ascii="Garamond" w:hAnsi="Garamond"/>
                <w:sz w:val="12"/>
                <w:szCs w:val="12"/>
              </w:rPr>
              <w:t>0.04%</w:t>
            </w:r>
          </w:p>
        </w:tc>
      </w:tr>
      <w:tr w:rsidR="00316D86" w:rsidRPr="00CC11D5" w14:paraId="11EDA88A" w14:textId="77777777" w:rsidTr="00444267">
        <w:trPr>
          <w:trHeight w:val="20"/>
        </w:trPr>
        <w:tc>
          <w:tcPr>
            <w:cnfStyle w:val="001000000000" w:firstRow="0" w:lastRow="0" w:firstColumn="1" w:lastColumn="0" w:oddVBand="0" w:evenVBand="0" w:oddHBand="0" w:evenHBand="0" w:firstRowFirstColumn="0" w:firstRowLastColumn="0" w:lastRowFirstColumn="0" w:lastRowLastColumn="0"/>
            <w:tcW w:w="2965" w:type="dxa"/>
            <w:hideMark/>
          </w:tcPr>
          <w:p w14:paraId="66BAC305" w14:textId="77777777" w:rsidR="00316D86" w:rsidRPr="00CC11D5" w:rsidRDefault="00316D86" w:rsidP="00316D86">
            <w:pPr>
              <w:jc w:val="center"/>
              <w:rPr>
                <w:rFonts w:ascii="Garamond" w:hAnsi="Garamond"/>
                <w:b w:val="0"/>
                <w:sz w:val="12"/>
                <w:szCs w:val="12"/>
              </w:rPr>
            </w:pPr>
            <w:r w:rsidRPr="00CC11D5">
              <w:rPr>
                <w:rFonts w:ascii="Garamond" w:hAnsi="Garamond"/>
                <w:b w:val="0"/>
                <w:sz w:val="12"/>
                <w:szCs w:val="12"/>
              </w:rPr>
              <w:t>Total</w:t>
            </w:r>
          </w:p>
        </w:tc>
        <w:tc>
          <w:tcPr>
            <w:tcW w:w="990" w:type="dxa"/>
            <w:noWrap/>
            <w:vAlign w:val="center"/>
            <w:hideMark/>
          </w:tcPr>
          <w:p w14:paraId="25D89406" w14:textId="77777777" w:rsidR="00316D86" w:rsidRPr="00CC11D5" w:rsidRDefault="00316D86" w:rsidP="0044426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bCs/>
                <w:sz w:val="12"/>
                <w:szCs w:val="12"/>
              </w:rPr>
              <w:t>0.05%</w:t>
            </w:r>
          </w:p>
        </w:tc>
        <w:tc>
          <w:tcPr>
            <w:tcW w:w="1440" w:type="dxa"/>
            <w:noWrap/>
            <w:vAlign w:val="center"/>
            <w:hideMark/>
          </w:tcPr>
          <w:p w14:paraId="00B371AA" w14:textId="77777777" w:rsidR="00316D86" w:rsidRPr="00CC11D5" w:rsidRDefault="00316D86" w:rsidP="0044426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bCs/>
                <w:sz w:val="12"/>
                <w:szCs w:val="12"/>
              </w:rPr>
              <w:t>0.06%</w:t>
            </w:r>
          </w:p>
        </w:tc>
        <w:tc>
          <w:tcPr>
            <w:tcW w:w="1260" w:type="dxa"/>
            <w:noWrap/>
            <w:vAlign w:val="center"/>
            <w:hideMark/>
          </w:tcPr>
          <w:p w14:paraId="7F1C452B" w14:textId="77777777" w:rsidR="00316D86" w:rsidRPr="00CC11D5" w:rsidRDefault="00316D86" w:rsidP="0044426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bCs/>
                <w:sz w:val="12"/>
                <w:szCs w:val="12"/>
              </w:rPr>
              <w:t>0.04%</w:t>
            </w:r>
          </w:p>
        </w:tc>
        <w:tc>
          <w:tcPr>
            <w:tcW w:w="1080" w:type="dxa"/>
            <w:noWrap/>
            <w:vAlign w:val="center"/>
            <w:hideMark/>
          </w:tcPr>
          <w:p w14:paraId="7A968E96" w14:textId="77777777" w:rsidR="00316D86" w:rsidRPr="00CC11D5" w:rsidRDefault="00316D86" w:rsidP="0044426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bCs/>
                <w:sz w:val="12"/>
                <w:szCs w:val="12"/>
              </w:rPr>
              <w:t>0.02%</w:t>
            </w:r>
          </w:p>
        </w:tc>
        <w:tc>
          <w:tcPr>
            <w:tcW w:w="1281" w:type="dxa"/>
            <w:noWrap/>
            <w:vAlign w:val="center"/>
            <w:hideMark/>
          </w:tcPr>
          <w:p w14:paraId="7CE9018E" w14:textId="77777777" w:rsidR="00316D86" w:rsidRPr="00CC11D5" w:rsidRDefault="00316D86" w:rsidP="00444267">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CC11D5">
              <w:rPr>
                <w:rFonts w:ascii="Garamond" w:hAnsi="Garamond"/>
                <w:b/>
                <w:bCs/>
                <w:sz w:val="12"/>
                <w:szCs w:val="12"/>
              </w:rPr>
              <w:t>0.17%</w:t>
            </w:r>
          </w:p>
        </w:tc>
      </w:tr>
    </w:tbl>
    <w:bookmarkEnd w:id="67"/>
    <w:p w14:paraId="656764A9" w14:textId="5EEC8BF7" w:rsidR="00316D86" w:rsidRPr="00830F4C" w:rsidRDefault="00316D86" w:rsidP="00316D86">
      <w:pPr>
        <w:pStyle w:val="Heading2"/>
        <w:spacing w:before="0"/>
        <w:ind w:firstLine="284"/>
        <w:rPr>
          <w:rFonts w:ascii="Garamond" w:hAnsi="Garamond"/>
          <w:b/>
          <w:bCs/>
          <w:color w:val="auto"/>
          <w:sz w:val="24"/>
          <w:szCs w:val="24"/>
        </w:rPr>
      </w:pPr>
      <w:r w:rsidRPr="00830F4C">
        <w:rPr>
          <w:rFonts w:ascii="Garamond" w:hAnsi="Garamond"/>
          <w:b/>
          <w:bCs/>
          <w:color w:val="auto"/>
          <w:sz w:val="24"/>
          <w:szCs w:val="24"/>
        </w:rPr>
        <w:t xml:space="preserve">VI.2 Komponenti 3.1 Modernizimi i proceseve të biznesit, duke përfshirë centralizimin e funksionit të profilizimit të riskut </w:t>
      </w:r>
    </w:p>
    <w:p w14:paraId="4A8D9FE1" w14:textId="77777777" w:rsidR="00316D86" w:rsidRPr="00830F4C" w:rsidRDefault="00316D86" w:rsidP="00444267">
      <w:pPr>
        <w:ind w:firstLine="284"/>
        <w:jc w:val="both"/>
        <w:rPr>
          <w:rFonts w:ascii="Garamond" w:hAnsi="Garamond"/>
          <w:b/>
          <w:bCs/>
        </w:rPr>
      </w:pPr>
      <w:r w:rsidRPr="00830F4C">
        <w:rPr>
          <w:rFonts w:ascii="Garamond" w:hAnsi="Garamond"/>
          <w:b/>
          <w:bCs/>
        </w:rPr>
        <w:t>Objektivi</w:t>
      </w:r>
    </w:p>
    <w:p w14:paraId="363B5793" w14:textId="47796441" w:rsidR="00316D86" w:rsidRPr="00830F4C" w:rsidRDefault="00316D86" w:rsidP="00444267">
      <w:pPr>
        <w:ind w:firstLine="284"/>
        <w:jc w:val="both"/>
        <w:rPr>
          <w:rFonts w:ascii="Garamond" w:hAnsi="Garamond"/>
        </w:rPr>
      </w:pPr>
      <w:r w:rsidRPr="00830F4C">
        <w:rPr>
          <w:rFonts w:ascii="Garamond" w:hAnsi="Garamond"/>
        </w:rPr>
        <w:t>Synimi i këtij komponenti është zhvillimi i sistemeve/moduleve të IT</w:t>
      </w:r>
      <w:r w:rsidR="00444267" w:rsidRPr="00444267">
        <w:rPr>
          <w:rFonts w:ascii="Garamond" w:hAnsi="Garamond"/>
        </w:rPr>
        <w:t>-së</w:t>
      </w:r>
      <w:r w:rsidRPr="00830F4C">
        <w:rPr>
          <w:rFonts w:ascii="Garamond" w:hAnsi="Garamond"/>
        </w:rPr>
        <w:t xml:space="preserve"> dhe kapaciteteve të administratës doganore për të rritur efektivitetin në mbledhjen e të ardhurave doganore.</w:t>
      </w:r>
    </w:p>
    <w:p w14:paraId="1D9B7E44" w14:textId="77777777" w:rsidR="00316D86" w:rsidRPr="00830F4C" w:rsidRDefault="00316D86" w:rsidP="00444267">
      <w:pPr>
        <w:ind w:firstLine="284"/>
        <w:jc w:val="both"/>
        <w:rPr>
          <w:rFonts w:ascii="Garamond" w:hAnsi="Garamond"/>
          <w:b/>
          <w:bCs/>
        </w:rPr>
      </w:pPr>
      <w:r w:rsidRPr="00830F4C">
        <w:rPr>
          <w:rFonts w:ascii="Garamond" w:hAnsi="Garamond"/>
          <w:b/>
          <w:bCs/>
        </w:rPr>
        <w:t>Konteksti</w:t>
      </w:r>
    </w:p>
    <w:p w14:paraId="7147C4B3" w14:textId="77777777" w:rsidR="00316D86" w:rsidRPr="00830F4C" w:rsidRDefault="00316D86" w:rsidP="00444267">
      <w:pPr>
        <w:ind w:firstLine="284"/>
        <w:jc w:val="both"/>
        <w:rPr>
          <w:rFonts w:ascii="Garamond" w:hAnsi="Garamond"/>
        </w:rPr>
      </w:pPr>
      <w:r w:rsidRPr="00830F4C">
        <w:rPr>
          <w:rFonts w:ascii="Garamond" w:hAnsi="Garamond"/>
        </w:rPr>
        <w:t>Modernizimi i proceseve të biznesit, duke përfshirë centralizimin e funksionit të profilizimit të riskut do të përfshijë katër masa të rëndësishme:</w:t>
      </w:r>
    </w:p>
    <w:p w14:paraId="69520A99" w14:textId="547CE2AE" w:rsidR="00316D86" w:rsidRPr="00830F4C" w:rsidRDefault="00316D86" w:rsidP="00444267">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1. Masa 3.1.1</w:t>
      </w:r>
      <w:r w:rsidR="00961E5A">
        <w:rPr>
          <w:rFonts w:ascii="Garamond" w:hAnsi="Garamond"/>
          <w:sz w:val="24"/>
          <w:szCs w:val="24"/>
        </w:rPr>
        <w:t xml:space="preserve"> </w:t>
      </w:r>
      <w:r w:rsidRPr="00830F4C">
        <w:rPr>
          <w:rFonts w:ascii="Garamond" w:hAnsi="Garamond"/>
          <w:sz w:val="24"/>
          <w:szCs w:val="24"/>
        </w:rPr>
        <w:t>Përmirësimi i përzgjedhjes së kanaleve të riskut.</w:t>
      </w:r>
    </w:p>
    <w:p w14:paraId="0B6D8E4A" w14:textId="462024A0" w:rsidR="00316D86" w:rsidRPr="00830F4C" w:rsidRDefault="00316D86" w:rsidP="00444267">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2. Masa 3.1.2 Centralizimi i profileve të riskut për të përfshirë edhe akcizën</w:t>
      </w:r>
      <w:r w:rsidR="00444267">
        <w:rPr>
          <w:rFonts w:ascii="Garamond" w:hAnsi="Garamond"/>
          <w:sz w:val="24"/>
          <w:szCs w:val="24"/>
        </w:rPr>
        <w:t>.</w:t>
      </w:r>
    </w:p>
    <w:p w14:paraId="04F86648" w14:textId="5A29E8DD" w:rsidR="00316D86" w:rsidRPr="00830F4C" w:rsidRDefault="00316D86" w:rsidP="00444267">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3. Masa 3.1.3</w:t>
      </w:r>
      <w:r w:rsidR="00961E5A">
        <w:rPr>
          <w:rFonts w:ascii="Garamond" w:hAnsi="Garamond"/>
          <w:sz w:val="24"/>
          <w:szCs w:val="24"/>
        </w:rPr>
        <w:t xml:space="preserve"> </w:t>
      </w:r>
      <w:r w:rsidRPr="00830F4C">
        <w:rPr>
          <w:rFonts w:ascii="Garamond" w:hAnsi="Garamond"/>
          <w:sz w:val="24"/>
          <w:szCs w:val="24"/>
        </w:rPr>
        <w:t xml:space="preserve">Implementimi i lidhjes në kohë reale midis sistemeve ASYCUDA </w:t>
      </w:r>
      <w:r w:rsidRPr="00961E5A">
        <w:rPr>
          <w:rFonts w:ascii="Garamond" w:hAnsi="Garamond"/>
          <w:i/>
          <w:sz w:val="24"/>
          <w:szCs w:val="24"/>
        </w:rPr>
        <w:t>World</w:t>
      </w:r>
      <w:r w:rsidRPr="00830F4C">
        <w:rPr>
          <w:rFonts w:ascii="Garamond" w:hAnsi="Garamond"/>
          <w:sz w:val="24"/>
          <w:szCs w:val="24"/>
        </w:rPr>
        <w:t xml:space="preserve"> dhe ASYHUB.</w:t>
      </w:r>
    </w:p>
    <w:p w14:paraId="487890E0" w14:textId="622E3B8C" w:rsidR="00316D86" w:rsidRPr="00830F4C" w:rsidRDefault="00316D86" w:rsidP="00444267">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4. Masa 3.1.4</w:t>
      </w:r>
      <w:r w:rsidRPr="00830F4C">
        <w:rPr>
          <w:rFonts w:ascii="Garamond" w:hAnsi="Garamond"/>
          <w:b/>
          <w:bCs/>
          <w:sz w:val="24"/>
          <w:szCs w:val="24"/>
        </w:rPr>
        <w:t xml:space="preserve"> </w:t>
      </w:r>
      <w:r w:rsidRPr="00830F4C">
        <w:rPr>
          <w:rFonts w:ascii="Garamond" w:hAnsi="Garamond"/>
          <w:sz w:val="24"/>
          <w:szCs w:val="24"/>
        </w:rPr>
        <w:t>Fuqizimi i kapaciteteve të punonjësve të AD</w:t>
      </w:r>
      <w:r w:rsidR="00444267" w:rsidRPr="00444267">
        <w:rPr>
          <w:rFonts w:ascii="Garamond" w:hAnsi="Garamond"/>
          <w:sz w:val="24"/>
          <w:szCs w:val="24"/>
        </w:rPr>
        <w:t>-së</w:t>
      </w:r>
      <w:r w:rsidRPr="00830F4C">
        <w:rPr>
          <w:rFonts w:ascii="Garamond" w:hAnsi="Garamond"/>
          <w:sz w:val="24"/>
          <w:szCs w:val="24"/>
        </w:rPr>
        <w:t xml:space="preserve"> përmes përmirësimit të praktikave të burimeve njerëzore dhe ofrimit të zhvillimit të kapaciteteve</w:t>
      </w:r>
      <w:r w:rsidR="00444267">
        <w:rPr>
          <w:rFonts w:ascii="Garamond" w:hAnsi="Garamond"/>
          <w:sz w:val="24"/>
          <w:szCs w:val="24"/>
        </w:rPr>
        <w:t>.</w:t>
      </w:r>
    </w:p>
    <w:p w14:paraId="545ACE78" w14:textId="77777777" w:rsidR="00316D86" w:rsidRPr="00830F4C" w:rsidRDefault="00316D86" w:rsidP="00573479">
      <w:pPr>
        <w:ind w:firstLine="284"/>
        <w:jc w:val="both"/>
        <w:rPr>
          <w:rFonts w:ascii="Garamond" w:hAnsi="Garamond"/>
        </w:rPr>
      </w:pPr>
      <w:r w:rsidRPr="00830F4C">
        <w:rPr>
          <w:rFonts w:ascii="Garamond" w:hAnsi="Garamond"/>
        </w:rPr>
        <w:t>Përmirësimi i përzgjedhjes së kanaleve të rrezikut</w:t>
      </w:r>
    </w:p>
    <w:p w14:paraId="3AAFBD6B" w14:textId="77777777" w:rsidR="00316D86" w:rsidRPr="00830F4C" w:rsidRDefault="00316D86" w:rsidP="00573479">
      <w:pPr>
        <w:ind w:firstLine="284"/>
        <w:jc w:val="both"/>
        <w:rPr>
          <w:rFonts w:ascii="Garamond" w:hAnsi="Garamond"/>
        </w:rPr>
      </w:pPr>
      <w:r w:rsidRPr="00830F4C">
        <w:rPr>
          <w:rFonts w:ascii="Garamond" w:hAnsi="Garamond"/>
        </w:rPr>
        <w:t xml:space="preserve">Sistemi Operativ i Menaxhimit të Integruar Doganor i përdorur nga Administrata Doganore Shqiptare është ASYCUDA </w:t>
      </w:r>
      <w:r w:rsidRPr="00573479">
        <w:rPr>
          <w:rFonts w:ascii="Garamond" w:hAnsi="Garamond"/>
          <w:i/>
        </w:rPr>
        <w:t>World</w:t>
      </w:r>
      <w:r w:rsidRPr="00830F4C">
        <w:rPr>
          <w:rFonts w:ascii="Garamond" w:hAnsi="Garamond"/>
        </w:rPr>
        <w:t xml:space="preserve"> (AW), që përpunon të gjitha procedurat e tregtisë së jashtme dhe përshpejton zhdoganimin e mallrave nëpërmjet kompjuterizimit të transaksioneve dhe procedurave doganore.</w:t>
      </w:r>
    </w:p>
    <w:p w14:paraId="030273F6" w14:textId="77777777" w:rsidR="00316D86" w:rsidRPr="00830F4C" w:rsidRDefault="00316D86" w:rsidP="00573479">
      <w:pPr>
        <w:ind w:firstLine="284"/>
        <w:jc w:val="both"/>
        <w:rPr>
          <w:rFonts w:ascii="Garamond" w:hAnsi="Garamond"/>
        </w:rPr>
      </w:pPr>
      <w:r w:rsidRPr="00830F4C">
        <w:rPr>
          <w:rFonts w:ascii="Garamond" w:hAnsi="Garamond"/>
        </w:rPr>
        <w:t>Çdo deklaratë doganore në procedurat e importit, eksportit dhe transitit e regjistruar në sistemin elektronik kalon në Modulin e Selektivitetit të Sistemit Elektronik Doganor (AW).</w:t>
      </w:r>
    </w:p>
    <w:p w14:paraId="10275FCA" w14:textId="77777777" w:rsidR="00316D86" w:rsidRPr="00830F4C" w:rsidRDefault="00316D86" w:rsidP="00573479">
      <w:pPr>
        <w:ind w:firstLine="284"/>
        <w:jc w:val="both"/>
        <w:rPr>
          <w:rFonts w:ascii="Garamond" w:hAnsi="Garamond"/>
        </w:rPr>
      </w:pPr>
      <w:r w:rsidRPr="00830F4C">
        <w:rPr>
          <w:rFonts w:ascii="Garamond" w:hAnsi="Garamond"/>
        </w:rPr>
        <w:t>Sistemi i automatizuar i menaxhimit të rrezikut (RMS) kontribuon për të pasur një ekuilibër të drejtë ndërmjet lehtësimit të tregtisë dhe kontrolleve doganore.</w:t>
      </w:r>
    </w:p>
    <w:p w14:paraId="51927D6F" w14:textId="77777777" w:rsidR="00316D86" w:rsidRPr="00830F4C" w:rsidRDefault="00316D86" w:rsidP="00573479">
      <w:pPr>
        <w:ind w:firstLine="284"/>
        <w:jc w:val="both"/>
        <w:rPr>
          <w:rFonts w:ascii="Garamond" w:hAnsi="Garamond"/>
        </w:rPr>
      </w:pPr>
      <w:r w:rsidRPr="00830F4C">
        <w:rPr>
          <w:rFonts w:ascii="Garamond" w:hAnsi="Garamond"/>
        </w:rPr>
        <w:t xml:space="preserve">Kontrollet doganore të bazuara në analizën e rrezikut kryhen përmes Modulit të Selektivitetit të Sistemit Elektronik Doganor ASYCUDA </w:t>
      </w:r>
      <w:r w:rsidRPr="00573479">
        <w:rPr>
          <w:rFonts w:ascii="Garamond" w:hAnsi="Garamond"/>
          <w:i/>
        </w:rPr>
        <w:t>World</w:t>
      </w:r>
      <w:r w:rsidRPr="00830F4C">
        <w:rPr>
          <w:rFonts w:ascii="Garamond" w:hAnsi="Garamond"/>
        </w:rPr>
        <w:t>. Ky modul është një mjedis i automatizuar që mundëson një selektivitet të bazuar në rrezik për të gjitha importet, eksportet dhe transitet. Sistemi krahason automatikisht një grup të caktuar të dhënash (p.sh. nga një deklaratë mallrash) me të gjitha profilet aktuale të rrezikut.</w:t>
      </w:r>
    </w:p>
    <w:p w14:paraId="7BE2ECE1" w14:textId="77777777" w:rsidR="00316D86" w:rsidRPr="00830F4C" w:rsidRDefault="00316D86" w:rsidP="00573479">
      <w:pPr>
        <w:ind w:firstLine="284"/>
        <w:jc w:val="both"/>
        <w:rPr>
          <w:rFonts w:ascii="Garamond" w:hAnsi="Garamond"/>
        </w:rPr>
      </w:pPr>
      <w:r w:rsidRPr="00830F4C">
        <w:rPr>
          <w:rFonts w:ascii="Garamond" w:hAnsi="Garamond"/>
        </w:rPr>
        <w:t>Çdo deklaratë doganore e regjistruar në Sistemin Elektronik kalon në Modulin e Selektivitetit. Bazuar ose në kriteret e përzgjedhjes në nivel kombëtar/vendor ose në mënyrë të rastësishme, sistemi automatikisht do të sigurojë një kanal përzgjedhjeje (kuqe/verdhë/jeshile) në një deklaratë doganore. Moduli i Selektivitetit zgjedh për kontroll sipas niveleve të përcaktuara të rrezikut.</w:t>
      </w:r>
    </w:p>
    <w:p w14:paraId="4BA6609C" w14:textId="41131038" w:rsidR="00316D86" w:rsidRPr="00830F4C" w:rsidRDefault="00316D86" w:rsidP="00573479">
      <w:pPr>
        <w:ind w:firstLine="284"/>
        <w:jc w:val="both"/>
        <w:rPr>
          <w:rFonts w:ascii="Garamond" w:hAnsi="Garamond"/>
        </w:rPr>
      </w:pPr>
      <w:r w:rsidRPr="00830F4C">
        <w:rPr>
          <w:rFonts w:ascii="Garamond" w:hAnsi="Garamond"/>
        </w:rPr>
        <w:t>Ky sistem kontrolli i targetimit përbëhet nga profile specifike rreziku dhe përzgjedhje të rastësishme, të cilat përzgjedhin deklaratat doganore sipas një kanali të caktuar, për</w:t>
      </w:r>
      <w:r w:rsidR="0052377F" w:rsidRPr="00830F4C">
        <w:rPr>
          <w:rFonts w:ascii="Garamond" w:hAnsi="Garamond"/>
        </w:rPr>
        <w:t xml:space="preserve"> </w:t>
      </w:r>
      <w:r w:rsidR="006A23E9" w:rsidRPr="00830F4C">
        <w:rPr>
          <w:rFonts w:ascii="Garamond" w:hAnsi="Garamond"/>
        </w:rPr>
        <w:t>t’i</w:t>
      </w:r>
      <w:r w:rsidRPr="00830F4C">
        <w:rPr>
          <w:rFonts w:ascii="Garamond" w:hAnsi="Garamond"/>
        </w:rPr>
        <w:t>u nënshtruar më pas një kontrolli specifik.</w:t>
      </w:r>
    </w:p>
    <w:p w14:paraId="48D517AA" w14:textId="54980C58" w:rsidR="00316D86" w:rsidRPr="00830F4C" w:rsidRDefault="00316D86" w:rsidP="00573479">
      <w:pPr>
        <w:ind w:firstLine="284"/>
        <w:jc w:val="both"/>
        <w:rPr>
          <w:rFonts w:ascii="Garamond" w:hAnsi="Garamond"/>
        </w:rPr>
      </w:pPr>
      <w:r w:rsidRPr="00830F4C">
        <w:rPr>
          <w:rFonts w:ascii="Garamond" w:hAnsi="Garamond"/>
        </w:rPr>
        <w:t>Llojet e profileve të rrezikut në modulin e selektivitetit A</w:t>
      </w:r>
      <w:r w:rsidR="00573479">
        <w:rPr>
          <w:rFonts w:ascii="Garamond" w:hAnsi="Garamond"/>
        </w:rPr>
        <w:t>W</w:t>
      </w:r>
      <w:r w:rsidRPr="00830F4C">
        <w:rPr>
          <w:rFonts w:ascii="Garamond" w:hAnsi="Garamond"/>
        </w:rPr>
        <w:t xml:space="preserve"> janë: profile specifike dhe profile të rastësishme</w:t>
      </w:r>
    </w:p>
    <w:p w14:paraId="31F9AA2D" w14:textId="77777777" w:rsidR="00316D86" w:rsidRPr="00830F4C" w:rsidRDefault="00316D86" w:rsidP="00A53717">
      <w:pPr>
        <w:ind w:firstLine="284"/>
        <w:jc w:val="both"/>
        <w:rPr>
          <w:rFonts w:ascii="Garamond" w:hAnsi="Garamond"/>
          <w:b/>
          <w:bCs/>
        </w:rPr>
      </w:pPr>
      <w:r w:rsidRPr="00830F4C">
        <w:rPr>
          <w:rFonts w:ascii="Garamond" w:hAnsi="Garamond"/>
          <w:b/>
          <w:bCs/>
        </w:rPr>
        <w:t>Profilet specifike</w:t>
      </w:r>
    </w:p>
    <w:p w14:paraId="52025CE2" w14:textId="77777777" w:rsidR="00316D86" w:rsidRPr="00830F4C" w:rsidRDefault="00316D86" w:rsidP="00A53717">
      <w:pPr>
        <w:ind w:firstLine="284"/>
        <w:jc w:val="both"/>
        <w:rPr>
          <w:rFonts w:ascii="Garamond" w:hAnsi="Garamond"/>
        </w:rPr>
      </w:pPr>
      <w:r w:rsidRPr="00830F4C">
        <w:rPr>
          <w:rFonts w:ascii="Garamond" w:hAnsi="Garamond"/>
        </w:rPr>
        <w:t>Këto profile përbëhen nga një ose një kombinim treguesish që synojnë përzgjedhjen e ngarkesave ose mjeteve të caktuara të transportit që kërkojnë më shumë vëmendje nga Dogana.</w:t>
      </w:r>
    </w:p>
    <w:p w14:paraId="3FB23074" w14:textId="77777777" w:rsidR="00316D86" w:rsidRPr="00830F4C" w:rsidRDefault="00316D86" w:rsidP="00A53717">
      <w:pPr>
        <w:ind w:firstLine="284"/>
        <w:jc w:val="both"/>
        <w:rPr>
          <w:rFonts w:ascii="Garamond" w:hAnsi="Garamond"/>
          <w:b/>
          <w:bCs/>
        </w:rPr>
      </w:pPr>
      <w:r w:rsidRPr="00830F4C">
        <w:rPr>
          <w:rFonts w:ascii="Garamond" w:hAnsi="Garamond"/>
          <w:b/>
          <w:bCs/>
        </w:rPr>
        <w:t>Profilet e rastësishme</w:t>
      </w:r>
    </w:p>
    <w:p w14:paraId="31F9B0A0" w14:textId="55B6FDCA" w:rsidR="00316D86" w:rsidRPr="00830F4C" w:rsidRDefault="00316D86" w:rsidP="00A53717">
      <w:pPr>
        <w:ind w:firstLine="284"/>
        <w:jc w:val="both"/>
        <w:rPr>
          <w:rFonts w:ascii="Garamond" w:hAnsi="Garamond"/>
        </w:rPr>
      </w:pPr>
      <w:r w:rsidRPr="00830F4C">
        <w:rPr>
          <w:rFonts w:ascii="Garamond" w:hAnsi="Garamond"/>
        </w:rPr>
        <w:t>Ndihmoni në zbulimin e rreziqeve të panjohura dhe duhet të ekzistojë</w:t>
      </w:r>
      <w:r w:rsidR="00A53717">
        <w:rPr>
          <w:rFonts w:ascii="Garamond" w:hAnsi="Garamond"/>
        </w:rPr>
        <w:t>,</w:t>
      </w:r>
      <w:r w:rsidRPr="00830F4C">
        <w:rPr>
          <w:rFonts w:ascii="Garamond" w:hAnsi="Garamond"/>
        </w:rPr>
        <w:t xml:space="preserve"> gjithmonë</w:t>
      </w:r>
      <w:r w:rsidR="00A53717">
        <w:rPr>
          <w:rFonts w:ascii="Garamond" w:hAnsi="Garamond"/>
        </w:rPr>
        <w:t>,</w:t>
      </w:r>
      <w:r w:rsidRPr="00830F4C">
        <w:rPr>
          <w:rFonts w:ascii="Garamond" w:hAnsi="Garamond"/>
        </w:rPr>
        <w:t xml:space="preserve"> aty ku nuk ka profile specifike. Në parametrat e selektivitetit, për çdo kanal përzgjedhje përcaktohet koeficienti </w:t>
      </w:r>
      <w:r w:rsidR="00D22EA5" w:rsidRPr="00830F4C">
        <w:rPr>
          <w:rFonts w:ascii="Garamond" w:hAnsi="Garamond"/>
        </w:rPr>
        <w:t>“</w:t>
      </w:r>
      <w:r w:rsidRPr="00830F4C">
        <w:rPr>
          <w:rFonts w:ascii="Garamond" w:hAnsi="Garamond"/>
        </w:rPr>
        <w:t>shkalla minimale e rastësishme</w:t>
      </w:r>
      <w:r w:rsidR="00D22EA5" w:rsidRPr="00830F4C">
        <w:rPr>
          <w:rFonts w:ascii="Garamond" w:hAnsi="Garamond"/>
        </w:rPr>
        <w:t>”</w:t>
      </w:r>
      <w:r w:rsidRPr="00830F4C">
        <w:rPr>
          <w:rFonts w:ascii="Garamond" w:hAnsi="Garamond"/>
        </w:rPr>
        <w:t>.</w:t>
      </w:r>
    </w:p>
    <w:p w14:paraId="52F9C5D6" w14:textId="0A16F5A4" w:rsidR="00316D86" w:rsidRPr="00830F4C" w:rsidRDefault="00316D86" w:rsidP="00A53717">
      <w:pPr>
        <w:ind w:firstLine="284"/>
        <w:jc w:val="both"/>
        <w:rPr>
          <w:rFonts w:ascii="Garamond" w:hAnsi="Garamond"/>
        </w:rPr>
      </w:pPr>
      <w:r w:rsidRPr="00830F4C">
        <w:rPr>
          <w:rFonts w:ascii="Garamond" w:hAnsi="Garamond"/>
        </w:rPr>
        <w:t xml:space="preserve">Aktualisht, kemi rreth 28% e deklaratave doganore procesohen duke </w:t>
      </w:r>
      <w:r w:rsidR="00A53717" w:rsidRPr="00830F4C">
        <w:rPr>
          <w:rFonts w:ascii="Garamond" w:hAnsi="Garamond"/>
        </w:rPr>
        <w:t>qenë</w:t>
      </w:r>
      <w:r w:rsidRPr="00830F4C">
        <w:rPr>
          <w:rFonts w:ascii="Garamond" w:hAnsi="Garamond"/>
        </w:rPr>
        <w:t xml:space="preserve"> në kanal të gjelbër, e cila është plotësisht në përputhje me objektivin tonë. Nëpërmjet masave që do të ndërmerren në këtë Strategji, synohet të rritet përqindja e shfrytëzimit të kanalit të gjelbër me rreth 33%.</w:t>
      </w:r>
    </w:p>
    <w:p w14:paraId="5327892B" w14:textId="2DDA3E2A" w:rsidR="00316D86" w:rsidRPr="00830F4C" w:rsidRDefault="00316D86" w:rsidP="00A53717">
      <w:pPr>
        <w:ind w:firstLine="284"/>
        <w:jc w:val="both"/>
        <w:rPr>
          <w:rFonts w:ascii="Garamond" w:hAnsi="Garamond"/>
          <w:b/>
          <w:bCs/>
        </w:rPr>
      </w:pPr>
      <w:r w:rsidRPr="00830F4C">
        <w:rPr>
          <w:rFonts w:ascii="Garamond" w:hAnsi="Garamond"/>
          <w:b/>
          <w:bCs/>
        </w:rPr>
        <w:t>Centralizimi i profileve të riskut për</w:t>
      </w:r>
      <w:r w:rsidR="00A53717">
        <w:rPr>
          <w:rFonts w:ascii="Garamond" w:hAnsi="Garamond"/>
          <w:b/>
          <w:bCs/>
        </w:rPr>
        <w:t xml:space="preserve"> </w:t>
      </w:r>
      <w:r w:rsidRPr="00830F4C">
        <w:rPr>
          <w:rFonts w:ascii="Garamond" w:hAnsi="Garamond"/>
          <w:b/>
          <w:bCs/>
        </w:rPr>
        <w:t>të përfshirë edhe akcizën për produktet vendase të akcizës</w:t>
      </w:r>
    </w:p>
    <w:p w14:paraId="2EC61C13" w14:textId="09FF3EB5" w:rsidR="00316D86" w:rsidRPr="00830F4C" w:rsidRDefault="00316D86" w:rsidP="00316D86">
      <w:pPr>
        <w:ind w:firstLine="284"/>
        <w:jc w:val="both"/>
        <w:rPr>
          <w:rFonts w:ascii="Garamond" w:hAnsi="Garamond"/>
        </w:rPr>
      </w:pPr>
      <w:r w:rsidRPr="00830F4C">
        <w:rPr>
          <w:rFonts w:ascii="Garamond" w:hAnsi="Garamond"/>
        </w:rPr>
        <w:t xml:space="preserve">Moduli aktual i Përzgjedhjes në sistemin ASYCUDA </w:t>
      </w:r>
      <w:r w:rsidRPr="00A53717">
        <w:rPr>
          <w:rFonts w:ascii="Garamond" w:hAnsi="Garamond"/>
          <w:i/>
        </w:rPr>
        <w:t>World</w:t>
      </w:r>
      <w:r w:rsidRPr="00830F4C">
        <w:rPr>
          <w:rFonts w:ascii="Garamond" w:hAnsi="Garamond"/>
        </w:rPr>
        <w:t xml:space="preserve"> nuk mundëson përzgjedhjen me risk në fushën e prodhimet vendase të akcizës, përveçse për mallrat në import. Profilizimi i riskut është i centralizuar, megjithëse sistemi mundëson edhe krijimin e profileve lokale të riskut. Sidoqoftë, </w:t>
      </w:r>
      <w:r w:rsidR="00A53717" w:rsidRPr="00830F4C">
        <w:rPr>
          <w:rFonts w:ascii="Garamond" w:hAnsi="Garamond"/>
        </w:rPr>
        <w:t>meqenëse</w:t>
      </w:r>
      <w:r w:rsidRPr="00830F4C">
        <w:rPr>
          <w:rFonts w:ascii="Garamond" w:hAnsi="Garamond"/>
        </w:rPr>
        <w:t xml:space="preserve"> ‘centralizimi’ nënkupton përfshirjen e fushës së akcizës në të njëjtin Moduli </w:t>
      </w:r>
      <w:r w:rsidR="00A53717" w:rsidRPr="00A53717">
        <w:rPr>
          <w:rFonts w:ascii="Garamond" w:hAnsi="Garamond"/>
        </w:rPr>
        <w:t>të</w:t>
      </w:r>
      <w:r w:rsidRPr="00830F4C">
        <w:rPr>
          <w:rFonts w:ascii="Garamond" w:hAnsi="Garamond"/>
        </w:rPr>
        <w:t xml:space="preserve"> Përzgjedhjes/Selektivitetit (njëlloj si për profilet e importit të mallrave të akcizës), administrata doganore po punon aktualisht për zbatimin e modulit të rrezikut në fushën e produkteve vendase të akcizës, duke qenë kështu në përputhje me këtë masë shpresojmë brenda vitit 2024 ose më së voni brenda tremujorit të parë të vitit 2025.</w:t>
      </w:r>
    </w:p>
    <w:p w14:paraId="012FDC7F" w14:textId="77777777" w:rsidR="00316D86" w:rsidRPr="00830F4C" w:rsidRDefault="00316D86" w:rsidP="00316D86">
      <w:pPr>
        <w:ind w:firstLine="284"/>
        <w:jc w:val="both"/>
        <w:rPr>
          <w:rFonts w:ascii="Garamond" w:hAnsi="Garamond"/>
          <w:b/>
          <w:bCs/>
        </w:rPr>
      </w:pPr>
      <w:r w:rsidRPr="00830F4C">
        <w:rPr>
          <w:rFonts w:ascii="Garamond" w:hAnsi="Garamond"/>
          <w:b/>
          <w:bCs/>
        </w:rPr>
        <w:t xml:space="preserve">Implementimi i lidhjes në kohë reale midis ASYCUDA </w:t>
      </w:r>
      <w:r w:rsidRPr="00A53717">
        <w:rPr>
          <w:rFonts w:ascii="Garamond" w:hAnsi="Garamond"/>
          <w:b/>
          <w:bCs/>
          <w:i/>
        </w:rPr>
        <w:t>World</w:t>
      </w:r>
      <w:r w:rsidRPr="00830F4C">
        <w:rPr>
          <w:rFonts w:ascii="Garamond" w:hAnsi="Garamond"/>
          <w:b/>
          <w:bCs/>
        </w:rPr>
        <w:t xml:space="preserve"> dhe ASYHUB</w:t>
      </w:r>
    </w:p>
    <w:p w14:paraId="242AB494" w14:textId="71663DC4" w:rsidR="00316D86" w:rsidRPr="00830F4C" w:rsidRDefault="00316D86" w:rsidP="00316D86">
      <w:pPr>
        <w:ind w:firstLine="284"/>
        <w:jc w:val="both"/>
        <w:rPr>
          <w:rFonts w:ascii="Garamond" w:hAnsi="Garamond"/>
        </w:rPr>
      </w:pPr>
      <w:r w:rsidRPr="00830F4C">
        <w:rPr>
          <w:rFonts w:ascii="Garamond" w:hAnsi="Garamond"/>
        </w:rPr>
        <w:t>Administrata doganore do të vazhdojë të ketë si një nga synimet dhe prioritetet kryesore, modernizimin e procedurave doganore si pjesë e strategjisë sonë afatgjatë, duke u fokusuar kështu në ngritjen e kapaciteteve dhe zhvillimet e TI-së, mbetet vendimtar për ne. Gjatë viteve të fundit janë realizuar zhvillime të rëndësishme në sistem që kanë modernizuar proceset e biznesit</w:t>
      </w:r>
      <w:r w:rsidR="00A53717">
        <w:rPr>
          <w:rFonts w:ascii="Garamond" w:hAnsi="Garamond"/>
        </w:rPr>
        <w:t>,</w:t>
      </w:r>
      <w:r w:rsidRPr="00830F4C">
        <w:rPr>
          <w:rFonts w:ascii="Garamond" w:hAnsi="Garamond"/>
        </w:rPr>
        <w:t xml:space="preserve"> të tilla si: </w:t>
      </w:r>
    </w:p>
    <w:p w14:paraId="155E4D56" w14:textId="77777777" w:rsidR="00316D86" w:rsidRPr="00830F4C" w:rsidRDefault="00316D86" w:rsidP="00316D86">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 xml:space="preserve">1. Implementimi në </w:t>
      </w:r>
      <w:r w:rsidRPr="00830F4C">
        <w:rPr>
          <w:rFonts w:ascii="Garamond" w:hAnsi="Garamond"/>
          <w:i/>
          <w:sz w:val="24"/>
          <w:szCs w:val="24"/>
        </w:rPr>
        <w:t>web</w:t>
      </w:r>
      <w:r w:rsidRPr="00830F4C">
        <w:rPr>
          <w:rFonts w:ascii="Garamond" w:hAnsi="Garamond"/>
          <w:sz w:val="24"/>
          <w:szCs w:val="24"/>
        </w:rPr>
        <w:t xml:space="preserve"> nëpërmjet </w:t>
      </w:r>
      <w:r w:rsidRPr="00830F4C">
        <w:rPr>
          <w:rFonts w:ascii="Garamond" w:hAnsi="Garamond"/>
          <w:i/>
          <w:sz w:val="24"/>
          <w:szCs w:val="24"/>
        </w:rPr>
        <w:t>e-Albania</w:t>
      </w:r>
      <w:r w:rsidRPr="00830F4C">
        <w:rPr>
          <w:rFonts w:ascii="Garamond" w:hAnsi="Garamond"/>
          <w:sz w:val="24"/>
          <w:szCs w:val="24"/>
        </w:rPr>
        <w:t xml:space="preserve"> i të dhënave personale të biznesit si: statusi i deklaratës doganore, statusi i tranzitit, statusi i pagesës dhe gjendja e llogarisë bankare.</w:t>
      </w:r>
    </w:p>
    <w:p w14:paraId="5DC9AABA" w14:textId="3C556820" w:rsidR="00316D86" w:rsidRPr="00830F4C" w:rsidRDefault="00316D86" w:rsidP="00316D86">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2. Implementimi në sistem i p</w:t>
      </w:r>
      <w:r w:rsidR="00A53717">
        <w:rPr>
          <w:rFonts w:ascii="Garamond" w:hAnsi="Garamond"/>
          <w:sz w:val="24"/>
          <w:szCs w:val="24"/>
        </w:rPr>
        <w:t>l</w:t>
      </w:r>
      <w:r w:rsidRPr="00830F4C">
        <w:rPr>
          <w:rFonts w:ascii="Garamond" w:hAnsi="Garamond"/>
          <w:sz w:val="24"/>
          <w:szCs w:val="24"/>
        </w:rPr>
        <w:t>umbosjes doganore, si një proces që ka përfunduar</w:t>
      </w:r>
      <w:r w:rsidR="00A53717">
        <w:rPr>
          <w:rFonts w:ascii="Garamond" w:hAnsi="Garamond"/>
          <w:sz w:val="24"/>
          <w:szCs w:val="24"/>
        </w:rPr>
        <w:t>.</w:t>
      </w:r>
    </w:p>
    <w:p w14:paraId="1CA798E5" w14:textId="07E6FB58" w:rsidR="00316D86" w:rsidRPr="00830F4C" w:rsidRDefault="00316D86" w:rsidP="00316D86">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3. Implementimi i AEO</w:t>
      </w:r>
      <w:r w:rsidR="00A53717" w:rsidRPr="00A53717">
        <w:rPr>
          <w:rFonts w:ascii="Garamond" w:hAnsi="Garamond"/>
          <w:sz w:val="24"/>
          <w:szCs w:val="24"/>
        </w:rPr>
        <w:t>-s</w:t>
      </w:r>
      <w:r w:rsidRPr="00830F4C">
        <w:rPr>
          <w:rFonts w:ascii="Garamond" w:hAnsi="Garamond"/>
          <w:sz w:val="24"/>
          <w:szCs w:val="24"/>
        </w:rPr>
        <w:t xml:space="preserve"> në sistem, proces tashmë i përfunduar.</w:t>
      </w:r>
      <w:r w:rsidRPr="00830F4C">
        <w:rPr>
          <w:rFonts w:ascii="Garamond" w:hAnsi="Garamond" w:cs="Calibri Light"/>
          <w:sz w:val="24"/>
          <w:szCs w:val="24"/>
        </w:rPr>
        <w:t xml:space="preserve"> </w:t>
      </w:r>
      <w:r w:rsidRPr="00830F4C">
        <w:rPr>
          <w:rFonts w:ascii="Garamond" w:hAnsi="Garamond"/>
          <w:sz w:val="24"/>
          <w:szCs w:val="24"/>
        </w:rPr>
        <w:t>UNCTAD</w:t>
      </w:r>
      <w:r w:rsidR="00A53717">
        <w:rPr>
          <w:rFonts w:ascii="Garamond" w:hAnsi="Garamond"/>
          <w:sz w:val="24"/>
          <w:szCs w:val="24"/>
        </w:rPr>
        <w:t>-i</w:t>
      </w:r>
      <w:r w:rsidRPr="00830F4C">
        <w:rPr>
          <w:rFonts w:ascii="Garamond" w:hAnsi="Garamond"/>
          <w:sz w:val="24"/>
          <w:szCs w:val="24"/>
        </w:rPr>
        <w:t xml:space="preserve"> ka vënë në dispozicion një demo në ambientin test </w:t>
      </w:r>
      <w:r w:rsidRPr="00830F4C">
        <w:rPr>
          <w:rFonts w:ascii="Garamond" w:hAnsi="Garamond"/>
          <w:i/>
          <w:sz w:val="24"/>
          <w:szCs w:val="24"/>
        </w:rPr>
        <w:t>Asycuda</w:t>
      </w:r>
      <w:r w:rsidRPr="00830F4C">
        <w:rPr>
          <w:rFonts w:ascii="Garamond" w:hAnsi="Garamond"/>
          <w:sz w:val="24"/>
          <w:szCs w:val="24"/>
        </w:rPr>
        <w:t>, i cili është në fazë testimi nga DPD</w:t>
      </w:r>
      <w:r w:rsidR="00A53717">
        <w:rPr>
          <w:rFonts w:ascii="Garamond" w:hAnsi="Garamond"/>
          <w:sz w:val="24"/>
          <w:szCs w:val="24"/>
        </w:rPr>
        <w:t>-ja</w:t>
      </w:r>
      <w:r w:rsidRPr="00830F4C">
        <w:rPr>
          <w:rFonts w:ascii="Garamond" w:hAnsi="Garamond"/>
          <w:sz w:val="24"/>
          <w:szCs w:val="24"/>
        </w:rPr>
        <w:t>. Nga UNCTAD</w:t>
      </w:r>
      <w:r w:rsidR="00A53717">
        <w:rPr>
          <w:rFonts w:ascii="Garamond" w:hAnsi="Garamond"/>
          <w:sz w:val="24"/>
          <w:szCs w:val="24"/>
        </w:rPr>
        <w:t>-i</w:t>
      </w:r>
      <w:r w:rsidRPr="00830F4C">
        <w:rPr>
          <w:rFonts w:ascii="Garamond" w:hAnsi="Garamond"/>
          <w:sz w:val="24"/>
          <w:szCs w:val="24"/>
        </w:rPr>
        <w:t xml:space="preserve"> nevojitet të bëhen disa ndryshime deri në implementimin e plotë të këtij zhvillimi.</w:t>
      </w:r>
    </w:p>
    <w:p w14:paraId="64A159F6" w14:textId="1E43D2F5" w:rsidR="00316D86" w:rsidRPr="00830F4C" w:rsidRDefault="00316D86" w:rsidP="00316D86">
      <w:pPr>
        <w:ind w:firstLine="284"/>
        <w:jc w:val="both"/>
        <w:rPr>
          <w:rFonts w:ascii="Garamond" w:hAnsi="Garamond"/>
        </w:rPr>
      </w:pPr>
      <w:r w:rsidRPr="00830F4C">
        <w:rPr>
          <w:rFonts w:ascii="Garamond" w:hAnsi="Garamond"/>
        </w:rPr>
        <w:t>Në këtë drejtim, do të fillohet të fillojmë të pilotohet ASYHUB për përpunimin para mbërritjes dhe para nisjes së ngarkesave detare për shkëmbimin di</w:t>
      </w:r>
      <w:r w:rsidR="008C0C0F" w:rsidRPr="00830F4C">
        <w:rPr>
          <w:rFonts w:ascii="Garamond" w:hAnsi="Garamond"/>
        </w:rPr>
        <w:t>gj</w:t>
      </w:r>
      <w:r w:rsidRPr="00830F4C">
        <w:rPr>
          <w:rFonts w:ascii="Garamond" w:hAnsi="Garamond"/>
        </w:rPr>
        <w:t xml:space="preserve">ital B2G (biznes ndaj qeverisë) midis sistemeve TIK të ofruesve të të dhënave të anijes dhe sistemeve ASYCUDA </w:t>
      </w:r>
      <w:r w:rsidRPr="00830F4C">
        <w:rPr>
          <w:rFonts w:ascii="Garamond" w:hAnsi="Garamond"/>
          <w:i/>
        </w:rPr>
        <w:t>World</w:t>
      </w:r>
      <w:r w:rsidRPr="00830F4C">
        <w:rPr>
          <w:rFonts w:ascii="Garamond" w:hAnsi="Garamond"/>
        </w:rPr>
        <w:t xml:space="preserve"> në Shqipëri. Njësitë e kontrollit të portit do të jenë më pas në gjendje të kryejnë vlerësimin e rrezikut dhe të përpunojnë të dhënat paraprake të ngarkesave me synimin për të menaxhuar në mënyrë më efektive lëvizjen ndërkufitare të mallrave të rrezikshme dhe/ose të paligjshme, të përgatisin vendimin e lirimit përpara se mallrat të mbërrijnë në porti</w:t>
      </w:r>
      <w:r w:rsidR="00A53717">
        <w:rPr>
          <w:rFonts w:ascii="Garamond" w:hAnsi="Garamond"/>
        </w:rPr>
        <w:t>n</w:t>
      </w:r>
      <w:r w:rsidRPr="00830F4C">
        <w:rPr>
          <w:rFonts w:ascii="Garamond" w:hAnsi="Garamond"/>
        </w:rPr>
        <w:t xml:space="preserve"> </w:t>
      </w:r>
      <w:r w:rsidR="00A53717">
        <w:rPr>
          <w:rFonts w:ascii="Garamond" w:hAnsi="Garamond"/>
        </w:rPr>
        <w:t>e</w:t>
      </w:r>
      <w:r w:rsidRPr="00830F4C">
        <w:rPr>
          <w:rFonts w:ascii="Garamond" w:hAnsi="Garamond"/>
        </w:rPr>
        <w:t xml:space="preserve"> hyrjes/porti</w:t>
      </w:r>
      <w:r w:rsidR="00A53717">
        <w:rPr>
          <w:rFonts w:ascii="Garamond" w:hAnsi="Garamond"/>
        </w:rPr>
        <w:t>n</w:t>
      </w:r>
      <w:r w:rsidRPr="00830F4C">
        <w:rPr>
          <w:rFonts w:ascii="Garamond" w:hAnsi="Garamond"/>
        </w:rPr>
        <w:t xml:space="preserve"> </w:t>
      </w:r>
      <w:r w:rsidR="00A53717">
        <w:rPr>
          <w:rFonts w:ascii="Garamond" w:hAnsi="Garamond"/>
        </w:rPr>
        <w:t>e</w:t>
      </w:r>
      <w:r w:rsidRPr="00830F4C">
        <w:rPr>
          <w:rFonts w:ascii="Garamond" w:hAnsi="Garamond"/>
        </w:rPr>
        <w:t xml:space="preserve"> daljes, duke mundësuar kështu lirimin e mallit të zhdoganuar menjëherë pas mbërritjes</w:t>
      </w:r>
      <w:r w:rsidR="00A53717">
        <w:rPr>
          <w:rFonts w:ascii="Garamond" w:hAnsi="Garamond"/>
        </w:rPr>
        <w:t>.</w:t>
      </w:r>
    </w:p>
    <w:p w14:paraId="1D052B3B" w14:textId="77777777" w:rsidR="00316D86" w:rsidRPr="00830F4C" w:rsidRDefault="00316D86" w:rsidP="00316D86">
      <w:pPr>
        <w:ind w:firstLine="284"/>
        <w:jc w:val="both"/>
        <w:rPr>
          <w:rFonts w:ascii="Garamond" w:hAnsi="Garamond"/>
        </w:rPr>
      </w:pPr>
      <w:r w:rsidRPr="00830F4C">
        <w:rPr>
          <w:rFonts w:ascii="Garamond" w:hAnsi="Garamond"/>
        </w:rPr>
        <w:t>Ky projekt do të finalizohet brenda kohëzgjatjes së strategjisë.</w:t>
      </w:r>
    </w:p>
    <w:p w14:paraId="6A582962" w14:textId="6FE5820E" w:rsidR="00316D86" w:rsidRPr="00830F4C" w:rsidRDefault="00316D86" w:rsidP="00316D86">
      <w:pPr>
        <w:ind w:firstLine="284"/>
        <w:jc w:val="both"/>
        <w:rPr>
          <w:rFonts w:ascii="Garamond" w:hAnsi="Garamond"/>
        </w:rPr>
      </w:pPr>
      <w:r w:rsidRPr="00830F4C">
        <w:rPr>
          <w:rFonts w:ascii="Garamond" w:hAnsi="Garamond"/>
        </w:rPr>
        <w:t xml:space="preserve">Brenda kohëzgjatjes së strategjisë, do të finalizohet implementimi i lidhjes në kohë reale midis ASYCUDA </w:t>
      </w:r>
      <w:r w:rsidRPr="00A53717">
        <w:rPr>
          <w:rFonts w:ascii="Garamond" w:hAnsi="Garamond"/>
          <w:i/>
        </w:rPr>
        <w:t>World</w:t>
      </w:r>
      <w:r w:rsidRPr="00830F4C">
        <w:rPr>
          <w:rFonts w:ascii="Garamond" w:hAnsi="Garamond"/>
        </w:rPr>
        <w:t xml:space="preserve"> dhe ASYHUB, sistem i cili bën </w:t>
      </w:r>
      <w:r w:rsidR="008C0C0F" w:rsidRPr="00830F4C">
        <w:rPr>
          <w:rFonts w:ascii="Garamond" w:hAnsi="Garamond"/>
        </w:rPr>
        <w:t>identifikimin</w:t>
      </w:r>
      <w:r w:rsidRPr="00830F4C">
        <w:rPr>
          <w:rFonts w:ascii="Garamond" w:hAnsi="Garamond"/>
        </w:rPr>
        <w:t xml:space="preserve"> e </w:t>
      </w:r>
      <w:r w:rsidR="008C0C0F" w:rsidRPr="00830F4C">
        <w:rPr>
          <w:rFonts w:ascii="Garamond" w:hAnsi="Garamond"/>
        </w:rPr>
        <w:t>kontejnerëve</w:t>
      </w:r>
      <w:r w:rsidRPr="00830F4C">
        <w:rPr>
          <w:rFonts w:ascii="Garamond" w:hAnsi="Garamond"/>
        </w:rPr>
        <w:t xml:space="preserve"> që në momentin e nisjes nga </w:t>
      </w:r>
      <w:r w:rsidR="008C0C0F" w:rsidRPr="00830F4C">
        <w:rPr>
          <w:rFonts w:ascii="Garamond" w:hAnsi="Garamond"/>
        </w:rPr>
        <w:t>çdo</w:t>
      </w:r>
      <w:r w:rsidRPr="00830F4C">
        <w:rPr>
          <w:rFonts w:ascii="Garamond" w:hAnsi="Garamond"/>
        </w:rPr>
        <w:t xml:space="preserve"> port në botë.</w:t>
      </w:r>
    </w:p>
    <w:p w14:paraId="53388239" w14:textId="507BE558" w:rsidR="00316D86" w:rsidRPr="00830F4C" w:rsidRDefault="00316D86" w:rsidP="00316D86">
      <w:pPr>
        <w:ind w:firstLine="284"/>
        <w:jc w:val="both"/>
        <w:rPr>
          <w:rFonts w:ascii="Garamond" w:hAnsi="Garamond"/>
          <w:b/>
          <w:bCs/>
        </w:rPr>
      </w:pPr>
      <w:r w:rsidRPr="00830F4C">
        <w:rPr>
          <w:rFonts w:ascii="Garamond" w:hAnsi="Garamond"/>
          <w:b/>
          <w:bCs/>
        </w:rPr>
        <w:t>Fuqizimi i kapaciteteve të punonjësve të AD</w:t>
      </w:r>
      <w:r w:rsidR="00A53717">
        <w:rPr>
          <w:rFonts w:ascii="Garamond" w:hAnsi="Garamond"/>
          <w:b/>
          <w:bCs/>
        </w:rPr>
        <w:t>-së</w:t>
      </w:r>
      <w:r w:rsidRPr="00830F4C">
        <w:rPr>
          <w:rFonts w:ascii="Garamond" w:hAnsi="Garamond"/>
          <w:b/>
          <w:bCs/>
        </w:rPr>
        <w:t xml:space="preserve"> përmes përmirësimit të praktikave të burimeve njerëzore dhe ofrimit të zhvillimit të kapaciteteve.</w:t>
      </w:r>
    </w:p>
    <w:p w14:paraId="39E89495" w14:textId="21DDA47E" w:rsidR="00316D86" w:rsidRPr="00830F4C" w:rsidRDefault="00316D86" w:rsidP="00316D86">
      <w:pPr>
        <w:ind w:firstLine="284"/>
        <w:jc w:val="both"/>
        <w:rPr>
          <w:rFonts w:ascii="Garamond" w:hAnsi="Garamond"/>
        </w:rPr>
      </w:pPr>
      <w:r w:rsidRPr="00830F4C">
        <w:rPr>
          <w:rFonts w:ascii="Garamond" w:hAnsi="Garamond"/>
        </w:rPr>
        <w:t xml:space="preserve">Administrata doganore i ka kushtuar një rëndësi të </w:t>
      </w:r>
      <w:r w:rsidR="00A53717" w:rsidRPr="00830F4C">
        <w:rPr>
          <w:rFonts w:ascii="Garamond" w:hAnsi="Garamond"/>
        </w:rPr>
        <w:t>veçantë</w:t>
      </w:r>
      <w:r w:rsidRPr="00830F4C">
        <w:rPr>
          <w:rFonts w:ascii="Garamond" w:hAnsi="Garamond"/>
        </w:rPr>
        <w:t xml:space="preserve"> trajnimit dhe ritrajnimit të stafit për të rritur profesionalizmin dhe aftësitë bashkëkohore. Në zbatim të programit vjetor të miratuar me QTATD (Qendra e Trajnimeve të Administratës Tatimore dhe Doganore) për rritjen e aftësimit profesional dhe në përputhje me nevojat e punonjësve, është zbatuar Programi i Trajnimeve sipas Kalendarit të aprovuar me QTATD</w:t>
      </w:r>
      <w:r w:rsidR="00A53717">
        <w:rPr>
          <w:rFonts w:ascii="Garamond" w:hAnsi="Garamond"/>
        </w:rPr>
        <w:t>-në</w:t>
      </w:r>
      <w:r w:rsidRPr="00830F4C">
        <w:rPr>
          <w:rFonts w:ascii="Garamond" w:hAnsi="Garamond"/>
        </w:rPr>
        <w:t>. Sipas Kalendarit vjetor të miratuar:</w:t>
      </w:r>
    </w:p>
    <w:p w14:paraId="2A98E3BC" w14:textId="3B42E85D" w:rsidR="00316D86" w:rsidRPr="00830F4C" w:rsidRDefault="00316D86" w:rsidP="00316D86">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 xml:space="preserve">1. Për target grupin </w:t>
      </w:r>
      <w:r w:rsidR="00D22EA5" w:rsidRPr="00830F4C">
        <w:rPr>
          <w:rFonts w:ascii="Garamond" w:hAnsi="Garamond"/>
          <w:sz w:val="24"/>
          <w:szCs w:val="24"/>
        </w:rPr>
        <w:t>“</w:t>
      </w:r>
      <w:r w:rsidRPr="00830F4C">
        <w:rPr>
          <w:rFonts w:ascii="Garamond" w:hAnsi="Garamond"/>
          <w:sz w:val="24"/>
          <w:szCs w:val="24"/>
        </w:rPr>
        <w:t xml:space="preserve">Nivelin </w:t>
      </w:r>
      <w:r w:rsidR="00A53717">
        <w:rPr>
          <w:rFonts w:ascii="Garamond" w:hAnsi="Garamond"/>
          <w:sz w:val="24"/>
          <w:szCs w:val="24"/>
        </w:rPr>
        <w:t>f</w:t>
      </w:r>
      <w:r w:rsidRPr="00830F4C">
        <w:rPr>
          <w:rFonts w:ascii="Garamond" w:hAnsi="Garamond"/>
          <w:sz w:val="24"/>
          <w:szCs w:val="24"/>
        </w:rPr>
        <w:t>unksional të Administratës Doganore</w:t>
      </w:r>
      <w:r w:rsidR="00D22EA5" w:rsidRPr="00830F4C">
        <w:rPr>
          <w:rFonts w:ascii="Garamond" w:hAnsi="Garamond"/>
          <w:sz w:val="24"/>
          <w:szCs w:val="24"/>
        </w:rPr>
        <w:t>”</w:t>
      </w:r>
      <w:r w:rsidRPr="00830F4C">
        <w:rPr>
          <w:rFonts w:ascii="Garamond" w:hAnsi="Garamond"/>
          <w:sz w:val="24"/>
          <w:szCs w:val="24"/>
        </w:rPr>
        <w:t xml:space="preserve"> janë zhvilluar 10 tematika ku janë trajnuar 180 punonjës. </w:t>
      </w:r>
    </w:p>
    <w:p w14:paraId="46656156" w14:textId="6EE58291" w:rsidR="00316D86" w:rsidRPr="00830F4C" w:rsidRDefault="00316D86" w:rsidP="00316D86">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 xml:space="preserve">2. Për target grupin </w:t>
      </w:r>
      <w:r w:rsidR="00D22EA5" w:rsidRPr="00830F4C">
        <w:rPr>
          <w:rFonts w:ascii="Garamond" w:hAnsi="Garamond"/>
          <w:sz w:val="24"/>
          <w:szCs w:val="24"/>
        </w:rPr>
        <w:t>“</w:t>
      </w:r>
      <w:r w:rsidRPr="00830F4C">
        <w:rPr>
          <w:rFonts w:ascii="Garamond" w:hAnsi="Garamond"/>
          <w:sz w:val="24"/>
          <w:szCs w:val="24"/>
        </w:rPr>
        <w:t xml:space="preserve"> Nivelin </w:t>
      </w:r>
      <w:r w:rsidR="00A53717">
        <w:rPr>
          <w:rFonts w:ascii="Garamond" w:hAnsi="Garamond"/>
          <w:sz w:val="24"/>
          <w:szCs w:val="24"/>
        </w:rPr>
        <w:t>v</w:t>
      </w:r>
      <w:r w:rsidRPr="00830F4C">
        <w:rPr>
          <w:rFonts w:ascii="Garamond" w:hAnsi="Garamond"/>
          <w:sz w:val="24"/>
          <w:szCs w:val="24"/>
        </w:rPr>
        <w:t>azhdues të Administratës Doganore</w:t>
      </w:r>
      <w:r w:rsidR="00D22EA5" w:rsidRPr="00830F4C">
        <w:rPr>
          <w:rFonts w:ascii="Garamond" w:hAnsi="Garamond"/>
          <w:sz w:val="24"/>
          <w:szCs w:val="24"/>
        </w:rPr>
        <w:t>”</w:t>
      </w:r>
      <w:r w:rsidRPr="00830F4C">
        <w:rPr>
          <w:rFonts w:ascii="Garamond" w:hAnsi="Garamond"/>
          <w:sz w:val="24"/>
          <w:szCs w:val="24"/>
        </w:rPr>
        <w:t xml:space="preserve"> janë zhvilluar 5 tematika ku janë trajnuar 85 punonjës</w:t>
      </w:r>
      <w:r w:rsidR="00D22EA5" w:rsidRPr="00830F4C">
        <w:rPr>
          <w:rFonts w:ascii="Garamond" w:hAnsi="Garamond"/>
          <w:sz w:val="24"/>
          <w:szCs w:val="24"/>
        </w:rPr>
        <w:t xml:space="preserve"> </w:t>
      </w:r>
    </w:p>
    <w:p w14:paraId="3A54095E" w14:textId="4AA9CA8D" w:rsidR="00316D86" w:rsidRPr="00830F4C" w:rsidRDefault="00316D86" w:rsidP="00316D86">
      <w:pPr>
        <w:pStyle w:val="ListParagraph"/>
        <w:spacing w:after="0" w:line="240" w:lineRule="auto"/>
        <w:ind w:left="0" w:firstLine="284"/>
        <w:jc w:val="both"/>
        <w:rPr>
          <w:rFonts w:ascii="Garamond" w:hAnsi="Garamond"/>
          <w:sz w:val="24"/>
          <w:szCs w:val="24"/>
        </w:rPr>
      </w:pPr>
      <w:r w:rsidRPr="00830F4C">
        <w:rPr>
          <w:rFonts w:ascii="Garamond" w:hAnsi="Garamond"/>
          <w:sz w:val="24"/>
          <w:szCs w:val="24"/>
        </w:rPr>
        <w:t xml:space="preserve">3. Për target grupin </w:t>
      </w:r>
      <w:r w:rsidR="00D22EA5" w:rsidRPr="00830F4C">
        <w:rPr>
          <w:rFonts w:ascii="Garamond" w:hAnsi="Garamond"/>
          <w:sz w:val="24"/>
          <w:szCs w:val="24"/>
        </w:rPr>
        <w:t>“</w:t>
      </w:r>
      <w:r w:rsidRPr="00830F4C">
        <w:rPr>
          <w:rFonts w:ascii="Garamond" w:hAnsi="Garamond"/>
          <w:sz w:val="24"/>
          <w:szCs w:val="24"/>
        </w:rPr>
        <w:t>Punonjësit e rinj</w:t>
      </w:r>
      <w:r w:rsidR="00D22EA5" w:rsidRPr="00830F4C">
        <w:rPr>
          <w:rFonts w:ascii="Garamond" w:hAnsi="Garamond"/>
          <w:sz w:val="24"/>
          <w:szCs w:val="24"/>
        </w:rPr>
        <w:t>”</w:t>
      </w:r>
      <w:r w:rsidRPr="00830F4C">
        <w:rPr>
          <w:rFonts w:ascii="Garamond" w:hAnsi="Garamond"/>
          <w:sz w:val="24"/>
          <w:szCs w:val="24"/>
        </w:rPr>
        <w:t xml:space="preserve"> pritet përfundimi i procesit të rekrutimit për të zhvilluar 17 tematikat e planifikuara. </w:t>
      </w:r>
    </w:p>
    <w:p w14:paraId="44F82EEB" w14:textId="5EB915F4" w:rsidR="00316D86" w:rsidRPr="00830F4C" w:rsidRDefault="00316D86" w:rsidP="00316D86">
      <w:pPr>
        <w:ind w:firstLine="284"/>
        <w:jc w:val="both"/>
        <w:rPr>
          <w:rFonts w:ascii="Garamond" w:hAnsi="Garamond"/>
        </w:rPr>
      </w:pPr>
      <w:r w:rsidRPr="00830F4C">
        <w:rPr>
          <w:rFonts w:ascii="Garamond" w:hAnsi="Garamond"/>
        </w:rPr>
        <w:t>Gjithashtu, janë zhvilluar 13 tematika në bashkëpunim me institucione të tjera me pjesëmarrjen e 240 punonjësve të ADSH</w:t>
      </w:r>
      <w:r w:rsidR="00A53717">
        <w:rPr>
          <w:rFonts w:ascii="Garamond" w:hAnsi="Garamond"/>
        </w:rPr>
        <w:t>-së</w:t>
      </w:r>
      <w:r w:rsidRPr="00830F4C">
        <w:rPr>
          <w:rFonts w:ascii="Garamond" w:hAnsi="Garamond"/>
        </w:rPr>
        <w:t>.</w:t>
      </w:r>
    </w:p>
    <w:p w14:paraId="002CCA10" w14:textId="77777777" w:rsidR="00316D86" w:rsidRPr="00830F4C" w:rsidRDefault="00316D86" w:rsidP="00316D86">
      <w:pPr>
        <w:ind w:firstLine="284"/>
        <w:jc w:val="both"/>
        <w:rPr>
          <w:rFonts w:ascii="Garamond" w:hAnsi="Garamond"/>
          <w:b/>
          <w:bCs/>
        </w:rPr>
      </w:pPr>
      <w:r w:rsidRPr="00830F4C">
        <w:rPr>
          <w:rFonts w:ascii="Garamond" w:hAnsi="Garamond"/>
          <w:b/>
          <w:bCs/>
        </w:rPr>
        <w:t>Prioritetet:</w:t>
      </w:r>
    </w:p>
    <w:p w14:paraId="51506F60" w14:textId="4CDC2116" w:rsidR="00316D86" w:rsidRPr="00830F4C" w:rsidRDefault="00316D86" w:rsidP="00316D86">
      <w:pPr>
        <w:ind w:firstLine="284"/>
        <w:jc w:val="both"/>
        <w:rPr>
          <w:rFonts w:ascii="Garamond" w:hAnsi="Garamond"/>
        </w:rPr>
      </w:pPr>
      <w:r w:rsidRPr="00830F4C">
        <w:rPr>
          <w:rFonts w:ascii="Garamond" w:hAnsi="Garamond"/>
        </w:rPr>
        <w:t>Prioritetet për periudhën</w:t>
      </w:r>
      <w:r w:rsidR="00800B00" w:rsidRPr="00830F4C">
        <w:rPr>
          <w:rFonts w:ascii="Garamond" w:hAnsi="Garamond"/>
        </w:rPr>
        <w:t xml:space="preserve"> </w:t>
      </w:r>
      <w:r w:rsidR="00D22EA5" w:rsidRPr="00830F4C">
        <w:rPr>
          <w:rFonts w:ascii="Garamond" w:hAnsi="Garamond"/>
        </w:rPr>
        <w:t>2024–2027</w:t>
      </w:r>
      <w:r w:rsidRPr="00830F4C">
        <w:rPr>
          <w:rFonts w:ascii="Garamond" w:hAnsi="Garamond"/>
        </w:rPr>
        <w:t xml:space="preserve"> janë:</w:t>
      </w:r>
    </w:p>
    <w:p w14:paraId="15CD8C1F" w14:textId="77777777" w:rsidR="00316D86" w:rsidRPr="00830F4C" w:rsidRDefault="00316D86" w:rsidP="00316D86">
      <w:pPr>
        <w:pStyle w:val="N-Bullet"/>
        <w:spacing w:after="0" w:line="240" w:lineRule="auto"/>
        <w:ind w:left="0" w:firstLine="284"/>
        <w:rPr>
          <w:rFonts w:ascii="Garamond" w:hAnsi="Garamond"/>
          <w:color w:val="auto"/>
          <w:sz w:val="24"/>
          <w:lang w:val="sq-AL"/>
        </w:rPr>
      </w:pPr>
      <w:r w:rsidRPr="00830F4C">
        <w:rPr>
          <w:rFonts w:ascii="Garamond" w:hAnsi="Garamond"/>
          <w:color w:val="auto"/>
          <w:sz w:val="24"/>
          <w:lang w:val="sq-AL"/>
        </w:rPr>
        <w:t>- Rritja e përdorimit të kanalit të gjelbër;</w:t>
      </w:r>
    </w:p>
    <w:p w14:paraId="098545C0" w14:textId="77777777" w:rsidR="00316D86" w:rsidRPr="00830F4C" w:rsidRDefault="00316D86" w:rsidP="00316D86">
      <w:pPr>
        <w:pStyle w:val="N-Bullet"/>
        <w:spacing w:after="0" w:line="240" w:lineRule="auto"/>
        <w:ind w:left="0" w:firstLine="284"/>
        <w:rPr>
          <w:rFonts w:ascii="Garamond" w:hAnsi="Garamond"/>
          <w:color w:val="auto"/>
          <w:sz w:val="24"/>
          <w:lang w:val="sq-AL"/>
        </w:rPr>
      </w:pPr>
      <w:r w:rsidRPr="00830F4C">
        <w:rPr>
          <w:rFonts w:ascii="Garamond" w:hAnsi="Garamond"/>
          <w:color w:val="auto"/>
          <w:sz w:val="24"/>
          <w:lang w:val="sq-AL"/>
        </w:rPr>
        <w:t>- Administrimi më i mirë i akcizës përmes sistemeve të riskut;</w:t>
      </w:r>
    </w:p>
    <w:p w14:paraId="58D18AF9" w14:textId="77777777" w:rsidR="00316D86" w:rsidRPr="00830F4C" w:rsidRDefault="00316D86" w:rsidP="00316D86">
      <w:pPr>
        <w:pStyle w:val="N-Bullet"/>
        <w:spacing w:after="0" w:line="240" w:lineRule="auto"/>
        <w:ind w:left="0" w:firstLine="284"/>
        <w:rPr>
          <w:rFonts w:ascii="Garamond" w:hAnsi="Garamond"/>
          <w:color w:val="auto"/>
          <w:sz w:val="24"/>
          <w:lang w:val="sq-AL"/>
        </w:rPr>
      </w:pPr>
      <w:r w:rsidRPr="00830F4C">
        <w:rPr>
          <w:rFonts w:ascii="Garamond" w:hAnsi="Garamond"/>
          <w:color w:val="auto"/>
          <w:sz w:val="24"/>
          <w:lang w:val="sq-AL"/>
        </w:rPr>
        <w:t>- Zhvillimi i sistemeve/moduleve IT që rrisin efektivitetin e administratës doganore;</w:t>
      </w:r>
    </w:p>
    <w:p w14:paraId="79CD6372" w14:textId="77777777" w:rsidR="00316D86" w:rsidRPr="00830F4C" w:rsidRDefault="00316D86" w:rsidP="00316D86">
      <w:pPr>
        <w:pStyle w:val="N-Bullet"/>
        <w:spacing w:after="0" w:line="240" w:lineRule="auto"/>
        <w:ind w:left="0" w:firstLine="284"/>
        <w:rPr>
          <w:rFonts w:ascii="Garamond" w:hAnsi="Garamond"/>
          <w:color w:val="auto"/>
          <w:sz w:val="24"/>
          <w:lang w:val="sq-AL"/>
        </w:rPr>
      </w:pPr>
      <w:r w:rsidRPr="00830F4C">
        <w:rPr>
          <w:rFonts w:ascii="Garamond" w:hAnsi="Garamond"/>
          <w:color w:val="auto"/>
          <w:sz w:val="24"/>
          <w:lang w:val="sq-AL"/>
        </w:rPr>
        <w:t>- Rritja e kapaciteteve të burimeve njerëzore tek administrata doganore.</w:t>
      </w:r>
    </w:p>
    <w:p w14:paraId="576D0952" w14:textId="77777777" w:rsidR="00316D86" w:rsidRPr="00830F4C" w:rsidRDefault="00316D86" w:rsidP="00316D86">
      <w:pPr>
        <w:jc w:val="both"/>
        <w:rPr>
          <w:rFonts w:ascii="Garamond" w:hAnsi="Garamond"/>
          <w:b/>
          <w:szCs w:val="20"/>
        </w:rPr>
      </w:pPr>
      <w:r w:rsidRPr="00830F4C">
        <w:rPr>
          <w:rFonts w:ascii="Garamond" w:hAnsi="Garamond"/>
          <w:b/>
          <w:szCs w:val="20"/>
        </w:rPr>
        <w:t>Masat dhe aktivitetet</w:t>
      </w:r>
    </w:p>
    <w:tbl>
      <w:tblPr>
        <w:tblStyle w:val="TableGrid"/>
        <w:tblW w:w="9960" w:type="dxa"/>
        <w:jc w:val="center"/>
        <w:tblLook w:val="04A0" w:firstRow="1" w:lastRow="0" w:firstColumn="1" w:lastColumn="0" w:noHBand="0" w:noVBand="1"/>
      </w:tblPr>
      <w:tblGrid>
        <w:gridCol w:w="2289"/>
        <w:gridCol w:w="2686"/>
        <w:gridCol w:w="1143"/>
        <w:gridCol w:w="1343"/>
        <w:gridCol w:w="2499"/>
      </w:tblGrid>
      <w:tr w:rsidR="00316D86" w:rsidRPr="00CC11D5" w14:paraId="66A4DFDC" w14:textId="77777777" w:rsidTr="00316D86">
        <w:trPr>
          <w:trHeight w:val="170"/>
          <w:jc w:val="center"/>
        </w:trPr>
        <w:tc>
          <w:tcPr>
            <w:tcW w:w="2289" w:type="dxa"/>
          </w:tcPr>
          <w:p w14:paraId="0D0B60D7" w14:textId="77777777" w:rsidR="00316D86" w:rsidRPr="00CC11D5" w:rsidRDefault="00316D86" w:rsidP="00316D86">
            <w:pPr>
              <w:jc w:val="center"/>
              <w:rPr>
                <w:rFonts w:ascii="Garamond" w:hAnsi="Garamond"/>
                <w:b/>
                <w:sz w:val="12"/>
                <w:szCs w:val="12"/>
              </w:rPr>
            </w:pPr>
            <w:r w:rsidRPr="00CC11D5">
              <w:rPr>
                <w:rFonts w:ascii="Garamond" w:hAnsi="Garamond"/>
                <w:b/>
                <w:sz w:val="12"/>
                <w:szCs w:val="12"/>
              </w:rPr>
              <w:t>Masa</w:t>
            </w:r>
          </w:p>
        </w:tc>
        <w:tc>
          <w:tcPr>
            <w:tcW w:w="2686" w:type="dxa"/>
          </w:tcPr>
          <w:p w14:paraId="088EC79D" w14:textId="77777777" w:rsidR="00316D86" w:rsidRPr="00CC11D5" w:rsidRDefault="00316D86" w:rsidP="00316D86">
            <w:pPr>
              <w:jc w:val="center"/>
              <w:rPr>
                <w:rFonts w:ascii="Garamond" w:hAnsi="Garamond"/>
                <w:b/>
                <w:sz w:val="12"/>
                <w:szCs w:val="12"/>
              </w:rPr>
            </w:pPr>
            <w:r w:rsidRPr="00CC11D5">
              <w:rPr>
                <w:rFonts w:ascii="Garamond" w:hAnsi="Garamond"/>
                <w:b/>
                <w:sz w:val="12"/>
                <w:szCs w:val="12"/>
              </w:rPr>
              <w:t>Aktivitetet</w:t>
            </w:r>
          </w:p>
        </w:tc>
        <w:tc>
          <w:tcPr>
            <w:tcW w:w="1143" w:type="dxa"/>
          </w:tcPr>
          <w:p w14:paraId="688C8BA7" w14:textId="77777777" w:rsidR="00316D86" w:rsidRPr="00CC11D5" w:rsidRDefault="00316D86" w:rsidP="00316D86">
            <w:pPr>
              <w:jc w:val="center"/>
              <w:rPr>
                <w:rFonts w:ascii="Garamond" w:hAnsi="Garamond"/>
                <w:b/>
                <w:sz w:val="12"/>
                <w:szCs w:val="12"/>
              </w:rPr>
            </w:pPr>
            <w:r w:rsidRPr="00CC11D5">
              <w:rPr>
                <w:rFonts w:ascii="Garamond" w:hAnsi="Garamond"/>
                <w:b/>
                <w:sz w:val="12"/>
                <w:szCs w:val="12"/>
              </w:rPr>
              <w:t>Fillimi</w:t>
            </w:r>
          </w:p>
        </w:tc>
        <w:tc>
          <w:tcPr>
            <w:tcW w:w="1343" w:type="dxa"/>
          </w:tcPr>
          <w:p w14:paraId="72D679A7" w14:textId="77777777" w:rsidR="00316D86" w:rsidRPr="00CC11D5" w:rsidRDefault="00316D86" w:rsidP="00316D86">
            <w:pPr>
              <w:jc w:val="center"/>
              <w:rPr>
                <w:rFonts w:ascii="Garamond" w:hAnsi="Garamond"/>
                <w:b/>
                <w:sz w:val="12"/>
                <w:szCs w:val="12"/>
              </w:rPr>
            </w:pPr>
            <w:r w:rsidRPr="00CC11D5">
              <w:rPr>
                <w:rFonts w:ascii="Garamond" w:hAnsi="Garamond"/>
                <w:b/>
                <w:sz w:val="12"/>
                <w:szCs w:val="12"/>
              </w:rPr>
              <w:t>Mbarimi</w:t>
            </w:r>
          </w:p>
        </w:tc>
        <w:tc>
          <w:tcPr>
            <w:tcW w:w="2499" w:type="dxa"/>
          </w:tcPr>
          <w:p w14:paraId="290602C4" w14:textId="77777777" w:rsidR="00316D86" w:rsidRPr="00CC11D5" w:rsidRDefault="00316D86" w:rsidP="00316D86">
            <w:pPr>
              <w:jc w:val="center"/>
              <w:rPr>
                <w:rFonts w:ascii="Garamond" w:hAnsi="Garamond"/>
                <w:b/>
                <w:sz w:val="12"/>
                <w:szCs w:val="12"/>
              </w:rPr>
            </w:pPr>
            <w:r w:rsidRPr="00CC11D5">
              <w:rPr>
                <w:rFonts w:ascii="Garamond" w:hAnsi="Garamond"/>
                <w:b/>
                <w:sz w:val="12"/>
                <w:szCs w:val="12"/>
              </w:rPr>
              <w:t>Institucioni përgjegjës</w:t>
            </w:r>
          </w:p>
        </w:tc>
      </w:tr>
      <w:tr w:rsidR="00316D86" w:rsidRPr="00CC11D5" w14:paraId="1FC61A1A" w14:textId="77777777" w:rsidTr="00316D86">
        <w:trPr>
          <w:trHeight w:val="170"/>
          <w:jc w:val="center"/>
        </w:trPr>
        <w:tc>
          <w:tcPr>
            <w:tcW w:w="2289" w:type="dxa"/>
          </w:tcPr>
          <w:p w14:paraId="5E2CDFC6" w14:textId="3F362D8C" w:rsidR="00316D86" w:rsidRPr="00CC11D5" w:rsidRDefault="00316D86" w:rsidP="00316D86">
            <w:pPr>
              <w:jc w:val="center"/>
              <w:rPr>
                <w:rFonts w:ascii="Garamond" w:eastAsiaTheme="minorHAnsi" w:hAnsi="Garamond"/>
                <w:sz w:val="12"/>
                <w:szCs w:val="12"/>
              </w:rPr>
            </w:pPr>
            <w:r w:rsidRPr="00CC11D5">
              <w:rPr>
                <w:rFonts w:ascii="Garamond" w:hAnsi="Garamond"/>
                <w:bCs/>
                <w:sz w:val="12"/>
                <w:szCs w:val="12"/>
              </w:rPr>
              <w:t>Masa 3.1.1 Përmirësimi i përzgjedhjes së kanaleve të riskut</w:t>
            </w:r>
          </w:p>
        </w:tc>
        <w:tc>
          <w:tcPr>
            <w:tcW w:w="2686" w:type="dxa"/>
          </w:tcPr>
          <w:p w14:paraId="7A919B7F" w14:textId="248A6258" w:rsidR="00316D86" w:rsidRPr="00CC11D5" w:rsidRDefault="00316D86" w:rsidP="00316D86">
            <w:pPr>
              <w:jc w:val="center"/>
              <w:rPr>
                <w:rFonts w:ascii="Garamond" w:eastAsiaTheme="minorHAnsi" w:hAnsi="Garamond"/>
                <w:sz w:val="12"/>
                <w:szCs w:val="12"/>
              </w:rPr>
            </w:pPr>
            <w:r w:rsidRPr="00CC11D5">
              <w:rPr>
                <w:rFonts w:ascii="Garamond" w:eastAsiaTheme="minorHAnsi" w:hAnsi="Garamond"/>
                <w:sz w:val="12"/>
                <w:szCs w:val="12"/>
              </w:rPr>
              <w:t>Aktiviteti 3.1.1.1</w:t>
            </w:r>
            <w:r w:rsidR="00505959" w:rsidRPr="00CC11D5">
              <w:rPr>
                <w:rFonts w:ascii="Garamond" w:eastAsiaTheme="minorHAnsi" w:hAnsi="Garamond"/>
                <w:sz w:val="12"/>
                <w:szCs w:val="12"/>
              </w:rPr>
              <w:t>:</w:t>
            </w:r>
            <w:r w:rsidRPr="00CC11D5">
              <w:rPr>
                <w:rFonts w:ascii="Garamond" w:eastAsiaTheme="minorHAnsi" w:hAnsi="Garamond"/>
                <w:sz w:val="12"/>
                <w:szCs w:val="12"/>
              </w:rPr>
              <w:t xml:space="preserve"> Përfshirja e më shumë kompanive në kanalin jeshil</w:t>
            </w:r>
          </w:p>
          <w:p w14:paraId="524CC2E1" w14:textId="77777777" w:rsidR="00F548D5" w:rsidRPr="00CC11D5" w:rsidRDefault="00F548D5" w:rsidP="00316D86">
            <w:pPr>
              <w:jc w:val="center"/>
              <w:rPr>
                <w:rFonts w:ascii="Garamond" w:hAnsi="Garamond"/>
                <w:sz w:val="12"/>
                <w:szCs w:val="12"/>
              </w:rPr>
            </w:pPr>
          </w:p>
          <w:p w14:paraId="3F075EE8" w14:textId="6BEB9DE3" w:rsidR="00316D86" w:rsidRPr="00CC11D5" w:rsidRDefault="00316D86" w:rsidP="00316D86">
            <w:pPr>
              <w:jc w:val="center"/>
              <w:rPr>
                <w:rFonts w:ascii="Garamond" w:eastAsiaTheme="minorHAnsi" w:hAnsi="Garamond"/>
                <w:sz w:val="12"/>
                <w:szCs w:val="12"/>
              </w:rPr>
            </w:pPr>
            <w:r w:rsidRPr="00CC11D5">
              <w:rPr>
                <w:rFonts w:ascii="Garamond" w:eastAsiaTheme="minorHAnsi" w:hAnsi="Garamond"/>
                <w:sz w:val="12"/>
                <w:szCs w:val="12"/>
              </w:rPr>
              <w:t>Aktiviteti 3.1.1.2</w:t>
            </w:r>
            <w:r w:rsidR="00505959" w:rsidRPr="00CC11D5">
              <w:rPr>
                <w:rFonts w:ascii="Garamond" w:eastAsiaTheme="minorHAnsi" w:hAnsi="Garamond"/>
                <w:sz w:val="12"/>
                <w:szCs w:val="12"/>
              </w:rPr>
              <w:t>:</w:t>
            </w:r>
            <w:r w:rsidR="00F548D5" w:rsidRPr="00CC11D5">
              <w:rPr>
                <w:rFonts w:ascii="Garamond" w:eastAsiaTheme="minorHAnsi" w:hAnsi="Garamond"/>
                <w:sz w:val="12"/>
                <w:szCs w:val="12"/>
              </w:rPr>
              <w:t xml:space="preserve"> </w:t>
            </w:r>
            <w:r w:rsidRPr="00CC11D5">
              <w:rPr>
                <w:rFonts w:ascii="Garamond" w:eastAsiaTheme="minorHAnsi" w:hAnsi="Garamond"/>
                <w:sz w:val="12"/>
                <w:szCs w:val="12"/>
              </w:rPr>
              <w:t>Dhënia prioritet e kompanive të besueshme</w:t>
            </w:r>
          </w:p>
          <w:p w14:paraId="6BE9C03F" w14:textId="77777777" w:rsidR="00F548D5" w:rsidRPr="00CC11D5" w:rsidRDefault="00F548D5" w:rsidP="00316D86">
            <w:pPr>
              <w:jc w:val="center"/>
              <w:rPr>
                <w:rFonts w:ascii="Garamond" w:hAnsi="Garamond"/>
                <w:sz w:val="12"/>
                <w:szCs w:val="12"/>
              </w:rPr>
            </w:pPr>
          </w:p>
          <w:p w14:paraId="18D0C938" w14:textId="3CD4467F" w:rsidR="00316D86" w:rsidRPr="00CC11D5" w:rsidRDefault="00316D86" w:rsidP="00316D86">
            <w:pPr>
              <w:jc w:val="center"/>
              <w:rPr>
                <w:rFonts w:ascii="Garamond" w:hAnsi="Garamond"/>
                <w:sz w:val="12"/>
                <w:szCs w:val="12"/>
              </w:rPr>
            </w:pPr>
            <w:r w:rsidRPr="00CC11D5">
              <w:rPr>
                <w:rFonts w:ascii="Garamond" w:eastAsiaTheme="minorHAnsi" w:hAnsi="Garamond"/>
                <w:sz w:val="12"/>
                <w:szCs w:val="12"/>
              </w:rPr>
              <w:t>Aktiviteti 3.1.1.3</w:t>
            </w:r>
            <w:r w:rsidR="00505959" w:rsidRPr="00CC11D5">
              <w:rPr>
                <w:rFonts w:ascii="Garamond" w:eastAsiaTheme="minorHAnsi" w:hAnsi="Garamond"/>
                <w:sz w:val="12"/>
                <w:szCs w:val="12"/>
              </w:rPr>
              <w:t xml:space="preserve">: </w:t>
            </w:r>
            <w:r w:rsidRPr="00CC11D5">
              <w:rPr>
                <w:rFonts w:ascii="Garamond" w:hAnsi="Garamond"/>
                <w:sz w:val="12"/>
                <w:szCs w:val="12"/>
              </w:rPr>
              <w:t>Rishqyrtimi i kritereve t</w:t>
            </w:r>
            <w:r w:rsidR="008C0C0F" w:rsidRPr="00CC11D5">
              <w:rPr>
                <w:rFonts w:ascii="Garamond" w:hAnsi="Garamond"/>
                <w:sz w:val="12"/>
                <w:szCs w:val="12"/>
              </w:rPr>
              <w:t>ë</w:t>
            </w:r>
            <w:r w:rsidRPr="00CC11D5">
              <w:rPr>
                <w:rFonts w:ascii="Garamond" w:hAnsi="Garamond"/>
                <w:sz w:val="12"/>
                <w:szCs w:val="12"/>
              </w:rPr>
              <w:t xml:space="preserve"> riskut</w:t>
            </w:r>
          </w:p>
        </w:tc>
        <w:tc>
          <w:tcPr>
            <w:tcW w:w="1143" w:type="dxa"/>
          </w:tcPr>
          <w:p w14:paraId="1CC42224" w14:textId="77777777" w:rsidR="00316D86" w:rsidRPr="00CC11D5" w:rsidRDefault="00316D86" w:rsidP="00316D86">
            <w:pPr>
              <w:jc w:val="center"/>
              <w:rPr>
                <w:rFonts w:ascii="Garamond" w:hAnsi="Garamond"/>
                <w:sz w:val="12"/>
                <w:szCs w:val="12"/>
              </w:rPr>
            </w:pPr>
            <w:r w:rsidRPr="00CC11D5">
              <w:rPr>
                <w:rFonts w:ascii="Garamond" w:hAnsi="Garamond"/>
                <w:sz w:val="12"/>
                <w:szCs w:val="12"/>
              </w:rPr>
              <w:t>2024</w:t>
            </w:r>
          </w:p>
        </w:tc>
        <w:tc>
          <w:tcPr>
            <w:tcW w:w="1343" w:type="dxa"/>
          </w:tcPr>
          <w:p w14:paraId="2B5E8CC8" w14:textId="77777777" w:rsidR="00316D86" w:rsidRPr="00CC11D5" w:rsidRDefault="00316D86" w:rsidP="00316D86">
            <w:pPr>
              <w:jc w:val="center"/>
              <w:rPr>
                <w:rFonts w:ascii="Garamond" w:hAnsi="Garamond"/>
                <w:sz w:val="12"/>
                <w:szCs w:val="12"/>
              </w:rPr>
            </w:pPr>
            <w:r w:rsidRPr="00CC11D5">
              <w:rPr>
                <w:rFonts w:ascii="Garamond" w:hAnsi="Garamond"/>
                <w:sz w:val="12"/>
                <w:szCs w:val="12"/>
              </w:rPr>
              <w:t>2024</w:t>
            </w:r>
          </w:p>
        </w:tc>
        <w:tc>
          <w:tcPr>
            <w:tcW w:w="2499" w:type="dxa"/>
          </w:tcPr>
          <w:p w14:paraId="654B95FE" w14:textId="77777777" w:rsidR="00316D86" w:rsidRPr="00CC11D5" w:rsidRDefault="00316D86" w:rsidP="00316D86">
            <w:pPr>
              <w:jc w:val="center"/>
              <w:rPr>
                <w:rFonts w:ascii="Garamond" w:hAnsi="Garamond"/>
                <w:sz w:val="12"/>
                <w:szCs w:val="12"/>
              </w:rPr>
            </w:pPr>
            <w:r w:rsidRPr="00CC11D5">
              <w:rPr>
                <w:rFonts w:ascii="Garamond" w:hAnsi="Garamond"/>
                <w:sz w:val="12"/>
                <w:szCs w:val="12"/>
              </w:rPr>
              <w:t>DPD/Drejtoria e Riskut</w:t>
            </w:r>
          </w:p>
        </w:tc>
      </w:tr>
      <w:tr w:rsidR="00316D86" w:rsidRPr="00CC11D5" w14:paraId="643CB040" w14:textId="77777777" w:rsidTr="00316D86">
        <w:trPr>
          <w:trHeight w:val="170"/>
          <w:jc w:val="center"/>
        </w:trPr>
        <w:tc>
          <w:tcPr>
            <w:tcW w:w="2289" w:type="dxa"/>
          </w:tcPr>
          <w:p w14:paraId="0DE40F58" w14:textId="1C7E3B30" w:rsidR="00316D86" w:rsidRPr="00CC11D5" w:rsidRDefault="00316D86" w:rsidP="00316D86">
            <w:pPr>
              <w:jc w:val="center"/>
              <w:rPr>
                <w:rFonts w:ascii="Garamond" w:eastAsiaTheme="minorHAnsi" w:hAnsi="Garamond"/>
                <w:sz w:val="12"/>
                <w:szCs w:val="12"/>
              </w:rPr>
            </w:pPr>
            <w:r w:rsidRPr="00CC11D5">
              <w:rPr>
                <w:rFonts w:ascii="Garamond" w:eastAsiaTheme="minorHAnsi" w:hAnsi="Garamond"/>
                <w:sz w:val="12"/>
                <w:szCs w:val="12"/>
              </w:rPr>
              <w:t>Masa 3.1.2 C</w:t>
            </w:r>
            <w:r w:rsidRPr="00CC11D5">
              <w:rPr>
                <w:rFonts w:ascii="Garamond" w:hAnsi="Garamond"/>
                <w:sz w:val="12"/>
                <w:szCs w:val="12"/>
              </w:rPr>
              <w:t>entralizimi i profileve të riskut për të përfshirë edhe akcizën</w:t>
            </w:r>
          </w:p>
        </w:tc>
        <w:tc>
          <w:tcPr>
            <w:tcW w:w="2686" w:type="dxa"/>
          </w:tcPr>
          <w:p w14:paraId="012D69C8" w14:textId="4EE37E8B" w:rsidR="00316D86" w:rsidRPr="00CC11D5" w:rsidRDefault="00316D86" w:rsidP="00316D86">
            <w:pPr>
              <w:jc w:val="center"/>
              <w:rPr>
                <w:rFonts w:ascii="Garamond" w:eastAsiaTheme="minorHAnsi" w:hAnsi="Garamond"/>
                <w:sz w:val="12"/>
                <w:szCs w:val="12"/>
              </w:rPr>
            </w:pPr>
            <w:r w:rsidRPr="00CC11D5">
              <w:rPr>
                <w:rFonts w:ascii="Garamond" w:eastAsiaTheme="minorHAnsi" w:hAnsi="Garamond"/>
                <w:sz w:val="12"/>
                <w:szCs w:val="12"/>
              </w:rPr>
              <w:t>Aktiviteti 3.1.2.1</w:t>
            </w:r>
            <w:r w:rsidR="00505959" w:rsidRPr="00CC11D5">
              <w:rPr>
                <w:rFonts w:ascii="Garamond" w:eastAsiaTheme="minorHAnsi" w:hAnsi="Garamond"/>
                <w:sz w:val="12"/>
                <w:szCs w:val="12"/>
              </w:rPr>
              <w:t xml:space="preserve">: </w:t>
            </w:r>
            <w:r w:rsidRPr="00CC11D5">
              <w:rPr>
                <w:rFonts w:ascii="Garamond" w:eastAsiaTheme="minorHAnsi" w:hAnsi="Garamond"/>
                <w:sz w:val="12"/>
                <w:szCs w:val="12"/>
              </w:rPr>
              <w:t>Krijimi Teknik i Modelit të Selektivitetit të produkteve vendase të akcizës</w:t>
            </w:r>
            <w:r w:rsidR="00F548D5" w:rsidRPr="00CC11D5">
              <w:rPr>
                <w:rFonts w:ascii="Garamond" w:eastAsiaTheme="minorHAnsi" w:hAnsi="Garamond"/>
                <w:sz w:val="12"/>
                <w:szCs w:val="12"/>
              </w:rPr>
              <w:t>;</w:t>
            </w:r>
          </w:p>
          <w:p w14:paraId="5159B2BA" w14:textId="77777777" w:rsidR="00F548D5" w:rsidRPr="00CC11D5" w:rsidRDefault="00F548D5" w:rsidP="00316D86">
            <w:pPr>
              <w:jc w:val="center"/>
              <w:rPr>
                <w:rFonts w:ascii="Garamond" w:eastAsiaTheme="minorHAnsi" w:hAnsi="Garamond"/>
                <w:sz w:val="12"/>
                <w:szCs w:val="12"/>
              </w:rPr>
            </w:pPr>
          </w:p>
          <w:p w14:paraId="463FC3B8" w14:textId="5F463C76" w:rsidR="00316D86" w:rsidRPr="00CC11D5" w:rsidRDefault="00316D86" w:rsidP="00316D86">
            <w:pPr>
              <w:jc w:val="center"/>
              <w:rPr>
                <w:rFonts w:ascii="Garamond" w:eastAsiaTheme="minorHAnsi" w:hAnsi="Garamond"/>
                <w:sz w:val="12"/>
                <w:szCs w:val="12"/>
              </w:rPr>
            </w:pPr>
            <w:r w:rsidRPr="00CC11D5">
              <w:rPr>
                <w:rFonts w:ascii="Garamond" w:eastAsiaTheme="minorHAnsi" w:hAnsi="Garamond"/>
                <w:sz w:val="12"/>
                <w:szCs w:val="12"/>
              </w:rPr>
              <w:t>Aktiviteti 3.1.2.2</w:t>
            </w:r>
            <w:r w:rsidR="00505959" w:rsidRPr="00CC11D5">
              <w:rPr>
                <w:rFonts w:ascii="Garamond" w:eastAsiaTheme="minorHAnsi" w:hAnsi="Garamond"/>
                <w:sz w:val="12"/>
                <w:szCs w:val="12"/>
              </w:rPr>
              <w:t xml:space="preserve">: </w:t>
            </w:r>
            <w:r w:rsidRPr="00CC11D5">
              <w:rPr>
                <w:rFonts w:ascii="Garamond" w:eastAsiaTheme="minorHAnsi" w:hAnsi="Garamond"/>
                <w:sz w:val="12"/>
                <w:szCs w:val="12"/>
              </w:rPr>
              <w:t>Testimi praktik i Modulit</w:t>
            </w:r>
            <w:r w:rsidR="00F548D5" w:rsidRPr="00CC11D5">
              <w:rPr>
                <w:rFonts w:ascii="Garamond" w:eastAsiaTheme="minorHAnsi" w:hAnsi="Garamond"/>
                <w:sz w:val="12"/>
                <w:szCs w:val="12"/>
              </w:rPr>
              <w:t>;</w:t>
            </w:r>
          </w:p>
          <w:p w14:paraId="6AC729AF" w14:textId="77777777" w:rsidR="00F548D5" w:rsidRPr="00CC11D5" w:rsidRDefault="00F548D5" w:rsidP="00316D86">
            <w:pPr>
              <w:jc w:val="center"/>
              <w:rPr>
                <w:rFonts w:ascii="Garamond" w:hAnsi="Garamond"/>
                <w:sz w:val="12"/>
                <w:szCs w:val="12"/>
              </w:rPr>
            </w:pPr>
          </w:p>
          <w:p w14:paraId="17444E2D" w14:textId="4660A011" w:rsidR="00316D86" w:rsidRPr="00CC11D5" w:rsidRDefault="00316D86" w:rsidP="00316D86">
            <w:pPr>
              <w:jc w:val="center"/>
              <w:rPr>
                <w:rFonts w:ascii="Garamond" w:hAnsi="Garamond"/>
                <w:sz w:val="12"/>
                <w:szCs w:val="12"/>
              </w:rPr>
            </w:pPr>
            <w:r w:rsidRPr="00CC11D5">
              <w:rPr>
                <w:rFonts w:ascii="Garamond" w:eastAsiaTheme="minorHAnsi" w:hAnsi="Garamond"/>
                <w:sz w:val="12"/>
                <w:szCs w:val="12"/>
              </w:rPr>
              <w:t>Aktiviteti 3.1.2.3</w:t>
            </w:r>
            <w:r w:rsidR="00505959" w:rsidRPr="00CC11D5">
              <w:rPr>
                <w:rFonts w:ascii="Garamond" w:eastAsiaTheme="minorHAnsi" w:hAnsi="Garamond"/>
                <w:sz w:val="12"/>
                <w:szCs w:val="12"/>
              </w:rPr>
              <w:t>:</w:t>
            </w:r>
            <w:r w:rsidR="00F548D5" w:rsidRPr="00CC11D5">
              <w:rPr>
                <w:rFonts w:ascii="Garamond" w:eastAsiaTheme="minorHAnsi" w:hAnsi="Garamond"/>
                <w:sz w:val="12"/>
                <w:szCs w:val="12"/>
              </w:rPr>
              <w:t xml:space="preserve"> </w:t>
            </w:r>
            <w:r w:rsidRPr="00CC11D5">
              <w:rPr>
                <w:rFonts w:ascii="Garamond" w:hAnsi="Garamond"/>
                <w:sz w:val="12"/>
                <w:szCs w:val="12"/>
              </w:rPr>
              <w:t>Mundësimi i përdorimit të modulit, rindërtimi i profileve të riskut në fushën e akcizës për shtëpiaket (të ndryshme nga importi)</w:t>
            </w:r>
            <w:r w:rsidR="00505959" w:rsidRPr="00CC11D5">
              <w:rPr>
                <w:rFonts w:ascii="Garamond" w:hAnsi="Garamond"/>
                <w:sz w:val="12"/>
                <w:szCs w:val="12"/>
              </w:rPr>
              <w:t>.</w:t>
            </w:r>
          </w:p>
        </w:tc>
        <w:tc>
          <w:tcPr>
            <w:tcW w:w="1143" w:type="dxa"/>
          </w:tcPr>
          <w:p w14:paraId="3277DB9B" w14:textId="77777777" w:rsidR="00316D86" w:rsidRPr="00CC11D5" w:rsidRDefault="00316D86" w:rsidP="00316D86">
            <w:pPr>
              <w:jc w:val="center"/>
              <w:rPr>
                <w:rFonts w:ascii="Garamond" w:hAnsi="Garamond"/>
                <w:sz w:val="12"/>
                <w:szCs w:val="12"/>
              </w:rPr>
            </w:pPr>
            <w:r w:rsidRPr="00CC11D5">
              <w:rPr>
                <w:rFonts w:ascii="Garamond" w:hAnsi="Garamond"/>
                <w:sz w:val="12"/>
                <w:szCs w:val="12"/>
              </w:rPr>
              <w:t>2024</w:t>
            </w:r>
          </w:p>
        </w:tc>
        <w:tc>
          <w:tcPr>
            <w:tcW w:w="1343" w:type="dxa"/>
          </w:tcPr>
          <w:p w14:paraId="3B30992F" w14:textId="77777777" w:rsidR="00316D86" w:rsidRPr="00CC11D5" w:rsidRDefault="00316D86" w:rsidP="00316D86">
            <w:pPr>
              <w:jc w:val="center"/>
              <w:rPr>
                <w:rFonts w:ascii="Garamond" w:hAnsi="Garamond"/>
                <w:sz w:val="12"/>
                <w:szCs w:val="12"/>
              </w:rPr>
            </w:pPr>
            <w:r w:rsidRPr="00CC11D5">
              <w:rPr>
                <w:rFonts w:ascii="Garamond" w:hAnsi="Garamond"/>
                <w:sz w:val="12"/>
                <w:szCs w:val="12"/>
              </w:rPr>
              <w:t>2027</w:t>
            </w:r>
          </w:p>
        </w:tc>
        <w:tc>
          <w:tcPr>
            <w:tcW w:w="2499" w:type="dxa"/>
          </w:tcPr>
          <w:p w14:paraId="52716BAD" w14:textId="77777777" w:rsidR="00316D86" w:rsidRPr="00CC11D5" w:rsidRDefault="00316D86" w:rsidP="00316D86">
            <w:pPr>
              <w:jc w:val="center"/>
              <w:rPr>
                <w:rFonts w:ascii="Garamond" w:hAnsi="Garamond"/>
                <w:sz w:val="12"/>
                <w:szCs w:val="12"/>
              </w:rPr>
            </w:pPr>
            <w:r w:rsidRPr="00CC11D5">
              <w:rPr>
                <w:rFonts w:ascii="Garamond" w:hAnsi="Garamond"/>
                <w:sz w:val="12"/>
                <w:szCs w:val="12"/>
              </w:rPr>
              <w:t>DPD/Drejtoria e Riskut dhe Departamenti i Akcizës</w:t>
            </w:r>
          </w:p>
        </w:tc>
      </w:tr>
      <w:tr w:rsidR="00316D86" w:rsidRPr="00CC11D5" w14:paraId="5B3C0C36" w14:textId="77777777" w:rsidTr="00316D86">
        <w:trPr>
          <w:trHeight w:val="170"/>
          <w:jc w:val="center"/>
        </w:trPr>
        <w:tc>
          <w:tcPr>
            <w:tcW w:w="2289" w:type="dxa"/>
          </w:tcPr>
          <w:p w14:paraId="07427061" w14:textId="214E8BFD" w:rsidR="00316D86" w:rsidRPr="00CC11D5" w:rsidRDefault="00316D86" w:rsidP="00316D86">
            <w:pPr>
              <w:jc w:val="center"/>
              <w:rPr>
                <w:rFonts w:ascii="Garamond" w:hAnsi="Garamond"/>
                <w:sz w:val="12"/>
                <w:szCs w:val="12"/>
              </w:rPr>
            </w:pPr>
            <w:r w:rsidRPr="00CC11D5">
              <w:rPr>
                <w:rStyle w:val="contentpasted0"/>
                <w:rFonts w:ascii="Garamond" w:hAnsi="Garamond"/>
                <w:sz w:val="12"/>
                <w:szCs w:val="12"/>
              </w:rPr>
              <w:t xml:space="preserve">Masa 3.1.3 Implementimi i lidhjes në kohë reale midis ASYCUDA </w:t>
            </w:r>
            <w:r w:rsidRPr="00CC11D5">
              <w:rPr>
                <w:rStyle w:val="contentpasted0"/>
                <w:rFonts w:ascii="Garamond" w:hAnsi="Garamond"/>
                <w:i/>
                <w:sz w:val="12"/>
                <w:szCs w:val="12"/>
              </w:rPr>
              <w:t>World</w:t>
            </w:r>
            <w:r w:rsidRPr="00CC11D5">
              <w:rPr>
                <w:rStyle w:val="contentpasted0"/>
                <w:rFonts w:ascii="Garamond" w:hAnsi="Garamond"/>
                <w:sz w:val="12"/>
                <w:szCs w:val="12"/>
              </w:rPr>
              <w:t xml:space="preserve"> dhe ASYHUB</w:t>
            </w:r>
          </w:p>
        </w:tc>
        <w:tc>
          <w:tcPr>
            <w:tcW w:w="2686" w:type="dxa"/>
          </w:tcPr>
          <w:p w14:paraId="1ADDE6A6" w14:textId="1510F3AB" w:rsidR="00316D86" w:rsidRPr="00CC11D5" w:rsidRDefault="00316D86" w:rsidP="00316D86">
            <w:pPr>
              <w:jc w:val="center"/>
              <w:rPr>
                <w:rFonts w:ascii="Garamond" w:eastAsiaTheme="minorHAnsi" w:hAnsi="Garamond"/>
                <w:sz w:val="12"/>
                <w:szCs w:val="12"/>
              </w:rPr>
            </w:pPr>
            <w:r w:rsidRPr="00CC11D5">
              <w:rPr>
                <w:rFonts w:ascii="Garamond" w:eastAsiaTheme="minorHAnsi" w:hAnsi="Garamond"/>
                <w:sz w:val="12"/>
                <w:szCs w:val="12"/>
              </w:rPr>
              <w:t>Aktiviteti 3.1.3.1</w:t>
            </w:r>
            <w:r w:rsidR="00505959" w:rsidRPr="00CC11D5">
              <w:rPr>
                <w:rFonts w:ascii="Garamond" w:eastAsiaTheme="minorHAnsi" w:hAnsi="Garamond"/>
                <w:sz w:val="12"/>
                <w:szCs w:val="12"/>
              </w:rPr>
              <w:t>:</w:t>
            </w:r>
            <w:r w:rsidRPr="00CC11D5">
              <w:rPr>
                <w:rFonts w:ascii="Garamond" w:hAnsi="Garamond"/>
                <w:sz w:val="12"/>
                <w:szCs w:val="12"/>
              </w:rPr>
              <w:t xml:space="preserve"> </w:t>
            </w:r>
            <w:r w:rsidRPr="00CC11D5">
              <w:rPr>
                <w:rFonts w:ascii="Garamond" w:eastAsiaTheme="minorHAnsi" w:hAnsi="Garamond"/>
                <w:sz w:val="12"/>
                <w:szCs w:val="12"/>
              </w:rPr>
              <w:t xml:space="preserve">Kryerja e aktiviteteve të lidhura me zhvillimin dhe të shërbimeve të sistemit. Testimi i profileve të rrezikut në sistem. Mbajtja e një MoU me </w:t>
            </w:r>
            <w:r w:rsidRPr="00CC11D5">
              <w:rPr>
                <w:rFonts w:ascii="Garamond" w:eastAsiaTheme="minorHAnsi" w:hAnsi="Garamond"/>
                <w:i/>
                <w:sz w:val="12"/>
                <w:szCs w:val="12"/>
              </w:rPr>
              <w:t>Mariner Company</w:t>
            </w:r>
            <w:r w:rsidRPr="00CC11D5">
              <w:rPr>
                <w:rFonts w:ascii="Garamond" w:eastAsiaTheme="minorHAnsi" w:hAnsi="Garamond"/>
                <w:sz w:val="12"/>
                <w:szCs w:val="12"/>
              </w:rPr>
              <w:t xml:space="preserve"> që lejon shkëmbimin e të dhënave</w:t>
            </w:r>
          </w:p>
        </w:tc>
        <w:tc>
          <w:tcPr>
            <w:tcW w:w="1143" w:type="dxa"/>
          </w:tcPr>
          <w:p w14:paraId="4DE624A1" w14:textId="77777777" w:rsidR="00316D86" w:rsidRPr="00CC11D5" w:rsidRDefault="00316D86" w:rsidP="00316D86">
            <w:pPr>
              <w:jc w:val="center"/>
              <w:rPr>
                <w:rFonts w:ascii="Garamond" w:hAnsi="Garamond"/>
                <w:sz w:val="12"/>
                <w:szCs w:val="12"/>
              </w:rPr>
            </w:pPr>
            <w:r w:rsidRPr="00CC11D5">
              <w:rPr>
                <w:rFonts w:ascii="Garamond" w:hAnsi="Garamond"/>
                <w:sz w:val="12"/>
                <w:szCs w:val="12"/>
              </w:rPr>
              <w:t>2024</w:t>
            </w:r>
          </w:p>
        </w:tc>
        <w:tc>
          <w:tcPr>
            <w:tcW w:w="1343" w:type="dxa"/>
          </w:tcPr>
          <w:p w14:paraId="1118026B" w14:textId="77777777" w:rsidR="00316D86" w:rsidRPr="00CC11D5" w:rsidRDefault="00316D86" w:rsidP="00316D86">
            <w:pPr>
              <w:pStyle w:val="BodyText"/>
              <w:spacing w:after="0" w:line="240" w:lineRule="auto"/>
              <w:jc w:val="center"/>
              <w:rPr>
                <w:rFonts w:ascii="Garamond" w:hAnsi="Garamond"/>
                <w:sz w:val="12"/>
                <w:szCs w:val="12"/>
                <w:lang w:val="sq-AL"/>
              </w:rPr>
            </w:pPr>
            <w:r w:rsidRPr="00CC11D5">
              <w:rPr>
                <w:rFonts w:ascii="Garamond" w:hAnsi="Garamond"/>
                <w:sz w:val="12"/>
                <w:szCs w:val="12"/>
                <w:lang w:val="sq-AL"/>
              </w:rPr>
              <w:t>2024</w:t>
            </w:r>
          </w:p>
        </w:tc>
        <w:tc>
          <w:tcPr>
            <w:tcW w:w="2499" w:type="dxa"/>
          </w:tcPr>
          <w:p w14:paraId="612172C0" w14:textId="77777777" w:rsidR="00316D86" w:rsidRPr="00CC11D5" w:rsidRDefault="00316D86" w:rsidP="00316D86">
            <w:pPr>
              <w:jc w:val="center"/>
              <w:rPr>
                <w:rFonts w:ascii="Garamond" w:hAnsi="Garamond"/>
                <w:sz w:val="12"/>
                <w:szCs w:val="12"/>
              </w:rPr>
            </w:pPr>
            <w:r w:rsidRPr="00CC11D5">
              <w:rPr>
                <w:rFonts w:ascii="Garamond" w:hAnsi="Garamond"/>
                <w:sz w:val="12"/>
                <w:szCs w:val="12"/>
              </w:rPr>
              <w:t>DPD</w:t>
            </w:r>
          </w:p>
        </w:tc>
      </w:tr>
      <w:tr w:rsidR="00316D86" w:rsidRPr="00CC11D5" w14:paraId="6E0D3728" w14:textId="77777777" w:rsidTr="00316D86">
        <w:trPr>
          <w:trHeight w:val="170"/>
          <w:jc w:val="center"/>
        </w:trPr>
        <w:tc>
          <w:tcPr>
            <w:tcW w:w="2289" w:type="dxa"/>
          </w:tcPr>
          <w:p w14:paraId="29AD5301" w14:textId="0A698034" w:rsidR="00316D86" w:rsidRPr="00CC11D5" w:rsidRDefault="00316D86" w:rsidP="00316D86">
            <w:pPr>
              <w:jc w:val="center"/>
              <w:rPr>
                <w:rFonts w:ascii="Garamond" w:eastAsiaTheme="minorHAnsi" w:hAnsi="Garamond"/>
                <w:sz w:val="12"/>
                <w:szCs w:val="12"/>
              </w:rPr>
            </w:pPr>
            <w:r w:rsidRPr="00CC11D5">
              <w:rPr>
                <w:rFonts w:ascii="Garamond" w:hAnsi="Garamond"/>
                <w:sz w:val="12"/>
                <w:szCs w:val="12"/>
              </w:rPr>
              <w:t>Masa 3.1.4</w:t>
            </w:r>
            <w:r w:rsidRPr="00CC11D5">
              <w:rPr>
                <w:rFonts w:ascii="Garamond" w:hAnsi="Garamond"/>
                <w:b/>
                <w:bCs/>
                <w:sz w:val="12"/>
                <w:szCs w:val="12"/>
              </w:rPr>
              <w:t xml:space="preserve"> </w:t>
            </w:r>
            <w:r w:rsidRPr="00CC11D5">
              <w:rPr>
                <w:rStyle w:val="contentpasted0"/>
                <w:rFonts w:ascii="Garamond" w:hAnsi="Garamond"/>
                <w:sz w:val="12"/>
                <w:szCs w:val="12"/>
              </w:rPr>
              <w:t>Fuqizimi i kapaciteteve të punonjësve të AD</w:t>
            </w:r>
            <w:r w:rsidR="00505959" w:rsidRPr="00CC11D5">
              <w:rPr>
                <w:rFonts w:ascii="Garamond" w:hAnsi="Garamond"/>
                <w:sz w:val="12"/>
                <w:szCs w:val="12"/>
              </w:rPr>
              <w:t>-së</w:t>
            </w:r>
            <w:r w:rsidRPr="00CC11D5">
              <w:rPr>
                <w:rStyle w:val="contentpasted0"/>
                <w:rFonts w:ascii="Garamond" w:hAnsi="Garamond"/>
                <w:sz w:val="12"/>
                <w:szCs w:val="12"/>
              </w:rPr>
              <w:t xml:space="preserve"> përmes përmirësimit të praktikave të burimeve njerëzore dhe ofrimit të zhvillimit të kapaciteteve</w:t>
            </w:r>
            <w:r w:rsidRPr="00CC11D5">
              <w:rPr>
                <w:rFonts w:ascii="Garamond" w:hAnsi="Garamond"/>
                <w:sz w:val="12"/>
                <w:szCs w:val="12"/>
              </w:rPr>
              <w:t>.</w:t>
            </w:r>
          </w:p>
        </w:tc>
        <w:tc>
          <w:tcPr>
            <w:tcW w:w="2686" w:type="dxa"/>
          </w:tcPr>
          <w:p w14:paraId="7956099A" w14:textId="4030393F" w:rsidR="00316D86" w:rsidRPr="00CC11D5" w:rsidRDefault="00316D86" w:rsidP="00316D86">
            <w:pPr>
              <w:jc w:val="center"/>
              <w:rPr>
                <w:rFonts w:ascii="Garamond" w:hAnsi="Garamond"/>
                <w:sz w:val="12"/>
                <w:szCs w:val="12"/>
              </w:rPr>
            </w:pPr>
            <w:r w:rsidRPr="00CC11D5">
              <w:rPr>
                <w:rFonts w:ascii="Garamond" w:eastAsiaTheme="minorHAnsi" w:hAnsi="Garamond"/>
                <w:sz w:val="12"/>
                <w:szCs w:val="12"/>
              </w:rPr>
              <w:t>Aktiviteti 3.1.4.1</w:t>
            </w:r>
            <w:r w:rsidR="00505959" w:rsidRPr="00CC11D5">
              <w:rPr>
                <w:rFonts w:ascii="Garamond" w:eastAsiaTheme="minorHAnsi" w:hAnsi="Garamond"/>
                <w:sz w:val="12"/>
                <w:szCs w:val="12"/>
              </w:rPr>
              <w:t xml:space="preserve">: </w:t>
            </w:r>
            <w:r w:rsidRPr="00CC11D5">
              <w:rPr>
                <w:rFonts w:ascii="Garamond" w:eastAsiaTheme="minorHAnsi" w:hAnsi="Garamond"/>
                <w:sz w:val="12"/>
                <w:szCs w:val="12"/>
              </w:rPr>
              <w:t>Trajnime të vazhdueshme për punonjësit e administratës doganore</w:t>
            </w:r>
          </w:p>
        </w:tc>
        <w:tc>
          <w:tcPr>
            <w:tcW w:w="1143" w:type="dxa"/>
          </w:tcPr>
          <w:p w14:paraId="74BB5AA5" w14:textId="77777777" w:rsidR="00316D86" w:rsidRPr="00CC11D5" w:rsidRDefault="00316D86" w:rsidP="00316D86">
            <w:pPr>
              <w:jc w:val="center"/>
              <w:rPr>
                <w:rFonts w:ascii="Garamond" w:hAnsi="Garamond"/>
                <w:sz w:val="12"/>
                <w:szCs w:val="12"/>
              </w:rPr>
            </w:pPr>
            <w:r w:rsidRPr="00CC11D5">
              <w:rPr>
                <w:rFonts w:ascii="Garamond" w:hAnsi="Garamond"/>
                <w:sz w:val="12"/>
                <w:szCs w:val="12"/>
              </w:rPr>
              <w:t>2024</w:t>
            </w:r>
          </w:p>
        </w:tc>
        <w:tc>
          <w:tcPr>
            <w:tcW w:w="1343" w:type="dxa"/>
          </w:tcPr>
          <w:p w14:paraId="529155F7" w14:textId="77777777" w:rsidR="00316D86" w:rsidRPr="00CC11D5" w:rsidRDefault="00316D86" w:rsidP="00316D86">
            <w:pPr>
              <w:pStyle w:val="BodyText"/>
              <w:spacing w:after="0" w:line="240" w:lineRule="auto"/>
              <w:jc w:val="center"/>
              <w:rPr>
                <w:rFonts w:ascii="Garamond" w:hAnsi="Garamond"/>
                <w:sz w:val="12"/>
                <w:szCs w:val="12"/>
                <w:lang w:val="sq-AL"/>
              </w:rPr>
            </w:pPr>
            <w:r w:rsidRPr="00CC11D5">
              <w:rPr>
                <w:rFonts w:ascii="Garamond" w:hAnsi="Garamond"/>
                <w:sz w:val="12"/>
                <w:szCs w:val="12"/>
                <w:lang w:val="sq-AL"/>
              </w:rPr>
              <w:t>2026</w:t>
            </w:r>
          </w:p>
        </w:tc>
        <w:tc>
          <w:tcPr>
            <w:tcW w:w="2499" w:type="dxa"/>
          </w:tcPr>
          <w:p w14:paraId="2C9BBF78" w14:textId="4ABDBCE4" w:rsidR="00316D86" w:rsidRPr="00CC11D5" w:rsidRDefault="00316D86" w:rsidP="00316D86">
            <w:pPr>
              <w:jc w:val="center"/>
              <w:rPr>
                <w:rFonts w:ascii="Garamond" w:hAnsi="Garamond"/>
                <w:sz w:val="12"/>
                <w:szCs w:val="12"/>
              </w:rPr>
            </w:pPr>
            <w:r w:rsidRPr="00CC11D5">
              <w:rPr>
                <w:rFonts w:ascii="Garamond" w:hAnsi="Garamond"/>
                <w:sz w:val="12"/>
                <w:szCs w:val="12"/>
              </w:rPr>
              <w:t>DPD në bashkëpunim me</w:t>
            </w:r>
            <w:r w:rsidR="00D22EA5" w:rsidRPr="00CC11D5">
              <w:rPr>
                <w:rFonts w:ascii="Garamond" w:hAnsi="Garamond"/>
                <w:sz w:val="12"/>
                <w:szCs w:val="12"/>
              </w:rPr>
              <w:t xml:space="preserve"> </w:t>
            </w:r>
            <w:r w:rsidRPr="00CC11D5">
              <w:rPr>
                <w:rFonts w:ascii="Garamond" w:hAnsi="Garamond"/>
                <w:sz w:val="12"/>
                <w:szCs w:val="12"/>
              </w:rPr>
              <w:t>QTATD/Komisioni i KE-së</w:t>
            </w:r>
          </w:p>
        </w:tc>
      </w:tr>
    </w:tbl>
    <w:p w14:paraId="0C09EE33" w14:textId="77777777" w:rsidR="00316D86" w:rsidRPr="00830F4C" w:rsidRDefault="00316D86" w:rsidP="00316D86">
      <w:pPr>
        <w:jc w:val="both"/>
        <w:rPr>
          <w:rFonts w:ascii="Garamond" w:hAnsi="Garamond"/>
          <w:sz w:val="20"/>
          <w:szCs w:val="20"/>
        </w:rPr>
      </w:pPr>
    </w:p>
    <w:p w14:paraId="7403C6F5" w14:textId="77777777" w:rsidR="00316D86" w:rsidRPr="00830F4C" w:rsidRDefault="00316D86" w:rsidP="00316D86">
      <w:pPr>
        <w:jc w:val="both"/>
        <w:rPr>
          <w:rFonts w:ascii="Garamond" w:hAnsi="Garamond"/>
          <w:b/>
          <w:szCs w:val="20"/>
        </w:rPr>
      </w:pPr>
      <w:r w:rsidRPr="00830F4C">
        <w:rPr>
          <w:rFonts w:ascii="Garamond" w:hAnsi="Garamond"/>
          <w:b/>
          <w:szCs w:val="20"/>
        </w:rPr>
        <w:t>Treguesit e performancës dhe vlerat e synuara</w:t>
      </w:r>
    </w:p>
    <w:tbl>
      <w:tblPr>
        <w:tblW w:w="8835" w:type="dxa"/>
        <w:tblLook w:val="04A0" w:firstRow="1" w:lastRow="0" w:firstColumn="1" w:lastColumn="0" w:noHBand="0" w:noVBand="1"/>
      </w:tblPr>
      <w:tblGrid>
        <w:gridCol w:w="2293"/>
        <w:gridCol w:w="1494"/>
        <w:gridCol w:w="1323"/>
        <w:gridCol w:w="1077"/>
        <w:gridCol w:w="1340"/>
        <w:gridCol w:w="1308"/>
      </w:tblGrid>
      <w:tr w:rsidR="00316D86" w:rsidRPr="00CC11D5" w14:paraId="48E2CFFA" w14:textId="77777777" w:rsidTr="00505959">
        <w:trPr>
          <w:trHeight w:val="20"/>
        </w:trPr>
        <w:tc>
          <w:tcPr>
            <w:tcW w:w="2293" w:type="dxa"/>
            <w:vMerge w:val="restart"/>
            <w:tcBorders>
              <w:top w:val="single" w:sz="4" w:space="0" w:color="auto"/>
              <w:left w:val="single" w:sz="4" w:space="0" w:color="auto"/>
              <w:right w:val="single" w:sz="4" w:space="0" w:color="auto"/>
            </w:tcBorders>
            <w:shd w:val="clear" w:color="FFFFFF" w:fill="FFFFFF"/>
            <w:vAlign w:val="center"/>
          </w:tcPr>
          <w:p w14:paraId="4FF49A31" w14:textId="77777777" w:rsidR="00316D86" w:rsidRPr="00CC11D5" w:rsidRDefault="00316D86" w:rsidP="00505959">
            <w:pPr>
              <w:jc w:val="center"/>
              <w:rPr>
                <w:rFonts w:ascii="Garamond" w:hAnsi="Garamond"/>
                <w:sz w:val="12"/>
                <w:szCs w:val="12"/>
              </w:rPr>
            </w:pPr>
            <w:r w:rsidRPr="00CC11D5">
              <w:rPr>
                <w:rFonts w:ascii="Garamond" w:hAnsi="Garamond"/>
                <w:b/>
                <w:sz w:val="12"/>
                <w:szCs w:val="12"/>
              </w:rPr>
              <w:t>Treguesi</w:t>
            </w:r>
          </w:p>
        </w:tc>
        <w:tc>
          <w:tcPr>
            <w:tcW w:w="1494" w:type="dxa"/>
            <w:vMerge w:val="restart"/>
            <w:tcBorders>
              <w:top w:val="single" w:sz="4" w:space="0" w:color="auto"/>
              <w:left w:val="single" w:sz="4" w:space="0" w:color="auto"/>
              <w:right w:val="single" w:sz="4" w:space="0" w:color="auto"/>
            </w:tcBorders>
            <w:shd w:val="clear" w:color="FFFFFF" w:fill="FFFFFF"/>
            <w:vAlign w:val="center"/>
          </w:tcPr>
          <w:p w14:paraId="75CC26EF" w14:textId="643E4A3C" w:rsidR="00316D86" w:rsidRPr="00CC11D5" w:rsidRDefault="00316D86" w:rsidP="00505959">
            <w:pPr>
              <w:jc w:val="center"/>
              <w:rPr>
                <w:rFonts w:ascii="Garamond" w:hAnsi="Garamond"/>
                <w:sz w:val="12"/>
                <w:szCs w:val="12"/>
              </w:rPr>
            </w:pPr>
            <w:r w:rsidRPr="00CC11D5">
              <w:rPr>
                <w:rFonts w:ascii="Garamond" w:hAnsi="Garamond"/>
                <w:b/>
                <w:sz w:val="12"/>
                <w:szCs w:val="12"/>
              </w:rPr>
              <w:t xml:space="preserve">Vlera </w:t>
            </w:r>
            <w:r w:rsidR="00505959" w:rsidRPr="00CC11D5">
              <w:rPr>
                <w:rFonts w:ascii="Garamond" w:hAnsi="Garamond"/>
                <w:b/>
                <w:sz w:val="12"/>
                <w:szCs w:val="12"/>
              </w:rPr>
              <w:t>b</w:t>
            </w:r>
            <w:r w:rsidRPr="00CC11D5">
              <w:rPr>
                <w:rFonts w:ascii="Garamond" w:hAnsi="Garamond"/>
                <w:b/>
                <w:sz w:val="12"/>
                <w:szCs w:val="12"/>
              </w:rPr>
              <w:t>azë viti 2023)</w:t>
            </w:r>
          </w:p>
        </w:tc>
        <w:tc>
          <w:tcPr>
            <w:tcW w:w="5048" w:type="dxa"/>
            <w:gridSpan w:val="4"/>
            <w:tcBorders>
              <w:top w:val="single" w:sz="4" w:space="0" w:color="auto"/>
              <w:left w:val="nil"/>
              <w:bottom w:val="single" w:sz="4" w:space="0" w:color="auto"/>
              <w:right w:val="single" w:sz="4" w:space="0" w:color="auto"/>
            </w:tcBorders>
            <w:shd w:val="clear" w:color="FFFFFF" w:fill="FFFFFF"/>
            <w:vAlign w:val="center"/>
          </w:tcPr>
          <w:p w14:paraId="33FE9690" w14:textId="77777777" w:rsidR="00316D86" w:rsidRPr="00CC11D5" w:rsidRDefault="00316D86" w:rsidP="00505959">
            <w:pPr>
              <w:jc w:val="center"/>
              <w:rPr>
                <w:rFonts w:ascii="Garamond" w:hAnsi="Garamond"/>
                <w:sz w:val="12"/>
                <w:szCs w:val="12"/>
              </w:rPr>
            </w:pPr>
            <w:r w:rsidRPr="00CC11D5">
              <w:rPr>
                <w:rFonts w:ascii="Garamond" w:hAnsi="Garamond"/>
                <w:b/>
                <w:sz w:val="12"/>
                <w:szCs w:val="12"/>
              </w:rPr>
              <w:t>Vlera e synuar</w:t>
            </w:r>
          </w:p>
        </w:tc>
      </w:tr>
      <w:tr w:rsidR="00316D86" w:rsidRPr="00CC11D5" w14:paraId="6EED5A42" w14:textId="77777777" w:rsidTr="00505959">
        <w:trPr>
          <w:trHeight w:val="20"/>
        </w:trPr>
        <w:tc>
          <w:tcPr>
            <w:tcW w:w="2293" w:type="dxa"/>
            <w:vMerge/>
            <w:tcBorders>
              <w:left w:val="single" w:sz="4" w:space="0" w:color="auto"/>
              <w:bottom w:val="single" w:sz="4" w:space="0" w:color="auto"/>
              <w:right w:val="single" w:sz="4" w:space="0" w:color="auto"/>
            </w:tcBorders>
            <w:shd w:val="clear" w:color="FFFFFF" w:fill="FFFFFF"/>
            <w:vAlign w:val="center"/>
          </w:tcPr>
          <w:p w14:paraId="40519677" w14:textId="77777777" w:rsidR="00316D86" w:rsidRPr="00CC11D5" w:rsidRDefault="00316D86" w:rsidP="00505959">
            <w:pPr>
              <w:jc w:val="center"/>
              <w:rPr>
                <w:rFonts w:ascii="Garamond" w:hAnsi="Garamond"/>
                <w:sz w:val="12"/>
                <w:szCs w:val="12"/>
              </w:rPr>
            </w:pPr>
          </w:p>
        </w:tc>
        <w:tc>
          <w:tcPr>
            <w:tcW w:w="1494" w:type="dxa"/>
            <w:vMerge/>
            <w:tcBorders>
              <w:left w:val="single" w:sz="4" w:space="0" w:color="auto"/>
              <w:bottom w:val="single" w:sz="4" w:space="0" w:color="auto"/>
              <w:right w:val="single" w:sz="4" w:space="0" w:color="auto"/>
            </w:tcBorders>
            <w:shd w:val="clear" w:color="FFFFFF" w:fill="FFFFFF"/>
            <w:vAlign w:val="center"/>
          </w:tcPr>
          <w:p w14:paraId="15063B9C" w14:textId="77777777" w:rsidR="00316D86" w:rsidRPr="00CC11D5" w:rsidRDefault="00316D86" w:rsidP="00505959">
            <w:pPr>
              <w:jc w:val="center"/>
              <w:rPr>
                <w:rFonts w:ascii="Garamond" w:hAnsi="Garamond"/>
                <w:sz w:val="12"/>
                <w:szCs w:val="12"/>
              </w:rPr>
            </w:pPr>
          </w:p>
        </w:tc>
        <w:tc>
          <w:tcPr>
            <w:tcW w:w="1323" w:type="dxa"/>
            <w:tcBorders>
              <w:top w:val="single" w:sz="4" w:space="0" w:color="auto"/>
              <w:left w:val="nil"/>
              <w:bottom w:val="single" w:sz="4" w:space="0" w:color="auto"/>
              <w:right w:val="single" w:sz="4" w:space="0" w:color="auto"/>
            </w:tcBorders>
            <w:shd w:val="clear" w:color="FFFFFF" w:fill="FFFFFF"/>
            <w:vAlign w:val="center"/>
          </w:tcPr>
          <w:p w14:paraId="2B298420" w14:textId="77777777" w:rsidR="00316D86" w:rsidRPr="00CC11D5" w:rsidRDefault="00316D86" w:rsidP="00505959">
            <w:pPr>
              <w:jc w:val="center"/>
              <w:rPr>
                <w:rFonts w:ascii="Garamond" w:hAnsi="Garamond"/>
                <w:sz w:val="12"/>
                <w:szCs w:val="12"/>
              </w:rPr>
            </w:pPr>
            <w:r w:rsidRPr="00CC11D5">
              <w:rPr>
                <w:rFonts w:ascii="Garamond" w:hAnsi="Garamond"/>
                <w:b/>
                <w:sz w:val="12"/>
                <w:szCs w:val="12"/>
              </w:rPr>
              <w:t>2024</w:t>
            </w:r>
          </w:p>
        </w:tc>
        <w:tc>
          <w:tcPr>
            <w:tcW w:w="1077" w:type="dxa"/>
            <w:tcBorders>
              <w:top w:val="single" w:sz="4" w:space="0" w:color="auto"/>
              <w:left w:val="nil"/>
              <w:bottom w:val="single" w:sz="4" w:space="0" w:color="auto"/>
              <w:right w:val="single" w:sz="4" w:space="0" w:color="auto"/>
            </w:tcBorders>
            <w:shd w:val="clear" w:color="FFFFFF" w:fill="FFFFFF"/>
            <w:vAlign w:val="center"/>
          </w:tcPr>
          <w:p w14:paraId="72BE78CB" w14:textId="77777777" w:rsidR="00316D86" w:rsidRPr="00CC11D5" w:rsidRDefault="00316D86" w:rsidP="00505959">
            <w:pPr>
              <w:jc w:val="center"/>
              <w:rPr>
                <w:rFonts w:ascii="Garamond" w:hAnsi="Garamond"/>
                <w:sz w:val="12"/>
                <w:szCs w:val="12"/>
              </w:rPr>
            </w:pPr>
            <w:r w:rsidRPr="00CC11D5">
              <w:rPr>
                <w:rFonts w:ascii="Garamond" w:hAnsi="Garamond"/>
                <w:b/>
                <w:sz w:val="12"/>
                <w:szCs w:val="12"/>
              </w:rPr>
              <w:t>2025</w:t>
            </w:r>
          </w:p>
        </w:tc>
        <w:tc>
          <w:tcPr>
            <w:tcW w:w="1340" w:type="dxa"/>
            <w:tcBorders>
              <w:top w:val="single" w:sz="4" w:space="0" w:color="auto"/>
              <w:left w:val="nil"/>
              <w:bottom w:val="single" w:sz="4" w:space="0" w:color="auto"/>
              <w:right w:val="single" w:sz="4" w:space="0" w:color="auto"/>
            </w:tcBorders>
            <w:shd w:val="clear" w:color="FFFFFF" w:fill="FFFFFF"/>
            <w:vAlign w:val="center"/>
          </w:tcPr>
          <w:p w14:paraId="102CF44B" w14:textId="77777777" w:rsidR="00316D86" w:rsidRPr="00CC11D5" w:rsidRDefault="00316D86" w:rsidP="00505959">
            <w:pPr>
              <w:jc w:val="center"/>
              <w:rPr>
                <w:rFonts w:ascii="Garamond" w:hAnsi="Garamond"/>
                <w:sz w:val="12"/>
                <w:szCs w:val="12"/>
              </w:rPr>
            </w:pPr>
            <w:r w:rsidRPr="00CC11D5">
              <w:rPr>
                <w:rFonts w:ascii="Garamond" w:hAnsi="Garamond"/>
                <w:b/>
                <w:sz w:val="12"/>
                <w:szCs w:val="12"/>
              </w:rPr>
              <w:t>2026</w:t>
            </w:r>
          </w:p>
        </w:tc>
        <w:tc>
          <w:tcPr>
            <w:tcW w:w="1308" w:type="dxa"/>
            <w:tcBorders>
              <w:top w:val="single" w:sz="4" w:space="0" w:color="auto"/>
              <w:left w:val="nil"/>
              <w:bottom w:val="single" w:sz="4" w:space="0" w:color="auto"/>
              <w:right w:val="single" w:sz="4" w:space="0" w:color="auto"/>
            </w:tcBorders>
            <w:shd w:val="clear" w:color="FFFFFF" w:fill="FFFFFF"/>
            <w:vAlign w:val="center"/>
          </w:tcPr>
          <w:p w14:paraId="27A48E21" w14:textId="77777777" w:rsidR="00316D86" w:rsidRPr="00CC11D5" w:rsidRDefault="00316D86" w:rsidP="00505959">
            <w:pPr>
              <w:jc w:val="center"/>
              <w:rPr>
                <w:rFonts w:ascii="Garamond" w:hAnsi="Garamond"/>
                <w:sz w:val="12"/>
                <w:szCs w:val="12"/>
              </w:rPr>
            </w:pPr>
            <w:r w:rsidRPr="00CC11D5">
              <w:rPr>
                <w:rFonts w:ascii="Garamond" w:hAnsi="Garamond"/>
                <w:b/>
                <w:sz w:val="12"/>
                <w:szCs w:val="12"/>
              </w:rPr>
              <w:t>2027</w:t>
            </w:r>
          </w:p>
        </w:tc>
      </w:tr>
      <w:tr w:rsidR="00316D86" w:rsidRPr="00CC11D5" w14:paraId="3DD0A978" w14:textId="77777777" w:rsidTr="00316D86">
        <w:trPr>
          <w:trHeight w:val="20"/>
        </w:trPr>
        <w:tc>
          <w:tcPr>
            <w:tcW w:w="2293" w:type="dxa"/>
            <w:tcBorders>
              <w:top w:val="single" w:sz="4" w:space="0" w:color="auto"/>
              <w:left w:val="single" w:sz="4" w:space="0" w:color="auto"/>
              <w:bottom w:val="single" w:sz="4" w:space="0" w:color="auto"/>
              <w:right w:val="single" w:sz="4" w:space="0" w:color="auto"/>
            </w:tcBorders>
            <w:shd w:val="clear" w:color="FFFFFF" w:fill="FFFFFF"/>
          </w:tcPr>
          <w:p w14:paraId="22AC80C0" w14:textId="77777777" w:rsidR="00316D86" w:rsidRPr="00CC11D5" w:rsidRDefault="00316D86" w:rsidP="00316D86">
            <w:pPr>
              <w:jc w:val="center"/>
              <w:rPr>
                <w:rFonts w:ascii="Garamond" w:hAnsi="Garamond"/>
                <w:sz w:val="12"/>
                <w:szCs w:val="12"/>
              </w:rPr>
            </w:pPr>
            <w:r w:rsidRPr="00CC11D5">
              <w:rPr>
                <w:rFonts w:ascii="Garamond" w:hAnsi="Garamond"/>
                <w:sz w:val="12"/>
                <w:szCs w:val="12"/>
              </w:rPr>
              <w:t>Përqindja e shfrytëzimit të kanalit të gjelbër</w:t>
            </w:r>
          </w:p>
        </w:tc>
        <w:tc>
          <w:tcPr>
            <w:tcW w:w="1494" w:type="dxa"/>
            <w:tcBorders>
              <w:top w:val="single" w:sz="4" w:space="0" w:color="auto"/>
              <w:left w:val="single" w:sz="4" w:space="0" w:color="auto"/>
              <w:bottom w:val="single" w:sz="4" w:space="0" w:color="auto"/>
              <w:right w:val="single" w:sz="4" w:space="0" w:color="auto"/>
            </w:tcBorders>
            <w:shd w:val="clear" w:color="FFFFFF" w:fill="FFFFFF"/>
          </w:tcPr>
          <w:p w14:paraId="4ED41972" w14:textId="77777777" w:rsidR="00316D86" w:rsidRPr="00CC11D5" w:rsidRDefault="00316D86" w:rsidP="00316D86">
            <w:pPr>
              <w:jc w:val="center"/>
              <w:rPr>
                <w:rFonts w:ascii="Garamond" w:hAnsi="Garamond"/>
                <w:sz w:val="12"/>
                <w:szCs w:val="12"/>
              </w:rPr>
            </w:pPr>
            <w:r w:rsidRPr="00CC11D5">
              <w:rPr>
                <w:rFonts w:ascii="Garamond" w:hAnsi="Garamond"/>
                <w:sz w:val="12"/>
                <w:szCs w:val="12"/>
              </w:rPr>
              <w:t>28%</w:t>
            </w:r>
          </w:p>
        </w:tc>
        <w:tc>
          <w:tcPr>
            <w:tcW w:w="1323" w:type="dxa"/>
            <w:tcBorders>
              <w:top w:val="single" w:sz="4" w:space="0" w:color="auto"/>
              <w:left w:val="nil"/>
              <w:bottom w:val="single" w:sz="4" w:space="0" w:color="auto"/>
              <w:right w:val="single" w:sz="4" w:space="0" w:color="auto"/>
            </w:tcBorders>
            <w:shd w:val="clear" w:color="FFFFFF" w:fill="FFFFFF"/>
          </w:tcPr>
          <w:p w14:paraId="39E10022" w14:textId="77777777" w:rsidR="00316D86" w:rsidRPr="00CC11D5" w:rsidRDefault="00316D86" w:rsidP="00316D86">
            <w:pPr>
              <w:jc w:val="center"/>
              <w:rPr>
                <w:rFonts w:ascii="Garamond" w:hAnsi="Garamond"/>
                <w:sz w:val="12"/>
                <w:szCs w:val="12"/>
              </w:rPr>
            </w:pPr>
            <w:r w:rsidRPr="00CC11D5">
              <w:rPr>
                <w:rFonts w:ascii="Garamond" w:hAnsi="Garamond"/>
                <w:sz w:val="12"/>
                <w:szCs w:val="12"/>
              </w:rPr>
              <w:t>30%</w:t>
            </w:r>
          </w:p>
        </w:tc>
        <w:tc>
          <w:tcPr>
            <w:tcW w:w="1077" w:type="dxa"/>
            <w:tcBorders>
              <w:top w:val="single" w:sz="4" w:space="0" w:color="auto"/>
              <w:left w:val="nil"/>
              <w:bottom w:val="single" w:sz="4" w:space="0" w:color="auto"/>
              <w:right w:val="single" w:sz="4" w:space="0" w:color="auto"/>
            </w:tcBorders>
            <w:shd w:val="clear" w:color="FFFFFF" w:fill="FFFFFF"/>
          </w:tcPr>
          <w:p w14:paraId="07CEEA67" w14:textId="77777777" w:rsidR="00316D86" w:rsidRPr="00CC11D5" w:rsidRDefault="00316D86" w:rsidP="00316D86">
            <w:pPr>
              <w:jc w:val="center"/>
              <w:rPr>
                <w:rFonts w:ascii="Garamond" w:hAnsi="Garamond"/>
                <w:sz w:val="12"/>
                <w:szCs w:val="12"/>
              </w:rPr>
            </w:pPr>
            <w:r w:rsidRPr="00CC11D5">
              <w:rPr>
                <w:rFonts w:ascii="Garamond" w:hAnsi="Garamond"/>
                <w:sz w:val="12"/>
                <w:szCs w:val="12"/>
              </w:rPr>
              <w:t>33%</w:t>
            </w:r>
          </w:p>
        </w:tc>
        <w:tc>
          <w:tcPr>
            <w:tcW w:w="1340" w:type="dxa"/>
            <w:tcBorders>
              <w:top w:val="single" w:sz="4" w:space="0" w:color="auto"/>
              <w:left w:val="nil"/>
              <w:bottom w:val="single" w:sz="4" w:space="0" w:color="auto"/>
              <w:right w:val="single" w:sz="4" w:space="0" w:color="auto"/>
            </w:tcBorders>
            <w:shd w:val="clear" w:color="FFFFFF" w:fill="FFFFFF"/>
          </w:tcPr>
          <w:p w14:paraId="280320ED" w14:textId="77777777" w:rsidR="00316D86" w:rsidRPr="00CC11D5" w:rsidRDefault="00316D86" w:rsidP="00316D86">
            <w:pPr>
              <w:jc w:val="center"/>
              <w:rPr>
                <w:rFonts w:ascii="Garamond" w:hAnsi="Garamond"/>
                <w:sz w:val="12"/>
                <w:szCs w:val="12"/>
              </w:rPr>
            </w:pPr>
            <w:r w:rsidRPr="00CC11D5">
              <w:rPr>
                <w:rFonts w:ascii="Garamond" w:hAnsi="Garamond"/>
                <w:sz w:val="12"/>
                <w:szCs w:val="12"/>
              </w:rPr>
              <w:t>&gt; 33%</w:t>
            </w:r>
          </w:p>
        </w:tc>
        <w:tc>
          <w:tcPr>
            <w:tcW w:w="1308" w:type="dxa"/>
            <w:tcBorders>
              <w:top w:val="single" w:sz="4" w:space="0" w:color="auto"/>
              <w:left w:val="nil"/>
              <w:bottom w:val="single" w:sz="4" w:space="0" w:color="auto"/>
              <w:right w:val="single" w:sz="4" w:space="0" w:color="auto"/>
            </w:tcBorders>
            <w:shd w:val="clear" w:color="FFFFFF" w:fill="FFFFFF"/>
          </w:tcPr>
          <w:p w14:paraId="1B12DDB8" w14:textId="77777777" w:rsidR="00316D86" w:rsidRPr="00CC11D5" w:rsidRDefault="00316D86" w:rsidP="00316D86">
            <w:pPr>
              <w:jc w:val="center"/>
              <w:rPr>
                <w:rFonts w:ascii="Garamond" w:hAnsi="Garamond"/>
                <w:sz w:val="12"/>
                <w:szCs w:val="12"/>
              </w:rPr>
            </w:pPr>
            <w:r w:rsidRPr="00CC11D5">
              <w:rPr>
                <w:rFonts w:ascii="Garamond" w:hAnsi="Garamond"/>
                <w:sz w:val="12"/>
                <w:szCs w:val="12"/>
              </w:rPr>
              <w:t>&gt; 33%</w:t>
            </w:r>
          </w:p>
        </w:tc>
      </w:tr>
      <w:tr w:rsidR="00316D86" w:rsidRPr="00CC11D5" w14:paraId="67A4FB4B" w14:textId="77777777" w:rsidTr="00316D86">
        <w:trPr>
          <w:trHeight w:val="20"/>
        </w:trPr>
        <w:tc>
          <w:tcPr>
            <w:tcW w:w="2293" w:type="dxa"/>
            <w:tcBorders>
              <w:top w:val="single" w:sz="4" w:space="0" w:color="auto"/>
              <w:left w:val="single" w:sz="4" w:space="0" w:color="auto"/>
              <w:bottom w:val="single" w:sz="4" w:space="0" w:color="auto"/>
              <w:right w:val="single" w:sz="4" w:space="0" w:color="auto"/>
            </w:tcBorders>
            <w:shd w:val="clear" w:color="FFFFFF" w:fill="FFFFFF"/>
          </w:tcPr>
          <w:p w14:paraId="09024154" w14:textId="77777777" w:rsidR="00316D86" w:rsidRPr="00CC11D5" w:rsidRDefault="00316D86" w:rsidP="00316D86">
            <w:pPr>
              <w:jc w:val="center"/>
              <w:rPr>
                <w:rFonts w:ascii="Garamond" w:hAnsi="Garamond"/>
                <w:sz w:val="12"/>
                <w:szCs w:val="12"/>
              </w:rPr>
            </w:pPr>
            <w:r w:rsidRPr="00CC11D5">
              <w:rPr>
                <w:rFonts w:ascii="Garamond" w:hAnsi="Garamond"/>
                <w:sz w:val="12"/>
                <w:szCs w:val="12"/>
              </w:rPr>
              <w:t>Rritja e të ardhurave doganore nga përmirësimi i kanaleve të riskut</w:t>
            </w:r>
          </w:p>
        </w:tc>
        <w:tc>
          <w:tcPr>
            <w:tcW w:w="1494" w:type="dxa"/>
            <w:tcBorders>
              <w:top w:val="single" w:sz="4" w:space="0" w:color="auto"/>
              <w:left w:val="single" w:sz="4" w:space="0" w:color="auto"/>
              <w:bottom w:val="single" w:sz="4" w:space="0" w:color="auto"/>
              <w:right w:val="single" w:sz="4" w:space="0" w:color="auto"/>
            </w:tcBorders>
            <w:shd w:val="clear" w:color="FFFFFF" w:fill="FFFFFF"/>
          </w:tcPr>
          <w:p w14:paraId="3690FA19" w14:textId="77777777" w:rsidR="00316D86" w:rsidRPr="00CC11D5" w:rsidRDefault="00316D86" w:rsidP="00316D86">
            <w:pPr>
              <w:jc w:val="center"/>
              <w:rPr>
                <w:rFonts w:ascii="Garamond" w:hAnsi="Garamond"/>
                <w:sz w:val="12"/>
                <w:szCs w:val="12"/>
              </w:rPr>
            </w:pPr>
          </w:p>
        </w:tc>
        <w:tc>
          <w:tcPr>
            <w:tcW w:w="1323" w:type="dxa"/>
            <w:tcBorders>
              <w:top w:val="single" w:sz="4" w:space="0" w:color="auto"/>
              <w:left w:val="nil"/>
              <w:bottom w:val="single" w:sz="4" w:space="0" w:color="auto"/>
              <w:right w:val="single" w:sz="4" w:space="0" w:color="auto"/>
            </w:tcBorders>
            <w:shd w:val="clear" w:color="FFFFFF" w:fill="FFFFFF"/>
          </w:tcPr>
          <w:p w14:paraId="72D76EF7" w14:textId="06FC5417" w:rsidR="00316D86" w:rsidRPr="00CC11D5" w:rsidRDefault="00316D86" w:rsidP="00316D86">
            <w:pPr>
              <w:jc w:val="center"/>
              <w:rPr>
                <w:rFonts w:ascii="Garamond" w:hAnsi="Garamond"/>
                <w:sz w:val="12"/>
                <w:szCs w:val="12"/>
              </w:rPr>
            </w:pPr>
            <w:r w:rsidRPr="00CC11D5">
              <w:rPr>
                <w:rFonts w:ascii="Garamond" w:hAnsi="Garamond"/>
                <w:sz w:val="12"/>
                <w:szCs w:val="12"/>
              </w:rPr>
              <w:t>0.01% e PBB</w:t>
            </w:r>
            <w:r w:rsidR="00236281" w:rsidRPr="00CC11D5">
              <w:rPr>
                <w:rFonts w:ascii="Garamond" w:hAnsi="Garamond"/>
                <w:sz w:val="12"/>
                <w:szCs w:val="12"/>
              </w:rPr>
              <w:t>-së</w:t>
            </w:r>
          </w:p>
        </w:tc>
        <w:tc>
          <w:tcPr>
            <w:tcW w:w="1077" w:type="dxa"/>
            <w:tcBorders>
              <w:top w:val="single" w:sz="4" w:space="0" w:color="auto"/>
              <w:left w:val="nil"/>
              <w:bottom w:val="single" w:sz="4" w:space="0" w:color="auto"/>
              <w:right w:val="single" w:sz="4" w:space="0" w:color="auto"/>
            </w:tcBorders>
            <w:shd w:val="clear" w:color="FFFFFF" w:fill="FFFFFF"/>
          </w:tcPr>
          <w:p w14:paraId="4DC8EA6C" w14:textId="490BB225" w:rsidR="00316D86" w:rsidRPr="00CC11D5" w:rsidRDefault="00316D86" w:rsidP="00316D86">
            <w:pPr>
              <w:jc w:val="center"/>
              <w:rPr>
                <w:rFonts w:ascii="Garamond" w:hAnsi="Garamond"/>
                <w:sz w:val="12"/>
                <w:szCs w:val="12"/>
              </w:rPr>
            </w:pPr>
            <w:r w:rsidRPr="00CC11D5">
              <w:rPr>
                <w:rFonts w:ascii="Garamond" w:hAnsi="Garamond"/>
                <w:sz w:val="12"/>
                <w:szCs w:val="12"/>
              </w:rPr>
              <w:t>0.01% e PBB</w:t>
            </w:r>
            <w:r w:rsidR="00236281" w:rsidRPr="00CC11D5">
              <w:rPr>
                <w:rFonts w:ascii="Garamond" w:hAnsi="Garamond"/>
                <w:sz w:val="12"/>
                <w:szCs w:val="12"/>
              </w:rPr>
              <w:t>-së</w:t>
            </w:r>
          </w:p>
        </w:tc>
        <w:tc>
          <w:tcPr>
            <w:tcW w:w="1340" w:type="dxa"/>
            <w:tcBorders>
              <w:top w:val="single" w:sz="4" w:space="0" w:color="auto"/>
              <w:left w:val="nil"/>
              <w:bottom w:val="single" w:sz="4" w:space="0" w:color="auto"/>
              <w:right w:val="single" w:sz="4" w:space="0" w:color="auto"/>
            </w:tcBorders>
            <w:shd w:val="clear" w:color="FFFFFF" w:fill="FFFFFF"/>
          </w:tcPr>
          <w:p w14:paraId="2FD61245" w14:textId="75127DB3" w:rsidR="00316D86" w:rsidRPr="00CC11D5" w:rsidRDefault="00316D86" w:rsidP="00316D86">
            <w:pPr>
              <w:jc w:val="center"/>
              <w:rPr>
                <w:rFonts w:ascii="Garamond" w:hAnsi="Garamond"/>
                <w:sz w:val="12"/>
                <w:szCs w:val="12"/>
              </w:rPr>
            </w:pPr>
            <w:r w:rsidRPr="00CC11D5">
              <w:rPr>
                <w:rFonts w:ascii="Garamond" w:hAnsi="Garamond"/>
                <w:sz w:val="12"/>
                <w:szCs w:val="12"/>
              </w:rPr>
              <w:t>0.005% e PBB</w:t>
            </w:r>
            <w:r w:rsidR="00236281" w:rsidRPr="00CC11D5">
              <w:rPr>
                <w:rFonts w:ascii="Garamond" w:hAnsi="Garamond"/>
                <w:sz w:val="12"/>
                <w:szCs w:val="12"/>
              </w:rPr>
              <w:t>-së</w:t>
            </w:r>
          </w:p>
        </w:tc>
        <w:tc>
          <w:tcPr>
            <w:tcW w:w="1308" w:type="dxa"/>
            <w:tcBorders>
              <w:top w:val="single" w:sz="4" w:space="0" w:color="auto"/>
              <w:left w:val="nil"/>
              <w:bottom w:val="single" w:sz="4" w:space="0" w:color="auto"/>
              <w:right w:val="single" w:sz="4" w:space="0" w:color="auto"/>
            </w:tcBorders>
            <w:shd w:val="clear" w:color="FFFFFF" w:fill="FFFFFF"/>
          </w:tcPr>
          <w:p w14:paraId="42879D29" w14:textId="32E3C0D7" w:rsidR="00316D86" w:rsidRPr="00CC11D5" w:rsidRDefault="00316D86" w:rsidP="00316D86">
            <w:pPr>
              <w:jc w:val="center"/>
              <w:rPr>
                <w:rFonts w:ascii="Garamond" w:hAnsi="Garamond"/>
                <w:sz w:val="12"/>
                <w:szCs w:val="12"/>
              </w:rPr>
            </w:pPr>
            <w:r w:rsidRPr="00CC11D5">
              <w:rPr>
                <w:rFonts w:ascii="Garamond" w:hAnsi="Garamond"/>
                <w:sz w:val="12"/>
                <w:szCs w:val="12"/>
              </w:rPr>
              <w:t>0.005% e PBB</w:t>
            </w:r>
            <w:r w:rsidR="00236281" w:rsidRPr="00CC11D5">
              <w:rPr>
                <w:rFonts w:ascii="Garamond" w:hAnsi="Garamond"/>
                <w:sz w:val="12"/>
                <w:szCs w:val="12"/>
              </w:rPr>
              <w:t>-së</w:t>
            </w:r>
          </w:p>
        </w:tc>
      </w:tr>
      <w:tr w:rsidR="00316D86" w:rsidRPr="00CC11D5" w14:paraId="1C4B5300" w14:textId="77777777" w:rsidTr="00316D86">
        <w:trPr>
          <w:trHeight w:val="20"/>
        </w:trPr>
        <w:tc>
          <w:tcPr>
            <w:tcW w:w="2293" w:type="dxa"/>
            <w:tcBorders>
              <w:top w:val="single" w:sz="4" w:space="0" w:color="auto"/>
              <w:left w:val="single" w:sz="4" w:space="0" w:color="auto"/>
              <w:bottom w:val="single" w:sz="4" w:space="0" w:color="auto"/>
              <w:right w:val="single" w:sz="4" w:space="0" w:color="auto"/>
            </w:tcBorders>
            <w:shd w:val="clear" w:color="FFFFFF" w:fill="FFFFFF"/>
          </w:tcPr>
          <w:p w14:paraId="3F495E70" w14:textId="42410EB3" w:rsidR="00316D86" w:rsidRPr="00CC11D5" w:rsidRDefault="00316D86" w:rsidP="00316D86">
            <w:pPr>
              <w:jc w:val="center"/>
              <w:rPr>
                <w:rFonts w:ascii="Garamond" w:hAnsi="Garamond"/>
                <w:sz w:val="12"/>
                <w:szCs w:val="12"/>
              </w:rPr>
            </w:pPr>
            <w:bookmarkStart w:id="68" w:name="_Hlk167955220"/>
            <w:r w:rsidRPr="00CC11D5">
              <w:rPr>
                <w:rFonts w:ascii="Garamond" w:hAnsi="Garamond"/>
                <w:sz w:val="12"/>
                <w:szCs w:val="12"/>
              </w:rPr>
              <w:t>Rritja e të ardhurave nga</w:t>
            </w:r>
            <w:r w:rsidR="00D22EA5" w:rsidRPr="00CC11D5">
              <w:rPr>
                <w:rFonts w:ascii="Garamond" w:hAnsi="Garamond"/>
                <w:sz w:val="12"/>
                <w:szCs w:val="12"/>
              </w:rPr>
              <w:t xml:space="preserve"> </w:t>
            </w:r>
            <w:r w:rsidRPr="00CC11D5">
              <w:rPr>
                <w:rFonts w:ascii="Garamond" w:hAnsi="Garamond"/>
                <w:sz w:val="12"/>
                <w:szCs w:val="12"/>
              </w:rPr>
              <w:t>zbulimi i shkeljeve n</w:t>
            </w:r>
            <w:r w:rsidR="008C0C0F" w:rsidRPr="00CC11D5">
              <w:rPr>
                <w:rFonts w:ascii="Garamond" w:hAnsi="Garamond"/>
                <w:sz w:val="12"/>
                <w:szCs w:val="12"/>
              </w:rPr>
              <w:t>ë</w:t>
            </w:r>
            <w:r w:rsidRPr="00CC11D5">
              <w:rPr>
                <w:rFonts w:ascii="Garamond" w:hAnsi="Garamond"/>
                <w:sz w:val="12"/>
                <w:szCs w:val="12"/>
              </w:rPr>
              <w:t xml:space="preserve"> mallrat e akciz</w:t>
            </w:r>
            <w:r w:rsidR="008C0C0F" w:rsidRPr="00CC11D5">
              <w:rPr>
                <w:rFonts w:ascii="Garamond" w:hAnsi="Garamond"/>
                <w:sz w:val="12"/>
                <w:szCs w:val="12"/>
              </w:rPr>
              <w:t>ë</w:t>
            </w:r>
            <w:r w:rsidRPr="00CC11D5">
              <w:rPr>
                <w:rFonts w:ascii="Garamond" w:hAnsi="Garamond"/>
                <w:sz w:val="12"/>
                <w:szCs w:val="12"/>
              </w:rPr>
              <w:t>s</w:t>
            </w:r>
            <w:bookmarkEnd w:id="68"/>
          </w:p>
        </w:tc>
        <w:tc>
          <w:tcPr>
            <w:tcW w:w="1494" w:type="dxa"/>
            <w:tcBorders>
              <w:top w:val="single" w:sz="4" w:space="0" w:color="auto"/>
              <w:left w:val="single" w:sz="4" w:space="0" w:color="auto"/>
              <w:bottom w:val="single" w:sz="4" w:space="0" w:color="auto"/>
              <w:right w:val="single" w:sz="4" w:space="0" w:color="auto"/>
            </w:tcBorders>
            <w:shd w:val="clear" w:color="FFFFFF" w:fill="FFFFFF"/>
          </w:tcPr>
          <w:p w14:paraId="7CB8C1A1" w14:textId="77777777" w:rsidR="00316D86" w:rsidRPr="00CC11D5" w:rsidRDefault="00316D86" w:rsidP="00316D86">
            <w:pPr>
              <w:jc w:val="center"/>
              <w:rPr>
                <w:rFonts w:ascii="Garamond" w:hAnsi="Garamond"/>
                <w:sz w:val="12"/>
                <w:szCs w:val="12"/>
              </w:rPr>
            </w:pPr>
          </w:p>
        </w:tc>
        <w:tc>
          <w:tcPr>
            <w:tcW w:w="1323" w:type="dxa"/>
            <w:tcBorders>
              <w:top w:val="single" w:sz="4" w:space="0" w:color="auto"/>
              <w:left w:val="nil"/>
              <w:bottom w:val="single" w:sz="4" w:space="0" w:color="auto"/>
              <w:right w:val="single" w:sz="4" w:space="0" w:color="auto"/>
            </w:tcBorders>
            <w:shd w:val="clear" w:color="FFFFFF" w:fill="FFFFFF"/>
          </w:tcPr>
          <w:p w14:paraId="56E9409D" w14:textId="1932B30D" w:rsidR="00316D86" w:rsidRPr="00CC11D5" w:rsidRDefault="00316D86" w:rsidP="00316D86">
            <w:pPr>
              <w:jc w:val="center"/>
              <w:rPr>
                <w:rFonts w:ascii="Garamond" w:hAnsi="Garamond"/>
                <w:sz w:val="12"/>
                <w:szCs w:val="12"/>
              </w:rPr>
            </w:pPr>
            <w:r w:rsidRPr="00CC11D5">
              <w:rPr>
                <w:rFonts w:ascii="Garamond" w:hAnsi="Garamond"/>
                <w:sz w:val="12"/>
                <w:szCs w:val="12"/>
              </w:rPr>
              <w:t>0.006% e PBB</w:t>
            </w:r>
            <w:r w:rsidR="00236281" w:rsidRPr="00CC11D5">
              <w:rPr>
                <w:rFonts w:ascii="Garamond" w:hAnsi="Garamond"/>
                <w:sz w:val="12"/>
                <w:szCs w:val="12"/>
              </w:rPr>
              <w:t>-së</w:t>
            </w:r>
          </w:p>
        </w:tc>
        <w:tc>
          <w:tcPr>
            <w:tcW w:w="1077" w:type="dxa"/>
            <w:tcBorders>
              <w:top w:val="single" w:sz="4" w:space="0" w:color="auto"/>
              <w:left w:val="nil"/>
              <w:bottom w:val="single" w:sz="4" w:space="0" w:color="auto"/>
              <w:right w:val="single" w:sz="4" w:space="0" w:color="auto"/>
            </w:tcBorders>
            <w:shd w:val="clear" w:color="FFFFFF" w:fill="FFFFFF"/>
          </w:tcPr>
          <w:p w14:paraId="4D609C14" w14:textId="60BE06A9" w:rsidR="00316D86" w:rsidRPr="00CC11D5" w:rsidRDefault="00316D86" w:rsidP="00316D86">
            <w:pPr>
              <w:jc w:val="center"/>
              <w:rPr>
                <w:rFonts w:ascii="Garamond" w:hAnsi="Garamond"/>
                <w:sz w:val="12"/>
                <w:szCs w:val="12"/>
              </w:rPr>
            </w:pPr>
            <w:r w:rsidRPr="00CC11D5">
              <w:rPr>
                <w:rFonts w:ascii="Garamond" w:hAnsi="Garamond"/>
                <w:sz w:val="12"/>
                <w:szCs w:val="12"/>
              </w:rPr>
              <w:t>0.008% e PBB</w:t>
            </w:r>
            <w:r w:rsidR="00236281" w:rsidRPr="00CC11D5">
              <w:rPr>
                <w:rFonts w:ascii="Garamond" w:hAnsi="Garamond"/>
                <w:sz w:val="12"/>
                <w:szCs w:val="12"/>
              </w:rPr>
              <w:t>-së</w:t>
            </w:r>
          </w:p>
        </w:tc>
        <w:tc>
          <w:tcPr>
            <w:tcW w:w="1340" w:type="dxa"/>
            <w:tcBorders>
              <w:top w:val="single" w:sz="4" w:space="0" w:color="auto"/>
              <w:left w:val="nil"/>
              <w:bottom w:val="single" w:sz="4" w:space="0" w:color="auto"/>
              <w:right w:val="single" w:sz="4" w:space="0" w:color="auto"/>
            </w:tcBorders>
            <w:shd w:val="clear" w:color="FFFFFF" w:fill="FFFFFF"/>
          </w:tcPr>
          <w:p w14:paraId="0E508B54" w14:textId="616D22FA" w:rsidR="00316D86" w:rsidRPr="00CC11D5" w:rsidRDefault="00316D86" w:rsidP="00316D86">
            <w:pPr>
              <w:jc w:val="center"/>
              <w:rPr>
                <w:rFonts w:ascii="Garamond" w:hAnsi="Garamond"/>
                <w:sz w:val="12"/>
                <w:szCs w:val="12"/>
              </w:rPr>
            </w:pPr>
            <w:r w:rsidRPr="00CC11D5">
              <w:rPr>
                <w:rFonts w:ascii="Garamond" w:hAnsi="Garamond"/>
                <w:sz w:val="12"/>
                <w:szCs w:val="12"/>
              </w:rPr>
              <w:t>0.005% e PBB</w:t>
            </w:r>
            <w:r w:rsidR="00236281" w:rsidRPr="00CC11D5">
              <w:rPr>
                <w:rFonts w:ascii="Garamond" w:hAnsi="Garamond"/>
                <w:sz w:val="12"/>
                <w:szCs w:val="12"/>
              </w:rPr>
              <w:t>-së</w:t>
            </w:r>
          </w:p>
        </w:tc>
        <w:tc>
          <w:tcPr>
            <w:tcW w:w="1308" w:type="dxa"/>
            <w:tcBorders>
              <w:top w:val="single" w:sz="4" w:space="0" w:color="auto"/>
              <w:left w:val="nil"/>
              <w:bottom w:val="single" w:sz="4" w:space="0" w:color="auto"/>
              <w:right w:val="single" w:sz="4" w:space="0" w:color="auto"/>
            </w:tcBorders>
            <w:shd w:val="clear" w:color="FFFFFF" w:fill="FFFFFF"/>
          </w:tcPr>
          <w:p w14:paraId="42FDC3BF" w14:textId="6669C0C9" w:rsidR="00316D86" w:rsidRPr="00CC11D5" w:rsidRDefault="00316D86" w:rsidP="00316D86">
            <w:pPr>
              <w:jc w:val="center"/>
              <w:rPr>
                <w:rFonts w:ascii="Garamond" w:hAnsi="Garamond"/>
                <w:sz w:val="12"/>
                <w:szCs w:val="12"/>
              </w:rPr>
            </w:pPr>
            <w:r w:rsidRPr="00CC11D5">
              <w:rPr>
                <w:rFonts w:ascii="Garamond" w:hAnsi="Garamond"/>
                <w:sz w:val="12"/>
                <w:szCs w:val="12"/>
              </w:rPr>
              <w:t>0.005% e PBB</w:t>
            </w:r>
            <w:r w:rsidR="00236281" w:rsidRPr="00CC11D5">
              <w:rPr>
                <w:rFonts w:ascii="Garamond" w:hAnsi="Garamond"/>
                <w:sz w:val="12"/>
                <w:szCs w:val="12"/>
              </w:rPr>
              <w:t>-së</w:t>
            </w:r>
          </w:p>
        </w:tc>
      </w:tr>
    </w:tbl>
    <w:p w14:paraId="10BBEDF6" w14:textId="77777777" w:rsidR="00316D86" w:rsidRPr="00830F4C" w:rsidRDefault="00316D86" w:rsidP="00316D86">
      <w:pPr>
        <w:jc w:val="both"/>
        <w:rPr>
          <w:rFonts w:ascii="Garamond" w:hAnsi="Garamond"/>
          <w:b/>
          <w:sz w:val="20"/>
          <w:szCs w:val="20"/>
        </w:rPr>
      </w:pPr>
    </w:p>
    <w:p w14:paraId="14A4AA5F" w14:textId="18E1645F" w:rsidR="00316D86" w:rsidRPr="00830F4C" w:rsidRDefault="00316D86" w:rsidP="00316D86">
      <w:pPr>
        <w:pStyle w:val="Heading2"/>
        <w:spacing w:before="0"/>
        <w:ind w:firstLine="284"/>
        <w:rPr>
          <w:rFonts w:ascii="Garamond" w:hAnsi="Garamond" w:cs="Times New Roman"/>
          <w:b/>
          <w:color w:val="auto"/>
          <w:sz w:val="24"/>
          <w:szCs w:val="24"/>
        </w:rPr>
      </w:pPr>
      <w:bookmarkStart w:id="69" w:name="_Toc168066236"/>
      <w:bookmarkStart w:id="70" w:name="_Toc185235103"/>
      <w:r w:rsidRPr="00830F4C">
        <w:rPr>
          <w:rFonts w:ascii="Garamond" w:hAnsi="Garamond" w:cs="Times New Roman"/>
          <w:b/>
          <w:color w:val="auto"/>
          <w:sz w:val="24"/>
          <w:szCs w:val="24"/>
        </w:rPr>
        <w:t>VI.3 Komponenti 3.2 Zhvillimi i aftësive të zgjeruara analitike të të dhënave</w:t>
      </w:r>
      <w:bookmarkEnd w:id="69"/>
      <w:bookmarkEnd w:id="70"/>
      <w:r w:rsidRPr="00830F4C">
        <w:rPr>
          <w:rFonts w:ascii="Garamond" w:hAnsi="Garamond" w:cs="Times New Roman"/>
          <w:b/>
          <w:color w:val="auto"/>
          <w:sz w:val="24"/>
          <w:szCs w:val="24"/>
        </w:rPr>
        <w:t xml:space="preserve"> </w:t>
      </w:r>
    </w:p>
    <w:p w14:paraId="0C28B43D" w14:textId="77777777" w:rsidR="00316D86" w:rsidRPr="00830F4C" w:rsidRDefault="00316D86" w:rsidP="00316D86">
      <w:pPr>
        <w:ind w:firstLine="284"/>
        <w:jc w:val="both"/>
        <w:rPr>
          <w:rFonts w:ascii="Garamond" w:hAnsi="Garamond"/>
          <w:b/>
        </w:rPr>
      </w:pPr>
      <w:r w:rsidRPr="00830F4C">
        <w:rPr>
          <w:rFonts w:ascii="Garamond" w:hAnsi="Garamond"/>
          <w:b/>
        </w:rPr>
        <w:t>Objektivi</w:t>
      </w:r>
    </w:p>
    <w:p w14:paraId="109744B5" w14:textId="499082C5" w:rsidR="00316D86" w:rsidRPr="00830F4C" w:rsidRDefault="00316D86" w:rsidP="00316D86">
      <w:pPr>
        <w:ind w:firstLine="284"/>
        <w:jc w:val="both"/>
        <w:rPr>
          <w:rFonts w:ascii="Garamond" w:hAnsi="Garamond"/>
          <w:b/>
        </w:rPr>
      </w:pPr>
      <w:r w:rsidRPr="00830F4C">
        <w:rPr>
          <w:rFonts w:ascii="Garamond" w:hAnsi="Garamond"/>
        </w:rPr>
        <w:t>Synimi i këtij komponenti është që brenda vitit 2027 administrata doganore të ketë zhvilluar modele makroekon</w:t>
      </w:r>
      <w:r w:rsidR="00236281" w:rsidRPr="00830F4C">
        <w:rPr>
          <w:rFonts w:ascii="Garamond" w:hAnsi="Garamond"/>
        </w:rPr>
        <w:t>om</w:t>
      </w:r>
      <w:r w:rsidRPr="00830F4C">
        <w:rPr>
          <w:rFonts w:ascii="Garamond" w:hAnsi="Garamond"/>
        </w:rPr>
        <w:t xml:space="preserve">ike që rrisin aftësitë </w:t>
      </w:r>
      <w:r w:rsidRPr="00830F4C">
        <w:rPr>
          <w:rFonts w:ascii="Garamond" w:eastAsiaTheme="minorHAnsi" w:hAnsi="Garamond"/>
        </w:rPr>
        <w:t>analitike dhe parashikuese të fenomeneve ekonomike.</w:t>
      </w:r>
    </w:p>
    <w:p w14:paraId="16337E3E" w14:textId="77777777" w:rsidR="00316D86" w:rsidRPr="00830F4C" w:rsidRDefault="00316D86" w:rsidP="00316D86">
      <w:pPr>
        <w:ind w:firstLine="284"/>
        <w:jc w:val="both"/>
        <w:rPr>
          <w:rFonts w:ascii="Garamond" w:hAnsi="Garamond"/>
          <w:b/>
        </w:rPr>
      </w:pPr>
      <w:r w:rsidRPr="00830F4C">
        <w:rPr>
          <w:rFonts w:ascii="Garamond" w:hAnsi="Garamond"/>
          <w:b/>
        </w:rPr>
        <w:t>Konteksti</w:t>
      </w:r>
    </w:p>
    <w:p w14:paraId="507EC3A0" w14:textId="249613E1" w:rsidR="00316D86" w:rsidRPr="00830F4C" w:rsidRDefault="00316D86" w:rsidP="00316D86">
      <w:pPr>
        <w:ind w:firstLine="284"/>
        <w:jc w:val="both"/>
        <w:rPr>
          <w:rStyle w:val="contentpasted0"/>
          <w:rFonts w:ascii="Garamond" w:hAnsi="Garamond"/>
        </w:rPr>
      </w:pPr>
      <w:r w:rsidRPr="00830F4C">
        <w:rPr>
          <w:rStyle w:val="contentpasted0"/>
          <w:rFonts w:ascii="Garamond" w:hAnsi="Garamond"/>
        </w:rPr>
        <w:t>Aftësitë analitike të administratës doganore janë zgjeruar dhe plotësuar me informacione dhe funksione. Raportimet kryhen në kohë shumë të shkurtër dhe me saktësi të plotë. Gjenerohen raporte analitike të përgjithshme</w:t>
      </w:r>
      <w:r w:rsidR="00505959">
        <w:rPr>
          <w:rStyle w:val="contentpasted0"/>
          <w:rFonts w:ascii="Garamond" w:hAnsi="Garamond"/>
        </w:rPr>
        <w:t>,</w:t>
      </w:r>
      <w:r w:rsidRPr="00830F4C">
        <w:rPr>
          <w:rStyle w:val="contentpasted0"/>
          <w:rFonts w:ascii="Garamond" w:hAnsi="Garamond"/>
        </w:rPr>
        <w:t xml:space="preserve"> si edhe raporte specifike për të pa</w:t>
      </w:r>
      <w:r w:rsidR="00236281" w:rsidRPr="00830F4C">
        <w:rPr>
          <w:rStyle w:val="contentpasted0"/>
          <w:rFonts w:ascii="Garamond" w:hAnsi="Garamond"/>
        </w:rPr>
        <w:t>s</w:t>
      </w:r>
      <w:r w:rsidRPr="00830F4C">
        <w:rPr>
          <w:rStyle w:val="contentpasted0"/>
          <w:rFonts w:ascii="Garamond" w:hAnsi="Garamond"/>
        </w:rPr>
        <w:t xml:space="preserve">ur një pamje të plotë të </w:t>
      </w:r>
      <w:r w:rsidR="00505959" w:rsidRPr="00830F4C">
        <w:rPr>
          <w:rStyle w:val="contentpasted0"/>
          <w:rFonts w:ascii="Garamond" w:hAnsi="Garamond"/>
        </w:rPr>
        <w:t xml:space="preserve">të </w:t>
      </w:r>
      <w:r w:rsidRPr="00830F4C">
        <w:rPr>
          <w:rStyle w:val="contentpasted0"/>
          <w:rFonts w:ascii="Garamond" w:hAnsi="Garamond"/>
        </w:rPr>
        <w:t>gjith</w:t>
      </w:r>
      <w:r w:rsidR="00505959">
        <w:rPr>
          <w:rStyle w:val="contentpasted0"/>
          <w:rFonts w:ascii="Garamond" w:hAnsi="Garamond"/>
        </w:rPr>
        <w:t>a</w:t>
      </w:r>
      <w:r w:rsidRPr="00830F4C">
        <w:rPr>
          <w:rStyle w:val="contentpasted0"/>
          <w:rFonts w:ascii="Garamond" w:hAnsi="Garamond"/>
        </w:rPr>
        <w:t xml:space="preserve"> fenomeneve pozitive apo negative në procedurat doganore.</w:t>
      </w:r>
    </w:p>
    <w:p w14:paraId="2A23A652" w14:textId="0781E595" w:rsidR="00316D86" w:rsidRPr="00830F4C" w:rsidRDefault="00316D86" w:rsidP="00316D86">
      <w:pPr>
        <w:ind w:firstLine="284"/>
        <w:jc w:val="both"/>
        <w:rPr>
          <w:rFonts w:ascii="Garamond" w:hAnsi="Garamond"/>
        </w:rPr>
      </w:pPr>
      <w:r w:rsidRPr="00830F4C">
        <w:rPr>
          <w:rFonts w:ascii="Garamond" w:hAnsi="Garamond"/>
        </w:rPr>
        <w:t>Raportet mujore për analizimin e të ardhurave doganore që prodhon administrata doganore për tregues të caktuar makroekonomikë</w:t>
      </w:r>
      <w:r w:rsidR="00505959">
        <w:rPr>
          <w:rFonts w:ascii="Garamond" w:hAnsi="Garamond"/>
        </w:rPr>
        <w:t>,</w:t>
      </w:r>
      <w:r w:rsidRPr="00830F4C">
        <w:rPr>
          <w:rFonts w:ascii="Garamond" w:hAnsi="Garamond"/>
        </w:rPr>
        <w:t xml:space="preserve"> si: vëllimi dhe vlera e tregtisë së jashtme sipas produkteve, ndikimet nga kursi i këmbimit dhe ndryshimet në tregjet e brendshme, janë shumë të dobishme dhe duhet të zhvillohen më tej për</w:t>
      </w:r>
      <w:r w:rsidR="0052377F" w:rsidRPr="00830F4C">
        <w:rPr>
          <w:rFonts w:ascii="Garamond" w:hAnsi="Garamond"/>
        </w:rPr>
        <w:t xml:space="preserve"> </w:t>
      </w:r>
      <w:r w:rsidR="006A23E9" w:rsidRPr="00830F4C">
        <w:rPr>
          <w:rFonts w:ascii="Garamond" w:hAnsi="Garamond"/>
        </w:rPr>
        <w:t>t’i</w:t>
      </w:r>
      <w:r w:rsidR="0052377F" w:rsidRPr="00830F4C">
        <w:rPr>
          <w:rFonts w:ascii="Garamond" w:hAnsi="Garamond"/>
        </w:rPr>
        <w:t xml:space="preserve"> </w:t>
      </w:r>
      <w:r w:rsidRPr="00830F4C">
        <w:rPr>
          <w:rFonts w:ascii="Garamond" w:hAnsi="Garamond"/>
        </w:rPr>
        <w:t>bërë ato më specifike në analizimin e fenomene</w:t>
      </w:r>
      <w:r w:rsidR="00505959">
        <w:rPr>
          <w:rFonts w:ascii="Garamond" w:hAnsi="Garamond"/>
        </w:rPr>
        <w:t>ve</w:t>
      </w:r>
      <w:r w:rsidRPr="00830F4C">
        <w:rPr>
          <w:rFonts w:ascii="Garamond" w:hAnsi="Garamond"/>
        </w:rPr>
        <w:t xml:space="preserve"> të të bërit tregti. Bazuar në këto analiza, do të rritet jo vetëm saktësia e parashikimeve të të ardhurave, por edhe evidentimi i fenomeneve ekonomike që lidhen me procedurat e zhdoganimit.</w:t>
      </w:r>
    </w:p>
    <w:p w14:paraId="34B05F6C" w14:textId="77777777" w:rsidR="00316D86" w:rsidRPr="00830F4C" w:rsidRDefault="00316D86" w:rsidP="00316D86">
      <w:pPr>
        <w:ind w:firstLine="284"/>
        <w:jc w:val="both"/>
        <w:rPr>
          <w:rFonts w:ascii="Garamond" w:hAnsi="Garamond"/>
          <w:b/>
        </w:rPr>
      </w:pPr>
      <w:r w:rsidRPr="00830F4C">
        <w:rPr>
          <w:rFonts w:ascii="Garamond" w:hAnsi="Garamond"/>
          <w:b/>
        </w:rPr>
        <w:t>Prioritetet:</w:t>
      </w:r>
    </w:p>
    <w:p w14:paraId="6D497E95" w14:textId="524DB074" w:rsidR="00316D86" w:rsidRPr="00830F4C" w:rsidRDefault="00316D86" w:rsidP="00316D86">
      <w:pPr>
        <w:ind w:firstLine="284"/>
        <w:jc w:val="both"/>
        <w:rPr>
          <w:rFonts w:ascii="Garamond" w:hAnsi="Garamond"/>
        </w:rPr>
      </w:pPr>
      <w:r w:rsidRPr="00830F4C">
        <w:rPr>
          <w:rFonts w:ascii="Garamond" w:hAnsi="Garamond"/>
        </w:rPr>
        <w:t>Prioritetet për periudhën</w:t>
      </w:r>
      <w:r w:rsidR="00800B00" w:rsidRPr="00830F4C">
        <w:rPr>
          <w:rFonts w:ascii="Garamond" w:hAnsi="Garamond"/>
        </w:rPr>
        <w:t xml:space="preserve"> </w:t>
      </w:r>
      <w:r w:rsidR="00D22EA5" w:rsidRPr="00830F4C">
        <w:rPr>
          <w:rFonts w:ascii="Garamond" w:hAnsi="Garamond"/>
        </w:rPr>
        <w:t>2024–2027</w:t>
      </w:r>
      <w:r w:rsidRPr="00830F4C">
        <w:rPr>
          <w:rFonts w:ascii="Garamond" w:hAnsi="Garamond"/>
        </w:rPr>
        <w:t xml:space="preserve"> janë:</w:t>
      </w:r>
    </w:p>
    <w:p w14:paraId="378A1DDB" w14:textId="77777777" w:rsidR="00316D86" w:rsidRPr="00830F4C" w:rsidRDefault="00316D86" w:rsidP="00316D86">
      <w:pPr>
        <w:pStyle w:val="ListParagraph"/>
        <w:spacing w:after="0" w:line="240" w:lineRule="auto"/>
        <w:ind w:left="284"/>
        <w:jc w:val="both"/>
        <w:rPr>
          <w:rFonts w:ascii="Garamond" w:hAnsi="Garamond"/>
          <w:sz w:val="24"/>
        </w:rPr>
      </w:pPr>
      <w:r w:rsidRPr="00830F4C">
        <w:rPr>
          <w:rFonts w:ascii="Garamond" w:hAnsi="Garamond"/>
          <w:sz w:val="24"/>
        </w:rPr>
        <w:t>- Krijimi dhe përdorimi i modeleve makroekonomike</w:t>
      </w:r>
    </w:p>
    <w:p w14:paraId="48A81A9F" w14:textId="77777777" w:rsidR="00316D86" w:rsidRPr="00830F4C" w:rsidRDefault="00316D86" w:rsidP="00316D86">
      <w:pPr>
        <w:ind w:firstLine="284"/>
        <w:jc w:val="both"/>
        <w:rPr>
          <w:rFonts w:ascii="Garamond" w:hAnsi="Garamond"/>
          <w:b/>
        </w:rPr>
      </w:pPr>
      <w:r w:rsidRPr="00830F4C">
        <w:rPr>
          <w:rFonts w:ascii="Garamond" w:hAnsi="Garamond"/>
          <w:b/>
        </w:rPr>
        <w:t>Masat dhe aktivitetet</w:t>
      </w:r>
    </w:p>
    <w:tbl>
      <w:tblPr>
        <w:tblStyle w:val="TableGrid"/>
        <w:tblW w:w="0" w:type="auto"/>
        <w:tblLook w:val="04A0" w:firstRow="1" w:lastRow="0" w:firstColumn="1" w:lastColumn="0" w:noHBand="0" w:noVBand="1"/>
      </w:tblPr>
      <w:tblGrid>
        <w:gridCol w:w="2289"/>
        <w:gridCol w:w="2686"/>
        <w:gridCol w:w="1143"/>
        <w:gridCol w:w="1343"/>
        <w:gridCol w:w="1555"/>
      </w:tblGrid>
      <w:tr w:rsidR="00316D86" w:rsidRPr="00CC11D5" w14:paraId="7D818B2A" w14:textId="77777777" w:rsidTr="008C0C0F">
        <w:trPr>
          <w:trHeight w:val="340"/>
        </w:trPr>
        <w:tc>
          <w:tcPr>
            <w:tcW w:w="2289" w:type="dxa"/>
            <w:vAlign w:val="center"/>
          </w:tcPr>
          <w:p w14:paraId="74122B36" w14:textId="77777777" w:rsidR="00316D86" w:rsidRPr="00CC11D5" w:rsidRDefault="00316D86" w:rsidP="008C0C0F">
            <w:pPr>
              <w:ind w:left="360"/>
              <w:jc w:val="center"/>
              <w:rPr>
                <w:rFonts w:ascii="Garamond" w:hAnsi="Garamond"/>
                <w:b/>
                <w:sz w:val="12"/>
                <w:szCs w:val="12"/>
              </w:rPr>
            </w:pPr>
            <w:r w:rsidRPr="00CC11D5">
              <w:rPr>
                <w:rFonts w:ascii="Garamond" w:hAnsi="Garamond"/>
                <w:b/>
                <w:sz w:val="12"/>
                <w:szCs w:val="12"/>
              </w:rPr>
              <w:t>Masa</w:t>
            </w:r>
          </w:p>
        </w:tc>
        <w:tc>
          <w:tcPr>
            <w:tcW w:w="2686" w:type="dxa"/>
            <w:vAlign w:val="center"/>
          </w:tcPr>
          <w:p w14:paraId="7810B492" w14:textId="77777777" w:rsidR="00316D86" w:rsidRPr="00CC11D5" w:rsidRDefault="00316D86" w:rsidP="008C0C0F">
            <w:pPr>
              <w:ind w:left="360"/>
              <w:jc w:val="center"/>
              <w:rPr>
                <w:rFonts w:ascii="Garamond" w:hAnsi="Garamond"/>
                <w:b/>
                <w:sz w:val="12"/>
                <w:szCs w:val="12"/>
              </w:rPr>
            </w:pPr>
          </w:p>
        </w:tc>
        <w:tc>
          <w:tcPr>
            <w:tcW w:w="1143" w:type="dxa"/>
            <w:vAlign w:val="center"/>
          </w:tcPr>
          <w:p w14:paraId="33EC2BEB" w14:textId="77777777" w:rsidR="00316D86" w:rsidRPr="00CC11D5" w:rsidRDefault="00316D86" w:rsidP="008C0C0F">
            <w:pPr>
              <w:ind w:left="360"/>
              <w:jc w:val="center"/>
              <w:rPr>
                <w:rFonts w:ascii="Garamond" w:hAnsi="Garamond"/>
                <w:b/>
                <w:sz w:val="12"/>
                <w:szCs w:val="12"/>
              </w:rPr>
            </w:pPr>
            <w:r w:rsidRPr="00CC11D5">
              <w:rPr>
                <w:rFonts w:ascii="Garamond" w:hAnsi="Garamond"/>
                <w:b/>
                <w:sz w:val="12"/>
                <w:szCs w:val="12"/>
              </w:rPr>
              <w:t>Fillimi</w:t>
            </w:r>
          </w:p>
        </w:tc>
        <w:tc>
          <w:tcPr>
            <w:tcW w:w="1343" w:type="dxa"/>
            <w:vAlign w:val="center"/>
          </w:tcPr>
          <w:p w14:paraId="065D98FC" w14:textId="77777777" w:rsidR="00316D86" w:rsidRPr="00CC11D5" w:rsidRDefault="00316D86" w:rsidP="008C0C0F">
            <w:pPr>
              <w:ind w:left="360"/>
              <w:jc w:val="center"/>
              <w:rPr>
                <w:rFonts w:ascii="Garamond" w:hAnsi="Garamond"/>
                <w:b/>
                <w:sz w:val="12"/>
                <w:szCs w:val="12"/>
              </w:rPr>
            </w:pPr>
            <w:r w:rsidRPr="00CC11D5">
              <w:rPr>
                <w:rFonts w:ascii="Garamond" w:hAnsi="Garamond"/>
                <w:b/>
                <w:sz w:val="12"/>
                <w:szCs w:val="12"/>
              </w:rPr>
              <w:t>Mbarimi</w:t>
            </w:r>
          </w:p>
        </w:tc>
        <w:tc>
          <w:tcPr>
            <w:tcW w:w="1555" w:type="dxa"/>
            <w:vAlign w:val="center"/>
          </w:tcPr>
          <w:p w14:paraId="4FC2C161" w14:textId="77777777" w:rsidR="00316D86" w:rsidRPr="00CC11D5" w:rsidRDefault="00316D86" w:rsidP="008C0C0F">
            <w:pPr>
              <w:ind w:left="360"/>
              <w:jc w:val="center"/>
              <w:rPr>
                <w:rFonts w:ascii="Garamond" w:hAnsi="Garamond"/>
                <w:b/>
                <w:sz w:val="12"/>
                <w:szCs w:val="12"/>
              </w:rPr>
            </w:pPr>
            <w:r w:rsidRPr="00CC11D5">
              <w:rPr>
                <w:rFonts w:ascii="Garamond" w:hAnsi="Garamond"/>
                <w:b/>
                <w:sz w:val="12"/>
                <w:szCs w:val="12"/>
              </w:rPr>
              <w:t>Institucioni përgjegjës</w:t>
            </w:r>
          </w:p>
        </w:tc>
      </w:tr>
      <w:tr w:rsidR="00316D86" w:rsidRPr="00CC11D5" w14:paraId="5879DFFF" w14:textId="77777777" w:rsidTr="003B341B">
        <w:trPr>
          <w:trHeight w:val="701"/>
        </w:trPr>
        <w:tc>
          <w:tcPr>
            <w:tcW w:w="2289" w:type="dxa"/>
            <w:vAlign w:val="center"/>
          </w:tcPr>
          <w:p w14:paraId="6DC4BDCB" w14:textId="1D513AA1" w:rsidR="00316D86" w:rsidRPr="00CC11D5" w:rsidRDefault="00316D86" w:rsidP="003B341B">
            <w:pPr>
              <w:spacing w:after="160"/>
              <w:jc w:val="center"/>
              <w:rPr>
                <w:rFonts w:ascii="Garamond" w:eastAsiaTheme="minorHAnsi" w:hAnsi="Garamond"/>
                <w:sz w:val="12"/>
                <w:szCs w:val="12"/>
              </w:rPr>
            </w:pPr>
            <w:r w:rsidRPr="00CC11D5">
              <w:rPr>
                <w:rFonts w:ascii="Garamond" w:eastAsiaTheme="minorHAnsi" w:hAnsi="Garamond"/>
                <w:sz w:val="12"/>
                <w:szCs w:val="12"/>
              </w:rPr>
              <w:t>Masa 3.2.1 Përditësimi dhe krijimi i modeleve të reja ekonometrike për analizimin e të dhënave</w:t>
            </w:r>
          </w:p>
        </w:tc>
        <w:tc>
          <w:tcPr>
            <w:tcW w:w="2686" w:type="dxa"/>
            <w:vAlign w:val="center"/>
          </w:tcPr>
          <w:p w14:paraId="2FB2188C" w14:textId="59409934" w:rsidR="00316D86" w:rsidRPr="00CC11D5" w:rsidRDefault="00316D86" w:rsidP="003B341B">
            <w:pPr>
              <w:contextualSpacing/>
              <w:jc w:val="center"/>
              <w:rPr>
                <w:rFonts w:ascii="Garamond" w:hAnsi="Garamond"/>
                <w:sz w:val="12"/>
                <w:szCs w:val="12"/>
              </w:rPr>
            </w:pPr>
            <w:r w:rsidRPr="00CC11D5">
              <w:rPr>
                <w:rFonts w:ascii="Garamond" w:hAnsi="Garamond"/>
                <w:sz w:val="12"/>
                <w:szCs w:val="12"/>
              </w:rPr>
              <w:t>Aktiviteti 3.2.1.1</w:t>
            </w:r>
            <w:r w:rsidR="00505959" w:rsidRPr="00CC11D5">
              <w:rPr>
                <w:rFonts w:ascii="Garamond" w:hAnsi="Garamond"/>
                <w:sz w:val="12"/>
                <w:szCs w:val="12"/>
              </w:rPr>
              <w:t>:</w:t>
            </w:r>
            <w:r w:rsidRPr="00CC11D5">
              <w:rPr>
                <w:rFonts w:ascii="Garamond" w:hAnsi="Garamond"/>
                <w:sz w:val="12"/>
                <w:szCs w:val="12"/>
              </w:rPr>
              <w:t xml:space="preserve"> Bashkëpunimi me sektorin IT</w:t>
            </w:r>
            <w:r w:rsidR="00505959" w:rsidRPr="00CC11D5">
              <w:rPr>
                <w:rFonts w:ascii="Garamond" w:hAnsi="Garamond"/>
                <w:sz w:val="12"/>
                <w:szCs w:val="12"/>
              </w:rPr>
              <w:t>,</w:t>
            </w:r>
            <w:r w:rsidRPr="00CC11D5">
              <w:rPr>
                <w:rFonts w:ascii="Garamond" w:hAnsi="Garamond"/>
                <w:sz w:val="12"/>
                <w:szCs w:val="12"/>
              </w:rPr>
              <w:t xml:space="preserve"> si dhe me institucione homologe për krijimin e analizave të reja</w:t>
            </w:r>
          </w:p>
        </w:tc>
        <w:tc>
          <w:tcPr>
            <w:tcW w:w="1143" w:type="dxa"/>
            <w:vAlign w:val="center"/>
          </w:tcPr>
          <w:p w14:paraId="5E6479D1" w14:textId="77777777" w:rsidR="00316D86" w:rsidRPr="00CC11D5" w:rsidRDefault="00316D86" w:rsidP="003B341B">
            <w:pPr>
              <w:ind w:left="360"/>
              <w:jc w:val="center"/>
              <w:rPr>
                <w:rFonts w:ascii="Garamond" w:hAnsi="Garamond"/>
                <w:sz w:val="12"/>
                <w:szCs w:val="12"/>
              </w:rPr>
            </w:pPr>
            <w:r w:rsidRPr="00CC11D5">
              <w:rPr>
                <w:rFonts w:ascii="Garamond" w:hAnsi="Garamond"/>
                <w:sz w:val="12"/>
                <w:szCs w:val="12"/>
              </w:rPr>
              <w:t>2024</w:t>
            </w:r>
          </w:p>
        </w:tc>
        <w:tc>
          <w:tcPr>
            <w:tcW w:w="1343" w:type="dxa"/>
            <w:vAlign w:val="center"/>
          </w:tcPr>
          <w:p w14:paraId="4FA2214A" w14:textId="77777777" w:rsidR="00316D86" w:rsidRPr="00CC11D5" w:rsidRDefault="00316D86" w:rsidP="003B341B">
            <w:pPr>
              <w:ind w:left="360"/>
              <w:jc w:val="center"/>
              <w:rPr>
                <w:rFonts w:ascii="Garamond" w:hAnsi="Garamond"/>
                <w:sz w:val="12"/>
                <w:szCs w:val="12"/>
              </w:rPr>
            </w:pPr>
            <w:r w:rsidRPr="00CC11D5">
              <w:rPr>
                <w:rFonts w:ascii="Garamond" w:hAnsi="Garamond"/>
                <w:sz w:val="12"/>
                <w:szCs w:val="12"/>
              </w:rPr>
              <w:t>2027</w:t>
            </w:r>
          </w:p>
        </w:tc>
        <w:tc>
          <w:tcPr>
            <w:tcW w:w="1555" w:type="dxa"/>
            <w:vAlign w:val="center"/>
          </w:tcPr>
          <w:p w14:paraId="19E3EFF9" w14:textId="77777777" w:rsidR="00316D86" w:rsidRPr="00CC11D5" w:rsidRDefault="00316D86" w:rsidP="003B341B">
            <w:pPr>
              <w:jc w:val="center"/>
              <w:rPr>
                <w:rFonts w:ascii="Garamond" w:hAnsi="Garamond"/>
                <w:sz w:val="12"/>
                <w:szCs w:val="12"/>
              </w:rPr>
            </w:pPr>
            <w:r w:rsidRPr="00CC11D5">
              <w:rPr>
                <w:rFonts w:ascii="Garamond" w:hAnsi="Garamond"/>
                <w:sz w:val="12"/>
                <w:szCs w:val="12"/>
              </w:rPr>
              <w:t>DPD/Drejtoria e Statistikës</w:t>
            </w:r>
          </w:p>
        </w:tc>
      </w:tr>
      <w:tr w:rsidR="00316D86" w:rsidRPr="00CC11D5" w14:paraId="19550847" w14:textId="77777777" w:rsidTr="003B341B">
        <w:trPr>
          <w:trHeight w:val="340"/>
        </w:trPr>
        <w:tc>
          <w:tcPr>
            <w:tcW w:w="2289" w:type="dxa"/>
            <w:vAlign w:val="center"/>
          </w:tcPr>
          <w:p w14:paraId="569330D9" w14:textId="5043007D" w:rsidR="00316D86" w:rsidRPr="00CC11D5" w:rsidRDefault="00316D86" w:rsidP="003B341B">
            <w:pPr>
              <w:jc w:val="center"/>
              <w:rPr>
                <w:rFonts w:ascii="Garamond" w:eastAsiaTheme="minorHAnsi" w:hAnsi="Garamond"/>
                <w:sz w:val="12"/>
                <w:szCs w:val="12"/>
              </w:rPr>
            </w:pPr>
            <w:r w:rsidRPr="00CC11D5">
              <w:rPr>
                <w:rFonts w:ascii="Garamond" w:eastAsiaTheme="minorHAnsi" w:hAnsi="Garamond"/>
                <w:sz w:val="12"/>
                <w:szCs w:val="12"/>
              </w:rPr>
              <w:t>Masa 3.2.2</w:t>
            </w:r>
            <w:r w:rsidR="008C0C0F" w:rsidRPr="00CC11D5">
              <w:rPr>
                <w:rFonts w:ascii="Garamond" w:eastAsiaTheme="minorHAnsi" w:hAnsi="Garamond"/>
                <w:sz w:val="12"/>
                <w:szCs w:val="12"/>
              </w:rPr>
              <w:t xml:space="preserve"> </w:t>
            </w:r>
            <w:r w:rsidRPr="00CC11D5">
              <w:rPr>
                <w:rFonts w:ascii="Garamond" w:eastAsiaTheme="minorHAnsi" w:hAnsi="Garamond"/>
                <w:sz w:val="12"/>
                <w:szCs w:val="12"/>
              </w:rPr>
              <w:t xml:space="preserve">Analizim i detajuar i të dhënave të gatshme në sistemin ASYCUDA </w:t>
            </w:r>
            <w:r w:rsidRPr="00CC11D5">
              <w:rPr>
                <w:rFonts w:ascii="Garamond" w:eastAsiaTheme="minorHAnsi" w:hAnsi="Garamond"/>
                <w:i/>
                <w:sz w:val="12"/>
                <w:szCs w:val="12"/>
              </w:rPr>
              <w:t>World</w:t>
            </w:r>
          </w:p>
        </w:tc>
        <w:tc>
          <w:tcPr>
            <w:tcW w:w="2686" w:type="dxa"/>
            <w:vAlign w:val="center"/>
          </w:tcPr>
          <w:p w14:paraId="67C5CE4B" w14:textId="21C9E41B" w:rsidR="00316D86" w:rsidRPr="00CC11D5" w:rsidRDefault="00316D86" w:rsidP="003B341B">
            <w:pPr>
              <w:jc w:val="center"/>
              <w:rPr>
                <w:rFonts w:ascii="Garamond" w:hAnsi="Garamond"/>
                <w:sz w:val="12"/>
                <w:szCs w:val="12"/>
              </w:rPr>
            </w:pPr>
            <w:r w:rsidRPr="00CC11D5">
              <w:rPr>
                <w:rFonts w:ascii="Garamond" w:hAnsi="Garamond"/>
                <w:sz w:val="12"/>
                <w:szCs w:val="12"/>
              </w:rPr>
              <w:t>Aktiviteti 3.2.2.1</w:t>
            </w:r>
            <w:r w:rsidR="00505959" w:rsidRPr="00CC11D5">
              <w:rPr>
                <w:rFonts w:ascii="Garamond" w:hAnsi="Garamond"/>
                <w:sz w:val="12"/>
                <w:szCs w:val="12"/>
              </w:rPr>
              <w:t>:</w:t>
            </w:r>
            <w:r w:rsidRPr="00CC11D5">
              <w:rPr>
                <w:rFonts w:ascii="Garamond" w:hAnsi="Garamond"/>
                <w:sz w:val="12"/>
                <w:szCs w:val="12"/>
              </w:rPr>
              <w:t xml:space="preserve"> Formimi i analizave të reja për të konstatuar detaje të cilat mund të sjellin rezultate të reja analitike</w:t>
            </w:r>
          </w:p>
        </w:tc>
        <w:tc>
          <w:tcPr>
            <w:tcW w:w="1143" w:type="dxa"/>
            <w:vAlign w:val="center"/>
          </w:tcPr>
          <w:p w14:paraId="2A880ECE" w14:textId="77777777" w:rsidR="00316D86" w:rsidRPr="00CC11D5" w:rsidRDefault="00316D86" w:rsidP="003B341B">
            <w:pPr>
              <w:ind w:left="360"/>
              <w:jc w:val="center"/>
              <w:rPr>
                <w:rFonts w:ascii="Garamond" w:hAnsi="Garamond"/>
                <w:sz w:val="12"/>
                <w:szCs w:val="12"/>
              </w:rPr>
            </w:pPr>
            <w:r w:rsidRPr="00CC11D5">
              <w:rPr>
                <w:rFonts w:ascii="Garamond" w:hAnsi="Garamond"/>
                <w:sz w:val="12"/>
                <w:szCs w:val="12"/>
              </w:rPr>
              <w:t>2024</w:t>
            </w:r>
          </w:p>
        </w:tc>
        <w:tc>
          <w:tcPr>
            <w:tcW w:w="1343" w:type="dxa"/>
            <w:vAlign w:val="center"/>
          </w:tcPr>
          <w:p w14:paraId="40ACBC78" w14:textId="77777777" w:rsidR="00316D86" w:rsidRPr="00CC11D5" w:rsidRDefault="00316D86" w:rsidP="003B341B">
            <w:pPr>
              <w:ind w:left="360"/>
              <w:jc w:val="center"/>
              <w:rPr>
                <w:rFonts w:ascii="Garamond" w:hAnsi="Garamond"/>
                <w:sz w:val="12"/>
                <w:szCs w:val="12"/>
              </w:rPr>
            </w:pPr>
            <w:r w:rsidRPr="00CC11D5">
              <w:rPr>
                <w:rFonts w:ascii="Garamond" w:hAnsi="Garamond"/>
                <w:sz w:val="12"/>
                <w:szCs w:val="12"/>
              </w:rPr>
              <w:t>2027</w:t>
            </w:r>
          </w:p>
        </w:tc>
        <w:tc>
          <w:tcPr>
            <w:tcW w:w="1555" w:type="dxa"/>
            <w:vAlign w:val="center"/>
          </w:tcPr>
          <w:p w14:paraId="3DC713F2" w14:textId="77777777" w:rsidR="00316D86" w:rsidRPr="00CC11D5" w:rsidRDefault="00316D86" w:rsidP="003B341B">
            <w:pPr>
              <w:jc w:val="center"/>
              <w:rPr>
                <w:rFonts w:ascii="Garamond" w:hAnsi="Garamond"/>
                <w:sz w:val="12"/>
                <w:szCs w:val="12"/>
              </w:rPr>
            </w:pPr>
            <w:r w:rsidRPr="00CC11D5">
              <w:rPr>
                <w:rFonts w:ascii="Garamond" w:hAnsi="Garamond"/>
                <w:sz w:val="12"/>
                <w:szCs w:val="12"/>
              </w:rPr>
              <w:t>DPD/Drejtoria e Statistikës</w:t>
            </w:r>
          </w:p>
        </w:tc>
      </w:tr>
    </w:tbl>
    <w:p w14:paraId="6E2B4BB4" w14:textId="77777777" w:rsidR="00316D86" w:rsidRPr="00830F4C" w:rsidRDefault="00316D86" w:rsidP="00316D86">
      <w:pPr>
        <w:ind w:left="360"/>
        <w:jc w:val="both"/>
        <w:rPr>
          <w:b/>
          <w:sz w:val="20"/>
        </w:rPr>
      </w:pPr>
    </w:p>
    <w:p w14:paraId="0E043646" w14:textId="77777777" w:rsidR="00316D86" w:rsidRPr="00830F4C" w:rsidRDefault="00316D86" w:rsidP="00316D86">
      <w:pPr>
        <w:jc w:val="both"/>
        <w:rPr>
          <w:b/>
        </w:rPr>
      </w:pPr>
      <w:r w:rsidRPr="00830F4C">
        <w:rPr>
          <w:b/>
        </w:rPr>
        <w:t>Treguesit e performancës dhe vlerat e synuara</w:t>
      </w:r>
    </w:p>
    <w:tbl>
      <w:tblPr>
        <w:tblW w:w="9295" w:type="dxa"/>
        <w:jc w:val="center"/>
        <w:tblLook w:val="04A0" w:firstRow="1" w:lastRow="0" w:firstColumn="1" w:lastColumn="0" w:noHBand="0" w:noVBand="1"/>
      </w:tblPr>
      <w:tblGrid>
        <w:gridCol w:w="3063"/>
        <w:gridCol w:w="1399"/>
        <w:gridCol w:w="1229"/>
        <w:gridCol w:w="1140"/>
        <w:gridCol w:w="1247"/>
        <w:gridCol w:w="1217"/>
      </w:tblGrid>
      <w:tr w:rsidR="00316D86" w:rsidRPr="00CC11D5" w14:paraId="1611965B" w14:textId="77777777" w:rsidTr="00505959">
        <w:trPr>
          <w:trHeight w:val="20"/>
          <w:jc w:val="center"/>
        </w:trPr>
        <w:tc>
          <w:tcPr>
            <w:tcW w:w="3063" w:type="dxa"/>
            <w:vMerge w:val="restart"/>
            <w:tcBorders>
              <w:top w:val="single" w:sz="4" w:space="0" w:color="auto"/>
              <w:left w:val="single" w:sz="4" w:space="0" w:color="auto"/>
              <w:right w:val="single" w:sz="4" w:space="0" w:color="auto"/>
            </w:tcBorders>
            <w:shd w:val="clear" w:color="FFFFFF" w:fill="FFFFFF"/>
            <w:vAlign w:val="center"/>
          </w:tcPr>
          <w:p w14:paraId="52A2D4E6" w14:textId="77777777" w:rsidR="00316D86" w:rsidRPr="00CC11D5" w:rsidRDefault="00316D86" w:rsidP="00505959">
            <w:pPr>
              <w:jc w:val="center"/>
              <w:rPr>
                <w:rFonts w:ascii="Garamond" w:hAnsi="Garamond"/>
                <w:sz w:val="12"/>
                <w:szCs w:val="12"/>
              </w:rPr>
            </w:pPr>
            <w:r w:rsidRPr="00CC11D5">
              <w:rPr>
                <w:rFonts w:ascii="Garamond" w:hAnsi="Garamond"/>
                <w:b/>
                <w:sz w:val="12"/>
                <w:szCs w:val="12"/>
              </w:rPr>
              <w:t>Treguesi</w:t>
            </w:r>
          </w:p>
        </w:tc>
        <w:tc>
          <w:tcPr>
            <w:tcW w:w="1399" w:type="dxa"/>
            <w:vMerge w:val="restart"/>
            <w:tcBorders>
              <w:top w:val="single" w:sz="4" w:space="0" w:color="auto"/>
              <w:left w:val="single" w:sz="4" w:space="0" w:color="auto"/>
              <w:right w:val="single" w:sz="4" w:space="0" w:color="auto"/>
            </w:tcBorders>
            <w:shd w:val="clear" w:color="FFFFFF" w:fill="FFFFFF"/>
            <w:vAlign w:val="center"/>
          </w:tcPr>
          <w:p w14:paraId="4BCE619B" w14:textId="6E76C38D" w:rsidR="00316D86" w:rsidRPr="00CC11D5" w:rsidRDefault="00316D86" w:rsidP="00505959">
            <w:pPr>
              <w:jc w:val="center"/>
              <w:rPr>
                <w:rFonts w:ascii="Garamond" w:hAnsi="Garamond"/>
                <w:sz w:val="12"/>
                <w:szCs w:val="12"/>
              </w:rPr>
            </w:pPr>
            <w:r w:rsidRPr="00CC11D5">
              <w:rPr>
                <w:rFonts w:ascii="Garamond" w:hAnsi="Garamond"/>
                <w:b/>
                <w:sz w:val="12"/>
                <w:szCs w:val="12"/>
              </w:rPr>
              <w:t xml:space="preserve">Vlera </w:t>
            </w:r>
            <w:r w:rsidR="00505959" w:rsidRPr="00CC11D5">
              <w:rPr>
                <w:rFonts w:ascii="Garamond" w:hAnsi="Garamond"/>
                <w:b/>
                <w:sz w:val="12"/>
                <w:szCs w:val="12"/>
              </w:rPr>
              <w:t>b</w:t>
            </w:r>
            <w:r w:rsidRPr="00CC11D5">
              <w:rPr>
                <w:rFonts w:ascii="Garamond" w:hAnsi="Garamond"/>
                <w:b/>
                <w:sz w:val="12"/>
                <w:szCs w:val="12"/>
              </w:rPr>
              <w:t>azë(viti 2023)</w:t>
            </w:r>
          </w:p>
        </w:tc>
        <w:tc>
          <w:tcPr>
            <w:tcW w:w="4833" w:type="dxa"/>
            <w:gridSpan w:val="4"/>
            <w:tcBorders>
              <w:top w:val="single" w:sz="4" w:space="0" w:color="auto"/>
              <w:left w:val="nil"/>
              <w:bottom w:val="single" w:sz="4" w:space="0" w:color="auto"/>
              <w:right w:val="single" w:sz="4" w:space="0" w:color="auto"/>
            </w:tcBorders>
            <w:shd w:val="clear" w:color="FFFFFF" w:fill="FFFFFF"/>
            <w:vAlign w:val="center"/>
          </w:tcPr>
          <w:p w14:paraId="47836048" w14:textId="77777777" w:rsidR="00316D86" w:rsidRPr="00CC11D5" w:rsidRDefault="00316D86" w:rsidP="00505959">
            <w:pPr>
              <w:jc w:val="center"/>
              <w:rPr>
                <w:rFonts w:ascii="Garamond" w:hAnsi="Garamond"/>
                <w:sz w:val="12"/>
                <w:szCs w:val="12"/>
              </w:rPr>
            </w:pPr>
            <w:r w:rsidRPr="00CC11D5">
              <w:rPr>
                <w:rFonts w:ascii="Garamond" w:hAnsi="Garamond"/>
                <w:b/>
                <w:sz w:val="12"/>
                <w:szCs w:val="12"/>
              </w:rPr>
              <w:t>Vlera e synuar</w:t>
            </w:r>
          </w:p>
        </w:tc>
      </w:tr>
      <w:tr w:rsidR="00316D86" w:rsidRPr="00CC11D5" w14:paraId="3D9F105B" w14:textId="77777777" w:rsidTr="00505959">
        <w:trPr>
          <w:trHeight w:val="20"/>
          <w:jc w:val="center"/>
        </w:trPr>
        <w:tc>
          <w:tcPr>
            <w:tcW w:w="3063" w:type="dxa"/>
            <w:vMerge/>
            <w:tcBorders>
              <w:left w:val="single" w:sz="4" w:space="0" w:color="auto"/>
              <w:bottom w:val="single" w:sz="4" w:space="0" w:color="auto"/>
              <w:right w:val="single" w:sz="4" w:space="0" w:color="auto"/>
            </w:tcBorders>
            <w:shd w:val="clear" w:color="FFFFFF" w:fill="FFFFFF"/>
            <w:vAlign w:val="center"/>
          </w:tcPr>
          <w:p w14:paraId="3BC1DFA0" w14:textId="77777777" w:rsidR="00316D86" w:rsidRPr="00CC11D5" w:rsidRDefault="00316D86" w:rsidP="00505959">
            <w:pPr>
              <w:jc w:val="center"/>
              <w:rPr>
                <w:rFonts w:ascii="Garamond" w:hAnsi="Garamond"/>
                <w:sz w:val="12"/>
                <w:szCs w:val="12"/>
              </w:rPr>
            </w:pPr>
          </w:p>
        </w:tc>
        <w:tc>
          <w:tcPr>
            <w:tcW w:w="1399" w:type="dxa"/>
            <w:vMerge/>
            <w:tcBorders>
              <w:left w:val="single" w:sz="4" w:space="0" w:color="auto"/>
              <w:bottom w:val="single" w:sz="4" w:space="0" w:color="auto"/>
              <w:right w:val="single" w:sz="4" w:space="0" w:color="auto"/>
            </w:tcBorders>
            <w:shd w:val="clear" w:color="FFFFFF" w:fill="FFFFFF"/>
            <w:vAlign w:val="center"/>
          </w:tcPr>
          <w:p w14:paraId="17ACCA4E" w14:textId="77777777" w:rsidR="00316D86" w:rsidRPr="00CC11D5" w:rsidRDefault="00316D86" w:rsidP="00505959">
            <w:pPr>
              <w:jc w:val="center"/>
              <w:rPr>
                <w:rFonts w:ascii="Garamond" w:hAnsi="Garamond"/>
                <w:sz w:val="12"/>
                <w:szCs w:val="12"/>
              </w:rPr>
            </w:pPr>
          </w:p>
        </w:tc>
        <w:tc>
          <w:tcPr>
            <w:tcW w:w="1229" w:type="dxa"/>
            <w:tcBorders>
              <w:top w:val="single" w:sz="4" w:space="0" w:color="auto"/>
              <w:left w:val="nil"/>
              <w:bottom w:val="single" w:sz="4" w:space="0" w:color="auto"/>
              <w:right w:val="single" w:sz="4" w:space="0" w:color="auto"/>
            </w:tcBorders>
            <w:shd w:val="clear" w:color="FFFFFF" w:fill="FFFFFF"/>
            <w:vAlign w:val="center"/>
          </w:tcPr>
          <w:p w14:paraId="5AD9C942" w14:textId="77777777" w:rsidR="00316D86" w:rsidRPr="00CC11D5" w:rsidRDefault="00316D86" w:rsidP="00505959">
            <w:pPr>
              <w:jc w:val="center"/>
              <w:rPr>
                <w:rFonts w:ascii="Garamond" w:hAnsi="Garamond"/>
                <w:sz w:val="12"/>
                <w:szCs w:val="12"/>
              </w:rPr>
            </w:pPr>
            <w:r w:rsidRPr="00CC11D5">
              <w:rPr>
                <w:rFonts w:ascii="Garamond" w:hAnsi="Garamond"/>
                <w:b/>
                <w:sz w:val="12"/>
                <w:szCs w:val="12"/>
              </w:rPr>
              <w:t>2024</w:t>
            </w:r>
          </w:p>
        </w:tc>
        <w:tc>
          <w:tcPr>
            <w:tcW w:w="1140" w:type="dxa"/>
            <w:tcBorders>
              <w:top w:val="single" w:sz="4" w:space="0" w:color="auto"/>
              <w:left w:val="nil"/>
              <w:bottom w:val="single" w:sz="4" w:space="0" w:color="auto"/>
              <w:right w:val="single" w:sz="4" w:space="0" w:color="auto"/>
            </w:tcBorders>
            <w:shd w:val="clear" w:color="FFFFFF" w:fill="FFFFFF"/>
            <w:vAlign w:val="center"/>
          </w:tcPr>
          <w:p w14:paraId="700AC848" w14:textId="77777777" w:rsidR="00316D86" w:rsidRPr="00CC11D5" w:rsidRDefault="00316D86" w:rsidP="00505959">
            <w:pPr>
              <w:jc w:val="center"/>
              <w:rPr>
                <w:rFonts w:ascii="Garamond" w:hAnsi="Garamond"/>
                <w:sz w:val="12"/>
                <w:szCs w:val="12"/>
              </w:rPr>
            </w:pPr>
            <w:r w:rsidRPr="00CC11D5">
              <w:rPr>
                <w:rFonts w:ascii="Garamond" w:hAnsi="Garamond"/>
                <w:b/>
                <w:sz w:val="12"/>
                <w:szCs w:val="12"/>
              </w:rPr>
              <w:t>2025</w:t>
            </w:r>
          </w:p>
        </w:tc>
        <w:tc>
          <w:tcPr>
            <w:tcW w:w="1247" w:type="dxa"/>
            <w:tcBorders>
              <w:top w:val="single" w:sz="4" w:space="0" w:color="auto"/>
              <w:left w:val="nil"/>
              <w:bottom w:val="single" w:sz="4" w:space="0" w:color="auto"/>
              <w:right w:val="single" w:sz="4" w:space="0" w:color="auto"/>
            </w:tcBorders>
            <w:shd w:val="clear" w:color="FFFFFF" w:fill="FFFFFF"/>
            <w:vAlign w:val="center"/>
          </w:tcPr>
          <w:p w14:paraId="68B27428" w14:textId="77777777" w:rsidR="00316D86" w:rsidRPr="00CC11D5" w:rsidRDefault="00316D86" w:rsidP="00505959">
            <w:pPr>
              <w:jc w:val="center"/>
              <w:rPr>
                <w:rFonts w:ascii="Garamond" w:hAnsi="Garamond"/>
                <w:sz w:val="12"/>
                <w:szCs w:val="12"/>
              </w:rPr>
            </w:pPr>
            <w:r w:rsidRPr="00CC11D5">
              <w:rPr>
                <w:rFonts w:ascii="Garamond" w:hAnsi="Garamond"/>
                <w:b/>
                <w:sz w:val="12"/>
                <w:szCs w:val="12"/>
              </w:rPr>
              <w:t>2026</w:t>
            </w:r>
          </w:p>
        </w:tc>
        <w:tc>
          <w:tcPr>
            <w:tcW w:w="1215" w:type="dxa"/>
            <w:tcBorders>
              <w:top w:val="single" w:sz="4" w:space="0" w:color="auto"/>
              <w:left w:val="nil"/>
              <w:bottom w:val="single" w:sz="4" w:space="0" w:color="auto"/>
              <w:right w:val="single" w:sz="4" w:space="0" w:color="auto"/>
            </w:tcBorders>
            <w:shd w:val="clear" w:color="FFFFFF" w:fill="FFFFFF"/>
            <w:vAlign w:val="center"/>
          </w:tcPr>
          <w:p w14:paraId="211F0211" w14:textId="77777777" w:rsidR="00316D86" w:rsidRPr="00CC11D5" w:rsidRDefault="00316D86" w:rsidP="00505959">
            <w:pPr>
              <w:jc w:val="center"/>
              <w:rPr>
                <w:rFonts w:ascii="Garamond" w:hAnsi="Garamond"/>
                <w:sz w:val="12"/>
                <w:szCs w:val="12"/>
              </w:rPr>
            </w:pPr>
            <w:r w:rsidRPr="00CC11D5">
              <w:rPr>
                <w:rFonts w:ascii="Garamond" w:hAnsi="Garamond"/>
                <w:b/>
                <w:sz w:val="12"/>
                <w:szCs w:val="12"/>
              </w:rPr>
              <w:t>2027</w:t>
            </w:r>
          </w:p>
        </w:tc>
      </w:tr>
      <w:tr w:rsidR="00316D86" w:rsidRPr="00CC11D5" w14:paraId="6115BCC0" w14:textId="77777777" w:rsidTr="003B341B">
        <w:trPr>
          <w:trHeight w:val="20"/>
          <w:jc w:val="center"/>
        </w:trPr>
        <w:tc>
          <w:tcPr>
            <w:tcW w:w="3063" w:type="dxa"/>
            <w:tcBorders>
              <w:top w:val="single" w:sz="4" w:space="0" w:color="auto"/>
              <w:left w:val="single" w:sz="4" w:space="0" w:color="auto"/>
              <w:bottom w:val="single" w:sz="4" w:space="0" w:color="auto"/>
              <w:right w:val="single" w:sz="4" w:space="0" w:color="auto"/>
            </w:tcBorders>
            <w:shd w:val="clear" w:color="FFFFFF" w:fill="FFFFFF"/>
            <w:vAlign w:val="center"/>
          </w:tcPr>
          <w:p w14:paraId="1A434628" w14:textId="77777777" w:rsidR="00316D86" w:rsidRPr="00CC11D5" w:rsidRDefault="00316D86" w:rsidP="003B341B">
            <w:pPr>
              <w:jc w:val="center"/>
              <w:rPr>
                <w:rFonts w:ascii="Garamond" w:hAnsi="Garamond"/>
                <w:sz w:val="12"/>
                <w:szCs w:val="12"/>
              </w:rPr>
            </w:pPr>
            <w:r w:rsidRPr="00CC11D5">
              <w:rPr>
                <w:rFonts w:ascii="Garamond" w:hAnsi="Garamond"/>
                <w:sz w:val="12"/>
                <w:szCs w:val="12"/>
              </w:rPr>
              <w:t>Numri i modeleve makroekonomike që përdor me administrata doganore</w:t>
            </w:r>
          </w:p>
        </w:tc>
        <w:tc>
          <w:tcPr>
            <w:tcW w:w="1399" w:type="dxa"/>
            <w:tcBorders>
              <w:top w:val="single" w:sz="4" w:space="0" w:color="auto"/>
              <w:left w:val="single" w:sz="4" w:space="0" w:color="auto"/>
              <w:bottom w:val="single" w:sz="4" w:space="0" w:color="auto"/>
              <w:right w:val="single" w:sz="4" w:space="0" w:color="auto"/>
            </w:tcBorders>
            <w:shd w:val="clear" w:color="FFFFFF" w:fill="FFFFFF"/>
            <w:vAlign w:val="center"/>
          </w:tcPr>
          <w:p w14:paraId="21E730DE" w14:textId="77777777" w:rsidR="00316D86" w:rsidRPr="00CC11D5" w:rsidRDefault="00316D86" w:rsidP="003B341B">
            <w:pPr>
              <w:jc w:val="center"/>
              <w:rPr>
                <w:rFonts w:ascii="Garamond" w:hAnsi="Garamond"/>
                <w:sz w:val="12"/>
                <w:szCs w:val="12"/>
              </w:rPr>
            </w:pPr>
            <w:r w:rsidRPr="00CC11D5">
              <w:rPr>
                <w:rFonts w:ascii="Garamond" w:hAnsi="Garamond"/>
                <w:sz w:val="12"/>
                <w:szCs w:val="12"/>
              </w:rPr>
              <w:t>1 model që lidhet me analizimin e të ardhurave doganore</w:t>
            </w:r>
          </w:p>
        </w:tc>
        <w:tc>
          <w:tcPr>
            <w:tcW w:w="1229" w:type="dxa"/>
            <w:tcBorders>
              <w:top w:val="single" w:sz="4" w:space="0" w:color="auto"/>
              <w:left w:val="nil"/>
              <w:bottom w:val="single" w:sz="4" w:space="0" w:color="auto"/>
              <w:right w:val="single" w:sz="4" w:space="0" w:color="auto"/>
            </w:tcBorders>
            <w:shd w:val="clear" w:color="FFFFFF" w:fill="FFFFFF"/>
            <w:vAlign w:val="center"/>
          </w:tcPr>
          <w:p w14:paraId="3D4A814D" w14:textId="77777777" w:rsidR="00316D86" w:rsidRPr="00CC11D5" w:rsidRDefault="00316D86" w:rsidP="003B341B">
            <w:pPr>
              <w:jc w:val="center"/>
              <w:rPr>
                <w:rFonts w:ascii="Garamond" w:hAnsi="Garamond"/>
                <w:sz w:val="12"/>
                <w:szCs w:val="12"/>
              </w:rPr>
            </w:pPr>
          </w:p>
        </w:tc>
        <w:tc>
          <w:tcPr>
            <w:tcW w:w="1140" w:type="dxa"/>
            <w:tcBorders>
              <w:top w:val="single" w:sz="4" w:space="0" w:color="auto"/>
              <w:left w:val="nil"/>
              <w:bottom w:val="single" w:sz="4" w:space="0" w:color="auto"/>
              <w:right w:val="single" w:sz="4" w:space="0" w:color="auto"/>
            </w:tcBorders>
            <w:shd w:val="clear" w:color="FFFFFF" w:fill="FFFFFF"/>
            <w:vAlign w:val="center"/>
          </w:tcPr>
          <w:p w14:paraId="6E4F39D7" w14:textId="77777777" w:rsidR="00316D86" w:rsidRPr="00CC11D5" w:rsidRDefault="00316D86" w:rsidP="003B341B">
            <w:pPr>
              <w:jc w:val="center"/>
              <w:rPr>
                <w:rFonts w:ascii="Garamond" w:hAnsi="Garamond"/>
                <w:sz w:val="12"/>
                <w:szCs w:val="12"/>
              </w:rPr>
            </w:pPr>
            <w:r w:rsidRPr="00CC11D5">
              <w:rPr>
                <w:rFonts w:ascii="Garamond" w:hAnsi="Garamond"/>
                <w:sz w:val="12"/>
                <w:szCs w:val="12"/>
              </w:rPr>
              <w:t>Modeli ekzistues është përmirësuar</w:t>
            </w:r>
          </w:p>
        </w:tc>
        <w:tc>
          <w:tcPr>
            <w:tcW w:w="1247" w:type="dxa"/>
            <w:tcBorders>
              <w:top w:val="single" w:sz="4" w:space="0" w:color="auto"/>
              <w:left w:val="nil"/>
              <w:bottom w:val="single" w:sz="4" w:space="0" w:color="auto"/>
              <w:right w:val="single" w:sz="4" w:space="0" w:color="auto"/>
            </w:tcBorders>
            <w:shd w:val="clear" w:color="FFFFFF" w:fill="FFFFFF"/>
            <w:vAlign w:val="center"/>
          </w:tcPr>
          <w:p w14:paraId="706AE942" w14:textId="77777777" w:rsidR="00316D86" w:rsidRPr="00CC11D5" w:rsidRDefault="00316D86" w:rsidP="003B341B">
            <w:pPr>
              <w:jc w:val="center"/>
              <w:rPr>
                <w:rFonts w:ascii="Garamond" w:hAnsi="Garamond"/>
                <w:sz w:val="12"/>
                <w:szCs w:val="12"/>
              </w:rPr>
            </w:pPr>
            <w:r w:rsidRPr="00CC11D5">
              <w:rPr>
                <w:rFonts w:ascii="Garamond" w:hAnsi="Garamond"/>
                <w:sz w:val="12"/>
                <w:szCs w:val="12"/>
              </w:rPr>
              <w:t>1 model i ri</w:t>
            </w:r>
          </w:p>
        </w:tc>
        <w:tc>
          <w:tcPr>
            <w:tcW w:w="1215" w:type="dxa"/>
            <w:tcBorders>
              <w:top w:val="single" w:sz="4" w:space="0" w:color="auto"/>
              <w:left w:val="nil"/>
              <w:bottom w:val="single" w:sz="4" w:space="0" w:color="auto"/>
              <w:right w:val="single" w:sz="4" w:space="0" w:color="auto"/>
            </w:tcBorders>
            <w:shd w:val="clear" w:color="FFFFFF" w:fill="FFFFFF"/>
          </w:tcPr>
          <w:p w14:paraId="5083886E" w14:textId="77777777" w:rsidR="00316D86" w:rsidRPr="00CC11D5" w:rsidRDefault="00316D86" w:rsidP="00316D86">
            <w:pPr>
              <w:jc w:val="center"/>
              <w:rPr>
                <w:rFonts w:ascii="Garamond" w:hAnsi="Garamond"/>
                <w:sz w:val="12"/>
                <w:szCs w:val="12"/>
              </w:rPr>
            </w:pPr>
            <w:r w:rsidRPr="00CC11D5">
              <w:rPr>
                <w:rFonts w:ascii="Garamond" w:hAnsi="Garamond"/>
                <w:sz w:val="12"/>
                <w:szCs w:val="12"/>
              </w:rPr>
              <w:t>-</w:t>
            </w:r>
          </w:p>
        </w:tc>
      </w:tr>
    </w:tbl>
    <w:p w14:paraId="19F6F4F5" w14:textId="5D38E40B" w:rsidR="00316D86" w:rsidRPr="00830F4C" w:rsidRDefault="00316D86" w:rsidP="00316D86">
      <w:pPr>
        <w:pStyle w:val="Heading2"/>
        <w:spacing w:before="0"/>
        <w:ind w:firstLine="284"/>
        <w:rPr>
          <w:rFonts w:ascii="Garamond" w:hAnsi="Garamond"/>
          <w:color w:val="auto"/>
          <w:sz w:val="24"/>
        </w:rPr>
      </w:pPr>
      <w:bookmarkStart w:id="71" w:name="_Toc168066237"/>
      <w:bookmarkStart w:id="72" w:name="_Toc185235104"/>
      <w:r w:rsidRPr="00830F4C">
        <w:rPr>
          <w:rFonts w:ascii="Garamond" w:hAnsi="Garamond" w:cs="Times New Roman"/>
          <w:b/>
          <w:color w:val="auto"/>
          <w:sz w:val="24"/>
          <w:szCs w:val="24"/>
        </w:rPr>
        <w:t>VI.4 Komponenti 3.3 Rritja e investimeve në zhvillimin e sistemeve</w:t>
      </w:r>
      <w:r w:rsidR="00D22EA5" w:rsidRPr="00830F4C">
        <w:rPr>
          <w:rFonts w:ascii="Garamond" w:hAnsi="Garamond" w:cs="Times New Roman"/>
          <w:b/>
          <w:color w:val="auto"/>
          <w:sz w:val="24"/>
          <w:szCs w:val="24"/>
        </w:rPr>
        <w:t xml:space="preserve"> </w:t>
      </w:r>
      <w:r w:rsidRPr="00830F4C">
        <w:rPr>
          <w:rFonts w:ascii="Garamond" w:hAnsi="Garamond" w:cs="Times New Roman"/>
          <w:b/>
          <w:color w:val="auto"/>
          <w:sz w:val="24"/>
          <w:szCs w:val="24"/>
        </w:rPr>
        <w:t>të Teknologjisë së Informacionit</w:t>
      </w:r>
      <w:bookmarkEnd w:id="71"/>
      <w:bookmarkEnd w:id="72"/>
      <w:r w:rsidRPr="00830F4C">
        <w:rPr>
          <w:rFonts w:ascii="Garamond" w:hAnsi="Garamond" w:cs="Times New Roman"/>
          <w:b/>
          <w:color w:val="auto"/>
          <w:sz w:val="24"/>
          <w:szCs w:val="24"/>
        </w:rPr>
        <w:t xml:space="preserve"> </w:t>
      </w:r>
    </w:p>
    <w:p w14:paraId="3220215D" w14:textId="77777777" w:rsidR="00316D86" w:rsidRPr="00830F4C" w:rsidRDefault="00316D86" w:rsidP="00316D86">
      <w:pPr>
        <w:ind w:firstLine="284"/>
        <w:jc w:val="both"/>
        <w:rPr>
          <w:rFonts w:ascii="Garamond" w:hAnsi="Garamond"/>
          <w:b/>
        </w:rPr>
      </w:pPr>
      <w:r w:rsidRPr="00830F4C">
        <w:rPr>
          <w:rFonts w:ascii="Garamond" w:hAnsi="Garamond"/>
          <w:b/>
        </w:rPr>
        <w:t>Objektivi</w:t>
      </w:r>
    </w:p>
    <w:p w14:paraId="15ACB5C5" w14:textId="77777777" w:rsidR="00316D86" w:rsidRPr="00830F4C" w:rsidRDefault="00316D86" w:rsidP="00316D86">
      <w:pPr>
        <w:ind w:firstLine="284"/>
        <w:jc w:val="both"/>
        <w:rPr>
          <w:rFonts w:ascii="Garamond" w:hAnsi="Garamond"/>
        </w:rPr>
      </w:pPr>
      <w:r w:rsidRPr="00830F4C">
        <w:rPr>
          <w:rFonts w:ascii="Garamond" w:eastAsiaTheme="minorHAnsi" w:hAnsi="Garamond"/>
        </w:rPr>
        <w:t>Synimi i këtij komponenti është që brenda vitit 2027 të jenë kryer zhvillime teknologjike TI për përmirësimin e infrastrukturës aktuale të administratës doganore.</w:t>
      </w:r>
    </w:p>
    <w:p w14:paraId="1DC5F6E6" w14:textId="77777777" w:rsidR="00316D86" w:rsidRPr="00830F4C" w:rsidRDefault="00316D86" w:rsidP="00316D86">
      <w:pPr>
        <w:ind w:firstLine="284"/>
        <w:jc w:val="both"/>
        <w:rPr>
          <w:rFonts w:ascii="Garamond" w:hAnsi="Garamond"/>
          <w:b/>
        </w:rPr>
      </w:pPr>
      <w:r w:rsidRPr="00830F4C">
        <w:rPr>
          <w:rFonts w:ascii="Garamond" w:hAnsi="Garamond"/>
          <w:b/>
        </w:rPr>
        <w:t>Konteksti</w:t>
      </w:r>
    </w:p>
    <w:p w14:paraId="4E9D8F19" w14:textId="19BB7CF7" w:rsidR="00316D86" w:rsidRPr="00830F4C" w:rsidRDefault="00316D86" w:rsidP="00316D86">
      <w:pPr>
        <w:ind w:firstLine="284"/>
        <w:jc w:val="both"/>
        <w:rPr>
          <w:rFonts w:ascii="Garamond" w:hAnsi="Garamond"/>
        </w:rPr>
      </w:pPr>
      <w:r w:rsidRPr="00830F4C">
        <w:rPr>
          <w:rFonts w:ascii="Garamond" w:hAnsi="Garamond"/>
        </w:rPr>
        <w:t xml:space="preserve">Baza e sistemeve të teknologjisë dhe informacionit të administratës doganore është ASYCUDA </w:t>
      </w:r>
      <w:r w:rsidRPr="00505959">
        <w:rPr>
          <w:rFonts w:ascii="Garamond" w:hAnsi="Garamond"/>
          <w:i/>
        </w:rPr>
        <w:t>World</w:t>
      </w:r>
      <w:r w:rsidRPr="00830F4C">
        <w:rPr>
          <w:rFonts w:ascii="Garamond" w:hAnsi="Garamond"/>
        </w:rPr>
        <w:t>. Automatizimi i procedurave doganave ka përbërë një prioritet të rëndësishëm gjatë viteve të fundit dhe janë bërë përpjekje për të futur dhe përmirësuar sisteme</w:t>
      </w:r>
      <w:r w:rsidR="00505959">
        <w:rPr>
          <w:rFonts w:ascii="Garamond" w:hAnsi="Garamond"/>
        </w:rPr>
        <w:t>,</w:t>
      </w:r>
      <w:r w:rsidRPr="00830F4C">
        <w:rPr>
          <w:rFonts w:ascii="Garamond" w:hAnsi="Garamond"/>
        </w:rPr>
        <w:t xml:space="preserve"> të tilla si</w:t>
      </w:r>
      <w:r w:rsidR="00505959">
        <w:rPr>
          <w:rFonts w:ascii="Garamond" w:hAnsi="Garamond"/>
        </w:rPr>
        <w:t>:</w:t>
      </w:r>
      <w:r w:rsidRPr="00830F4C">
        <w:rPr>
          <w:rFonts w:ascii="Garamond" w:hAnsi="Garamond"/>
        </w:rPr>
        <w:t xml:space="preserve"> Sistemi i Ri i Kompjuterizuar i Transitit (NCTS), Sistemi i Integruar i Menaxhimit të Tarifave (ITMS) dhe përmirësimi i moduleve ekzistuese në ASYCUDA </w:t>
      </w:r>
      <w:r w:rsidRPr="00505959">
        <w:rPr>
          <w:rFonts w:ascii="Garamond" w:hAnsi="Garamond"/>
          <w:i/>
        </w:rPr>
        <w:t>World</w:t>
      </w:r>
      <w:r w:rsidRPr="00830F4C">
        <w:rPr>
          <w:rFonts w:ascii="Garamond" w:hAnsi="Garamond"/>
        </w:rPr>
        <w:t xml:space="preserve"> (sistemi kryesor në Administratën Doganore). Gjithashtu, ofrimi i shërbimit ndaj operatorëve është përmirësuar për shkak të riinxhinierimit </w:t>
      </w:r>
      <w:r w:rsidR="00505959">
        <w:rPr>
          <w:rFonts w:ascii="Garamond" w:hAnsi="Garamond"/>
        </w:rPr>
        <w:t>t</w:t>
      </w:r>
      <w:r w:rsidRPr="00830F4C">
        <w:rPr>
          <w:rFonts w:ascii="Garamond" w:hAnsi="Garamond"/>
        </w:rPr>
        <w:t xml:space="preserve">ë shumë proceseve, si thjeshtësimi i procedurave dhe futja e menaxhimit doganor pa letra për të thjeshtuar pajtueshmërinë. Këto ndryshime rezultuan në përmirësimin e procedurave doganore </w:t>
      </w:r>
      <w:r w:rsidRPr="00505959">
        <w:rPr>
          <w:rFonts w:ascii="Garamond" w:hAnsi="Garamond"/>
          <w:i/>
        </w:rPr>
        <w:t>online</w:t>
      </w:r>
      <w:r w:rsidRPr="00830F4C">
        <w:rPr>
          <w:rFonts w:ascii="Garamond" w:hAnsi="Garamond"/>
        </w:rPr>
        <w:t>, reduktimin e kohës së përpunimit doganor dhe rritjen e përdorimit të vlerësimit të riskut.</w:t>
      </w:r>
    </w:p>
    <w:p w14:paraId="0D879F1B" w14:textId="3AC5AEE8" w:rsidR="00316D86" w:rsidRPr="00830F4C" w:rsidRDefault="00316D86" w:rsidP="00316D86">
      <w:pPr>
        <w:ind w:firstLine="284"/>
        <w:jc w:val="both"/>
        <w:rPr>
          <w:rFonts w:ascii="Garamond" w:hAnsi="Garamond"/>
        </w:rPr>
      </w:pPr>
      <w:r w:rsidRPr="00830F4C">
        <w:rPr>
          <w:rFonts w:ascii="Garamond" w:hAnsi="Garamond"/>
        </w:rPr>
        <w:t xml:space="preserve">Vazhdimi i zhvillimeve në TI do të krijojë të gjitha kushtet që ASYCUDA </w:t>
      </w:r>
      <w:r w:rsidRPr="00505959">
        <w:rPr>
          <w:rFonts w:ascii="Garamond" w:hAnsi="Garamond"/>
          <w:i/>
        </w:rPr>
        <w:t>World</w:t>
      </w:r>
      <w:r w:rsidRPr="00830F4C">
        <w:rPr>
          <w:rFonts w:ascii="Garamond" w:hAnsi="Garamond"/>
        </w:rPr>
        <w:t xml:space="preserve"> të bashkëveprojë me të gjitha risitë që preken, me qëllim që zhvillimet të jenë në funksion të efikasitetit dhe efic</w:t>
      </w:r>
      <w:r w:rsidR="00505959">
        <w:rPr>
          <w:rFonts w:ascii="Garamond" w:hAnsi="Garamond"/>
        </w:rPr>
        <w:t>i</w:t>
      </w:r>
      <w:r w:rsidRPr="00830F4C">
        <w:rPr>
          <w:rFonts w:ascii="Garamond" w:hAnsi="Garamond"/>
        </w:rPr>
        <w:t>en</w:t>
      </w:r>
      <w:r w:rsidR="00505959">
        <w:rPr>
          <w:rFonts w:ascii="Garamond" w:hAnsi="Garamond"/>
        </w:rPr>
        <w:t>c</w:t>
      </w:r>
      <w:r w:rsidRPr="00830F4C">
        <w:rPr>
          <w:rFonts w:ascii="Garamond" w:hAnsi="Garamond"/>
        </w:rPr>
        <w:t xml:space="preserve">ës së administratës doganore. Ulja e kohës së procesimit është e lidhur me të gjitha risitë dhe futjen </w:t>
      </w:r>
      <w:r w:rsidRPr="00505959">
        <w:rPr>
          <w:rFonts w:ascii="Garamond" w:hAnsi="Garamond"/>
          <w:i/>
        </w:rPr>
        <w:t>online</w:t>
      </w:r>
      <w:r w:rsidRPr="00830F4C">
        <w:rPr>
          <w:rFonts w:ascii="Garamond" w:hAnsi="Garamond"/>
        </w:rPr>
        <w:t xml:space="preserve"> të shërbimeve.</w:t>
      </w:r>
    </w:p>
    <w:p w14:paraId="26EF8D4D" w14:textId="77777777" w:rsidR="00316D86" w:rsidRPr="00830F4C" w:rsidRDefault="00316D86" w:rsidP="00316D86">
      <w:pPr>
        <w:ind w:firstLine="284"/>
        <w:jc w:val="both"/>
        <w:rPr>
          <w:rFonts w:ascii="Garamond" w:hAnsi="Garamond"/>
          <w:b/>
        </w:rPr>
      </w:pPr>
      <w:r w:rsidRPr="00830F4C">
        <w:rPr>
          <w:rFonts w:ascii="Garamond" w:hAnsi="Garamond"/>
          <w:b/>
        </w:rPr>
        <w:t>Prioritetet:</w:t>
      </w:r>
    </w:p>
    <w:p w14:paraId="4F0C892E" w14:textId="3ECD4C1A" w:rsidR="00316D86" w:rsidRPr="00830F4C" w:rsidRDefault="00316D86" w:rsidP="00316D86">
      <w:pPr>
        <w:ind w:firstLine="284"/>
        <w:jc w:val="both"/>
        <w:rPr>
          <w:rFonts w:ascii="Garamond" w:hAnsi="Garamond"/>
        </w:rPr>
      </w:pPr>
      <w:r w:rsidRPr="00830F4C">
        <w:rPr>
          <w:rFonts w:ascii="Garamond" w:hAnsi="Garamond"/>
        </w:rPr>
        <w:t>Prioritetet për periudhën</w:t>
      </w:r>
      <w:r w:rsidR="00800B00" w:rsidRPr="00830F4C">
        <w:rPr>
          <w:rFonts w:ascii="Garamond" w:hAnsi="Garamond"/>
        </w:rPr>
        <w:t xml:space="preserve"> </w:t>
      </w:r>
      <w:r w:rsidR="00D22EA5" w:rsidRPr="00830F4C">
        <w:rPr>
          <w:rFonts w:ascii="Garamond" w:hAnsi="Garamond"/>
        </w:rPr>
        <w:t>2024–2027</w:t>
      </w:r>
      <w:r w:rsidRPr="00830F4C">
        <w:rPr>
          <w:rFonts w:ascii="Garamond" w:hAnsi="Garamond"/>
        </w:rPr>
        <w:t xml:space="preserve"> janë:</w:t>
      </w:r>
    </w:p>
    <w:p w14:paraId="2EF78B1E" w14:textId="77777777" w:rsidR="00316D86" w:rsidRPr="00830F4C" w:rsidRDefault="005D2226" w:rsidP="005D2226">
      <w:pPr>
        <w:pStyle w:val="ListParagraph"/>
        <w:autoSpaceDE w:val="0"/>
        <w:autoSpaceDN w:val="0"/>
        <w:adjustRightInd w:val="0"/>
        <w:spacing w:after="0" w:line="240" w:lineRule="auto"/>
        <w:ind w:left="284"/>
        <w:rPr>
          <w:rFonts w:ascii="Garamond" w:hAnsi="Garamond"/>
          <w:sz w:val="24"/>
        </w:rPr>
      </w:pPr>
      <w:r w:rsidRPr="00830F4C">
        <w:rPr>
          <w:rFonts w:ascii="Garamond" w:hAnsi="Garamond"/>
          <w:sz w:val="24"/>
        </w:rPr>
        <w:t xml:space="preserve">- </w:t>
      </w:r>
      <w:r w:rsidR="00316D86" w:rsidRPr="00830F4C">
        <w:rPr>
          <w:rFonts w:ascii="Garamond" w:hAnsi="Garamond"/>
          <w:sz w:val="24"/>
        </w:rPr>
        <w:t xml:space="preserve">Përmirësimi i moduleve. </w:t>
      </w:r>
    </w:p>
    <w:p w14:paraId="69A0DCD5" w14:textId="77777777" w:rsidR="005D2226" w:rsidRPr="00830F4C" w:rsidRDefault="00316D86" w:rsidP="005D2226">
      <w:pPr>
        <w:ind w:firstLine="284"/>
        <w:jc w:val="both"/>
        <w:rPr>
          <w:rFonts w:ascii="Garamond" w:hAnsi="Garamond"/>
          <w:b/>
          <w:szCs w:val="20"/>
        </w:rPr>
      </w:pPr>
      <w:r w:rsidRPr="00830F4C">
        <w:rPr>
          <w:rFonts w:ascii="Garamond" w:hAnsi="Garamond"/>
          <w:b/>
          <w:szCs w:val="20"/>
        </w:rPr>
        <w:t>Masat dhe aktivitetet</w:t>
      </w:r>
    </w:p>
    <w:tbl>
      <w:tblPr>
        <w:tblStyle w:val="TableGrid"/>
        <w:tblW w:w="0" w:type="auto"/>
        <w:tblLook w:val="04A0" w:firstRow="1" w:lastRow="0" w:firstColumn="1" w:lastColumn="0" w:noHBand="0" w:noVBand="1"/>
      </w:tblPr>
      <w:tblGrid>
        <w:gridCol w:w="2538"/>
        <w:gridCol w:w="1387"/>
        <w:gridCol w:w="1440"/>
        <w:gridCol w:w="1692"/>
        <w:gridCol w:w="1959"/>
      </w:tblGrid>
      <w:tr w:rsidR="005D2226" w:rsidRPr="00830F4C" w14:paraId="0E85B436" w14:textId="77777777" w:rsidTr="00505959">
        <w:trPr>
          <w:trHeight w:val="20"/>
        </w:trPr>
        <w:tc>
          <w:tcPr>
            <w:tcW w:w="2538" w:type="dxa"/>
            <w:vAlign w:val="center"/>
          </w:tcPr>
          <w:p w14:paraId="5B44B689" w14:textId="77777777" w:rsidR="005D2226" w:rsidRPr="00CC11D5" w:rsidRDefault="005D2226" w:rsidP="00CC11D5">
            <w:pPr>
              <w:ind w:left="360"/>
              <w:jc w:val="center"/>
              <w:rPr>
                <w:rFonts w:ascii="Garamond" w:hAnsi="Garamond"/>
                <w:b/>
                <w:sz w:val="12"/>
                <w:szCs w:val="12"/>
              </w:rPr>
            </w:pPr>
            <w:r w:rsidRPr="00CC11D5">
              <w:rPr>
                <w:rFonts w:ascii="Garamond" w:hAnsi="Garamond"/>
                <w:b/>
                <w:sz w:val="12"/>
                <w:szCs w:val="12"/>
              </w:rPr>
              <w:t>Masa</w:t>
            </w:r>
          </w:p>
        </w:tc>
        <w:tc>
          <w:tcPr>
            <w:tcW w:w="1387" w:type="dxa"/>
            <w:vAlign w:val="center"/>
          </w:tcPr>
          <w:p w14:paraId="761B99D5" w14:textId="77777777" w:rsidR="005D2226" w:rsidRPr="00830F4C" w:rsidRDefault="005D2226" w:rsidP="00505959">
            <w:pPr>
              <w:ind w:left="360"/>
              <w:rPr>
                <w:rFonts w:ascii="Garamond" w:hAnsi="Garamond"/>
                <w:b/>
                <w:sz w:val="16"/>
                <w:szCs w:val="16"/>
              </w:rPr>
            </w:pPr>
            <w:r w:rsidRPr="00830F4C">
              <w:rPr>
                <w:rFonts w:ascii="Garamond" w:hAnsi="Garamond"/>
                <w:b/>
                <w:sz w:val="16"/>
                <w:szCs w:val="16"/>
              </w:rPr>
              <w:t>Aktiviteti</w:t>
            </w:r>
          </w:p>
        </w:tc>
        <w:tc>
          <w:tcPr>
            <w:tcW w:w="1440" w:type="dxa"/>
            <w:vAlign w:val="center"/>
          </w:tcPr>
          <w:p w14:paraId="1BE96815" w14:textId="77777777" w:rsidR="005D2226" w:rsidRPr="00830F4C" w:rsidRDefault="005D2226" w:rsidP="00505959">
            <w:pPr>
              <w:ind w:left="360"/>
              <w:rPr>
                <w:rFonts w:ascii="Garamond" w:hAnsi="Garamond"/>
                <w:b/>
                <w:sz w:val="16"/>
                <w:szCs w:val="16"/>
              </w:rPr>
            </w:pPr>
            <w:r w:rsidRPr="00830F4C">
              <w:rPr>
                <w:rFonts w:ascii="Garamond" w:hAnsi="Garamond"/>
                <w:b/>
                <w:sz w:val="16"/>
                <w:szCs w:val="16"/>
              </w:rPr>
              <w:t>Fillimi</w:t>
            </w:r>
          </w:p>
        </w:tc>
        <w:tc>
          <w:tcPr>
            <w:tcW w:w="1692" w:type="dxa"/>
            <w:vAlign w:val="center"/>
          </w:tcPr>
          <w:p w14:paraId="644AB017" w14:textId="77777777" w:rsidR="005D2226" w:rsidRPr="00830F4C" w:rsidRDefault="005D2226" w:rsidP="00505959">
            <w:pPr>
              <w:ind w:left="360"/>
              <w:rPr>
                <w:rFonts w:ascii="Garamond" w:hAnsi="Garamond"/>
                <w:b/>
                <w:sz w:val="16"/>
                <w:szCs w:val="16"/>
              </w:rPr>
            </w:pPr>
            <w:r w:rsidRPr="00830F4C">
              <w:rPr>
                <w:rFonts w:ascii="Garamond" w:hAnsi="Garamond"/>
                <w:b/>
                <w:sz w:val="16"/>
                <w:szCs w:val="16"/>
              </w:rPr>
              <w:t>Mbarimi</w:t>
            </w:r>
          </w:p>
        </w:tc>
        <w:tc>
          <w:tcPr>
            <w:tcW w:w="1959" w:type="dxa"/>
            <w:vAlign w:val="center"/>
          </w:tcPr>
          <w:p w14:paraId="2052409E" w14:textId="77777777" w:rsidR="005D2226" w:rsidRPr="00830F4C" w:rsidRDefault="005D2226" w:rsidP="00505959">
            <w:pPr>
              <w:ind w:left="360"/>
              <w:rPr>
                <w:rFonts w:ascii="Garamond" w:hAnsi="Garamond"/>
                <w:b/>
                <w:sz w:val="16"/>
                <w:szCs w:val="16"/>
              </w:rPr>
            </w:pPr>
            <w:r w:rsidRPr="00830F4C">
              <w:rPr>
                <w:rFonts w:ascii="Garamond" w:hAnsi="Garamond"/>
                <w:b/>
                <w:sz w:val="16"/>
                <w:szCs w:val="16"/>
              </w:rPr>
              <w:t>Institucioni përgjegjës</w:t>
            </w:r>
          </w:p>
        </w:tc>
      </w:tr>
      <w:tr w:rsidR="005D2226" w:rsidRPr="00830F4C" w14:paraId="256F19B3" w14:textId="77777777" w:rsidTr="005D2226">
        <w:trPr>
          <w:trHeight w:val="20"/>
        </w:trPr>
        <w:tc>
          <w:tcPr>
            <w:tcW w:w="2538" w:type="dxa"/>
          </w:tcPr>
          <w:p w14:paraId="3A5F21AE" w14:textId="4CD3DD09" w:rsidR="005D2226" w:rsidRPr="00CC11D5" w:rsidRDefault="005D2226" w:rsidP="005D2226">
            <w:pPr>
              <w:jc w:val="center"/>
              <w:rPr>
                <w:rFonts w:ascii="Garamond" w:eastAsiaTheme="minorHAnsi" w:hAnsi="Garamond"/>
                <w:sz w:val="12"/>
                <w:szCs w:val="12"/>
              </w:rPr>
            </w:pPr>
            <w:r w:rsidRPr="00CC11D5">
              <w:rPr>
                <w:rFonts w:ascii="Garamond" w:eastAsiaTheme="minorHAnsi" w:hAnsi="Garamond"/>
                <w:sz w:val="12"/>
                <w:szCs w:val="12"/>
              </w:rPr>
              <w:t>Masa 3.3.1 Zhvillime IT për uljen e kohës së procesimit të çdo kërkese nga subjektet</w:t>
            </w:r>
          </w:p>
        </w:tc>
        <w:tc>
          <w:tcPr>
            <w:tcW w:w="1387" w:type="dxa"/>
          </w:tcPr>
          <w:p w14:paraId="6E9BF48A" w14:textId="76D38B8A" w:rsidR="005D2226" w:rsidRPr="00830F4C" w:rsidRDefault="005D2226" w:rsidP="005D2226">
            <w:pPr>
              <w:jc w:val="center"/>
              <w:rPr>
                <w:rFonts w:ascii="Garamond" w:hAnsi="Garamond"/>
                <w:sz w:val="16"/>
                <w:szCs w:val="16"/>
              </w:rPr>
            </w:pPr>
            <w:r w:rsidRPr="00830F4C">
              <w:rPr>
                <w:rFonts w:ascii="Garamond" w:hAnsi="Garamond"/>
                <w:sz w:val="16"/>
                <w:szCs w:val="16"/>
              </w:rPr>
              <w:t>Aktiviteti 3.3.1.1</w:t>
            </w:r>
            <w:r w:rsidR="00505959">
              <w:rPr>
                <w:rFonts w:ascii="Garamond" w:hAnsi="Garamond"/>
                <w:sz w:val="16"/>
                <w:szCs w:val="16"/>
              </w:rPr>
              <w:t>:</w:t>
            </w:r>
            <w:r w:rsidRPr="00830F4C">
              <w:rPr>
                <w:rFonts w:ascii="Garamond" w:hAnsi="Garamond"/>
                <w:sz w:val="16"/>
                <w:szCs w:val="16"/>
              </w:rPr>
              <w:t xml:space="preserve"> Përmirësimi i moduleve dhe zhvillimi i moduleve të reja në rast nevoje</w:t>
            </w:r>
          </w:p>
        </w:tc>
        <w:tc>
          <w:tcPr>
            <w:tcW w:w="1440" w:type="dxa"/>
          </w:tcPr>
          <w:p w14:paraId="70013449" w14:textId="77777777" w:rsidR="005D2226" w:rsidRPr="00830F4C" w:rsidRDefault="005D2226" w:rsidP="005D2226">
            <w:pPr>
              <w:ind w:left="360"/>
              <w:jc w:val="center"/>
              <w:rPr>
                <w:rFonts w:ascii="Garamond" w:hAnsi="Garamond"/>
                <w:sz w:val="16"/>
                <w:szCs w:val="16"/>
              </w:rPr>
            </w:pPr>
            <w:r w:rsidRPr="00830F4C">
              <w:rPr>
                <w:rFonts w:ascii="Garamond" w:hAnsi="Garamond"/>
                <w:sz w:val="16"/>
                <w:szCs w:val="16"/>
              </w:rPr>
              <w:t>2024</w:t>
            </w:r>
          </w:p>
        </w:tc>
        <w:tc>
          <w:tcPr>
            <w:tcW w:w="1692" w:type="dxa"/>
          </w:tcPr>
          <w:p w14:paraId="793FD2EC" w14:textId="77777777" w:rsidR="005D2226" w:rsidRPr="00830F4C" w:rsidRDefault="005D2226" w:rsidP="005D2226">
            <w:pPr>
              <w:ind w:left="360"/>
              <w:jc w:val="center"/>
              <w:rPr>
                <w:rFonts w:ascii="Garamond" w:hAnsi="Garamond"/>
                <w:sz w:val="16"/>
                <w:szCs w:val="16"/>
              </w:rPr>
            </w:pPr>
            <w:r w:rsidRPr="00830F4C">
              <w:rPr>
                <w:rFonts w:ascii="Garamond" w:hAnsi="Garamond"/>
                <w:sz w:val="16"/>
                <w:szCs w:val="16"/>
              </w:rPr>
              <w:t>2027</w:t>
            </w:r>
          </w:p>
        </w:tc>
        <w:tc>
          <w:tcPr>
            <w:tcW w:w="1959" w:type="dxa"/>
          </w:tcPr>
          <w:p w14:paraId="208B920F" w14:textId="77777777" w:rsidR="005D2226" w:rsidRPr="00830F4C" w:rsidRDefault="005D2226" w:rsidP="005D2226">
            <w:pPr>
              <w:jc w:val="center"/>
              <w:rPr>
                <w:rFonts w:ascii="Garamond" w:hAnsi="Garamond"/>
                <w:sz w:val="16"/>
                <w:szCs w:val="16"/>
              </w:rPr>
            </w:pPr>
            <w:r w:rsidRPr="00830F4C">
              <w:rPr>
                <w:rFonts w:ascii="Garamond" w:hAnsi="Garamond"/>
                <w:sz w:val="16"/>
                <w:szCs w:val="16"/>
              </w:rPr>
              <w:t>DPD/Drejtoria IT AKSHI</w:t>
            </w:r>
          </w:p>
        </w:tc>
      </w:tr>
    </w:tbl>
    <w:p w14:paraId="3239B01C" w14:textId="77777777" w:rsidR="005D2226" w:rsidRPr="00830F4C" w:rsidRDefault="005D2226" w:rsidP="005D2226">
      <w:pPr>
        <w:ind w:left="360"/>
        <w:jc w:val="both"/>
        <w:rPr>
          <w:rFonts w:ascii="Garamond" w:hAnsi="Garamond"/>
          <w:sz w:val="20"/>
          <w:szCs w:val="20"/>
        </w:rPr>
      </w:pPr>
    </w:p>
    <w:p w14:paraId="6A25F1F8" w14:textId="77777777" w:rsidR="005D2226" w:rsidRPr="00830F4C" w:rsidRDefault="005D2226" w:rsidP="005D2226">
      <w:pPr>
        <w:jc w:val="both"/>
        <w:rPr>
          <w:rFonts w:ascii="Garamond" w:hAnsi="Garamond"/>
          <w:b/>
          <w:szCs w:val="20"/>
        </w:rPr>
      </w:pPr>
      <w:r w:rsidRPr="00830F4C">
        <w:rPr>
          <w:rFonts w:ascii="Garamond" w:hAnsi="Garamond"/>
          <w:b/>
          <w:szCs w:val="20"/>
        </w:rPr>
        <w:t>Treguesit e performancës dhe vlerat e synuara</w:t>
      </w:r>
    </w:p>
    <w:tbl>
      <w:tblPr>
        <w:tblW w:w="8835" w:type="dxa"/>
        <w:tblLook w:val="04A0" w:firstRow="1" w:lastRow="0" w:firstColumn="1" w:lastColumn="0" w:noHBand="0" w:noVBand="1"/>
      </w:tblPr>
      <w:tblGrid>
        <w:gridCol w:w="2293"/>
        <w:gridCol w:w="1494"/>
        <w:gridCol w:w="1323"/>
        <w:gridCol w:w="1077"/>
        <w:gridCol w:w="1340"/>
        <w:gridCol w:w="1308"/>
      </w:tblGrid>
      <w:tr w:rsidR="005D2226" w:rsidRPr="00CC11D5" w14:paraId="636B86B3" w14:textId="77777777" w:rsidTr="00505959">
        <w:trPr>
          <w:trHeight w:val="20"/>
        </w:trPr>
        <w:tc>
          <w:tcPr>
            <w:tcW w:w="2293" w:type="dxa"/>
            <w:vMerge w:val="restart"/>
            <w:tcBorders>
              <w:top w:val="single" w:sz="4" w:space="0" w:color="auto"/>
              <w:left w:val="single" w:sz="4" w:space="0" w:color="auto"/>
              <w:right w:val="single" w:sz="4" w:space="0" w:color="auto"/>
            </w:tcBorders>
            <w:shd w:val="clear" w:color="FFFFFF" w:fill="FFFFFF"/>
            <w:vAlign w:val="center"/>
          </w:tcPr>
          <w:p w14:paraId="4CC0A217" w14:textId="77777777" w:rsidR="005D2226" w:rsidRPr="00CC11D5" w:rsidRDefault="005D2226" w:rsidP="00505959">
            <w:pPr>
              <w:jc w:val="center"/>
              <w:rPr>
                <w:rFonts w:ascii="Garamond" w:hAnsi="Garamond"/>
                <w:sz w:val="12"/>
                <w:szCs w:val="12"/>
              </w:rPr>
            </w:pPr>
            <w:r w:rsidRPr="00CC11D5">
              <w:rPr>
                <w:rFonts w:ascii="Garamond" w:hAnsi="Garamond"/>
                <w:b/>
                <w:sz w:val="12"/>
                <w:szCs w:val="12"/>
              </w:rPr>
              <w:t>Treguesi</w:t>
            </w:r>
          </w:p>
        </w:tc>
        <w:tc>
          <w:tcPr>
            <w:tcW w:w="1494" w:type="dxa"/>
            <w:vMerge w:val="restart"/>
            <w:tcBorders>
              <w:top w:val="single" w:sz="4" w:space="0" w:color="auto"/>
              <w:left w:val="single" w:sz="4" w:space="0" w:color="auto"/>
              <w:right w:val="single" w:sz="4" w:space="0" w:color="auto"/>
            </w:tcBorders>
            <w:shd w:val="clear" w:color="FFFFFF" w:fill="FFFFFF"/>
            <w:vAlign w:val="center"/>
          </w:tcPr>
          <w:p w14:paraId="3CB595F4" w14:textId="37C90F31" w:rsidR="008C0C0F" w:rsidRPr="00CC11D5" w:rsidRDefault="005D2226" w:rsidP="00505959">
            <w:pPr>
              <w:jc w:val="center"/>
              <w:rPr>
                <w:rFonts w:ascii="Garamond" w:hAnsi="Garamond"/>
                <w:b/>
                <w:sz w:val="12"/>
                <w:szCs w:val="12"/>
              </w:rPr>
            </w:pPr>
            <w:r w:rsidRPr="00CC11D5">
              <w:rPr>
                <w:rFonts w:ascii="Garamond" w:hAnsi="Garamond"/>
                <w:b/>
                <w:sz w:val="12"/>
                <w:szCs w:val="12"/>
              </w:rPr>
              <w:t xml:space="preserve">Vlera </w:t>
            </w:r>
            <w:r w:rsidR="008C0C0F" w:rsidRPr="00CC11D5">
              <w:rPr>
                <w:rFonts w:ascii="Garamond" w:hAnsi="Garamond"/>
                <w:b/>
                <w:sz w:val="12"/>
                <w:szCs w:val="12"/>
              </w:rPr>
              <w:t>b</w:t>
            </w:r>
            <w:r w:rsidRPr="00CC11D5">
              <w:rPr>
                <w:rFonts w:ascii="Garamond" w:hAnsi="Garamond"/>
                <w:b/>
                <w:sz w:val="12"/>
                <w:szCs w:val="12"/>
              </w:rPr>
              <w:t>azë</w:t>
            </w:r>
          </w:p>
          <w:p w14:paraId="151734E2" w14:textId="41B44B32" w:rsidR="005D2226" w:rsidRPr="00CC11D5" w:rsidRDefault="005D2226" w:rsidP="00505959">
            <w:pPr>
              <w:jc w:val="center"/>
              <w:rPr>
                <w:rFonts w:ascii="Garamond" w:hAnsi="Garamond"/>
                <w:sz w:val="12"/>
                <w:szCs w:val="12"/>
              </w:rPr>
            </w:pPr>
            <w:r w:rsidRPr="00CC11D5">
              <w:rPr>
                <w:rFonts w:ascii="Garamond" w:hAnsi="Garamond"/>
                <w:b/>
                <w:sz w:val="12"/>
                <w:szCs w:val="12"/>
              </w:rPr>
              <w:t>(viti 2023)</w:t>
            </w:r>
          </w:p>
        </w:tc>
        <w:tc>
          <w:tcPr>
            <w:tcW w:w="5048" w:type="dxa"/>
            <w:gridSpan w:val="4"/>
            <w:tcBorders>
              <w:top w:val="single" w:sz="4" w:space="0" w:color="auto"/>
              <w:left w:val="nil"/>
              <w:bottom w:val="single" w:sz="4" w:space="0" w:color="auto"/>
              <w:right w:val="single" w:sz="4" w:space="0" w:color="auto"/>
            </w:tcBorders>
            <w:shd w:val="clear" w:color="FFFFFF" w:fill="FFFFFF"/>
          </w:tcPr>
          <w:p w14:paraId="3654847D" w14:textId="77777777" w:rsidR="005D2226" w:rsidRPr="00CC11D5" w:rsidRDefault="005D2226" w:rsidP="005D2226">
            <w:pPr>
              <w:jc w:val="center"/>
              <w:rPr>
                <w:rFonts w:ascii="Garamond" w:hAnsi="Garamond"/>
                <w:sz w:val="12"/>
                <w:szCs w:val="12"/>
              </w:rPr>
            </w:pPr>
            <w:r w:rsidRPr="00CC11D5">
              <w:rPr>
                <w:rFonts w:ascii="Garamond" w:hAnsi="Garamond"/>
                <w:b/>
                <w:sz w:val="12"/>
                <w:szCs w:val="12"/>
              </w:rPr>
              <w:t>Vlera e synuar</w:t>
            </w:r>
          </w:p>
        </w:tc>
      </w:tr>
      <w:tr w:rsidR="005D2226" w:rsidRPr="00CC11D5" w14:paraId="07518209" w14:textId="77777777" w:rsidTr="005D2226">
        <w:trPr>
          <w:trHeight w:val="20"/>
        </w:trPr>
        <w:tc>
          <w:tcPr>
            <w:tcW w:w="2293" w:type="dxa"/>
            <w:vMerge/>
            <w:tcBorders>
              <w:left w:val="single" w:sz="4" w:space="0" w:color="auto"/>
              <w:bottom w:val="single" w:sz="4" w:space="0" w:color="auto"/>
              <w:right w:val="single" w:sz="4" w:space="0" w:color="auto"/>
            </w:tcBorders>
            <w:shd w:val="clear" w:color="FFFFFF" w:fill="FFFFFF"/>
          </w:tcPr>
          <w:p w14:paraId="2F1B7252" w14:textId="77777777" w:rsidR="005D2226" w:rsidRPr="00CC11D5" w:rsidRDefault="005D2226" w:rsidP="005D2226">
            <w:pPr>
              <w:jc w:val="center"/>
              <w:rPr>
                <w:rFonts w:ascii="Garamond" w:hAnsi="Garamond"/>
                <w:sz w:val="12"/>
                <w:szCs w:val="12"/>
              </w:rPr>
            </w:pPr>
          </w:p>
        </w:tc>
        <w:tc>
          <w:tcPr>
            <w:tcW w:w="1494" w:type="dxa"/>
            <w:vMerge/>
            <w:tcBorders>
              <w:left w:val="single" w:sz="4" w:space="0" w:color="auto"/>
              <w:bottom w:val="single" w:sz="4" w:space="0" w:color="auto"/>
              <w:right w:val="single" w:sz="4" w:space="0" w:color="auto"/>
            </w:tcBorders>
            <w:shd w:val="clear" w:color="FFFFFF" w:fill="FFFFFF"/>
          </w:tcPr>
          <w:p w14:paraId="4AFD7FD7" w14:textId="77777777" w:rsidR="005D2226" w:rsidRPr="00CC11D5" w:rsidRDefault="005D2226" w:rsidP="005D2226">
            <w:pPr>
              <w:jc w:val="center"/>
              <w:rPr>
                <w:rFonts w:ascii="Garamond" w:hAnsi="Garamond"/>
                <w:sz w:val="12"/>
                <w:szCs w:val="12"/>
              </w:rPr>
            </w:pPr>
          </w:p>
        </w:tc>
        <w:tc>
          <w:tcPr>
            <w:tcW w:w="1323" w:type="dxa"/>
            <w:tcBorders>
              <w:top w:val="single" w:sz="4" w:space="0" w:color="auto"/>
              <w:left w:val="nil"/>
              <w:bottom w:val="single" w:sz="4" w:space="0" w:color="auto"/>
              <w:right w:val="single" w:sz="4" w:space="0" w:color="auto"/>
            </w:tcBorders>
            <w:shd w:val="clear" w:color="FFFFFF" w:fill="FFFFFF"/>
          </w:tcPr>
          <w:p w14:paraId="7A1E42F4" w14:textId="77777777" w:rsidR="005D2226" w:rsidRPr="00CC11D5" w:rsidRDefault="005D2226" w:rsidP="005D2226">
            <w:pPr>
              <w:jc w:val="center"/>
              <w:rPr>
                <w:rFonts w:ascii="Garamond" w:hAnsi="Garamond"/>
                <w:sz w:val="12"/>
                <w:szCs w:val="12"/>
              </w:rPr>
            </w:pPr>
            <w:r w:rsidRPr="00CC11D5">
              <w:rPr>
                <w:rFonts w:ascii="Garamond" w:hAnsi="Garamond"/>
                <w:b/>
                <w:sz w:val="12"/>
                <w:szCs w:val="12"/>
              </w:rPr>
              <w:t>2024</w:t>
            </w:r>
          </w:p>
        </w:tc>
        <w:tc>
          <w:tcPr>
            <w:tcW w:w="1077" w:type="dxa"/>
            <w:tcBorders>
              <w:top w:val="single" w:sz="4" w:space="0" w:color="auto"/>
              <w:left w:val="nil"/>
              <w:bottom w:val="single" w:sz="4" w:space="0" w:color="auto"/>
              <w:right w:val="single" w:sz="4" w:space="0" w:color="auto"/>
            </w:tcBorders>
            <w:shd w:val="clear" w:color="FFFFFF" w:fill="FFFFFF"/>
          </w:tcPr>
          <w:p w14:paraId="75FB8166" w14:textId="77777777" w:rsidR="005D2226" w:rsidRPr="00CC11D5" w:rsidRDefault="005D2226" w:rsidP="005D2226">
            <w:pPr>
              <w:jc w:val="center"/>
              <w:rPr>
                <w:rFonts w:ascii="Garamond" w:hAnsi="Garamond"/>
                <w:sz w:val="12"/>
                <w:szCs w:val="12"/>
              </w:rPr>
            </w:pPr>
            <w:r w:rsidRPr="00CC11D5">
              <w:rPr>
                <w:rFonts w:ascii="Garamond" w:hAnsi="Garamond"/>
                <w:b/>
                <w:sz w:val="12"/>
                <w:szCs w:val="12"/>
              </w:rPr>
              <w:t>2025</w:t>
            </w:r>
          </w:p>
        </w:tc>
        <w:tc>
          <w:tcPr>
            <w:tcW w:w="1340" w:type="dxa"/>
            <w:tcBorders>
              <w:top w:val="single" w:sz="4" w:space="0" w:color="auto"/>
              <w:left w:val="nil"/>
              <w:bottom w:val="single" w:sz="4" w:space="0" w:color="auto"/>
              <w:right w:val="single" w:sz="4" w:space="0" w:color="auto"/>
            </w:tcBorders>
            <w:shd w:val="clear" w:color="FFFFFF" w:fill="FFFFFF"/>
          </w:tcPr>
          <w:p w14:paraId="4CA02283" w14:textId="77777777" w:rsidR="005D2226" w:rsidRPr="00CC11D5" w:rsidRDefault="005D2226" w:rsidP="005D2226">
            <w:pPr>
              <w:jc w:val="center"/>
              <w:rPr>
                <w:rFonts w:ascii="Garamond" w:hAnsi="Garamond"/>
                <w:sz w:val="12"/>
                <w:szCs w:val="12"/>
              </w:rPr>
            </w:pPr>
            <w:r w:rsidRPr="00CC11D5">
              <w:rPr>
                <w:rFonts w:ascii="Garamond" w:hAnsi="Garamond"/>
                <w:b/>
                <w:sz w:val="12"/>
                <w:szCs w:val="12"/>
              </w:rPr>
              <w:t>2026</w:t>
            </w:r>
          </w:p>
        </w:tc>
        <w:tc>
          <w:tcPr>
            <w:tcW w:w="1308" w:type="dxa"/>
            <w:tcBorders>
              <w:top w:val="single" w:sz="4" w:space="0" w:color="auto"/>
              <w:left w:val="nil"/>
              <w:bottom w:val="single" w:sz="4" w:space="0" w:color="auto"/>
              <w:right w:val="single" w:sz="4" w:space="0" w:color="auto"/>
            </w:tcBorders>
            <w:shd w:val="clear" w:color="FFFFFF" w:fill="FFFFFF"/>
          </w:tcPr>
          <w:p w14:paraId="3658CA31" w14:textId="77777777" w:rsidR="005D2226" w:rsidRPr="00CC11D5" w:rsidRDefault="005D2226" w:rsidP="005D2226">
            <w:pPr>
              <w:jc w:val="center"/>
              <w:rPr>
                <w:rFonts w:ascii="Garamond" w:hAnsi="Garamond"/>
                <w:sz w:val="12"/>
                <w:szCs w:val="12"/>
              </w:rPr>
            </w:pPr>
            <w:r w:rsidRPr="00CC11D5">
              <w:rPr>
                <w:rFonts w:ascii="Garamond" w:hAnsi="Garamond"/>
                <w:b/>
                <w:sz w:val="12"/>
                <w:szCs w:val="12"/>
              </w:rPr>
              <w:t>2027</w:t>
            </w:r>
          </w:p>
        </w:tc>
      </w:tr>
      <w:tr w:rsidR="005D2226" w:rsidRPr="00CC11D5" w14:paraId="52197922" w14:textId="77777777" w:rsidTr="005D2226">
        <w:trPr>
          <w:trHeight w:val="20"/>
        </w:trPr>
        <w:tc>
          <w:tcPr>
            <w:tcW w:w="2293" w:type="dxa"/>
            <w:tcBorders>
              <w:top w:val="single" w:sz="4" w:space="0" w:color="auto"/>
              <w:left w:val="single" w:sz="4" w:space="0" w:color="auto"/>
              <w:bottom w:val="single" w:sz="4" w:space="0" w:color="auto"/>
              <w:right w:val="single" w:sz="4" w:space="0" w:color="auto"/>
            </w:tcBorders>
            <w:shd w:val="clear" w:color="FFFFFF" w:fill="FFFFFF"/>
          </w:tcPr>
          <w:p w14:paraId="5CF64AA4" w14:textId="77777777" w:rsidR="005D2226" w:rsidRPr="00CC11D5" w:rsidRDefault="005D2226" w:rsidP="005D2226">
            <w:pPr>
              <w:jc w:val="center"/>
              <w:rPr>
                <w:rFonts w:ascii="Garamond" w:hAnsi="Garamond"/>
                <w:sz w:val="12"/>
                <w:szCs w:val="12"/>
              </w:rPr>
            </w:pPr>
            <w:r w:rsidRPr="00CC11D5">
              <w:rPr>
                <w:rFonts w:ascii="Garamond" w:hAnsi="Garamond"/>
                <w:sz w:val="12"/>
                <w:szCs w:val="12"/>
              </w:rPr>
              <w:t>Koha e përpunimit të deklaratës doganore</w:t>
            </w:r>
          </w:p>
        </w:tc>
        <w:tc>
          <w:tcPr>
            <w:tcW w:w="1494" w:type="dxa"/>
            <w:tcBorders>
              <w:top w:val="single" w:sz="4" w:space="0" w:color="auto"/>
              <w:left w:val="single" w:sz="4" w:space="0" w:color="auto"/>
              <w:bottom w:val="single" w:sz="4" w:space="0" w:color="auto"/>
              <w:right w:val="single" w:sz="4" w:space="0" w:color="auto"/>
            </w:tcBorders>
            <w:shd w:val="clear" w:color="FFFFFF" w:fill="FFFFFF"/>
          </w:tcPr>
          <w:p w14:paraId="6F9A5855" w14:textId="77777777" w:rsidR="005D2226" w:rsidRPr="00CC11D5" w:rsidRDefault="005D2226" w:rsidP="005D2226">
            <w:pPr>
              <w:jc w:val="center"/>
              <w:rPr>
                <w:rFonts w:ascii="Garamond" w:hAnsi="Garamond"/>
                <w:sz w:val="12"/>
                <w:szCs w:val="12"/>
              </w:rPr>
            </w:pPr>
            <w:r w:rsidRPr="00CC11D5">
              <w:rPr>
                <w:rFonts w:ascii="Garamond" w:hAnsi="Garamond"/>
                <w:sz w:val="12"/>
                <w:szCs w:val="12"/>
              </w:rPr>
              <w:t>99.1 minuta</w:t>
            </w:r>
          </w:p>
        </w:tc>
        <w:tc>
          <w:tcPr>
            <w:tcW w:w="1323" w:type="dxa"/>
            <w:tcBorders>
              <w:top w:val="single" w:sz="4" w:space="0" w:color="auto"/>
              <w:left w:val="nil"/>
              <w:bottom w:val="single" w:sz="4" w:space="0" w:color="auto"/>
              <w:right w:val="single" w:sz="4" w:space="0" w:color="auto"/>
            </w:tcBorders>
            <w:shd w:val="clear" w:color="FFFFFF" w:fill="FFFFFF"/>
          </w:tcPr>
          <w:p w14:paraId="0F3B9E28" w14:textId="77777777" w:rsidR="005D2226" w:rsidRPr="00CC11D5" w:rsidRDefault="005D2226" w:rsidP="005D2226">
            <w:pPr>
              <w:jc w:val="center"/>
              <w:rPr>
                <w:rFonts w:ascii="Garamond" w:hAnsi="Garamond"/>
                <w:sz w:val="12"/>
                <w:szCs w:val="12"/>
              </w:rPr>
            </w:pPr>
            <w:r w:rsidRPr="00CC11D5">
              <w:rPr>
                <w:rFonts w:ascii="Garamond" w:hAnsi="Garamond"/>
                <w:sz w:val="12"/>
                <w:szCs w:val="12"/>
              </w:rPr>
              <w:t>Trend rënës</w:t>
            </w:r>
          </w:p>
        </w:tc>
        <w:tc>
          <w:tcPr>
            <w:tcW w:w="1077" w:type="dxa"/>
            <w:tcBorders>
              <w:top w:val="single" w:sz="4" w:space="0" w:color="auto"/>
              <w:left w:val="nil"/>
              <w:bottom w:val="single" w:sz="4" w:space="0" w:color="auto"/>
              <w:right w:val="single" w:sz="4" w:space="0" w:color="auto"/>
            </w:tcBorders>
            <w:shd w:val="clear" w:color="FFFFFF" w:fill="FFFFFF"/>
          </w:tcPr>
          <w:p w14:paraId="7D2F1FF2" w14:textId="77777777" w:rsidR="005D2226" w:rsidRPr="00CC11D5" w:rsidRDefault="005D2226" w:rsidP="005D2226">
            <w:pPr>
              <w:jc w:val="center"/>
              <w:rPr>
                <w:rFonts w:ascii="Garamond" w:hAnsi="Garamond"/>
                <w:sz w:val="12"/>
                <w:szCs w:val="12"/>
              </w:rPr>
            </w:pPr>
            <w:r w:rsidRPr="00CC11D5">
              <w:rPr>
                <w:rFonts w:ascii="Garamond" w:hAnsi="Garamond"/>
                <w:sz w:val="12"/>
                <w:szCs w:val="12"/>
              </w:rPr>
              <w:t>Trend rënës</w:t>
            </w:r>
          </w:p>
        </w:tc>
        <w:tc>
          <w:tcPr>
            <w:tcW w:w="1340" w:type="dxa"/>
            <w:tcBorders>
              <w:top w:val="single" w:sz="4" w:space="0" w:color="auto"/>
              <w:left w:val="nil"/>
              <w:bottom w:val="single" w:sz="4" w:space="0" w:color="auto"/>
              <w:right w:val="single" w:sz="4" w:space="0" w:color="auto"/>
            </w:tcBorders>
            <w:shd w:val="clear" w:color="FFFFFF" w:fill="FFFFFF"/>
          </w:tcPr>
          <w:p w14:paraId="13E988B1" w14:textId="77777777" w:rsidR="005D2226" w:rsidRPr="00CC11D5" w:rsidRDefault="005D2226" w:rsidP="005D2226">
            <w:pPr>
              <w:jc w:val="center"/>
              <w:rPr>
                <w:rFonts w:ascii="Garamond" w:hAnsi="Garamond"/>
                <w:sz w:val="12"/>
                <w:szCs w:val="12"/>
              </w:rPr>
            </w:pPr>
            <w:r w:rsidRPr="00CC11D5">
              <w:rPr>
                <w:rFonts w:ascii="Garamond" w:hAnsi="Garamond"/>
                <w:sz w:val="12"/>
                <w:szCs w:val="12"/>
              </w:rPr>
              <w:t>Trend rënës</w:t>
            </w:r>
          </w:p>
        </w:tc>
        <w:tc>
          <w:tcPr>
            <w:tcW w:w="1308" w:type="dxa"/>
            <w:tcBorders>
              <w:top w:val="single" w:sz="4" w:space="0" w:color="auto"/>
              <w:left w:val="nil"/>
              <w:bottom w:val="single" w:sz="4" w:space="0" w:color="auto"/>
              <w:right w:val="single" w:sz="4" w:space="0" w:color="auto"/>
            </w:tcBorders>
            <w:shd w:val="clear" w:color="FFFFFF" w:fill="FFFFFF"/>
          </w:tcPr>
          <w:p w14:paraId="012DB8DC" w14:textId="77777777" w:rsidR="005D2226" w:rsidRPr="00CC11D5" w:rsidRDefault="005D2226" w:rsidP="005D2226">
            <w:pPr>
              <w:jc w:val="center"/>
              <w:rPr>
                <w:rFonts w:ascii="Garamond" w:hAnsi="Garamond"/>
                <w:sz w:val="12"/>
                <w:szCs w:val="12"/>
              </w:rPr>
            </w:pPr>
            <w:r w:rsidRPr="00CC11D5">
              <w:rPr>
                <w:rFonts w:ascii="Garamond" w:hAnsi="Garamond"/>
                <w:sz w:val="12"/>
                <w:szCs w:val="12"/>
              </w:rPr>
              <w:t>Trend rënës</w:t>
            </w:r>
          </w:p>
        </w:tc>
      </w:tr>
    </w:tbl>
    <w:p w14:paraId="3648E372" w14:textId="260EE056" w:rsidR="005D2226" w:rsidRPr="00830F4C" w:rsidRDefault="005D2226" w:rsidP="00505959">
      <w:pPr>
        <w:pStyle w:val="Heading2"/>
        <w:spacing w:before="0"/>
        <w:ind w:firstLine="284"/>
        <w:jc w:val="both"/>
        <w:rPr>
          <w:rFonts w:ascii="Garamond" w:hAnsi="Garamond" w:cs="Times New Roman"/>
          <w:color w:val="auto"/>
          <w:sz w:val="24"/>
          <w:szCs w:val="24"/>
        </w:rPr>
      </w:pPr>
      <w:bookmarkStart w:id="73" w:name="_Toc168066238"/>
      <w:bookmarkStart w:id="74" w:name="_Toc185235105"/>
      <w:r w:rsidRPr="00830F4C">
        <w:rPr>
          <w:rFonts w:ascii="Garamond" w:hAnsi="Garamond" w:cs="Times New Roman"/>
          <w:b/>
          <w:color w:val="auto"/>
          <w:sz w:val="24"/>
          <w:szCs w:val="24"/>
        </w:rPr>
        <w:t>VI.5 Komponenti 3.4 Zhvillimi dhe zbatimi plotësisht i një kornizë integriteti për të ndihmuar në ndërtimin e besimit të komunitetit</w:t>
      </w:r>
      <w:bookmarkEnd w:id="73"/>
      <w:bookmarkEnd w:id="74"/>
      <w:r w:rsidRPr="00830F4C">
        <w:rPr>
          <w:rFonts w:ascii="Garamond" w:hAnsi="Garamond" w:cs="Times New Roman"/>
          <w:b/>
          <w:color w:val="auto"/>
          <w:sz w:val="24"/>
          <w:szCs w:val="24"/>
        </w:rPr>
        <w:t xml:space="preserve"> </w:t>
      </w:r>
    </w:p>
    <w:p w14:paraId="254A6668" w14:textId="77777777" w:rsidR="005D2226" w:rsidRPr="00830F4C" w:rsidRDefault="005D2226" w:rsidP="00505959">
      <w:pPr>
        <w:ind w:firstLine="284"/>
        <w:jc w:val="both"/>
        <w:rPr>
          <w:rFonts w:ascii="Garamond" w:hAnsi="Garamond"/>
          <w:b/>
          <w:bCs/>
        </w:rPr>
      </w:pPr>
      <w:r w:rsidRPr="00830F4C">
        <w:rPr>
          <w:rFonts w:ascii="Garamond" w:hAnsi="Garamond"/>
          <w:b/>
          <w:bCs/>
        </w:rPr>
        <w:t>Objektivi</w:t>
      </w:r>
    </w:p>
    <w:p w14:paraId="32475D07" w14:textId="23C111EB" w:rsidR="005D2226" w:rsidRPr="00830F4C" w:rsidRDefault="005D2226" w:rsidP="005D2226">
      <w:pPr>
        <w:ind w:firstLine="284"/>
        <w:jc w:val="both"/>
        <w:rPr>
          <w:rFonts w:ascii="Garamond" w:hAnsi="Garamond"/>
        </w:rPr>
      </w:pPr>
      <w:r w:rsidRPr="00830F4C">
        <w:rPr>
          <w:rFonts w:ascii="Garamond" w:hAnsi="Garamond"/>
        </w:rPr>
        <w:t>Synimi është që brenda vitit 2027 të jetë hartuar dhe të jetë në zbatim</w:t>
      </w:r>
      <w:r w:rsidR="00D22EA5" w:rsidRPr="00830F4C">
        <w:rPr>
          <w:rFonts w:ascii="Garamond" w:hAnsi="Garamond"/>
        </w:rPr>
        <w:t xml:space="preserve"> </w:t>
      </w:r>
      <w:r w:rsidRPr="00830F4C">
        <w:rPr>
          <w:rFonts w:ascii="Garamond" w:hAnsi="Garamond"/>
        </w:rPr>
        <w:t>një plan gjithëpërfshirës integriteti</w:t>
      </w:r>
      <w:r w:rsidR="00505959">
        <w:rPr>
          <w:rFonts w:ascii="Garamond" w:hAnsi="Garamond"/>
        </w:rPr>
        <w:t>,</w:t>
      </w:r>
      <w:r w:rsidRPr="00830F4C">
        <w:rPr>
          <w:rFonts w:ascii="Garamond" w:hAnsi="Garamond"/>
        </w:rPr>
        <w:t xml:space="preserve"> me qëllim që të rritet besimi i komunitetit tek administrata doganore.</w:t>
      </w:r>
    </w:p>
    <w:p w14:paraId="76C8A6B0" w14:textId="77777777" w:rsidR="005D2226" w:rsidRPr="00830F4C" w:rsidRDefault="005D2226" w:rsidP="005D2226">
      <w:pPr>
        <w:ind w:firstLine="284"/>
        <w:jc w:val="both"/>
        <w:rPr>
          <w:rFonts w:ascii="Garamond" w:hAnsi="Garamond"/>
          <w:b/>
          <w:bCs/>
        </w:rPr>
      </w:pPr>
      <w:r w:rsidRPr="00830F4C">
        <w:rPr>
          <w:rFonts w:ascii="Garamond" w:hAnsi="Garamond"/>
          <w:b/>
          <w:bCs/>
        </w:rPr>
        <w:t>Konteksti</w:t>
      </w:r>
    </w:p>
    <w:p w14:paraId="0AAFA347" w14:textId="4D3325DD" w:rsidR="005D2226" w:rsidRPr="00830F4C" w:rsidRDefault="005D2226" w:rsidP="005D2226">
      <w:pPr>
        <w:ind w:firstLine="284"/>
        <w:jc w:val="both"/>
        <w:rPr>
          <w:rFonts w:ascii="Garamond" w:hAnsi="Garamond"/>
        </w:rPr>
      </w:pPr>
      <w:r w:rsidRPr="00830F4C">
        <w:rPr>
          <w:rFonts w:ascii="Garamond" w:hAnsi="Garamond"/>
        </w:rPr>
        <w:t xml:space="preserve">Drejtoria </w:t>
      </w:r>
      <w:r w:rsidR="00505959">
        <w:rPr>
          <w:rFonts w:ascii="Garamond" w:hAnsi="Garamond"/>
        </w:rPr>
        <w:t xml:space="preserve">e </w:t>
      </w:r>
      <w:r w:rsidRPr="00830F4C">
        <w:rPr>
          <w:rFonts w:ascii="Garamond" w:hAnsi="Garamond"/>
        </w:rPr>
        <w:t>Antikorrupsionit dhe Standardeve Profesionale është në funksion prej 10 vitesh dhe janë vendosur shtylla të rëndësishme të kornizës së integritetit për stafin e administratës doganore</w:t>
      </w:r>
      <w:r w:rsidR="00505959">
        <w:rPr>
          <w:rFonts w:ascii="Garamond" w:hAnsi="Garamond"/>
        </w:rPr>
        <w:t>,</w:t>
      </w:r>
      <w:r w:rsidRPr="00830F4C">
        <w:rPr>
          <w:rFonts w:ascii="Garamond" w:hAnsi="Garamond"/>
        </w:rPr>
        <w:t xml:space="preserve"> si: Kodi i Etikës, Deklarata për Konfliktin e Interesit, linjë telefonike për raportimin e rasteve të korrupsionit, etj.</w:t>
      </w:r>
    </w:p>
    <w:p w14:paraId="0F179FA8" w14:textId="3E405C89" w:rsidR="005D2226" w:rsidRPr="00830F4C" w:rsidRDefault="005D2226" w:rsidP="005D2226">
      <w:pPr>
        <w:ind w:firstLine="284"/>
        <w:jc w:val="both"/>
        <w:rPr>
          <w:rFonts w:ascii="Garamond" w:hAnsi="Garamond"/>
        </w:rPr>
      </w:pPr>
      <w:r w:rsidRPr="00830F4C">
        <w:rPr>
          <w:rFonts w:ascii="Garamond" w:hAnsi="Garamond"/>
        </w:rPr>
        <w:t>Rritja e niveleve të integritetit brenda administratës doganore është një element i rëndësishëm në ndërtimin e besimit të komunitetit. Drejtoria e Antikorrupsionit dhe Standardeve Profesionale është trajnuar me qëllim që të përcaktojë, komunikojë dhe promovojë standardet.</w:t>
      </w:r>
    </w:p>
    <w:p w14:paraId="1854A0BD" w14:textId="6D89326B" w:rsidR="005D2226" w:rsidRPr="00830F4C" w:rsidRDefault="005D2226" w:rsidP="005D2226">
      <w:pPr>
        <w:ind w:firstLine="284"/>
        <w:jc w:val="both"/>
        <w:rPr>
          <w:rFonts w:ascii="Garamond" w:hAnsi="Garamond"/>
        </w:rPr>
      </w:pPr>
      <w:r w:rsidRPr="00830F4C">
        <w:rPr>
          <w:rFonts w:ascii="Garamond" w:hAnsi="Garamond"/>
        </w:rPr>
        <w:t xml:space="preserve">Administrata doganore do të vazhdojë të ketë në fokus zhvillimin e një kornize më gjithëpërfshirëse të sigurimit të integritetit që përcakton, komunikon dhe promovon standardet e sjelljes; monitoron dhe zbaton ato standarde, korrigjon gabimet; vlerëson dhe raporton mbi rezultatet e punës së </w:t>
      </w:r>
      <w:r w:rsidR="00505959" w:rsidRPr="00830F4C">
        <w:rPr>
          <w:rFonts w:ascii="Garamond" w:hAnsi="Garamond"/>
        </w:rPr>
        <w:t>çdo</w:t>
      </w:r>
      <w:r w:rsidRPr="00830F4C">
        <w:rPr>
          <w:rFonts w:ascii="Garamond" w:hAnsi="Garamond"/>
        </w:rPr>
        <w:t xml:space="preserve"> inspektori. Gjithashtu, nëpërmjet një personeli të trajnuar</w:t>
      </w:r>
      <w:r w:rsidR="00505959">
        <w:rPr>
          <w:rFonts w:ascii="Garamond" w:hAnsi="Garamond"/>
        </w:rPr>
        <w:t>,</w:t>
      </w:r>
      <w:r w:rsidRPr="00830F4C">
        <w:rPr>
          <w:rFonts w:ascii="Garamond" w:hAnsi="Garamond"/>
        </w:rPr>
        <w:t xml:space="preserve"> DPD</w:t>
      </w:r>
      <w:r w:rsidR="00505959">
        <w:rPr>
          <w:rFonts w:ascii="Garamond" w:hAnsi="Garamond"/>
        </w:rPr>
        <w:t>-ja</w:t>
      </w:r>
      <w:r w:rsidRPr="00830F4C">
        <w:rPr>
          <w:rFonts w:ascii="Garamond" w:hAnsi="Garamond"/>
        </w:rPr>
        <w:t xml:space="preserve"> do të monitorojë zbatimin e standardeve dhe të raportojë apo të korrigjojë gabimet.</w:t>
      </w:r>
    </w:p>
    <w:p w14:paraId="01A728B0" w14:textId="1A255FEF" w:rsidR="005D2226" w:rsidRPr="00830F4C" w:rsidRDefault="005D2226" w:rsidP="005D2226">
      <w:pPr>
        <w:ind w:firstLine="284"/>
        <w:jc w:val="both"/>
        <w:rPr>
          <w:rFonts w:ascii="Garamond" w:hAnsi="Garamond"/>
        </w:rPr>
      </w:pPr>
      <w:r w:rsidRPr="00830F4C">
        <w:rPr>
          <w:rFonts w:ascii="Garamond" w:hAnsi="Garamond"/>
        </w:rPr>
        <w:t>Bashkëpunimi me shoqatat e biznesit, shoqërinë civile, zbatimi i vetëkontrollit dhe rishikimeve të ndërsjella nga punonjësit, publikimi i informacionit</w:t>
      </w:r>
      <w:r w:rsidR="00505959">
        <w:rPr>
          <w:rFonts w:ascii="Garamond" w:hAnsi="Garamond"/>
        </w:rPr>
        <w:t>,</w:t>
      </w:r>
      <w:r w:rsidRPr="00830F4C">
        <w:rPr>
          <w:rFonts w:ascii="Garamond" w:hAnsi="Garamond"/>
        </w:rPr>
        <w:t xml:space="preserve"> lidhur me integritetin dhe matja e rregullt e niveleve dhe tendencave në perceptimin e korrupsionit doganor janë përbërës të dobishëm në forcimin e besimit të komunitetit. Për këtë arsye, Drejtoria e Antikorrupsionit është përfshirë në hartimin e planit të integritetit me </w:t>
      </w:r>
      <w:r w:rsidR="00505959" w:rsidRPr="00830F4C">
        <w:rPr>
          <w:rFonts w:ascii="Garamond" w:hAnsi="Garamond"/>
        </w:rPr>
        <w:t xml:space="preserve">urdhrin e drejtorit të përgjithshëm </w:t>
      </w:r>
      <w:r w:rsidRPr="00830F4C">
        <w:rPr>
          <w:rFonts w:ascii="Garamond" w:hAnsi="Garamond"/>
        </w:rPr>
        <w:t>nr</w:t>
      </w:r>
      <w:r w:rsidR="00505959">
        <w:rPr>
          <w:rFonts w:ascii="Garamond" w:hAnsi="Garamond"/>
        </w:rPr>
        <w:t>.</w:t>
      </w:r>
      <w:r w:rsidRPr="00830F4C">
        <w:rPr>
          <w:rFonts w:ascii="Garamond" w:hAnsi="Garamond"/>
        </w:rPr>
        <w:t xml:space="preserve"> 80, datë 26.10.2023, i cili do të hartohet brenda vitit 2026.</w:t>
      </w:r>
    </w:p>
    <w:p w14:paraId="04D099FE" w14:textId="77777777" w:rsidR="005D2226" w:rsidRPr="00830F4C" w:rsidRDefault="005D2226" w:rsidP="005D2226">
      <w:pPr>
        <w:ind w:firstLine="284"/>
        <w:jc w:val="both"/>
        <w:rPr>
          <w:rFonts w:ascii="Garamond" w:hAnsi="Garamond"/>
          <w:b/>
        </w:rPr>
      </w:pPr>
      <w:r w:rsidRPr="00830F4C">
        <w:rPr>
          <w:rFonts w:ascii="Garamond" w:hAnsi="Garamond"/>
          <w:b/>
        </w:rPr>
        <w:t>Prioritetet:</w:t>
      </w:r>
    </w:p>
    <w:p w14:paraId="51B065A3" w14:textId="008BF46E" w:rsidR="005D2226" w:rsidRPr="00830F4C" w:rsidRDefault="005D2226" w:rsidP="005D2226">
      <w:pPr>
        <w:ind w:firstLine="284"/>
        <w:jc w:val="both"/>
        <w:rPr>
          <w:rFonts w:ascii="Garamond" w:hAnsi="Garamond"/>
        </w:rPr>
      </w:pPr>
      <w:r w:rsidRPr="00830F4C">
        <w:rPr>
          <w:rFonts w:ascii="Garamond" w:hAnsi="Garamond"/>
        </w:rPr>
        <w:t>Prioritetet për periudhën</w:t>
      </w:r>
      <w:r w:rsidR="00800B00" w:rsidRPr="00830F4C">
        <w:rPr>
          <w:rFonts w:ascii="Garamond" w:hAnsi="Garamond"/>
        </w:rPr>
        <w:t xml:space="preserve"> </w:t>
      </w:r>
      <w:r w:rsidR="00D22EA5" w:rsidRPr="00830F4C">
        <w:rPr>
          <w:rFonts w:ascii="Garamond" w:hAnsi="Garamond"/>
        </w:rPr>
        <w:t>2024–2027</w:t>
      </w:r>
      <w:r w:rsidRPr="00830F4C">
        <w:rPr>
          <w:rFonts w:ascii="Garamond" w:hAnsi="Garamond"/>
        </w:rPr>
        <w:t xml:space="preserve"> janë:</w:t>
      </w:r>
    </w:p>
    <w:p w14:paraId="773804AC" w14:textId="77777777" w:rsidR="005D2226" w:rsidRPr="00830F4C" w:rsidRDefault="005D2226" w:rsidP="005D2226">
      <w:pPr>
        <w:autoSpaceDE w:val="0"/>
        <w:autoSpaceDN w:val="0"/>
        <w:adjustRightInd w:val="0"/>
        <w:ind w:firstLine="280"/>
        <w:jc w:val="both"/>
        <w:rPr>
          <w:rFonts w:ascii="Garamond" w:eastAsiaTheme="minorHAnsi" w:hAnsi="Garamond"/>
        </w:rPr>
      </w:pPr>
      <w:r w:rsidRPr="00830F4C">
        <w:rPr>
          <w:rFonts w:ascii="Garamond" w:eastAsiaTheme="minorHAnsi" w:hAnsi="Garamond"/>
        </w:rPr>
        <w:t>1. Rritja e besimit të komunitetit tek administrata doganore.</w:t>
      </w:r>
    </w:p>
    <w:p w14:paraId="3B182F00" w14:textId="77777777" w:rsidR="005D2226" w:rsidRPr="00830F4C" w:rsidRDefault="005D2226" w:rsidP="005D2226">
      <w:pPr>
        <w:autoSpaceDE w:val="0"/>
        <w:autoSpaceDN w:val="0"/>
        <w:adjustRightInd w:val="0"/>
        <w:ind w:firstLine="280"/>
        <w:jc w:val="both"/>
        <w:rPr>
          <w:rFonts w:ascii="Garamond" w:eastAsiaTheme="minorHAnsi" w:hAnsi="Garamond"/>
        </w:rPr>
      </w:pPr>
      <w:r w:rsidRPr="00830F4C">
        <w:rPr>
          <w:rFonts w:ascii="Garamond" w:eastAsiaTheme="minorHAnsi" w:hAnsi="Garamond"/>
        </w:rPr>
        <w:t>2. Hartimi dhe miratimi i Planit të Integritetit brenda vitit 2026.</w:t>
      </w:r>
    </w:p>
    <w:p w14:paraId="29CFD7DC" w14:textId="77777777" w:rsidR="005D2226" w:rsidRPr="00830F4C" w:rsidRDefault="005D2226" w:rsidP="005D2226">
      <w:pPr>
        <w:ind w:firstLine="284"/>
        <w:jc w:val="both"/>
        <w:rPr>
          <w:rFonts w:ascii="Garamond" w:hAnsi="Garamond"/>
          <w:b/>
        </w:rPr>
      </w:pPr>
      <w:r w:rsidRPr="00830F4C">
        <w:rPr>
          <w:rFonts w:ascii="Garamond" w:hAnsi="Garamond"/>
          <w:b/>
        </w:rPr>
        <w:t>Masat dhe aktivitetet</w:t>
      </w:r>
    </w:p>
    <w:tbl>
      <w:tblPr>
        <w:tblStyle w:val="TableGrid"/>
        <w:tblW w:w="0" w:type="auto"/>
        <w:tblLook w:val="04A0" w:firstRow="1" w:lastRow="0" w:firstColumn="1" w:lastColumn="0" w:noHBand="0" w:noVBand="1"/>
      </w:tblPr>
      <w:tblGrid>
        <w:gridCol w:w="2525"/>
        <w:gridCol w:w="2565"/>
        <w:gridCol w:w="740"/>
        <w:gridCol w:w="1185"/>
        <w:gridCol w:w="2335"/>
      </w:tblGrid>
      <w:tr w:rsidR="005D2226" w:rsidRPr="00CC11D5" w14:paraId="7290ADFE" w14:textId="77777777" w:rsidTr="008C0C0F">
        <w:trPr>
          <w:trHeight w:val="20"/>
        </w:trPr>
        <w:tc>
          <w:tcPr>
            <w:tcW w:w="2525" w:type="dxa"/>
            <w:vAlign w:val="center"/>
          </w:tcPr>
          <w:p w14:paraId="2598E9FE" w14:textId="77777777" w:rsidR="005D2226" w:rsidRPr="00CC11D5" w:rsidRDefault="005D2226" w:rsidP="008C0C0F">
            <w:pPr>
              <w:ind w:left="360"/>
              <w:jc w:val="center"/>
              <w:rPr>
                <w:rFonts w:ascii="Garamond" w:hAnsi="Garamond"/>
                <w:b/>
                <w:sz w:val="12"/>
                <w:szCs w:val="12"/>
              </w:rPr>
            </w:pPr>
            <w:r w:rsidRPr="00CC11D5">
              <w:rPr>
                <w:rFonts w:ascii="Garamond" w:hAnsi="Garamond"/>
                <w:b/>
                <w:sz w:val="12"/>
                <w:szCs w:val="12"/>
              </w:rPr>
              <w:t>Masa</w:t>
            </w:r>
          </w:p>
        </w:tc>
        <w:tc>
          <w:tcPr>
            <w:tcW w:w="2565" w:type="dxa"/>
            <w:vAlign w:val="center"/>
          </w:tcPr>
          <w:p w14:paraId="76556B4B" w14:textId="77777777" w:rsidR="005D2226" w:rsidRPr="00CC11D5" w:rsidRDefault="005D2226" w:rsidP="008C0C0F">
            <w:pPr>
              <w:ind w:left="360"/>
              <w:jc w:val="center"/>
              <w:rPr>
                <w:rFonts w:ascii="Garamond" w:hAnsi="Garamond"/>
                <w:b/>
                <w:sz w:val="12"/>
                <w:szCs w:val="12"/>
              </w:rPr>
            </w:pPr>
            <w:r w:rsidRPr="00CC11D5">
              <w:rPr>
                <w:rFonts w:ascii="Garamond" w:hAnsi="Garamond"/>
                <w:b/>
                <w:sz w:val="12"/>
                <w:szCs w:val="12"/>
              </w:rPr>
              <w:t>Aktiviteti</w:t>
            </w:r>
          </w:p>
        </w:tc>
        <w:tc>
          <w:tcPr>
            <w:tcW w:w="740" w:type="dxa"/>
            <w:vAlign w:val="center"/>
          </w:tcPr>
          <w:p w14:paraId="46021B06" w14:textId="77777777" w:rsidR="005D2226" w:rsidRPr="00CC11D5" w:rsidRDefault="005D2226" w:rsidP="008C0C0F">
            <w:pPr>
              <w:jc w:val="center"/>
              <w:rPr>
                <w:rFonts w:ascii="Garamond" w:hAnsi="Garamond"/>
                <w:b/>
                <w:sz w:val="12"/>
                <w:szCs w:val="12"/>
              </w:rPr>
            </w:pPr>
            <w:r w:rsidRPr="00CC11D5">
              <w:rPr>
                <w:rFonts w:ascii="Garamond" w:hAnsi="Garamond"/>
                <w:b/>
                <w:sz w:val="12"/>
                <w:szCs w:val="12"/>
              </w:rPr>
              <w:t>Fillimi</w:t>
            </w:r>
          </w:p>
        </w:tc>
        <w:tc>
          <w:tcPr>
            <w:tcW w:w="1185" w:type="dxa"/>
            <w:vAlign w:val="center"/>
          </w:tcPr>
          <w:p w14:paraId="59D39BE8" w14:textId="77777777" w:rsidR="005D2226" w:rsidRPr="00CC11D5" w:rsidRDefault="005D2226" w:rsidP="008C0C0F">
            <w:pPr>
              <w:jc w:val="center"/>
              <w:rPr>
                <w:rFonts w:ascii="Garamond" w:hAnsi="Garamond"/>
                <w:b/>
                <w:sz w:val="12"/>
                <w:szCs w:val="12"/>
              </w:rPr>
            </w:pPr>
            <w:r w:rsidRPr="00CC11D5">
              <w:rPr>
                <w:rFonts w:ascii="Garamond" w:hAnsi="Garamond"/>
                <w:b/>
                <w:sz w:val="12"/>
                <w:szCs w:val="12"/>
              </w:rPr>
              <w:t>Mbarimi</w:t>
            </w:r>
          </w:p>
        </w:tc>
        <w:tc>
          <w:tcPr>
            <w:tcW w:w="2335" w:type="dxa"/>
            <w:vAlign w:val="center"/>
          </w:tcPr>
          <w:p w14:paraId="2610EE3F" w14:textId="77777777" w:rsidR="005D2226" w:rsidRPr="00CC11D5" w:rsidRDefault="005D2226" w:rsidP="008C0C0F">
            <w:pPr>
              <w:ind w:left="360"/>
              <w:jc w:val="center"/>
              <w:rPr>
                <w:rFonts w:ascii="Garamond" w:hAnsi="Garamond"/>
                <w:b/>
                <w:sz w:val="12"/>
                <w:szCs w:val="12"/>
              </w:rPr>
            </w:pPr>
            <w:r w:rsidRPr="00CC11D5">
              <w:rPr>
                <w:rFonts w:ascii="Garamond" w:hAnsi="Garamond"/>
                <w:b/>
                <w:sz w:val="12"/>
                <w:szCs w:val="12"/>
              </w:rPr>
              <w:t>Institucioni përgjegjës</w:t>
            </w:r>
          </w:p>
        </w:tc>
      </w:tr>
      <w:tr w:rsidR="00236281" w:rsidRPr="00CC11D5" w14:paraId="18137C61" w14:textId="77777777" w:rsidTr="008C0C0F">
        <w:trPr>
          <w:trHeight w:val="20"/>
        </w:trPr>
        <w:tc>
          <w:tcPr>
            <w:tcW w:w="2525" w:type="dxa"/>
            <w:vAlign w:val="center"/>
          </w:tcPr>
          <w:p w14:paraId="336FD193" w14:textId="26DE07AD" w:rsidR="005D2226" w:rsidRPr="00CC11D5" w:rsidRDefault="005D2226" w:rsidP="008C0C0F">
            <w:pPr>
              <w:jc w:val="center"/>
              <w:rPr>
                <w:rFonts w:ascii="Garamond" w:eastAsiaTheme="minorHAnsi" w:hAnsi="Garamond"/>
                <w:sz w:val="12"/>
                <w:szCs w:val="12"/>
              </w:rPr>
            </w:pPr>
            <w:r w:rsidRPr="00CC11D5">
              <w:rPr>
                <w:rFonts w:ascii="Garamond" w:eastAsiaTheme="minorHAnsi" w:hAnsi="Garamond"/>
                <w:sz w:val="12"/>
                <w:szCs w:val="12"/>
              </w:rPr>
              <w:t>Masa 3.4.1 Hartimi dhe miratimi i Planit të Integritetit dhe planit të veprimit</w:t>
            </w:r>
          </w:p>
          <w:p w14:paraId="63C7C83F" w14:textId="77777777" w:rsidR="005D2226" w:rsidRPr="00CC11D5" w:rsidRDefault="005D2226" w:rsidP="008C0C0F">
            <w:pPr>
              <w:jc w:val="center"/>
              <w:rPr>
                <w:rFonts w:ascii="Garamond" w:eastAsiaTheme="minorHAnsi" w:hAnsi="Garamond"/>
                <w:sz w:val="12"/>
                <w:szCs w:val="12"/>
              </w:rPr>
            </w:pPr>
          </w:p>
        </w:tc>
        <w:tc>
          <w:tcPr>
            <w:tcW w:w="2565" w:type="dxa"/>
            <w:vAlign w:val="center"/>
          </w:tcPr>
          <w:p w14:paraId="0259FC8C" w14:textId="2ED94600" w:rsidR="005D2226" w:rsidRPr="00CC11D5" w:rsidRDefault="005D2226" w:rsidP="008C0C0F">
            <w:pPr>
              <w:jc w:val="center"/>
              <w:rPr>
                <w:rFonts w:ascii="Garamond" w:eastAsiaTheme="minorHAnsi" w:hAnsi="Garamond"/>
                <w:sz w:val="12"/>
                <w:szCs w:val="12"/>
              </w:rPr>
            </w:pPr>
            <w:r w:rsidRPr="00CC11D5">
              <w:rPr>
                <w:rFonts w:ascii="Garamond" w:eastAsiaTheme="minorHAnsi" w:hAnsi="Garamond"/>
                <w:sz w:val="12"/>
                <w:szCs w:val="12"/>
              </w:rPr>
              <w:t>Aktiviteti 3.4.1.1</w:t>
            </w:r>
            <w:r w:rsidR="00505959" w:rsidRPr="00CC11D5">
              <w:rPr>
                <w:rFonts w:ascii="Garamond" w:eastAsiaTheme="minorHAnsi" w:hAnsi="Garamond"/>
                <w:sz w:val="12"/>
                <w:szCs w:val="12"/>
              </w:rPr>
              <w:t>:</w:t>
            </w:r>
            <w:r w:rsidRPr="00CC11D5">
              <w:rPr>
                <w:rFonts w:ascii="Garamond" w:eastAsiaTheme="minorHAnsi" w:hAnsi="Garamond"/>
                <w:sz w:val="12"/>
                <w:szCs w:val="12"/>
              </w:rPr>
              <w:t xml:space="preserve"> Hartimi dhe miratimi i Planit të Integritetit dhe planit të veprimit</w:t>
            </w:r>
          </w:p>
          <w:p w14:paraId="513A2A4D" w14:textId="3C099257" w:rsidR="005D2226" w:rsidRPr="00CC11D5" w:rsidRDefault="005D2226" w:rsidP="008C0C0F">
            <w:pPr>
              <w:jc w:val="center"/>
              <w:rPr>
                <w:rFonts w:ascii="Garamond" w:hAnsi="Garamond"/>
                <w:sz w:val="12"/>
                <w:szCs w:val="12"/>
              </w:rPr>
            </w:pPr>
            <w:r w:rsidRPr="00CC11D5">
              <w:rPr>
                <w:rFonts w:ascii="Garamond" w:hAnsi="Garamond"/>
                <w:sz w:val="12"/>
                <w:szCs w:val="12"/>
              </w:rPr>
              <w:t xml:space="preserve">me </w:t>
            </w:r>
            <w:r w:rsidR="00505959" w:rsidRPr="00CC11D5">
              <w:rPr>
                <w:rFonts w:ascii="Garamond" w:hAnsi="Garamond"/>
                <w:sz w:val="12"/>
                <w:szCs w:val="12"/>
              </w:rPr>
              <w:t>u</w:t>
            </w:r>
            <w:r w:rsidRPr="00CC11D5">
              <w:rPr>
                <w:rFonts w:ascii="Garamond" w:hAnsi="Garamond"/>
                <w:sz w:val="12"/>
                <w:szCs w:val="12"/>
              </w:rPr>
              <w:t>rdhër të DPD</w:t>
            </w:r>
            <w:r w:rsidR="00505959" w:rsidRPr="00CC11D5">
              <w:rPr>
                <w:rFonts w:ascii="Garamond" w:hAnsi="Garamond"/>
                <w:sz w:val="12"/>
                <w:szCs w:val="12"/>
              </w:rPr>
              <w:t>-s</w:t>
            </w:r>
            <w:r w:rsidR="00505959" w:rsidRPr="00CC11D5">
              <w:rPr>
                <w:rStyle w:val="contentpasted0"/>
                <w:rFonts w:ascii="Garamond" w:hAnsi="Garamond"/>
                <w:sz w:val="12"/>
                <w:szCs w:val="12"/>
              </w:rPr>
              <w:t>ë</w:t>
            </w:r>
          </w:p>
        </w:tc>
        <w:tc>
          <w:tcPr>
            <w:tcW w:w="740" w:type="dxa"/>
            <w:vAlign w:val="center"/>
          </w:tcPr>
          <w:p w14:paraId="3F75A298" w14:textId="77777777" w:rsidR="005D2226" w:rsidRPr="00CC11D5" w:rsidRDefault="005D2226" w:rsidP="008C0C0F">
            <w:pPr>
              <w:jc w:val="center"/>
              <w:rPr>
                <w:rFonts w:ascii="Garamond" w:hAnsi="Garamond"/>
                <w:sz w:val="12"/>
                <w:szCs w:val="12"/>
              </w:rPr>
            </w:pPr>
            <w:r w:rsidRPr="00CC11D5">
              <w:rPr>
                <w:rFonts w:ascii="Garamond" w:hAnsi="Garamond"/>
                <w:sz w:val="12"/>
                <w:szCs w:val="12"/>
              </w:rPr>
              <w:t>2024</w:t>
            </w:r>
          </w:p>
        </w:tc>
        <w:tc>
          <w:tcPr>
            <w:tcW w:w="1185" w:type="dxa"/>
            <w:vAlign w:val="center"/>
          </w:tcPr>
          <w:p w14:paraId="1EEB6ACD" w14:textId="77777777" w:rsidR="005D2226" w:rsidRPr="00CC11D5" w:rsidRDefault="005D2226" w:rsidP="008C0C0F">
            <w:pPr>
              <w:jc w:val="center"/>
              <w:rPr>
                <w:rFonts w:ascii="Garamond" w:hAnsi="Garamond"/>
                <w:sz w:val="12"/>
                <w:szCs w:val="12"/>
              </w:rPr>
            </w:pPr>
            <w:r w:rsidRPr="00CC11D5">
              <w:rPr>
                <w:rFonts w:ascii="Garamond" w:hAnsi="Garamond"/>
                <w:sz w:val="12"/>
                <w:szCs w:val="12"/>
              </w:rPr>
              <w:t>2026</w:t>
            </w:r>
          </w:p>
        </w:tc>
        <w:tc>
          <w:tcPr>
            <w:tcW w:w="2335" w:type="dxa"/>
            <w:vAlign w:val="center"/>
          </w:tcPr>
          <w:p w14:paraId="486CFC2F" w14:textId="77777777" w:rsidR="005D2226" w:rsidRPr="00CC11D5" w:rsidRDefault="005D2226" w:rsidP="008C0C0F">
            <w:pPr>
              <w:jc w:val="center"/>
              <w:rPr>
                <w:rFonts w:ascii="Garamond" w:hAnsi="Garamond"/>
                <w:sz w:val="12"/>
                <w:szCs w:val="12"/>
              </w:rPr>
            </w:pPr>
            <w:r w:rsidRPr="00CC11D5">
              <w:rPr>
                <w:rFonts w:ascii="Garamond" w:hAnsi="Garamond"/>
                <w:sz w:val="12"/>
                <w:szCs w:val="12"/>
              </w:rPr>
              <w:t>DPD</w:t>
            </w:r>
          </w:p>
        </w:tc>
      </w:tr>
      <w:tr w:rsidR="00236281" w:rsidRPr="00CC11D5" w14:paraId="0270151A" w14:textId="77777777" w:rsidTr="008C0C0F">
        <w:trPr>
          <w:trHeight w:val="20"/>
        </w:trPr>
        <w:tc>
          <w:tcPr>
            <w:tcW w:w="2525" w:type="dxa"/>
            <w:vAlign w:val="center"/>
          </w:tcPr>
          <w:p w14:paraId="3E975EE5" w14:textId="292CDFE6" w:rsidR="005D2226" w:rsidRPr="00CC11D5" w:rsidRDefault="005D2226" w:rsidP="008C0C0F">
            <w:pPr>
              <w:spacing w:after="160"/>
              <w:jc w:val="center"/>
              <w:rPr>
                <w:rFonts w:ascii="Garamond" w:eastAsiaTheme="minorHAnsi" w:hAnsi="Garamond"/>
                <w:sz w:val="12"/>
                <w:szCs w:val="12"/>
              </w:rPr>
            </w:pPr>
            <w:r w:rsidRPr="00CC11D5">
              <w:rPr>
                <w:rFonts w:ascii="Garamond" w:eastAsiaTheme="minorHAnsi" w:hAnsi="Garamond"/>
                <w:sz w:val="12"/>
                <w:szCs w:val="12"/>
              </w:rPr>
              <w:t xml:space="preserve">Masa 3.4.2 </w:t>
            </w:r>
            <w:r w:rsidR="00505959" w:rsidRPr="00CC11D5">
              <w:rPr>
                <w:rFonts w:ascii="Garamond" w:eastAsiaTheme="minorHAnsi" w:hAnsi="Garamond"/>
                <w:sz w:val="12"/>
                <w:szCs w:val="12"/>
              </w:rPr>
              <w:t>Trajnime</w:t>
            </w:r>
            <w:r w:rsidRPr="00CC11D5">
              <w:rPr>
                <w:rFonts w:ascii="Garamond" w:eastAsiaTheme="minorHAnsi" w:hAnsi="Garamond"/>
                <w:sz w:val="12"/>
                <w:szCs w:val="12"/>
              </w:rPr>
              <w:t xml:space="preserve"> të vazhdueshme për punonjësit e administratës doganore</w:t>
            </w:r>
            <w:r w:rsidR="00505959" w:rsidRPr="00CC11D5">
              <w:rPr>
                <w:rFonts w:ascii="Garamond" w:eastAsiaTheme="minorHAnsi" w:hAnsi="Garamond"/>
                <w:sz w:val="12"/>
                <w:szCs w:val="12"/>
              </w:rPr>
              <w:t xml:space="preserve"> –</w:t>
            </w:r>
            <w:r w:rsidRPr="00CC11D5">
              <w:rPr>
                <w:rFonts w:ascii="Garamond" w:eastAsiaTheme="minorHAnsi" w:hAnsi="Garamond"/>
                <w:sz w:val="12"/>
                <w:szCs w:val="12"/>
              </w:rPr>
              <w:t xml:space="preserve"> përfshirja në trajnime të specialistëve nga institucione të ndryshme</w:t>
            </w:r>
            <w:r w:rsidR="00505959" w:rsidRPr="00CC11D5">
              <w:rPr>
                <w:rFonts w:ascii="Garamond" w:eastAsiaTheme="minorHAnsi" w:hAnsi="Garamond"/>
                <w:sz w:val="12"/>
                <w:szCs w:val="12"/>
              </w:rPr>
              <w:t>,</w:t>
            </w:r>
            <w:r w:rsidRPr="00CC11D5">
              <w:rPr>
                <w:rFonts w:ascii="Garamond" w:eastAsiaTheme="minorHAnsi" w:hAnsi="Garamond"/>
                <w:sz w:val="12"/>
                <w:szCs w:val="12"/>
              </w:rPr>
              <w:t xml:space="preserve"> si Prokurori/Gjykata/Universitete et</w:t>
            </w:r>
            <w:r w:rsidR="00236281" w:rsidRPr="00CC11D5">
              <w:rPr>
                <w:rFonts w:ascii="Garamond" w:eastAsiaTheme="minorHAnsi" w:hAnsi="Garamond"/>
                <w:sz w:val="12"/>
                <w:szCs w:val="12"/>
              </w:rPr>
              <w:t>j.</w:t>
            </w:r>
          </w:p>
        </w:tc>
        <w:tc>
          <w:tcPr>
            <w:tcW w:w="2565" w:type="dxa"/>
            <w:vAlign w:val="center"/>
          </w:tcPr>
          <w:p w14:paraId="50203FDF" w14:textId="6B25EE1E" w:rsidR="005D2226" w:rsidRPr="00CC11D5" w:rsidRDefault="005D2226" w:rsidP="008C0C0F">
            <w:pPr>
              <w:jc w:val="center"/>
              <w:rPr>
                <w:rFonts w:ascii="Garamond" w:hAnsi="Garamond"/>
                <w:sz w:val="12"/>
                <w:szCs w:val="12"/>
              </w:rPr>
            </w:pPr>
            <w:r w:rsidRPr="00CC11D5">
              <w:rPr>
                <w:rFonts w:ascii="Garamond" w:eastAsiaTheme="minorHAnsi" w:hAnsi="Garamond"/>
                <w:sz w:val="12"/>
                <w:szCs w:val="12"/>
              </w:rPr>
              <w:t>Aktiviteti 3.4.2.1</w:t>
            </w:r>
            <w:r w:rsidR="00505959" w:rsidRPr="00CC11D5">
              <w:rPr>
                <w:rFonts w:ascii="Garamond" w:eastAsiaTheme="minorHAnsi" w:hAnsi="Garamond"/>
                <w:sz w:val="12"/>
                <w:szCs w:val="12"/>
              </w:rPr>
              <w:t>:</w:t>
            </w:r>
            <w:r w:rsidRPr="00CC11D5">
              <w:rPr>
                <w:rFonts w:ascii="Garamond" w:eastAsiaTheme="minorHAnsi" w:hAnsi="Garamond"/>
                <w:sz w:val="12"/>
                <w:szCs w:val="12"/>
              </w:rPr>
              <w:t xml:space="preserve"> </w:t>
            </w:r>
            <w:r w:rsidRPr="00CC11D5">
              <w:rPr>
                <w:rFonts w:ascii="Garamond" w:hAnsi="Garamond"/>
                <w:sz w:val="12"/>
                <w:szCs w:val="12"/>
              </w:rPr>
              <w:t>Trajnime të dhëna nga specialistë nga institucione të ndryshme</w:t>
            </w:r>
            <w:r w:rsidR="00505959" w:rsidRPr="00CC11D5">
              <w:rPr>
                <w:rFonts w:ascii="Garamond" w:hAnsi="Garamond"/>
                <w:sz w:val="12"/>
                <w:szCs w:val="12"/>
              </w:rPr>
              <w:t>,</w:t>
            </w:r>
            <w:r w:rsidRPr="00CC11D5">
              <w:rPr>
                <w:rFonts w:ascii="Garamond" w:hAnsi="Garamond"/>
                <w:sz w:val="12"/>
                <w:szCs w:val="12"/>
              </w:rPr>
              <w:t xml:space="preserve"> si Prokurori/Gjykata/Universitete, etj</w:t>
            </w:r>
            <w:r w:rsidR="00236281" w:rsidRPr="00CC11D5">
              <w:rPr>
                <w:rFonts w:ascii="Garamond" w:hAnsi="Garamond"/>
                <w:sz w:val="12"/>
                <w:szCs w:val="12"/>
              </w:rPr>
              <w:t>.</w:t>
            </w:r>
          </w:p>
        </w:tc>
        <w:tc>
          <w:tcPr>
            <w:tcW w:w="740" w:type="dxa"/>
            <w:vAlign w:val="center"/>
          </w:tcPr>
          <w:p w14:paraId="003F2F33" w14:textId="77777777" w:rsidR="005D2226" w:rsidRPr="00CC11D5" w:rsidRDefault="005D2226" w:rsidP="008C0C0F">
            <w:pPr>
              <w:jc w:val="center"/>
              <w:rPr>
                <w:rFonts w:ascii="Garamond" w:hAnsi="Garamond"/>
                <w:sz w:val="12"/>
                <w:szCs w:val="12"/>
              </w:rPr>
            </w:pPr>
            <w:r w:rsidRPr="00CC11D5">
              <w:rPr>
                <w:rFonts w:ascii="Garamond" w:hAnsi="Garamond"/>
                <w:sz w:val="12"/>
                <w:szCs w:val="12"/>
              </w:rPr>
              <w:t>2024</w:t>
            </w:r>
          </w:p>
        </w:tc>
        <w:tc>
          <w:tcPr>
            <w:tcW w:w="1185" w:type="dxa"/>
            <w:vAlign w:val="center"/>
          </w:tcPr>
          <w:p w14:paraId="13025B32" w14:textId="77777777" w:rsidR="005D2226" w:rsidRPr="00CC11D5" w:rsidRDefault="005D2226" w:rsidP="008C0C0F">
            <w:pPr>
              <w:jc w:val="center"/>
              <w:rPr>
                <w:rFonts w:ascii="Garamond" w:hAnsi="Garamond"/>
                <w:sz w:val="12"/>
                <w:szCs w:val="12"/>
              </w:rPr>
            </w:pPr>
            <w:r w:rsidRPr="00CC11D5">
              <w:rPr>
                <w:rFonts w:ascii="Garamond" w:hAnsi="Garamond"/>
                <w:sz w:val="12"/>
                <w:szCs w:val="12"/>
              </w:rPr>
              <w:t>2027</w:t>
            </w:r>
          </w:p>
        </w:tc>
        <w:tc>
          <w:tcPr>
            <w:tcW w:w="2335" w:type="dxa"/>
            <w:vAlign w:val="center"/>
          </w:tcPr>
          <w:p w14:paraId="5C715253" w14:textId="7C3C67D4" w:rsidR="005D2226" w:rsidRPr="00CC11D5" w:rsidRDefault="005D2226" w:rsidP="008C0C0F">
            <w:pPr>
              <w:jc w:val="center"/>
              <w:rPr>
                <w:rFonts w:ascii="Garamond" w:hAnsi="Garamond"/>
                <w:sz w:val="12"/>
                <w:szCs w:val="12"/>
              </w:rPr>
            </w:pPr>
            <w:r w:rsidRPr="00CC11D5">
              <w:rPr>
                <w:rFonts w:ascii="Garamond" w:hAnsi="Garamond"/>
                <w:sz w:val="12"/>
                <w:szCs w:val="12"/>
              </w:rPr>
              <w:t>DPD në bashkëpunim me Prokurori/Gjykata/Universitete/ /Komisioni</w:t>
            </w:r>
            <w:r w:rsidR="00505959" w:rsidRPr="00CC11D5">
              <w:rPr>
                <w:rFonts w:ascii="Garamond" w:hAnsi="Garamond"/>
                <w:sz w:val="12"/>
                <w:szCs w:val="12"/>
              </w:rPr>
              <w:t>n</w:t>
            </w:r>
            <w:r w:rsidRPr="00CC11D5">
              <w:rPr>
                <w:rFonts w:ascii="Garamond" w:hAnsi="Garamond"/>
                <w:sz w:val="12"/>
                <w:szCs w:val="12"/>
              </w:rPr>
              <w:t xml:space="preserve"> e KE</w:t>
            </w:r>
            <w:r w:rsidR="00505959" w:rsidRPr="00CC11D5">
              <w:rPr>
                <w:rFonts w:ascii="Garamond" w:hAnsi="Garamond"/>
                <w:sz w:val="12"/>
                <w:szCs w:val="12"/>
              </w:rPr>
              <w:t>-</w:t>
            </w:r>
            <w:r w:rsidR="00505959" w:rsidRPr="00CC11D5">
              <w:rPr>
                <w:sz w:val="12"/>
                <w:szCs w:val="12"/>
              </w:rPr>
              <w:t>s</w:t>
            </w:r>
            <w:r w:rsidR="00505959" w:rsidRPr="00CC11D5">
              <w:rPr>
                <w:rStyle w:val="contentpasted0"/>
                <w:rFonts w:ascii="Garamond" w:hAnsi="Garamond"/>
                <w:sz w:val="12"/>
                <w:szCs w:val="12"/>
              </w:rPr>
              <w:t>ë</w:t>
            </w:r>
          </w:p>
        </w:tc>
      </w:tr>
      <w:tr w:rsidR="00236281" w:rsidRPr="00CC11D5" w14:paraId="220938C5" w14:textId="77777777" w:rsidTr="008C0C0F">
        <w:trPr>
          <w:trHeight w:val="20"/>
        </w:trPr>
        <w:tc>
          <w:tcPr>
            <w:tcW w:w="2525" w:type="dxa"/>
            <w:vAlign w:val="center"/>
          </w:tcPr>
          <w:p w14:paraId="20E62F0F" w14:textId="5FF2946E" w:rsidR="005D2226" w:rsidRPr="00CC11D5" w:rsidRDefault="005D2226" w:rsidP="008C0C0F">
            <w:pPr>
              <w:jc w:val="center"/>
              <w:rPr>
                <w:rFonts w:ascii="Garamond" w:eastAsiaTheme="minorHAnsi" w:hAnsi="Garamond"/>
                <w:sz w:val="12"/>
                <w:szCs w:val="12"/>
              </w:rPr>
            </w:pPr>
            <w:r w:rsidRPr="00CC11D5">
              <w:rPr>
                <w:rFonts w:ascii="Garamond" w:eastAsiaTheme="minorHAnsi" w:hAnsi="Garamond"/>
                <w:sz w:val="12"/>
                <w:szCs w:val="12"/>
              </w:rPr>
              <w:t>Masa 3.4.3 Shmangia e konfliktit të interesit</w:t>
            </w:r>
          </w:p>
        </w:tc>
        <w:tc>
          <w:tcPr>
            <w:tcW w:w="2565" w:type="dxa"/>
            <w:vAlign w:val="center"/>
          </w:tcPr>
          <w:p w14:paraId="39A81729" w14:textId="72C6A2C1" w:rsidR="005D2226" w:rsidRPr="00CC11D5" w:rsidRDefault="005D2226" w:rsidP="008C0C0F">
            <w:pPr>
              <w:jc w:val="center"/>
              <w:rPr>
                <w:rFonts w:ascii="Garamond" w:hAnsi="Garamond"/>
                <w:sz w:val="12"/>
                <w:szCs w:val="12"/>
              </w:rPr>
            </w:pPr>
            <w:r w:rsidRPr="00CC11D5">
              <w:rPr>
                <w:rFonts w:ascii="Garamond" w:eastAsiaTheme="minorHAnsi" w:hAnsi="Garamond"/>
                <w:sz w:val="12"/>
                <w:szCs w:val="12"/>
              </w:rPr>
              <w:t>Aktiviteti 3.4.3.1</w:t>
            </w:r>
            <w:r w:rsidR="00505959" w:rsidRPr="00CC11D5">
              <w:rPr>
                <w:rFonts w:ascii="Garamond" w:eastAsiaTheme="minorHAnsi" w:hAnsi="Garamond"/>
                <w:sz w:val="12"/>
                <w:szCs w:val="12"/>
              </w:rPr>
              <w:t>:</w:t>
            </w:r>
            <w:r w:rsidRPr="00CC11D5">
              <w:rPr>
                <w:rFonts w:ascii="Garamond" w:eastAsiaTheme="minorHAnsi" w:hAnsi="Garamond"/>
                <w:sz w:val="12"/>
                <w:szCs w:val="12"/>
              </w:rPr>
              <w:t xml:space="preserve"> </w:t>
            </w:r>
            <w:r w:rsidRPr="00CC11D5">
              <w:rPr>
                <w:rFonts w:ascii="Garamond" w:hAnsi="Garamond"/>
                <w:sz w:val="12"/>
                <w:szCs w:val="12"/>
              </w:rPr>
              <w:t>Organizimi i trajnimeve të dedikuara mbi shmangien e konfliktit të interesit me pedagogë universiteti/specialist të ILDKPI</w:t>
            </w:r>
            <w:r w:rsidR="00505959" w:rsidRPr="00CC11D5">
              <w:rPr>
                <w:rFonts w:ascii="Garamond" w:hAnsi="Garamond"/>
                <w:sz w:val="12"/>
                <w:szCs w:val="12"/>
              </w:rPr>
              <w:t>-</w:t>
            </w:r>
            <w:r w:rsidR="00505959" w:rsidRPr="00CC11D5">
              <w:rPr>
                <w:sz w:val="12"/>
                <w:szCs w:val="12"/>
              </w:rPr>
              <w:t>s</w:t>
            </w:r>
            <w:r w:rsidR="00505959" w:rsidRPr="00CC11D5">
              <w:rPr>
                <w:rStyle w:val="contentpasted0"/>
                <w:rFonts w:ascii="Garamond" w:hAnsi="Garamond"/>
                <w:sz w:val="12"/>
                <w:szCs w:val="12"/>
              </w:rPr>
              <w:t>ë</w:t>
            </w:r>
            <w:r w:rsidR="00505959" w:rsidRPr="00CC11D5">
              <w:rPr>
                <w:rFonts w:ascii="Garamond" w:hAnsi="Garamond"/>
                <w:sz w:val="12"/>
                <w:szCs w:val="12"/>
              </w:rPr>
              <w:t xml:space="preserve"> </w:t>
            </w:r>
            <w:r w:rsidRPr="00CC11D5">
              <w:rPr>
                <w:rFonts w:ascii="Garamond" w:hAnsi="Garamond"/>
                <w:sz w:val="12"/>
                <w:szCs w:val="12"/>
              </w:rPr>
              <w:t>/punonjës me eksperiencë të</w:t>
            </w:r>
            <w:r w:rsidR="00D22EA5" w:rsidRPr="00CC11D5">
              <w:rPr>
                <w:rFonts w:ascii="Garamond" w:hAnsi="Garamond"/>
                <w:sz w:val="12"/>
                <w:szCs w:val="12"/>
              </w:rPr>
              <w:t xml:space="preserve"> </w:t>
            </w:r>
            <w:r w:rsidRPr="00CC11D5">
              <w:rPr>
                <w:rFonts w:ascii="Garamond" w:hAnsi="Garamond"/>
                <w:sz w:val="12"/>
                <w:szCs w:val="12"/>
              </w:rPr>
              <w:t>DPD</w:t>
            </w:r>
            <w:r w:rsidR="00505959" w:rsidRPr="00CC11D5">
              <w:rPr>
                <w:rFonts w:ascii="Garamond" w:hAnsi="Garamond"/>
                <w:sz w:val="12"/>
                <w:szCs w:val="12"/>
              </w:rPr>
              <w:t>-s</w:t>
            </w:r>
            <w:r w:rsidR="00505959" w:rsidRPr="00CC11D5">
              <w:rPr>
                <w:rStyle w:val="contentpasted0"/>
                <w:rFonts w:ascii="Garamond" w:hAnsi="Garamond"/>
                <w:sz w:val="12"/>
                <w:szCs w:val="12"/>
              </w:rPr>
              <w:t>ë</w:t>
            </w:r>
          </w:p>
        </w:tc>
        <w:tc>
          <w:tcPr>
            <w:tcW w:w="740" w:type="dxa"/>
            <w:vAlign w:val="center"/>
          </w:tcPr>
          <w:p w14:paraId="008D6008" w14:textId="77777777" w:rsidR="005D2226" w:rsidRPr="00CC11D5" w:rsidRDefault="005D2226" w:rsidP="008C0C0F">
            <w:pPr>
              <w:jc w:val="center"/>
              <w:rPr>
                <w:rFonts w:ascii="Garamond" w:hAnsi="Garamond"/>
                <w:sz w:val="12"/>
                <w:szCs w:val="12"/>
              </w:rPr>
            </w:pPr>
            <w:r w:rsidRPr="00CC11D5">
              <w:rPr>
                <w:rFonts w:ascii="Garamond" w:hAnsi="Garamond"/>
                <w:sz w:val="12"/>
                <w:szCs w:val="12"/>
              </w:rPr>
              <w:t>2024</w:t>
            </w:r>
          </w:p>
        </w:tc>
        <w:tc>
          <w:tcPr>
            <w:tcW w:w="1185" w:type="dxa"/>
            <w:vAlign w:val="center"/>
          </w:tcPr>
          <w:p w14:paraId="4AA9C81B" w14:textId="77777777" w:rsidR="005D2226" w:rsidRPr="00CC11D5" w:rsidRDefault="005D2226" w:rsidP="008C0C0F">
            <w:pPr>
              <w:jc w:val="center"/>
              <w:rPr>
                <w:rFonts w:ascii="Garamond" w:hAnsi="Garamond"/>
                <w:sz w:val="12"/>
                <w:szCs w:val="12"/>
              </w:rPr>
            </w:pPr>
            <w:r w:rsidRPr="00CC11D5">
              <w:rPr>
                <w:rFonts w:ascii="Garamond" w:hAnsi="Garamond"/>
                <w:sz w:val="12"/>
                <w:szCs w:val="12"/>
              </w:rPr>
              <w:t>2027</w:t>
            </w:r>
          </w:p>
        </w:tc>
        <w:tc>
          <w:tcPr>
            <w:tcW w:w="2335" w:type="dxa"/>
            <w:vAlign w:val="center"/>
          </w:tcPr>
          <w:p w14:paraId="6E6E8C4C" w14:textId="0F3F4E4A" w:rsidR="005D2226" w:rsidRPr="00CC11D5" w:rsidRDefault="005D2226" w:rsidP="008C0C0F">
            <w:pPr>
              <w:jc w:val="center"/>
              <w:rPr>
                <w:rFonts w:ascii="Garamond" w:hAnsi="Garamond"/>
                <w:sz w:val="12"/>
                <w:szCs w:val="12"/>
              </w:rPr>
            </w:pPr>
            <w:r w:rsidRPr="00CC11D5">
              <w:rPr>
                <w:rFonts w:ascii="Garamond" w:hAnsi="Garamond"/>
                <w:sz w:val="12"/>
                <w:szCs w:val="12"/>
              </w:rPr>
              <w:t>DPD në bashkëpunim me Universitetet dhe ILDKP</w:t>
            </w:r>
            <w:r w:rsidR="00505959" w:rsidRPr="00CC11D5">
              <w:rPr>
                <w:rFonts w:ascii="Garamond" w:hAnsi="Garamond"/>
                <w:sz w:val="12"/>
                <w:szCs w:val="12"/>
              </w:rPr>
              <w:t>-në</w:t>
            </w:r>
          </w:p>
        </w:tc>
      </w:tr>
    </w:tbl>
    <w:p w14:paraId="56D3AC77" w14:textId="77777777" w:rsidR="005D2226" w:rsidRPr="00830F4C" w:rsidRDefault="005D2226" w:rsidP="005D2226">
      <w:pPr>
        <w:jc w:val="both"/>
        <w:rPr>
          <w:rFonts w:ascii="Garamond" w:hAnsi="Garamond"/>
          <w:sz w:val="20"/>
          <w:szCs w:val="20"/>
        </w:rPr>
      </w:pPr>
    </w:p>
    <w:p w14:paraId="118C3556" w14:textId="77777777" w:rsidR="005D2226" w:rsidRPr="00830F4C" w:rsidRDefault="005D2226" w:rsidP="005D2226">
      <w:pPr>
        <w:jc w:val="both"/>
        <w:rPr>
          <w:rFonts w:ascii="Garamond" w:hAnsi="Garamond"/>
          <w:b/>
          <w:szCs w:val="20"/>
        </w:rPr>
      </w:pPr>
      <w:r w:rsidRPr="00830F4C">
        <w:rPr>
          <w:rFonts w:ascii="Garamond" w:hAnsi="Garamond"/>
          <w:b/>
          <w:szCs w:val="20"/>
        </w:rPr>
        <w:t>Treguesit e performancës dhe vlerat e synuara</w:t>
      </w:r>
    </w:p>
    <w:tbl>
      <w:tblPr>
        <w:tblW w:w="8835" w:type="dxa"/>
        <w:tblLook w:val="04A0" w:firstRow="1" w:lastRow="0" w:firstColumn="1" w:lastColumn="0" w:noHBand="0" w:noVBand="1"/>
      </w:tblPr>
      <w:tblGrid>
        <w:gridCol w:w="2293"/>
        <w:gridCol w:w="1494"/>
        <w:gridCol w:w="1323"/>
        <w:gridCol w:w="1077"/>
        <w:gridCol w:w="1340"/>
        <w:gridCol w:w="1308"/>
      </w:tblGrid>
      <w:tr w:rsidR="005D2226" w:rsidRPr="00CC11D5" w14:paraId="006AF7F3" w14:textId="77777777" w:rsidTr="0058355F">
        <w:trPr>
          <w:trHeight w:val="20"/>
        </w:trPr>
        <w:tc>
          <w:tcPr>
            <w:tcW w:w="2293" w:type="dxa"/>
            <w:vMerge w:val="restart"/>
            <w:tcBorders>
              <w:top w:val="single" w:sz="4" w:space="0" w:color="auto"/>
              <w:left w:val="single" w:sz="4" w:space="0" w:color="auto"/>
              <w:right w:val="single" w:sz="4" w:space="0" w:color="auto"/>
            </w:tcBorders>
            <w:shd w:val="clear" w:color="FFFFFF" w:fill="FFFFFF"/>
            <w:vAlign w:val="center"/>
          </w:tcPr>
          <w:p w14:paraId="4AE6F17E" w14:textId="77777777" w:rsidR="005D2226" w:rsidRPr="00CC11D5" w:rsidRDefault="005D2226" w:rsidP="0058355F">
            <w:pPr>
              <w:jc w:val="center"/>
              <w:rPr>
                <w:rFonts w:ascii="Garamond" w:hAnsi="Garamond"/>
                <w:sz w:val="12"/>
                <w:szCs w:val="12"/>
              </w:rPr>
            </w:pPr>
            <w:r w:rsidRPr="00CC11D5">
              <w:rPr>
                <w:rFonts w:ascii="Garamond" w:hAnsi="Garamond"/>
                <w:b/>
                <w:sz w:val="12"/>
                <w:szCs w:val="12"/>
              </w:rPr>
              <w:t>Treguesi</w:t>
            </w:r>
          </w:p>
        </w:tc>
        <w:tc>
          <w:tcPr>
            <w:tcW w:w="1494" w:type="dxa"/>
            <w:vMerge w:val="restart"/>
            <w:tcBorders>
              <w:top w:val="single" w:sz="4" w:space="0" w:color="auto"/>
              <w:left w:val="single" w:sz="4" w:space="0" w:color="auto"/>
              <w:right w:val="single" w:sz="4" w:space="0" w:color="auto"/>
            </w:tcBorders>
            <w:shd w:val="clear" w:color="FFFFFF" w:fill="FFFFFF"/>
            <w:vAlign w:val="center"/>
          </w:tcPr>
          <w:p w14:paraId="429A9BA4" w14:textId="474CD5B5" w:rsidR="008C0C0F" w:rsidRPr="00CC11D5" w:rsidRDefault="005D2226" w:rsidP="0058355F">
            <w:pPr>
              <w:jc w:val="center"/>
              <w:rPr>
                <w:rFonts w:ascii="Garamond" w:hAnsi="Garamond"/>
                <w:b/>
                <w:sz w:val="12"/>
                <w:szCs w:val="12"/>
              </w:rPr>
            </w:pPr>
            <w:r w:rsidRPr="00CC11D5">
              <w:rPr>
                <w:rFonts w:ascii="Garamond" w:hAnsi="Garamond"/>
                <w:b/>
                <w:sz w:val="12"/>
                <w:szCs w:val="12"/>
              </w:rPr>
              <w:t xml:space="preserve">Vlera </w:t>
            </w:r>
            <w:r w:rsidR="008C0C0F" w:rsidRPr="00CC11D5">
              <w:rPr>
                <w:rFonts w:ascii="Garamond" w:hAnsi="Garamond"/>
                <w:b/>
                <w:sz w:val="12"/>
                <w:szCs w:val="12"/>
              </w:rPr>
              <w:t>b</w:t>
            </w:r>
            <w:r w:rsidRPr="00CC11D5">
              <w:rPr>
                <w:rFonts w:ascii="Garamond" w:hAnsi="Garamond"/>
                <w:b/>
                <w:sz w:val="12"/>
                <w:szCs w:val="12"/>
              </w:rPr>
              <w:t>azë</w:t>
            </w:r>
          </w:p>
          <w:p w14:paraId="18CB5308" w14:textId="13B5DAE1" w:rsidR="005D2226" w:rsidRPr="00CC11D5" w:rsidRDefault="005D2226" w:rsidP="0058355F">
            <w:pPr>
              <w:jc w:val="center"/>
              <w:rPr>
                <w:rFonts w:ascii="Garamond" w:hAnsi="Garamond"/>
                <w:sz w:val="12"/>
                <w:szCs w:val="12"/>
              </w:rPr>
            </w:pPr>
            <w:r w:rsidRPr="00CC11D5">
              <w:rPr>
                <w:rFonts w:ascii="Garamond" w:hAnsi="Garamond"/>
                <w:b/>
                <w:sz w:val="12"/>
                <w:szCs w:val="12"/>
              </w:rPr>
              <w:t>(viti 2023)</w:t>
            </w:r>
          </w:p>
        </w:tc>
        <w:tc>
          <w:tcPr>
            <w:tcW w:w="5048" w:type="dxa"/>
            <w:gridSpan w:val="4"/>
            <w:tcBorders>
              <w:top w:val="single" w:sz="4" w:space="0" w:color="auto"/>
              <w:left w:val="nil"/>
              <w:bottom w:val="single" w:sz="4" w:space="0" w:color="auto"/>
              <w:right w:val="single" w:sz="4" w:space="0" w:color="auto"/>
            </w:tcBorders>
            <w:shd w:val="clear" w:color="FFFFFF" w:fill="FFFFFF"/>
          </w:tcPr>
          <w:p w14:paraId="4B3D0EBB" w14:textId="77777777" w:rsidR="005D2226" w:rsidRPr="00CC11D5" w:rsidRDefault="005D2226" w:rsidP="005D2226">
            <w:pPr>
              <w:jc w:val="center"/>
              <w:rPr>
                <w:rFonts w:ascii="Garamond" w:hAnsi="Garamond"/>
                <w:sz w:val="12"/>
                <w:szCs w:val="12"/>
              </w:rPr>
            </w:pPr>
            <w:r w:rsidRPr="00CC11D5">
              <w:rPr>
                <w:rFonts w:ascii="Garamond" w:hAnsi="Garamond"/>
                <w:b/>
                <w:sz w:val="12"/>
                <w:szCs w:val="12"/>
              </w:rPr>
              <w:t>Vlera e synuar</w:t>
            </w:r>
          </w:p>
        </w:tc>
      </w:tr>
      <w:tr w:rsidR="005D2226" w:rsidRPr="00CC11D5" w14:paraId="396F329B" w14:textId="77777777" w:rsidTr="005D2226">
        <w:trPr>
          <w:trHeight w:val="20"/>
        </w:trPr>
        <w:tc>
          <w:tcPr>
            <w:tcW w:w="2293" w:type="dxa"/>
            <w:vMerge/>
            <w:tcBorders>
              <w:left w:val="single" w:sz="4" w:space="0" w:color="auto"/>
              <w:bottom w:val="single" w:sz="4" w:space="0" w:color="auto"/>
              <w:right w:val="single" w:sz="4" w:space="0" w:color="auto"/>
            </w:tcBorders>
            <w:shd w:val="clear" w:color="FFFFFF" w:fill="FFFFFF"/>
          </w:tcPr>
          <w:p w14:paraId="22B6DADA" w14:textId="77777777" w:rsidR="005D2226" w:rsidRPr="00CC11D5" w:rsidRDefault="005D2226" w:rsidP="005D2226">
            <w:pPr>
              <w:jc w:val="center"/>
              <w:rPr>
                <w:rFonts w:ascii="Garamond" w:hAnsi="Garamond"/>
                <w:sz w:val="12"/>
                <w:szCs w:val="12"/>
              </w:rPr>
            </w:pPr>
          </w:p>
        </w:tc>
        <w:tc>
          <w:tcPr>
            <w:tcW w:w="1494" w:type="dxa"/>
            <w:vMerge/>
            <w:tcBorders>
              <w:left w:val="single" w:sz="4" w:space="0" w:color="auto"/>
              <w:bottom w:val="single" w:sz="4" w:space="0" w:color="auto"/>
              <w:right w:val="single" w:sz="4" w:space="0" w:color="auto"/>
            </w:tcBorders>
            <w:shd w:val="clear" w:color="FFFFFF" w:fill="FFFFFF"/>
          </w:tcPr>
          <w:p w14:paraId="5BF6B22A" w14:textId="77777777" w:rsidR="005D2226" w:rsidRPr="00CC11D5" w:rsidRDefault="005D2226" w:rsidP="005D2226">
            <w:pPr>
              <w:jc w:val="center"/>
              <w:rPr>
                <w:rFonts w:ascii="Garamond" w:hAnsi="Garamond"/>
                <w:sz w:val="12"/>
                <w:szCs w:val="12"/>
              </w:rPr>
            </w:pPr>
          </w:p>
        </w:tc>
        <w:tc>
          <w:tcPr>
            <w:tcW w:w="1323" w:type="dxa"/>
            <w:tcBorders>
              <w:top w:val="single" w:sz="4" w:space="0" w:color="auto"/>
              <w:left w:val="nil"/>
              <w:bottom w:val="single" w:sz="4" w:space="0" w:color="auto"/>
              <w:right w:val="single" w:sz="4" w:space="0" w:color="auto"/>
            </w:tcBorders>
            <w:shd w:val="clear" w:color="FFFFFF" w:fill="FFFFFF"/>
          </w:tcPr>
          <w:p w14:paraId="221DD9DA" w14:textId="77777777" w:rsidR="005D2226" w:rsidRPr="00CC11D5" w:rsidRDefault="005D2226" w:rsidP="005D2226">
            <w:pPr>
              <w:jc w:val="center"/>
              <w:rPr>
                <w:rFonts w:ascii="Garamond" w:hAnsi="Garamond"/>
                <w:sz w:val="12"/>
                <w:szCs w:val="12"/>
              </w:rPr>
            </w:pPr>
            <w:r w:rsidRPr="00CC11D5">
              <w:rPr>
                <w:rFonts w:ascii="Garamond" w:hAnsi="Garamond"/>
                <w:b/>
                <w:sz w:val="12"/>
                <w:szCs w:val="12"/>
              </w:rPr>
              <w:t>2024</w:t>
            </w:r>
          </w:p>
        </w:tc>
        <w:tc>
          <w:tcPr>
            <w:tcW w:w="1077" w:type="dxa"/>
            <w:tcBorders>
              <w:top w:val="single" w:sz="4" w:space="0" w:color="auto"/>
              <w:left w:val="nil"/>
              <w:bottom w:val="single" w:sz="4" w:space="0" w:color="auto"/>
              <w:right w:val="single" w:sz="4" w:space="0" w:color="auto"/>
            </w:tcBorders>
            <w:shd w:val="clear" w:color="FFFFFF" w:fill="FFFFFF"/>
          </w:tcPr>
          <w:p w14:paraId="6E3B413B" w14:textId="77777777" w:rsidR="005D2226" w:rsidRPr="00CC11D5" w:rsidRDefault="005D2226" w:rsidP="005D2226">
            <w:pPr>
              <w:jc w:val="center"/>
              <w:rPr>
                <w:rFonts w:ascii="Garamond" w:hAnsi="Garamond"/>
                <w:sz w:val="12"/>
                <w:szCs w:val="12"/>
              </w:rPr>
            </w:pPr>
            <w:r w:rsidRPr="00CC11D5">
              <w:rPr>
                <w:rFonts w:ascii="Garamond" w:hAnsi="Garamond"/>
                <w:b/>
                <w:sz w:val="12"/>
                <w:szCs w:val="12"/>
              </w:rPr>
              <w:t>2025</w:t>
            </w:r>
          </w:p>
        </w:tc>
        <w:tc>
          <w:tcPr>
            <w:tcW w:w="1340" w:type="dxa"/>
            <w:tcBorders>
              <w:top w:val="single" w:sz="4" w:space="0" w:color="auto"/>
              <w:left w:val="nil"/>
              <w:bottom w:val="single" w:sz="4" w:space="0" w:color="auto"/>
              <w:right w:val="single" w:sz="4" w:space="0" w:color="auto"/>
            </w:tcBorders>
            <w:shd w:val="clear" w:color="FFFFFF" w:fill="FFFFFF"/>
          </w:tcPr>
          <w:p w14:paraId="724267BF" w14:textId="77777777" w:rsidR="005D2226" w:rsidRPr="00CC11D5" w:rsidRDefault="005D2226" w:rsidP="005D2226">
            <w:pPr>
              <w:jc w:val="center"/>
              <w:rPr>
                <w:rFonts w:ascii="Garamond" w:hAnsi="Garamond"/>
                <w:sz w:val="12"/>
                <w:szCs w:val="12"/>
              </w:rPr>
            </w:pPr>
            <w:r w:rsidRPr="00CC11D5">
              <w:rPr>
                <w:rFonts w:ascii="Garamond" w:hAnsi="Garamond"/>
                <w:b/>
                <w:sz w:val="12"/>
                <w:szCs w:val="12"/>
              </w:rPr>
              <w:t>2026</w:t>
            </w:r>
          </w:p>
        </w:tc>
        <w:tc>
          <w:tcPr>
            <w:tcW w:w="1308" w:type="dxa"/>
            <w:tcBorders>
              <w:top w:val="single" w:sz="4" w:space="0" w:color="auto"/>
              <w:left w:val="nil"/>
              <w:bottom w:val="single" w:sz="4" w:space="0" w:color="auto"/>
              <w:right w:val="single" w:sz="4" w:space="0" w:color="auto"/>
            </w:tcBorders>
            <w:shd w:val="clear" w:color="FFFFFF" w:fill="FFFFFF"/>
          </w:tcPr>
          <w:p w14:paraId="7892F934" w14:textId="77777777" w:rsidR="005D2226" w:rsidRPr="00CC11D5" w:rsidRDefault="005D2226" w:rsidP="005D2226">
            <w:pPr>
              <w:jc w:val="center"/>
              <w:rPr>
                <w:rFonts w:ascii="Garamond" w:hAnsi="Garamond"/>
                <w:sz w:val="12"/>
                <w:szCs w:val="12"/>
              </w:rPr>
            </w:pPr>
            <w:r w:rsidRPr="00CC11D5">
              <w:rPr>
                <w:rFonts w:ascii="Garamond" w:hAnsi="Garamond"/>
                <w:b/>
                <w:sz w:val="12"/>
                <w:szCs w:val="12"/>
              </w:rPr>
              <w:t>2027</w:t>
            </w:r>
          </w:p>
        </w:tc>
      </w:tr>
      <w:tr w:rsidR="005D2226" w:rsidRPr="00CC11D5" w14:paraId="66B863C2" w14:textId="77777777" w:rsidTr="005D2226">
        <w:trPr>
          <w:trHeight w:val="20"/>
        </w:trPr>
        <w:tc>
          <w:tcPr>
            <w:tcW w:w="2293" w:type="dxa"/>
            <w:tcBorders>
              <w:top w:val="single" w:sz="4" w:space="0" w:color="auto"/>
              <w:left w:val="single" w:sz="4" w:space="0" w:color="auto"/>
              <w:bottom w:val="single" w:sz="4" w:space="0" w:color="auto"/>
              <w:right w:val="single" w:sz="4" w:space="0" w:color="auto"/>
            </w:tcBorders>
            <w:shd w:val="clear" w:color="FFFFFF" w:fill="FFFFFF"/>
          </w:tcPr>
          <w:p w14:paraId="79F541BE" w14:textId="4E633F9F" w:rsidR="005D2226" w:rsidRPr="00CC11D5" w:rsidRDefault="005D2226" w:rsidP="005D2226">
            <w:pPr>
              <w:jc w:val="center"/>
              <w:rPr>
                <w:rFonts w:ascii="Garamond" w:hAnsi="Garamond"/>
                <w:sz w:val="12"/>
                <w:szCs w:val="12"/>
              </w:rPr>
            </w:pPr>
            <w:r w:rsidRPr="00CC11D5">
              <w:rPr>
                <w:rFonts w:ascii="Garamond" w:hAnsi="Garamond"/>
                <w:sz w:val="12"/>
                <w:szCs w:val="12"/>
              </w:rPr>
              <w:t>Miratimi i Planit të</w:t>
            </w:r>
            <w:r w:rsidR="00D22EA5" w:rsidRPr="00CC11D5">
              <w:rPr>
                <w:rFonts w:ascii="Garamond" w:hAnsi="Garamond"/>
                <w:sz w:val="12"/>
                <w:szCs w:val="12"/>
              </w:rPr>
              <w:t xml:space="preserve"> </w:t>
            </w:r>
            <w:r w:rsidRPr="00CC11D5">
              <w:rPr>
                <w:rFonts w:ascii="Garamond" w:hAnsi="Garamond"/>
                <w:sz w:val="12"/>
                <w:szCs w:val="12"/>
              </w:rPr>
              <w:t>Integritetit dhe planit të</w:t>
            </w:r>
            <w:r w:rsidR="00D22EA5" w:rsidRPr="00CC11D5">
              <w:rPr>
                <w:rFonts w:ascii="Garamond" w:hAnsi="Garamond"/>
                <w:sz w:val="12"/>
                <w:szCs w:val="12"/>
              </w:rPr>
              <w:t xml:space="preserve"> </w:t>
            </w:r>
            <w:r w:rsidRPr="00CC11D5">
              <w:rPr>
                <w:rFonts w:ascii="Garamond" w:hAnsi="Garamond"/>
                <w:sz w:val="12"/>
                <w:szCs w:val="12"/>
              </w:rPr>
              <w:t>veprimit</w:t>
            </w:r>
          </w:p>
        </w:tc>
        <w:tc>
          <w:tcPr>
            <w:tcW w:w="1494" w:type="dxa"/>
            <w:tcBorders>
              <w:top w:val="single" w:sz="4" w:space="0" w:color="auto"/>
              <w:left w:val="single" w:sz="4" w:space="0" w:color="auto"/>
              <w:bottom w:val="single" w:sz="4" w:space="0" w:color="auto"/>
              <w:right w:val="single" w:sz="4" w:space="0" w:color="auto"/>
            </w:tcBorders>
            <w:shd w:val="clear" w:color="FFFFFF" w:fill="FFFFFF"/>
          </w:tcPr>
          <w:p w14:paraId="50E80345" w14:textId="77777777" w:rsidR="005D2226" w:rsidRPr="00CC11D5" w:rsidRDefault="005D2226" w:rsidP="005D2226">
            <w:pPr>
              <w:jc w:val="center"/>
              <w:rPr>
                <w:rFonts w:ascii="Garamond" w:hAnsi="Garamond"/>
                <w:sz w:val="12"/>
                <w:szCs w:val="12"/>
              </w:rPr>
            </w:pPr>
          </w:p>
        </w:tc>
        <w:tc>
          <w:tcPr>
            <w:tcW w:w="1323" w:type="dxa"/>
            <w:tcBorders>
              <w:top w:val="single" w:sz="4" w:space="0" w:color="auto"/>
              <w:left w:val="nil"/>
              <w:bottom w:val="single" w:sz="4" w:space="0" w:color="auto"/>
              <w:right w:val="single" w:sz="4" w:space="0" w:color="auto"/>
            </w:tcBorders>
            <w:shd w:val="clear" w:color="FFFFFF" w:fill="FFFFFF"/>
          </w:tcPr>
          <w:p w14:paraId="6FD2419C" w14:textId="77777777" w:rsidR="005D2226" w:rsidRPr="00CC11D5" w:rsidRDefault="005D2226" w:rsidP="005D2226">
            <w:pPr>
              <w:jc w:val="center"/>
              <w:rPr>
                <w:rFonts w:ascii="Garamond" w:hAnsi="Garamond"/>
                <w:sz w:val="12"/>
                <w:szCs w:val="12"/>
              </w:rPr>
            </w:pPr>
            <w:r w:rsidRPr="00CC11D5">
              <w:rPr>
                <w:rFonts w:ascii="Garamond" w:hAnsi="Garamond"/>
                <w:sz w:val="12"/>
                <w:szCs w:val="12"/>
              </w:rPr>
              <w:t>-</w:t>
            </w:r>
          </w:p>
        </w:tc>
        <w:tc>
          <w:tcPr>
            <w:tcW w:w="1077" w:type="dxa"/>
            <w:tcBorders>
              <w:top w:val="single" w:sz="4" w:space="0" w:color="auto"/>
              <w:left w:val="nil"/>
              <w:bottom w:val="single" w:sz="4" w:space="0" w:color="auto"/>
              <w:right w:val="single" w:sz="4" w:space="0" w:color="auto"/>
            </w:tcBorders>
            <w:shd w:val="clear" w:color="FFFFFF" w:fill="FFFFFF"/>
          </w:tcPr>
          <w:p w14:paraId="702BEBD0" w14:textId="77777777" w:rsidR="005D2226" w:rsidRPr="00CC11D5" w:rsidRDefault="005D2226" w:rsidP="005D2226">
            <w:pPr>
              <w:jc w:val="center"/>
              <w:rPr>
                <w:rFonts w:ascii="Garamond" w:hAnsi="Garamond"/>
                <w:sz w:val="12"/>
                <w:szCs w:val="12"/>
              </w:rPr>
            </w:pPr>
            <w:r w:rsidRPr="00CC11D5">
              <w:rPr>
                <w:rFonts w:ascii="Garamond" w:hAnsi="Garamond"/>
                <w:sz w:val="12"/>
                <w:szCs w:val="12"/>
              </w:rPr>
              <w:t>-</w:t>
            </w:r>
          </w:p>
        </w:tc>
        <w:tc>
          <w:tcPr>
            <w:tcW w:w="1340" w:type="dxa"/>
            <w:tcBorders>
              <w:top w:val="single" w:sz="4" w:space="0" w:color="auto"/>
              <w:left w:val="nil"/>
              <w:bottom w:val="single" w:sz="4" w:space="0" w:color="auto"/>
              <w:right w:val="single" w:sz="4" w:space="0" w:color="auto"/>
            </w:tcBorders>
            <w:shd w:val="clear" w:color="FFFFFF" w:fill="FFFFFF"/>
          </w:tcPr>
          <w:p w14:paraId="60028B5D" w14:textId="77777777" w:rsidR="005D2226" w:rsidRPr="00CC11D5" w:rsidRDefault="005D2226" w:rsidP="005D2226">
            <w:pPr>
              <w:jc w:val="center"/>
              <w:rPr>
                <w:rFonts w:ascii="Garamond" w:hAnsi="Garamond"/>
                <w:sz w:val="12"/>
                <w:szCs w:val="12"/>
              </w:rPr>
            </w:pPr>
            <w:r w:rsidRPr="00CC11D5">
              <w:rPr>
                <w:rFonts w:ascii="Garamond" w:hAnsi="Garamond"/>
                <w:sz w:val="12"/>
                <w:szCs w:val="12"/>
              </w:rPr>
              <w:t>Plani është hartuar</w:t>
            </w:r>
          </w:p>
        </w:tc>
        <w:tc>
          <w:tcPr>
            <w:tcW w:w="1308" w:type="dxa"/>
            <w:tcBorders>
              <w:top w:val="single" w:sz="4" w:space="0" w:color="auto"/>
              <w:left w:val="nil"/>
              <w:bottom w:val="single" w:sz="4" w:space="0" w:color="auto"/>
              <w:right w:val="single" w:sz="4" w:space="0" w:color="auto"/>
            </w:tcBorders>
            <w:shd w:val="clear" w:color="FFFFFF" w:fill="FFFFFF"/>
          </w:tcPr>
          <w:p w14:paraId="5CA951EA" w14:textId="77777777" w:rsidR="005D2226" w:rsidRPr="00CC11D5" w:rsidRDefault="005D2226" w:rsidP="005D2226">
            <w:pPr>
              <w:jc w:val="center"/>
              <w:rPr>
                <w:rFonts w:ascii="Garamond" w:hAnsi="Garamond"/>
                <w:sz w:val="12"/>
                <w:szCs w:val="12"/>
              </w:rPr>
            </w:pPr>
            <w:r w:rsidRPr="00CC11D5">
              <w:rPr>
                <w:rFonts w:ascii="Garamond" w:hAnsi="Garamond"/>
                <w:sz w:val="12"/>
                <w:szCs w:val="12"/>
              </w:rPr>
              <w:t>-</w:t>
            </w:r>
          </w:p>
        </w:tc>
      </w:tr>
      <w:tr w:rsidR="005D2226" w:rsidRPr="00CC11D5" w14:paraId="52F493C3" w14:textId="77777777" w:rsidTr="005D2226">
        <w:trPr>
          <w:trHeight w:val="20"/>
        </w:trPr>
        <w:tc>
          <w:tcPr>
            <w:tcW w:w="2293" w:type="dxa"/>
            <w:tcBorders>
              <w:top w:val="single" w:sz="4" w:space="0" w:color="auto"/>
              <w:left w:val="single" w:sz="4" w:space="0" w:color="auto"/>
              <w:bottom w:val="single" w:sz="4" w:space="0" w:color="auto"/>
              <w:right w:val="single" w:sz="4" w:space="0" w:color="auto"/>
            </w:tcBorders>
            <w:shd w:val="clear" w:color="FFFFFF" w:fill="FFFFFF"/>
          </w:tcPr>
          <w:p w14:paraId="4AD7FCF1" w14:textId="77777777" w:rsidR="005D2226" w:rsidRPr="00CC11D5" w:rsidRDefault="005D2226" w:rsidP="005D2226">
            <w:pPr>
              <w:jc w:val="center"/>
              <w:rPr>
                <w:rFonts w:ascii="Garamond" w:hAnsi="Garamond"/>
                <w:sz w:val="12"/>
                <w:szCs w:val="12"/>
              </w:rPr>
            </w:pPr>
            <w:r w:rsidRPr="00CC11D5">
              <w:rPr>
                <w:rFonts w:ascii="Garamond" w:hAnsi="Garamond"/>
                <w:sz w:val="12"/>
                <w:szCs w:val="12"/>
              </w:rPr>
              <w:t>Numri i trajnimeve të zhvilluara</w:t>
            </w:r>
          </w:p>
        </w:tc>
        <w:tc>
          <w:tcPr>
            <w:tcW w:w="1494" w:type="dxa"/>
            <w:tcBorders>
              <w:top w:val="single" w:sz="4" w:space="0" w:color="auto"/>
              <w:left w:val="single" w:sz="4" w:space="0" w:color="auto"/>
              <w:bottom w:val="single" w:sz="4" w:space="0" w:color="auto"/>
              <w:right w:val="single" w:sz="4" w:space="0" w:color="auto"/>
            </w:tcBorders>
            <w:shd w:val="clear" w:color="FFFFFF" w:fill="FFFFFF"/>
          </w:tcPr>
          <w:p w14:paraId="5B0F7FDE" w14:textId="77777777" w:rsidR="005D2226" w:rsidRPr="00CC11D5" w:rsidRDefault="005D2226" w:rsidP="005D2226">
            <w:pPr>
              <w:jc w:val="center"/>
              <w:rPr>
                <w:rFonts w:ascii="Garamond" w:hAnsi="Garamond"/>
                <w:sz w:val="12"/>
                <w:szCs w:val="12"/>
              </w:rPr>
            </w:pPr>
            <w:r w:rsidRPr="00CC11D5">
              <w:rPr>
                <w:rFonts w:ascii="Garamond" w:hAnsi="Garamond"/>
                <w:sz w:val="12"/>
                <w:szCs w:val="12"/>
              </w:rPr>
              <w:t>18 trajnime</w:t>
            </w:r>
          </w:p>
        </w:tc>
        <w:tc>
          <w:tcPr>
            <w:tcW w:w="1323" w:type="dxa"/>
            <w:tcBorders>
              <w:top w:val="single" w:sz="4" w:space="0" w:color="auto"/>
              <w:left w:val="nil"/>
              <w:bottom w:val="single" w:sz="4" w:space="0" w:color="auto"/>
              <w:right w:val="single" w:sz="4" w:space="0" w:color="auto"/>
            </w:tcBorders>
            <w:shd w:val="clear" w:color="FFFFFF" w:fill="FFFFFF"/>
          </w:tcPr>
          <w:p w14:paraId="7CA94B13" w14:textId="77777777" w:rsidR="005D2226" w:rsidRPr="00CC11D5" w:rsidRDefault="005D2226" w:rsidP="005D2226">
            <w:pPr>
              <w:jc w:val="center"/>
              <w:rPr>
                <w:rFonts w:ascii="Garamond" w:hAnsi="Garamond"/>
                <w:sz w:val="12"/>
                <w:szCs w:val="12"/>
              </w:rPr>
            </w:pPr>
            <w:r w:rsidRPr="00CC11D5">
              <w:rPr>
                <w:rFonts w:ascii="Garamond" w:hAnsi="Garamond"/>
                <w:sz w:val="12"/>
                <w:szCs w:val="12"/>
              </w:rPr>
              <w:t>Trend rritës</w:t>
            </w:r>
          </w:p>
        </w:tc>
        <w:tc>
          <w:tcPr>
            <w:tcW w:w="1077" w:type="dxa"/>
            <w:tcBorders>
              <w:top w:val="single" w:sz="4" w:space="0" w:color="auto"/>
              <w:left w:val="nil"/>
              <w:bottom w:val="single" w:sz="4" w:space="0" w:color="auto"/>
              <w:right w:val="single" w:sz="4" w:space="0" w:color="auto"/>
            </w:tcBorders>
            <w:shd w:val="clear" w:color="FFFFFF" w:fill="FFFFFF"/>
          </w:tcPr>
          <w:p w14:paraId="05B21988" w14:textId="77777777" w:rsidR="005D2226" w:rsidRPr="00CC11D5" w:rsidRDefault="005D2226" w:rsidP="005D2226">
            <w:pPr>
              <w:jc w:val="center"/>
              <w:rPr>
                <w:rFonts w:ascii="Garamond" w:hAnsi="Garamond"/>
                <w:sz w:val="12"/>
                <w:szCs w:val="12"/>
              </w:rPr>
            </w:pPr>
            <w:r w:rsidRPr="00CC11D5">
              <w:rPr>
                <w:rFonts w:ascii="Garamond" w:hAnsi="Garamond"/>
                <w:sz w:val="12"/>
                <w:szCs w:val="12"/>
              </w:rPr>
              <w:t>Trend rritës</w:t>
            </w:r>
          </w:p>
        </w:tc>
        <w:tc>
          <w:tcPr>
            <w:tcW w:w="1340" w:type="dxa"/>
            <w:tcBorders>
              <w:top w:val="single" w:sz="4" w:space="0" w:color="auto"/>
              <w:left w:val="nil"/>
              <w:bottom w:val="single" w:sz="4" w:space="0" w:color="auto"/>
              <w:right w:val="single" w:sz="4" w:space="0" w:color="auto"/>
            </w:tcBorders>
            <w:shd w:val="clear" w:color="FFFFFF" w:fill="FFFFFF"/>
          </w:tcPr>
          <w:p w14:paraId="1C8A332D" w14:textId="77777777" w:rsidR="005D2226" w:rsidRPr="00CC11D5" w:rsidRDefault="005D2226" w:rsidP="005D2226">
            <w:pPr>
              <w:jc w:val="center"/>
              <w:rPr>
                <w:rFonts w:ascii="Garamond" w:hAnsi="Garamond"/>
                <w:sz w:val="12"/>
                <w:szCs w:val="12"/>
              </w:rPr>
            </w:pPr>
            <w:r w:rsidRPr="00CC11D5">
              <w:rPr>
                <w:rFonts w:ascii="Garamond" w:hAnsi="Garamond"/>
                <w:sz w:val="12"/>
                <w:szCs w:val="12"/>
              </w:rPr>
              <w:t>Trend rritës</w:t>
            </w:r>
          </w:p>
        </w:tc>
        <w:tc>
          <w:tcPr>
            <w:tcW w:w="1308" w:type="dxa"/>
            <w:tcBorders>
              <w:top w:val="single" w:sz="4" w:space="0" w:color="auto"/>
              <w:left w:val="nil"/>
              <w:bottom w:val="single" w:sz="4" w:space="0" w:color="auto"/>
              <w:right w:val="single" w:sz="4" w:space="0" w:color="auto"/>
            </w:tcBorders>
            <w:shd w:val="clear" w:color="FFFFFF" w:fill="FFFFFF"/>
          </w:tcPr>
          <w:p w14:paraId="7CDA04BC" w14:textId="77777777" w:rsidR="005D2226" w:rsidRPr="00CC11D5" w:rsidRDefault="005D2226" w:rsidP="005D2226">
            <w:pPr>
              <w:jc w:val="center"/>
              <w:rPr>
                <w:rFonts w:ascii="Garamond" w:hAnsi="Garamond"/>
                <w:sz w:val="12"/>
                <w:szCs w:val="12"/>
              </w:rPr>
            </w:pPr>
            <w:r w:rsidRPr="00CC11D5">
              <w:rPr>
                <w:rFonts w:ascii="Garamond" w:hAnsi="Garamond"/>
                <w:sz w:val="12"/>
                <w:szCs w:val="12"/>
              </w:rPr>
              <w:t>Trend rritës</w:t>
            </w:r>
          </w:p>
        </w:tc>
      </w:tr>
    </w:tbl>
    <w:p w14:paraId="0BD5763C" w14:textId="696D6063" w:rsidR="005D2226" w:rsidRPr="00830F4C" w:rsidRDefault="005D2226" w:rsidP="0058355F">
      <w:pPr>
        <w:pStyle w:val="Heading2"/>
        <w:spacing w:before="0"/>
        <w:ind w:firstLine="284"/>
        <w:rPr>
          <w:rFonts w:ascii="Garamond" w:hAnsi="Garamond"/>
          <w:b/>
          <w:bCs/>
          <w:color w:val="auto"/>
          <w:sz w:val="24"/>
          <w:szCs w:val="24"/>
        </w:rPr>
      </w:pPr>
      <w:r w:rsidRPr="00830F4C">
        <w:rPr>
          <w:rFonts w:ascii="Garamond" w:hAnsi="Garamond"/>
          <w:b/>
          <w:bCs/>
          <w:color w:val="auto"/>
          <w:sz w:val="24"/>
          <w:szCs w:val="24"/>
        </w:rPr>
        <w:t>VI.6 Komponenti 3.5 Rritja e numrit të Operatorëve Ekonomikë të Autorizuar</w:t>
      </w:r>
    </w:p>
    <w:p w14:paraId="17259FD6" w14:textId="77777777" w:rsidR="005D2226" w:rsidRPr="00830F4C" w:rsidRDefault="005D2226" w:rsidP="0058355F">
      <w:pPr>
        <w:ind w:firstLine="284"/>
        <w:rPr>
          <w:rFonts w:ascii="Garamond" w:hAnsi="Garamond"/>
          <w:b/>
          <w:bCs/>
        </w:rPr>
      </w:pPr>
      <w:r w:rsidRPr="00830F4C">
        <w:rPr>
          <w:rFonts w:ascii="Garamond" w:hAnsi="Garamond"/>
          <w:b/>
          <w:bCs/>
        </w:rPr>
        <w:t>Objektivi</w:t>
      </w:r>
    </w:p>
    <w:p w14:paraId="19718586" w14:textId="597F7464" w:rsidR="005D2226" w:rsidRPr="00830F4C" w:rsidRDefault="005D2226" w:rsidP="005D2226">
      <w:pPr>
        <w:ind w:firstLine="284"/>
        <w:jc w:val="both"/>
        <w:rPr>
          <w:rFonts w:ascii="Garamond" w:hAnsi="Garamond"/>
        </w:rPr>
      </w:pPr>
      <w:r w:rsidRPr="00830F4C">
        <w:rPr>
          <w:rFonts w:ascii="Garamond" w:hAnsi="Garamond"/>
        </w:rPr>
        <w:t>Synimi i këtij komponenti është zhvillimi i Programit të Operatorit Ekonomik të Autorizuar, me qëllim rritjen e numrit të autorizimeve të dhëna për OEA</w:t>
      </w:r>
      <w:r w:rsidR="0058355F">
        <w:rPr>
          <w:rFonts w:ascii="Garamond" w:hAnsi="Garamond"/>
        </w:rPr>
        <w:t>-në</w:t>
      </w:r>
      <w:r w:rsidRPr="00830F4C">
        <w:rPr>
          <w:rFonts w:ascii="Garamond" w:hAnsi="Garamond"/>
        </w:rPr>
        <w:t xml:space="preserve"> dhe rritje</w:t>
      </w:r>
      <w:r w:rsidR="0058355F">
        <w:rPr>
          <w:rFonts w:ascii="Garamond" w:hAnsi="Garamond"/>
        </w:rPr>
        <w:t>n</w:t>
      </w:r>
      <w:r w:rsidRPr="00830F4C">
        <w:rPr>
          <w:rFonts w:ascii="Garamond" w:hAnsi="Garamond"/>
        </w:rPr>
        <w:t xml:space="preserve"> e flukseve të shkëmbimeve tregtare dhe nënshkrim i një marrëveshjeve për njohje reciproke me </w:t>
      </w:r>
      <w:r w:rsidRPr="0058355F">
        <w:rPr>
          <w:rFonts w:ascii="Garamond" w:hAnsi="Garamond"/>
        </w:rPr>
        <w:t>BE</w:t>
      </w:r>
      <w:r w:rsidR="0058355F" w:rsidRPr="0058355F">
        <w:rPr>
          <w:rFonts w:ascii="Garamond" w:hAnsi="Garamond"/>
        </w:rPr>
        <w:t>-n</w:t>
      </w:r>
      <w:r w:rsidR="0058355F" w:rsidRPr="0058355F">
        <w:rPr>
          <w:rStyle w:val="contentpasted0"/>
          <w:rFonts w:ascii="Garamond" w:hAnsi="Garamond"/>
        </w:rPr>
        <w:t>ë</w:t>
      </w:r>
      <w:r w:rsidRPr="0058355F">
        <w:rPr>
          <w:rFonts w:ascii="Garamond" w:hAnsi="Garamond"/>
        </w:rPr>
        <w:t>.</w:t>
      </w:r>
    </w:p>
    <w:p w14:paraId="331C22AC" w14:textId="77777777" w:rsidR="005D2226" w:rsidRPr="00830F4C" w:rsidRDefault="005D2226" w:rsidP="005D2226">
      <w:pPr>
        <w:ind w:firstLine="284"/>
        <w:jc w:val="both"/>
        <w:rPr>
          <w:rFonts w:ascii="Garamond" w:hAnsi="Garamond"/>
          <w:b/>
          <w:bCs/>
        </w:rPr>
      </w:pPr>
      <w:r w:rsidRPr="00830F4C">
        <w:rPr>
          <w:rFonts w:ascii="Garamond" w:hAnsi="Garamond"/>
          <w:b/>
          <w:bCs/>
        </w:rPr>
        <w:t>Konteksti</w:t>
      </w:r>
    </w:p>
    <w:p w14:paraId="596AF4C7" w14:textId="3126B079" w:rsidR="005D2226" w:rsidRPr="0058355F" w:rsidRDefault="005D2226" w:rsidP="005D2226">
      <w:pPr>
        <w:tabs>
          <w:tab w:val="left" w:pos="2720"/>
        </w:tabs>
        <w:ind w:firstLine="284"/>
        <w:jc w:val="both"/>
        <w:rPr>
          <w:rFonts w:ascii="Garamond" w:hAnsi="Garamond"/>
        </w:rPr>
      </w:pPr>
      <w:r w:rsidRPr="0058355F">
        <w:rPr>
          <w:rFonts w:ascii="Garamond" w:hAnsi="Garamond"/>
        </w:rPr>
        <w:t xml:space="preserve">Shqipëria ka përafruar gjerësisht legjislacionin doganor me </w:t>
      </w:r>
      <w:r w:rsidRPr="0058355F">
        <w:rPr>
          <w:rFonts w:ascii="Garamond" w:hAnsi="Garamond"/>
          <w:i/>
        </w:rPr>
        <w:t>acquis</w:t>
      </w:r>
      <w:r w:rsidRPr="0058355F">
        <w:rPr>
          <w:rFonts w:ascii="Garamond" w:hAnsi="Garamond"/>
        </w:rPr>
        <w:t xml:space="preserve"> të BE-së në fushën doganore dhe</w:t>
      </w:r>
      <w:r w:rsidR="0058355F">
        <w:rPr>
          <w:rFonts w:ascii="Garamond" w:hAnsi="Garamond"/>
        </w:rPr>
        <w:t>,</w:t>
      </w:r>
      <w:r w:rsidRPr="0058355F">
        <w:rPr>
          <w:rFonts w:ascii="Garamond" w:hAnsi="Garamond"/>
        </w:rPr>
        <w:t xml:space="preserve"> gjithashtu</w:t>
      </w:r>
      <w:r w:rsidR="0058355F">
        <w:rPr>
          <w:rFonts w:ascii="Garamond" w:hAnsi="Garamond"/>
        </w:rPr>
        <w:t>,</w:t>
      </w:r>
      <w:r w:rsidRPr="0058355F">
        <w:rPr>
          <w:rFonts w:ascii="Garamond" w:hAnsi="Garamond"/>
        </w:rPr>
        <w:t xml:space="preserve"> ka avancuar me zbatimin e programit të Operatorëve Ekonomikë të Autorizuar (OEA) duke autorizuar operatorët e parë ekonomikë në vitin 2021.</w:t>
      </w:r>
    </w:p>
    <w:p w14:paraId="773D5D64" w14:textId="0B9FBC37" w:rsidR="005D2226" w:rsidRPr="0058355F" w:rsidRDefault="005D2226" w:rsidP="005D2226">
      <w:pPr>
        <w:tabs>
          <w:tab w:val="left" w:pos="2720"/>
        </w:tabs>
        <w:ind w:firstLine="284"/>
        <w:jc w:val="both"/>
        <w:rPr>
          <w:rFonts w:ascii="Garamond" w:hAnsi="Garamond"/>
        </w:rPr>
      </w:pPr>
      <w:r w:rsidRPr="0058355F">
        <w:rPr>
          <w:rFonts w:ascii="Garamond" w:hAnsi="Garamond"/>
        </w:rPr>
        <w:t xml:space="preserve">Legjislacioni doganor për Operatorët Ekonomikë të Autorizuar është i njëjtë me atë të BE-së dhe në vitin 2020 ka miratuar </w:t>
      </w:r>
      <w:r w:rsidR="0058355F">
        <w:rPr>
          <w:rFonts w:ascii="Garamond" w:hAnsi="Garamond"/>
        </w:rPr>
        <w:t>u</w:t>
      </w:r>
      <w:r w:rsidRPr="0058355F">
        <w:rPr>
          <w:rFonts w:ascii="Garamond" w:hAnsi="Garamond"/>
        </w:rPr>
        <w:t xml:space="preserve">dhëzuesin </w:t>
      </w:r>
      <w:r w:rsidR="00D22EA5" w:rsidRPr="0058355F">
        <w:rPr>
          <w:rFonts w:ascii="Garamond" w:hAnsi="Garamond"/>
        </w:rPr>
        <w:t>“</w:t>
      </w:r>
      <w:r w:rsidRPr="0058355F">
        <w:rPr>
          <w:rFonts w:ascii="Garamond" w:hAnsi="Garamond"/>
        </w:rPr>
        <w:t>Për zbatimin praktik të procedurave për aplikimin, miratimin, funksionimin dhe mbikëqyrjen e thjeshtimeve doganore dhe Operatorët Ekonomikë të Autorizuar</w:t>
      </w:r>
      <w:r w:rsidR="00D22EA5" w:rsidRPr="0058355F">
        <w:rPr>
          <w:rFonts w:ascii="Garamond" w:hAnsi="Garamond"/>
        </w:rPr>
        <w:t>”</w:t>
      </w:r>
      <w:r w:rsidR="0058355F">
        <w:rPr>
          <w:rFonts w:ascii="Garamond" w:hAnsi="Garamond"/>
        </w:rPr>
        <w:t>,</w:t>
      </w:r>
      <w:r w:rsidRPr="0058355F">
        <w:rPr>
          <w:rFonts w:ascii="Garamond" w:hAnsi="Garamond"/>
        </w:rPr>
        <w:t xml:space="preserve"> i cili është plotësisht në përputhje me </w:t>
      </w:r>
      <w:r w:rsidR="0058355F">
        <w:rPr>
          <w:rFonts w:ascii="Garamond" w:hAnsi="Garamond"/>
        </w:rPr>
        <w:t>d</w:t>
      </w:r>
      <w:r w:rsidRPr="0058355F">
        <w:rPr>
          <w:rFonts w:ascii="Garamond" w:hAnsi="Garamond"/>
        </w:rPr>
        <w:t>irektivën nr. 6</w:t>
      </w:r>
      <w:r w:rsidR="008C0C0F" w:rsidRPr="0058355F">
        <w:rPr>
          <w:rFonts w:ascii="Garamond" w:hAnsi="Garamond"/>
        </w:rPr>
        <w:t>,</w:t>
      </w:r>
      <w:r w:rsidRPr="0058355F">
        <w:rPr>
          <w:rFonts w:ascii="Garamond" w:hAnsi="Garamond"/>
        </w:rPr>
        <w:t xml:space="preserve"> të </w:t>
      </w:r>
      <w:r w:rsidR="0058355F">
        <w:rPr>
          <w:rFonts w:ascii="Garamond" w:hAnsi="Garamond"/>
        </w:rPr>
        <w:t>u</w:t>
      </w:r>
      <w:r w:rsidRPr="0058355F">
        <w:rPr>
          <w:rFonts w:ascii="Garamond" w:hAnsi="Garamond"/>
        </w:rPr>
        <w:t>dhëzimeve të BE-së për OEA</w:t>
      </w:r>
      <w:r w:rsidR="0058355F" w:rsidRPr="0058355F">
        <w:rPr>
          <w:rFonts w:ascii="Garamond" w:hAnsi="Garamond"/>
        </w:rPr>
        <w:t>-n</w:t>
      </w:r>
      <w:r w:rsidR="0058355F" w:rsidRPr="0058355F">
        <w:rPr>
          <w:rStyle w:val="contentpasted0"/>
          <w:rFonts w:ascii="Garamond" w:hAnsi="Garamond"/>
        </w:rPr>
        <w:t>ë</w:t>
      </w:r>
      <w:r w:rsidRPr="0058355F">
        <w:rPr>
          <w:rFonts w:ascii="Garamond" w:hAnsi="Garamond"/>
        </w:rPr>
        <w:t>.</w:t>
      </w:r>
    </w:p>
    <w:p w14:paraId="0834C323" w14:textId="77777777" w:rsidR="005D2226" w:rsidRPr="0058355F" w:rsidRDefault="005D2226" w:rsidP="005D2226">
      <w:pPr>
        <w:tabs>
          <w:tab w:val="left" w:pos="2720"/>
        </w:tabs>
        <w:ind w:firstLine="284"/>
        <w:jc w:val="both"/>
        <w:rPr>
          <w:rFonts w:ascii="Garamond" w:hAnsi="Garamond"/>
        </w:rPr>
      </w:pPr>
      <w:r w:rsidRPr="0058355F">
        <w:rPr>
          <w:rFonts w:ascii="Garamond" w:hAnsi="Garamond"/>
        </w:rPr>
        <w:t>Në vitin 2021, Dogana Shqiptare i ka dorëzuar zyrtarisht Sekretariatit të CEFTA-s kërkesën për Njohje Reciproke të Programit të OEA-së.</w:t>
      </w:r>
    </w:p>
    <w:p w14:paraId="6B2EC84A" w14:textId="71CFE646" w:rsidR="005D2226" w:rsidRPr="0058355F" w:rsidRDefault="005D2226" w:rsidP="005D2226">
      <w:pPr>
        <w:tabs>
          <w:tab w:val="left" w:pos="2720"/>
        </w:tabs>
        <w:ind w:firstLine="284"/>
        <w:jc w:val="both"/>
        <w:rPr>
          <w:rFonts w:ascii="Garamond" w:hAnsi="Garamond"/>
        </w:rPr>
      </w:pPr>
      <w:r w:rsidRPr="0058355F">
        <w:rPr>
          <w:rFonts w:ascii="Garamond" w:hAnsi="Garamond"/>
        </w:rPr>
        <w:t>CEFTA mori në konsideratë kërkesën e paraqitur nga Administrata Doganore, duke bërë të mundur dërgimin e ekipit të Validimit në Shqipëri nga data 7</w:t>
      </w:r>
      <w:r w:rsidR="008C0C0F" w:rsidRPr="0058355F">
        <w:rPr>
          <w:rFonts w:ascii="Garamond" w:hAnsi="Garamond"/>
        </w:rPr>
        <w:t>–</w:t>
      </w:r>
      <w:r w:rsidRPr="0058355F">
        <w:rPr>
          <w:rFonts w:ascii="Garamond" w:hAnsi="Garamond"/>
        </w:rPr>
        <w:t>10 qershor 2022. Pas një kontrolli të detajuar të dokumentacionit që vërteton procedurën e autorizimit, Grupi i Validimit të CEFTA-s (</w:t>
      </w:r>
      <w:r w:rsidR="0058355F">
        <w:rPr>
          <w:rFonts w:ascii="Garamond" w:hAnsi="Garamond"/>
        </w:rPr>
        <w:t>p</w:t>
      </w:r>
      <w:r w:rsidRPr="0058355F">
        <w:rPr>
          <w:rFonts w:ascii="Garamond" w:hAnsi="Garamond"/>
        </w:rPr>
        <w:t>jesëmarrës Kosova, Serbia, Mal i Z</w:t>
      </w:r>
      <w:r w:rsidR="0058355F">
        <w:rPr>
          <w:rFonts w:ascii="Garamond" w:hAnsi="Garamond"/>
        </w:rPr>
        <w:t>i</w:t>
      </w:r>
      <w:r w:rsidRPr="0058355F">
        <w:rPr>
          <w:rFonts w:ascii="Garamond" w:hAnsi="Garamond"/>
        </w:rPr>
        <w:t>, Bosnjë, Moldavi, Maqedonia e Veriut) me këshilltarë nga DG TAXUD arritën në përfundimin se:</w:t>
      </w:r>
    </w:p>
    <w:p w14:paraId="7CC6B005" w14:textId="50B6D835" w:rsidR="005D2226" w:rsidRPr="0058355F" w:rsidRDefault="005D2226" w:rsidP="005D2226">
      <w:pPr>
        <w:pStyle w:val="ListParagraph"/>
        <w:tabs>
          <w:tab w:val="left" w:pos="2720"/>
        </w:tabs>
        <w:spacing w:after="0" w:line="240" w:lineRule="auto"/>
        <w:ind w:left="0" w:firstLine="284"/>
        <w:jc w:val="both"/>
        <w:rPr>
          <w:rFonts w:ascii="Garamond" w:hAnsi="Garamond"/>
          <w:sz w:val="24"/>
          <w:szCs w:val="24"/>
        </w:rPr>
      </w:pPr>
      <w:r w:rsidRPr="0058355F">
        <w:rPr>
          <w:rFonts w:ascii="Garamond" w:hAnsi="Garamond" w:cs="Wingdings"/>
          <w:sz w:val="24"/>
          <w:szCs w:val="24"/>
        </w:rPr>
        <w:t xml:space="preserve">- </w:t>
      </w:r>
      <w:r w:rsidRPr="0058355F">
        <w:rPr>
          <w:rFonts w:ascii="Garamond" w:hAnsi="Garamond"/>
          <w:sz w:val="24"/>
          <w:szCs w:val="24"/>
        </w:rPr>
        <w:t>Dogana ka zbatuar dhe vënë në funksion Autorizimin dhe Monitorimin e OEA</w:t>
      </w:r>
      <w:r w:rsidR="0058355F" w:rsidRPr="0058355F">
        <w:rPr>
          <w:rFonts w:ascii="Garamond" w:hAnsi="Garamond"/>
          <w:sz w:val="24"/>
          <w:szCs w:val="24"/>
        </w:rPr>
        <w:t>-</w:t>
      </w:r>
      <w:r w:rsidR="0058355F">
        <w:rPr>
          <w:rFonts w:ascii="Garamond" w:hAnsi="Garamond"/>
        </w:rPr>
        <w:t>s</w:t>
      </w:r>
      <w:r w:rsidR="0058355F" w:rsidRPr="0058355F">
        <w:rPr>
          <w:rStyle w:val="contentpasted0"/>
          <w:rFonts w:ascii="Garamond" w:hAnsi="Garamond"/>
          <w:sz w:val="24"/>
          <w:szCs w:val="24"/>
        </w:rPr>
        <w:t>ë</w:t>
      </w:r>
      <w:r w:rsidRPr="0058355F">
        <w:rPr>
          <w:rFonts w:ascii="Garamond" w:hAnsi="Garamond"/>
          <w:sz w:val="24"/>
          <w:szCs w:val="24"/>
        </w:rPr>
        <w:t>.</w:t>
      </w:r>
    </w:p>
    <w:p w14:paraId="6D5BBACE" w14:textId="217D0C70" w:rsidR="005D2226" w:rsidRPr="0058355F" w:rsidRDefault="005D2226" w:rsidP="005D2226">
      <w:pPr>
        <w:pStyle w:val="ListParagraph"/>
        <w:tabs>
          <w:tab w:val="left" w:pos="2720"/>
        </w:tabs>
        <w:spacing w:after="0" w:line="240" w:lineRule="auto"/>
        <w:ind w:left="0" w:firstLine="284"/>
        <w:jc w:val="both"/>
        <w:rPr>
          <w:rFonts w:ascii="Garamond" w:hAnsi="Garamond"/>
          <w:sz w:val="24"/>
          <w:szCs w:val="24"/>
        </w:rPr>
      </w:pPr>
      <w:r w:rsidRPr="0058355F">
        <w:rPr>
          <w:rFonts w:ascii="Garamond" w:hAnsi="Garamond" w:cs="Wingdings"/>
          <w:sz w:val="24"/>
          <w:szCs w:val="24"/>
        </w:rPr>
        <w:t xml:space="preserve">- </w:t>
      </w:r>
      <w:r w:rsidRPr="0058355F">
        <w:rPr>
          <w:rFonts w:ascii="Garamond" w:hAnsi="Garamond"/>
          <w:sz w:val="24"/>
          <w:szCs w:val="24"/>
        </w:rPr>
        <w:t>Programi Shqiptar i OEA</w:t>
      </w:r>
      <w:r w:rsidR="0058355F" w:rsidRPr="0058355F">
        <w:rPr>
          <w:rFonts w:ascii="Garamond" w:hAnsi="Garamond"/>
          <w:sz w:val="24"/>
          <w:szCs w:val="24"/>
        </w:rPr>
        <w:t>-</w:t>
      </w:r>
      <w:r w:rsidR="0058355F">
        <w:rPr>
          <w:rFonts w:ascii="Garamond" w:hAnsi="Garamond"/>
        </w:rPr>
        <w:t>s</w:t>
      </w:r>
      <w:r w:rsidR="0058355F" w:rsidRPr="0058355F">
        <w:rPr>
          <w:rStyle w:val="contentpasted0"/>
          <w:rFonts w:ascii="Garamond" w:hAnsi="Garamond"/>
          <w:sz w:val="24"/>
          <w:szCs w:val="24"/>
        </w:rPr>
        <w:t>ë</w:t>
      </w:r>
      <w:r w:rsidRPr="0058355F">
        <w:rPr>
          <w:rFonts w:ascii="Garamond" w:hAnsi="Garamond"/>
          <w:sz w:val="24"/>
          <w:szCs w:val="24"/>
        </w:rPr>
        <w:t xml:space="preserve"> plotëson pritshmëritë dhe kriteret e Protokollit Shtesë 5 të CEFTA-s dhe është në përputhje me standardet e Programit të BE-së për OEA</w:t>
      </w:r>
      <w:r w:rsidR="0058355F">
        <w:rPr>
          <w:rFonts w:ascii="Garamond" w:hAnsi="Garamond"/>
          <w:sz w:val="24"/>
          <w:szCs w:val="24"/>
        </w:rPr>
        <w:t>-në</w:t>
      </w:r>
      <w:r w:rsidRPr="0058355F">
        <w:rPr>
          <w:rFonts w:ascii="Garamond" w:hAnsi="Garamond"/>
          <w:sz w:val="24"/>
          <w:szCs w:val="24"/>
        </w:rPr>
        <w:t xml:space="preserve"> dhe (WCO).</w:t>
      </w:r>
    </w:p>
    <w:p w14:paraId="731A6EF0" w14:textId="054BE4A8" w:rsidR="005D2226" w:rsidRPr="0058355F" w:rsidRDefault="005D2226" w:rsidP="005D2226">
      <w:pPr>
        <w:pStyle w:val="ListParagraph"/>
        <w:tabs>
          <w:tab w:val="left" w:pos="2720"/>
        </w:tabs>
        <w:spacing w:after="0" w:line="240" w:lineRule="auto"/>
        <w:ind w:left="0" w:firstLine="284"/>
        <w:jc w:val="both"/>
        <w:rPr>
          <w:rFonts w:ascii="Garamond" w:hAnsi="Garamond"/>
          <w:sz w:val="24"/>
          <w:szCs w:val="24"/>
        </w:rPr>
      </w:pPr>
      <w:r w:rsidRPr="0058355F">
        <w:rPr>
          <w:rFonts w:ascii="Garamond" w:hAnsi="Garamond" w:cs="Wingdings"/>
          <w:sz w:val="24"/>
          <w:szCs w:val="24"/>
        </w:rPr>
        <w:t xml:space="preserve">- </w:t>
      </w:r>
      <w:r w:rsidRPr="0058355F">
        <w:rPr>
          <w:rFonts w:ascii="Garamond" w:hAnsi="Garamond"/>
          <w:sz w:val="24"/>
          <w:szCs w:val="24"/>
        </w:rPr>
        <w:t>Ekipi i Validimit të CEFTA-s do</w:t>
      </w:r>
      <w:r w:rsidR="0052377F" w:rsidRPr="0058355F">
        <w:rPr>
          <w:rFonts w:ascii="Garamond" w:hAnsi="Garamond"/>
          <w:sz w:val="24"/>
          <w:szCs w:val="24"/>
        </w:rPr>
        <w:t xml:space="preserve"> </w:t>
      </w:r>
      <w:r w:rsidR="006A23E9" w:rsidRPr="0058355F">
        <w:rPr>
          <w:rFonts w:ascii="Garamond" w:hAnsi="Garamond"/>
          <w:sz w:val="24"/>
          <w:szCs w:val="24"/>
        </w:rPr>
        <w:t>t’i</w:t>
      </w:r>
      <w:r w:rsidR="0052377F" w:rsidRPr="0058355F">
        <w:rPr>
          <w:rFonts w:ascii="Garamond" w:hAnsi="Garamond"/>
          <w:sz w:val="24"/>
          <w:szCs w:val="24"/>
        </w:rPr>
        <w:t xml:space="preserve"> </w:t>
      </w:r>
      <w:r w:rsidRPr="0058355F">
        <w:rPr>
          <w:rFonts w:ascii="Garamond" w:hAnsi="Garamond"/>
          <w:sz w:val="24"/>
          <w:szCs w:val="24"/>
        </w:rPr>
        <w:t xml:space="preserve">japë një </w:t>
      </w:r>
      <w:r w:rsidR="0058355F">
        <w:rPr>
          <w:rFonts w:ascii="Garamond" w:hAnsi="Garamond"/>
          <w:sz w:val="24"/>
          <w:szCs w:val="24"/>
        </w:rPr>
        <w:t>o</w:t>
      </w:r>
      <w:r w:rsidRPr="0058355F">
        <w:rPr>
          <w:rFonts w:ascii="Garamond" w:hAnsi="Garamond"/>
          <w:sz w:val="24"/>
          <w:szCs w:val="24"/>
        </w:rPr>
        <w:t>pinion pozitiv Komitetit të Lehtësimit të Tregtisë së CEFTA-s dhe do</w:t>
      </w:r>
      <w:r w:rsidR="0052377F" w:rsidRPr="0058355F">
        <w:rPr>
          <w:rFonts w:ascii="Garamond" w:hAnsi="Garamond"/>
          <w:sz w:val="24"/>
          <w:szCs w:val="24"/>
        </w:rPr>
        <w:t xml:space="preserve"> </w:t>
      </w:r>
      <w:r w:rsidR="006A23E9" w:rsidRPr="0058355F">
        <w:rPr>
          <w:rFonts w:ascii="Garamond" w:hAnsi="Garamond"/>
          <w:sz w:val="24"/>
          <w:szCs w:val="24"/>
        </w:rPr>
        <w:t>t’i</w:t>
      </w:r>
      <w:r w:rsidR="0052377F" w:rsidRPr="0058355F">
        <w:rPr>
          <w:rFonts w:ascii="Garamond" w:hAnsi="Garamond"/>
          <w:sz w:val="24"/>
          <w:szCs w:val="24"/>
        </w:rPr>
        <w:t xml:space="preserve"> </w:t>
      </w:r>
      <w:r w:rsidRPr="0058355F">
        <w:rPr>
          <w:rFonts w:ascii="Garamond" w:hAnsi="Garamond"/>
          <w:sz w:val="24"/>
          <w:szCs w:val="24"/>
        </w:rPr>
        <w:t>rekomandojë Komitetit të Përbashkët të CEFTA-s (Komiteti i Përbashkët) Njohj</w:t>
      </w:r>
      <w:r w:rsidR="0058355F">
        <w:rPr>
          <w:rFonts w:ascii="Garamond" w:hAnsi="Garamond"/>
          <w:sz w:val="24"/>
          <w:szCs w:val="24"/>
        </w:rPr>
        <w:t>en</w:t>
      </w:r>
      <w:r w:rsidRPr="0058355F">
        <w:rPr>
          <w:rFonts w:ascii="Garamond" w:hAnsi="Garamond"/>
          <w:sz w:val="24"/>
          <w:szCs w:val="24"/>
        </w:rPr>
        <w:t xml:space="preserve"> e Përbashkët </w:t>
      </w:r>
      <w:r w:rsidR="0058355F">
        <w:rPr>
          <w:rFonts w:ascii="Garamond" w:hAnsi="Garamond"/>
          <w:sz w:val="24"/>
          <w:szCs w:val="24"/>
        </w:rPr>
        <w:t>t</w:t>
      </w:r>
      <w:r w:rsidR="0058355F" w:rsidRPr="0058355F">
        <w:rPr>
          <w:rStyle w:val="contentpasted0"/>
          <w:rFonts w:ascii="Garamond" w:hAnsi="Garamond"/>
          <w:sz w:val="24"/>
          <w:szCs w:val="24"/>
        </w:rPr>
        <w:t>ë</w:t>
      </w:r>
      <w:r w:rsidRPr="0058355F">
        <w:rPr>
          <w:rFonts w:ascii="Garamond" w:hAnsi="Garamond"/>
          <w:sz w:val="24"/>
          <w:szCs w:val="24"/>
        </w:rPr>
        <w:t xml:space="preserve"> Programit OEA të Shqipërisë.</w:t>
      </w:r>
    </w:p>
    <w:p w14:paraId="581EE200" w14:textId="67C67C87" w:rsidR="005D2226" w:rsidRPr="0058355F" w:rsidRDefault="005D2226" w:rsidP="005D2226">
      <w:pPr>
        <w:tabs>
          <w:tab w:val="left" w:pos="2720"/>
        </w:tabs>
        <w:ind w:firstLine="284"/>
        <w:jc w:val="both"/>
        <w:rPr>
          <w:rFonts w:ascii="Garamond" w:hAnsi="Garamond"/>
        </w:rPr>
      </w:pPr>
      <w:r w:rsidRPr="0058355F">
        <w:rPr>
          <w:rFonts w:ascii="Garamond" w:hAnsi="Garamond"/>
        </w:rPr>
        <w:t>Shqipëria ka nënshkruar</w:t>
      </w:r>
      <w:r w:rsidR="0058355F">
        <w:rPr>
          <w:rFonts w:ascii="Garamond" w:hAnsi="Garamond"/>
        </w:rPr>
        <w:t>,</w:t>
      </w:r>
      <w:r w:rsidRPr="0058355F">
        <w:rPr>
          <w:rFonts w:ascii="Garamond" w:hAnsi="Garamond"/>
        </w:rPr>
        <w:t xml:space="preserve"> gjithashtu</w:t>
      </w:r>
      <w:r w:rsidR="0058355F">
        <w:rPr>
          <w:rFonts w:ascii="Garamond" w:hAnsi="Garamond"/>
        </w:rPr>
        <w:t>,</w:t>
      </w:r>
      <w:r w:rsidRPr="0058355F">
        <w:rPr>
          <w:rFonts w:ascii="Garamond" w:hAnsi="Garamond"/>
        </w:rPr>
        <w:t xml:space="preserve"> 2 marrëveshje për Njohjen e ndërsjellë të OEA</w:t>
      </w:r>
      <w:r w:rsidR="0058355F" w:rsidRPr="0058355F">
        <w:rPr>
          <w:rFonts w:ascii="Garamond" w:hAnsi="Garamond"/>
        </w:rPr>
        <w:t>-</w:t>
      </w:r>
      <w:r w:rsidR="0058355F">
        <w:rPr>
          <w:rFonts w:ascii="Garamond" w:hAnsi="Garamond"/>
        </w:rPr>
        <w:t>ve</w:t>
      </w:r>
      <w:r w:rsidRPr="0058355F">
        <w:rPr>
          <w:rFonts w:ascii="Garamond" w:hAnsi="Garamond"/>
        </w:rPr>
        <w:t xml:space="preserve"> me Serbinë dhe Maqedoninë e Veriut.</w:t>
      </w:r>
    </w:p>
    <w:p w14:paraId="33D0FABC" w14:textId="77777777" w:rsidR="005D2226" w:rsidRPr="0058355F" w:rsidRDefault="005D2226" w:rsidP="005D2226">
      <w:pPr>
        <w:tabs>
          <w:tab w:val="left" w:pos="2720"/>
        </w:tabs>
        <w:ind w:firstLine="284"/>
        <w:jc w:val="both"/>
        <w:rPr>
          <w:rFonts w:ascii="Garamond" w:hAnsi="Garamond"/>
        </w:rPr>
      </w:pPr>
      <w:r w:rsidRPr="0058355F">
        <w:rPr>
          <w:rFonts w:ascii="Garamond" w:hAnsi="Garamond"/>
        </w:rPr>
        <w:t>Nënshkrimi i një marrëveshjeje me BE-në për njohjen reciproke të OEA-ve do të jetë një hap i rëndësishëm për OEA-në shqiptare.</w:t>
      </w:r>
    </w:p>
    <w:p w14:paraId="732FC4E0" w14:textId="77777777" w:rsidR="005D2226" w:rsidRPr="0058355F" w:rsidRDefault="005D2226" w:rsidP="005D2226">
      <w:pPr>
        <w:tabs>
          <w:tab w:val="left" w:pos="2720"/>
        </w:tabs>
        <w:ind w:firstLine="284"/>
        <w:jc w:val="both"/>
        <w:rPr>
          <w:rFonts w:ascii="Garamond" w:hAnsi="Garamond"/>
        </w:rPr>
      </w:pPr>
      <w:r w:rsidRPr="0058355F">
        <w:rPr>
          <w:rFonts w:ascii="Garamond" w:hAnsi="Garamond"/>
        </w:rPr>
        <w:t>Aktualisht janë miratuar 16 operatorë ekonomikë të autorizuar nga 22 aplikacione të dorëzuara për këtë qëllim dhe në vazhdimësi po ndiqen politika promovuese për të rritur interesimin për të pasur më shumë aplikacione.</w:t>
      </w:r>
    </w:p>
    <w:p w14:paraId="0AA0C9A1" w14:textId="77777777" w:rsidR="005D2226" w:rsidRPr="0058355F" w:rsidRDefault="005D2226" w:rsidP="005D2226">
      <w:pPr>
        <w:ind w:firstLine="284"/>
        <w:jc w:val="both"/>
        <w:rPr>
          <w:rFonts w:ascii="Garamond" w:hAnsi="Garamond"/>
          <w:b/>
          <w:bCs/>
        </w:rPr>
      </w:pPr>
      <w:r w:rsidRPr="0058355F">
        <w:rPr>
          <w:rFonts w:ascii="Garamond" w:hAnsi="Garamond"/>
          <w:b/>
          <w:bCs/>
        </w:rPr>
        <w:t>Prioritetet</w:t>
      </w:r>
    </w:p>
    <w:p w14:paraId="5563C987" w14:textId="14D836F6" w:rsidR="005D2226" w:rsidRPr="0058355F" w:rsidRDefault="005D2226" w:rsidP="005D2226">
      <w:pPr>
        <w:ind w:firstLine="284"/>
        <w:jc w:val="both"/>
        <w:rPr>
          <w:rFonts w:ascii="Garamond" w:hAnsi="Garamond"/>
        </w:rPr>
      </w:pPr>
      <w:r w:rsidRPr="0058355F">
        <w:rPr>
          <w:rFonts w:ascii="Garamond" w:hAnsi="Garamond"/>
        </w:rPr>
        <w:t>Prioritetet për periudhën</w:t>
      </w:r>
      <w:r w:rsidR="00800B00" w:rsidRPr="0058355F">
        <w:rPr>
          <w:rFonts w:ascii="Garamond" w:hAnsi="Garamond"/>
        </w:rPr>
        <w:t xml:space="preserve"> </w:t>
      </w:r>
      <w:r w:rsidR="00D22EA5" w:rsidRPr="0058355F">
        <w:rPr>
          <w:rFonts w:ascii="Garamond" w:hAnsi="Garamond"/>
        </w:rPr>
        <w:t>2024–2027</w:t>
      </w:r>
      <w:r w:rsidRPr="0058355F">
        <w:rPr>
          <w:rFonts w:ascii="Garamond" w:hAnsi="Garamond"/>
        </w:rPr>
        <w:t xml:space="preserve"> janë:</w:t>
      </w:r>
    </w:p>
    <w:p w14:paraId="7037280A" w14:textId="77777777" w:rsidR="005D2226" w:rsidRPr="0058355F" w:rsidRDefault="005D2226" w:rsidP="005D2226">
      <w:pPr>
        <w:pStyle w:val="ListParagraph"/>
        <w:spacing w:after="0" w:line="240" w:lineRule="auto"/>
        <w:ind w:left="0" w:firstLine="284"/>
        <w:jc w:val="both"/>
        <w:rPr>
          <w:rFonts w:ascii="Garamond" w:hAnsi="Garamond"/>
          <w:sz w:val="24"/>
          <w:szCs w:val="24"/>
        </w:rPr>
      </w:pPr>
      <w:r w:rsidRPr="0058355F">
        <w:rPr>
          <w:rFonts w:ascii="Garamond" w:hAnsi="Garamond" w:cs="Symbol"/>
          <w:sz w:val="24"/>
          <w:szCs w:val="24"/>
        </w:rPr>
        <w:t xml:space="preserve">- </w:t>
      </w:r>
      <w:r w:rsidRPr="0058355F">
        <w:rPr>
          <w:rFonts w:ascii="Garamond" w:hAnsi="Garamond"/>
          <w:sz w:val="24"/>
          <w:szCs w:val="24"/>
        </w:rPr>
        <w:t>Rritja e numrit të autorizimeve OEA.</w:t>
      </w:r>
    </w:p>
    <w:p w14:paraId="0F080C56" w14:textId="4E7B732D" w:rsidR="005D2226" w:rsidRPr="0058355F" w:rsidRDefault="005D2226" w:rsidP="005D2226">
      <w:pPr>
        <w:pStyle w:val="ListParagraph"/>
        <w:spacing w:after="0" w:line="240" w:lineRule="auto"/>
        <w:ind w:left="0" w:firstLine="284"/>
        <w:jc w:val="both"/>
        <w:rPr>
          <w:rFonts w:ascii="Garamond" w:hAnsi="Garamond"/>
          <w:sz w:val="24"/>
          <w:szCs w:val="24"/>
        </w:rPr>
      </w:pPr>
      <w:r w:rsidRPr="0058355F">
        <w:rPr>
          <w:rFonts w:ascii="Garamond" w:hAnsi="Garamond" w:cs="Symbol"/>
          <w:sz w:val="24"/>
          <w:szCs w:val="24"/>
        </w:rPr>
        <w:t xml:space="preserve">- </w:t>
      </w:r>
      <w:r w:rsidRPr="0058355F">
        <w:rPr>
          <w:rFonts w:ascii="Garamond" w:hAnsi="Garamond"/>
          <w:sz w:val="24"/>
          <w:szCs w:val="24"/>
        </w:rPr>
        <w:t>Marrëveshje me BE</w:t>
      </w:r>
      <w:r w:rsidR="0058355F" w:rsidRPr="0058355F">
        <w:rPr>
          <w:rFonts w:ascii="Garamond" w:hAnsi="Garamond"/>
          <w:sz w:val="24"/>
          <w:szCs w:val="24"/>
        </w:rPr>
        <w:t>-</w:t>
      </w:r>
      <w:r w:rsidR="0058355F" w:rsidRPr="0058355F">
        <w:rPr>
          <w:rFonts w:ascii="Garamond" w:hAnsi="Garamond"/>
        </w:rPr>
        <w:t>n</w:t>
      </w:r>
      <w:r w:rsidR="0058355F" w:rsidRPr="0058355F">
        <w:rPr>
          <w:rStyle w:val="contentpasted0"/>
          <w:rFonts w:ascii="Garamond" w:hAnsi="Garamond"/>
          <w:sz w:val="24"/>
          <w:szCs w:val="24"/>
        </w:rPr>
        <w:t>ë</w:t>
      </w:r>
      <w:r w:rsidRPr="0058355F">
        <w:rPr>
          <w:rFonts w:ascii="Garamond" w:hAnsi="Garamond"/>
          <w:sz w:val="24"/>
          <w:szCs w:val="24"/>
        </w:rPr>
        <w:t xml:space="preserve"> për njohjen reciproke të OEA</w:t>
      </w:r>
      <w:r w:rsidR="0058355F" w:rsidRPr="0058355F">
        <w:rPr>
          <w:rFonts w:ascii="Garamond" w:hAnsi="Garamond"/>
          <w:sz w:val="24"/>
          <w:szCs w:val="24"/>
        </w:rPr>
        <w:t>-</w:t>
      </w:r>
      <w:r w:rsidR="0058355F">
        <w:rPr>
          <w:rFonts w:ascii="Garamond" w:hAnsi="Garamond"/>
        </w:rPr>
        <w:t>ve</w:t>
      </w:r>
      <w:r w:rsidRPr="0058355F">
        <w:rPr>
          <w:rFonts w:ascii="Garamond" w:hAnsi="Garamond"/>
          <w:sz w:val="24"/>
          <w:szCs w:val="24"/>
        </w:rPr>
        <w:t>.</w:t>
      </w:r>
    </w:p>
    <w:p w14:paraId="42CDE6BB" w14:textId="77777777" w:rsidR="005D2226" w:rsidRPr="00830F4C" w:rsidRDefault="005D2226" w:rsidP="005D2226">
      <w:pPr>
        <w:ind w:firstLine="284"/>
        <w:jc w:val="both"/>
        <w:rPr>
          <w:rFonts w:ascii="Garamond" w:hAnsi="Garamond"/>
          <w:b/>
          <w:szCs w:val="20"/>
        </w:rPr>
      </w:pPr>
      <w:r w:rsidRPr="00830F4C">
        <w:rPr>
          <w:rFonts w:ascii="Garamond" w:hAnsi="Garamond"/>
          <w:b/>
          <w:szCs w:val="20"/>
        </w:rPr>
        <w:t>Masat dhe aktivitetet</w:t>
      </w:r>
    </w:p>
    <w:tbl>
      <w:tblPr>
        <w:tblStyle w:val="TableGrid"/>
        <w:tblW w:w="0" w:type="auto"/>
        <w:tblLook w:val="04A0" w:firstRow="1" w:lastRow="0" w:firstColumn="1" w:lastColumn="0" w:noHBand="0" w:noVBand="1"/>
      </w:tblPr>
      <w:tblGrid>
        <w:gridCol w:w="2289"/>
        <w:gridCol w:w="2686"/>
        <w:gridCol w:w="1143"/>
        <w:gridCol w:w="1343"/>
        <w:gridCol w:w="1555"/>
      </w:tblGrid>
      <w:tr w:rsidR="005D2226" w:rsidRPr="00CC11D5" w14:paraId="571173B4" w14:textId="77777777" w:rsidTr="008C0C0F">
        <w:tc>
          <w:tcPr>
            <w:tcW w:w="2289" w:type="dxa"/>
            <w:vAlign w:val="center"/>
          </w:tcPr>
          <w:p w14:paraId="70196335" w14:textId="77777777" w:rsidR="005D2226" w:rsidRPr="00CC11D5" w:rsidRDefault="005D2226" w:rsidP="008C0C0F">
            <w:pPr>
              <w:jc w:val="center"/>
              <w:rPr>
                <w:rFonts w:ascii="Garamond" w:hAnsi="Garamond"/>
                <w:b/>
                <w:sz w:val="12"/>
                <w:szCs w:val="12"/>
              </w:rPr>
            </w:pPr>
            <w:r w:rsidRPr="00CC11D5">
              <w:rPr>
                <w:rFonts w:ascii="Garamond" w:hAnsi="Garamond"/>
                <w:b/>
                <w:sz w:val="12"/>
                <w:szCs w:val="12"/>
              </w:rPr>
              <w:t>Masa</w:t>
            </w:r>
          </w:p>
        </w:tc>
        <w:tc>
          <w:tcPr>
            <w:tcW w:w="2686" w:type="dxa"/>
            <w:vAlign w:val="center"/>
          </w:tcPr>
          <w:p w14:paraId="18FFC8D7" w14:textId="77777777" w:rsidR="005D2226" w:rsidRPr="00CC11D5" w:rsidRDefault="005D2226" w:rsidP="008C0C0F">
            <w:pPr>
              <w:jc w:val="center"/>
              <w:rPr>
                <w:rFonts w:ascii="Garamond" w:hAnsi="Garamond"/>
                <w:b/>
                <w:sz w:val="12"/>
                <w:szCs w:val="12"/>
              </w:rPr>
            </w:pPr>
            <w:r w:rsidRPr="00CC11D5">
              <w:rPr>
                <w:rFonts w:ascii="Garamond" w:hAnsi="Garamond"/>
                <w:b/>
                <w:sz w:val="12"/>
                <w:szCs w:val="12"/>
              </w:rPr>
              <w:t>Aktivitetet</w:t>
            </w:r>
          </w:p>
        </w:tc>
        <w:tc>
          <w:tcPr>
            <w:tcW w:w="1143" w:type="dxa"/>
            <w:vAlign w:val="center"/>
          </w:tcPr>
          <w:p w14:paraId="27C898D4" w14:textId="77777777" w:rsidR="005D2226" w:rsidRPr="00CC11D5" w:rsidRDefault="005D2226" w:rsidP="008C0C0F">
            <w:pPr>
              <w:jc w:val="center"/>
              <w:rPr>
                <w:rFonts w:ascii="Garamond" w:hAnsi="Garamond"/>
                <w:b/>
                <w:sz w:val="12"/>
                <w:szCs w:val="12"/>
              </w:rPr>
            </w:pPr>
            <w:r w:rsidRPr="00CC11D5">
              <w:rPr>
                <w:rFonts w:ascii="Garamond" w:hAnsi="Garamond"/>
                <w:b/>
                <w:sz w:val="12"/>
                <w:szCs w:val="12"/>
              </w:rPr>
              <w:t>Fillimi</w:t>
            </w:r>
          </w:p>
        </w:tc>
        <w:tc>
          <w:tcPr>
            <w:tcW w:w="1343" w:type="dxa"/>
            <w:vAlign w:val="center"/>
          </w:tcPr>
          <w:p w14:paraId="559BC3BF" w14:textId="77777777" w:rsidR="005D2226" w:rsidRPr="00CC11D5" w:rsidRDefault="005D2226" w:rsidP="008C0C0F">
            <w:pPr>
              <w:jc w:val="center"/>
              <w:rPr>
                <w:rFonts w:ascii="Garamond" w:hAnsi="Garamond"/>
                <w:b/>
                <w:sz w:val="12"/>
                <w:szCs w:val="12"/>
              </w:rPr>
            </w:pPr>
            <w:r w:rsidRPr="00CC11D5">
              <w:rPr>
                <w:rFonts w:ascii="Garamond" w:hAnsi="Garamond"/>
                <w:b/>
                <w:sz w:val="12"/>
                <w:szCs w:val="12"/>
              </w:rPr>
              <w:t>Mbarimi</w:t>
            </w:r>
          </w:p>
        </w:tc>
        <w:tc>
          <w:tcPr>
            <w:tcW w:w="1555" w:type="dxa"/>
            <w:vAlign w:val="center"/>
          </w:tcPr>
          <w:p w14:paraId="53B16235" w14:textId="77777777" w:rsidR="005D2226" w:rsidRPr="00CC11D5" w:rsidRDefault="005D2226" w:rsidP="008C0C0F">
            <w:pPr>
              <w:jc w:val="center"/>
              <w:rPr>
                <w:rFonts w:ascii="Garamond" w:hAnsi="Garamond"/>
                <w:b/>
                <w:sz w:val="12"/>
                <w:szCs w:val="12"/>
              </w:rPr>
            </w:pPr>
            <w:r w:rsidRPr="00CC11D5">
              <w:rPr>
                <w:rFonts w:ascii="Garamond" w:hAnsi="Garamond"/>
                <w:b/>
                <w:sz w:val="12"/>
                <w:szCs w:val="12"/>
              </w:rPr>
              <w:t>Institucioni përgjegjës</w:t>
            </w:r>
          </w:p>
        </w:tc>
      </w:tr>
      <w:tr w:rsidR="005D2226" w:rsidRPr="00CC11D5" w14:paraId="23362F9A" w14:textId="77777777" w:rsidTr="005D2226">
        <w:tc>
          <w:tcPr>
            <w:tcW w:w="2289" w:type="dxa"/>
          </w:tcPr>
          <w:p w14:paraId="5390A22C" w14:textId="40C3B425" w:rsidR="005D2226" w:rsidRPr="00CC11D5" w:rsidRDefault="005D2226" w:rsidP="005D2226">
            <w:pPr>
              <w:rPr>
                <w:rFonts w:ascii="Garamond" w:eastAsiaTheme="minorHAnsi" w:hAnsi="Garamond"/>
                <w:sz w:val="12"/>
                <w:szCs w:val="12"/>
              </w:rPr>
            </w:pPr>
            <w:r w:rsidRPr="00CC11D5">
              <w:rPr>
                <w:rFonts w:ascii="Garamond" w:hAnsi="Garamond"/>
                <w:sz w:val="12"/>
                <w:szCs w:val="12"/>
              </w:rPr>
              <w:t>Masa 3.5.1 Sensibilizimi i subjekteve mbi rëndësinë e pasjes së statusit OEA për kompanitë shqiptare</w:t>
            </w:r>
          </w:p>
        </w:tc>
        <w:tc>
          <w:tcPr>
            <w:tcW w:w="2686" w:type="dxa"/>
          </w:tcPr>
          <w:p w14:paraId="6EAA4D65" w14:textId="6EA72864" w:rsidR="005D2226" w:rsidRPr="00CC11D5" w:rsidRDefault="005D2226" w:rsidP="005D2226">
            <w:pPr>
              <w:contextualSpacing/>
              <w:jc w:val="both"/>
              <w:rPr>
                <w:rFonts w:ascii="Garamond" w:hAnsi="Garamond"/>
                <w:sz w:val="12"/>
                <w:szCs w:val="12"/>
              </w:rPr>
            </w:pPr>
            <w:r w:rsidRPr="00CC11D5">
              <w:rPr>
                <w:rFonts w:ascii="Garamond" w:hAnsi="Garamond"/>
                <w:sz w:val="12"/>
                <w:szCs w:val="12"/>
              </w:rPr>
              <w:t>Organizimi i fushatave informuese dhe aktiviteteve të ndryshme promovuese të OEA</w:t>
            </w:r>
            <w:r w:rsidR="0058355F" w:rsidRPr="00CC11D5">
              <w:rPr>
                <w:rFonts w:ascii="Garamond" w:hAnsi="Garamond"/>
                <w:sz w:val="12"/>
                <w:szCs w:val="12"/>
              </w:rPr>
              <w:t>-ve</w:t>
            </w:r>
          </w:p>
        </w:tc>
        <w:tc>
          <w:tcPr>
            <w:tcW w:w="1143" w:type="dxa"/>
          </w:tcPr>
          <w:p w14:paraId="16680C9C" w14:textId="77777777" w:rsidR="005D2226" w:rsidRPr="00CC11D5" w:rsidRDefault="005D2226" w:rsidP="005D2226">
            <w:pPr>
              <w:jc w:val="both"/>
              <w:rPr>
                <w:rFonts w:ascii="Garamond" w:hAnsi="Garamond"/>
                <w:sz w:val="12"/>
                <w:szCs w:val="12"/>
              </w:rPr>
            </w:pPr>
            <w:r w:rsidRPr="00CC11D5">
              <w:rPr>
                <w:rFonts w:ascii="Garamond" w:hAnsi="Garamond"/>
                <w:sz w:val="12"/>
                <w:szCs w:val="12"/>
              </w:rPr>
              <w:t>2024</w:t>
            </w:r>
          </w:p>
        </w:tc>
        <w:tc>
          <w:tcPr>
            <w:tcW w:w="1343" w:type="dxa"/>
          </w:tcPr>
          <w:p w14:paraId="30B88C52" w14:textId="77777777" w:rsidR="005D2226" w:rsidRPr="00CC11D5" w:rsidRDefault="005D2226" w:rsidP="005D2226">
            <w:pPr>
              <w:jc w:val="both"/>
              <w:rPr>
                <w:rFonts w:ascii="Garamond" w:hAnsi="Garamond"/>
                <w:sz w:val="12"/>
                <w:szCs w:val="12"/>
              </w:rPr>
            </w:pPr>
            <w:r w:rsidRPr="00CC11D5">
              <w:rPr>
                <w:rFonts w:ascii="Garamond" w:hAnsi="Garamond"/>
                <w:sz w:val="12"/>
                <w:szCs w:val="12"/>
              </w:rPr>
              <w:t>2027</w:t>
            </w:r>
          </w:p>
        </w:tc>
        <w:tc>
          <w:tcPr>
            <w:tcW w:w="1555" w:type="dxa"/>
          </w:tcPr>
          <w:p w14:paraId="32EC02DA" w14:textId="77777777" w:rsidR="005D2226" w:rsidRPr="00CC11D5" w:rsidRDefault="005D2226" w:rsidP="005D2226">
            <w:pPr>
              <w:jc w:val="both"/>
              <w:rPr>
                <w:rFonts w:ascii="Garamond" w:hAnsi="Garamond"/>
                <w:sz w:val="12"/>
                <w:szCs w:val="12"/>
              </w:rPr>
            </w:pPr>
            <w:r w:rsidRPr="00CC11D5">
              <w:rPr>
                <w:rFonts w:ascii="Garamond" w:hAnsi="Garamond"/>
                <w:sz w:val="12"/>
                <w:szCs w:val="12"/>
              </w:rPr>
              <w:t>DPD</w:t>
            </w:r>
          </w:p>
        </w:tc>
      </w:tr>
      <w:tr w:rsidR="005D2226" w:rsidRPr="00CC11D5" w14:paraId="15AF88A7" w14:textId="77777777" w:rsidTr="005D2226">
        <w:tc>
          <w:tcPr>
            <w:tcW w:w="2289" w:type="dxa"/>
          </w:tcPr>
          <w:p w14:paraId="70CCE894" w14:textId="6FDEDCA0" w:rsidR="005D2226" w:rsidRPr="00CC11D5" w:rsidRDefault="005D2226" w:rsidP="005D2226">
            <w:pPr>
              <w:rPr>
                <w:rFonts w:ascii="Garamond" w:eastAsiaTheme="minorHAnsi" w:hAnsi="Garamond"/>
                <w:sz w:val="12"/>
                <w:szCs w:val="12"/>
              </w:rPr>
            </w:pPr>
            <w:r w:rsidRPr="00CC11D5">
              <w:rPr>
                <w:rFonts w:ascii="Garamond" w:eastAsiaTheme="minorHAnsi" w:hAnsi="Garamond"/>
                <w:sz w:val="12"/>
                <w:szCs w:val="12"/>
              </w:rPr>
              <w:t>Masa 3.5.2 Monitorimi i vazhdueshëm i OEA</w:t>
            </w:r>
            <w:r w:rsidR="0058355F" w:rsidRPr="00CC11D5">
              <w:rPr>
                <w:rFonts w:ascii="Garamond" w:eastAsiaTheme="minorHAnsi" w:hAnsi="Garamond"/>
                <w:sz w:val="12"/>
                <w:szCs w:val="12"/>
              </w:rPr>
              <w:t>-ve</w:t>
            </w:r>
            <w:r w:rsidRPr="00CC11D5">
              <w:rPr>
                <w:rFonts w:ascii="Garamond" w:eastAsiaTheme="minorHAnsi" w:hAnsi="Garamond"/>
                <w:sz w:val="12"/>
                <w:szCs w:val="12"/>
              </w:rPr>
              <w:t xml:space="preserve"> të miratuara</w:t>
            </w:r>
          </w:p>
        </w:tc>
        <w:tc>
          <w:tcPr>
            <w:tcW w:w="2686" w:type="dxa"/>
          </w:tcPr>
          <w:p w14:paraId="00037A78" w14:textId="77777777" w:rsidR="005D2226" w:rsidRPr="00CC11D5" w:rsidRDefault="005D2226" w:rsidP="005D2226">
            <w:pPr>
              <w:rPr>
                <w:rFonts w:ascii="Garamond" w:hAnsi="Garamond"/>
                <w:sz w:val="12"/>
                <w:szCs w:val="12"/>
              </w:rPr>
            </w:pPr>
            <w:r w:rsidRPr="00CC11D5">
              <w:rPr>
                <w:rFonts w:ascii="Garamond" w:hAnsi="Garamond"/>
                <w:sz w:val="12"/>
                <w:szCs w:val="12"/>
              </w:rPr>
              <w:t xml:space="preserve">Kryerja e auditimeve të operatorëve të autorizuar ekonomikë </w:t>
            </w:r>
          </w:p>
        </w:tc>
        <w:tc>
          <w:tcPr>
            <w:tcW w:w="1143" w:type="dxa"/>
          </w:tcPr>
          <w:p w14:paraId="207DF515" w14:textId="77777777" w:rsidR="005D2226" w:rsidRPr="00CC11D5" w:rsidRDefault="005D2226" w:rsidP="005D2226">
            <w:pPr>
              <w:jc w:val="both"/>
              <w:rPr>
                <w:rFonts w:ascii="Garamond" w:hAnsi="Garamond"/>
                <w:sz w:val="12"/>
                <w:szCs w:val="12"/>
              </w:rPr>
            </w:pPr>
            <w:r w:rsidRPr="00CC11D5">
              <w:rPr>
                <w:rFonts w:ascii="Garamond" w:hAnsi="Garamond"/>
                <w:sz w:val="12"/>
                <w:szCs w:val="12"/>
              </w:rPr>
              <w:t>2024</w:t>
            </w:r>
          </w:p>
        </w:tc>
        <w:tc>
          <w:tcPr>
            <w:tcW w:w="1343" w:type="dxa"/>
          </w:tcPr>
          <w:p w14:paraId="1B2FF5E8" w14:textId="77777777" w:rsidR="005D2226" w:rsidRPr="00CC11D5" w:rsidRDefault="005D2226" w:rsidP="005D2226">
            <w:pPr>
              <w:jc w:val="both"/>
              <w:rPr>
                <w:rFonts w:ascii="Garamond" w:hAnsi="Garamond"/>
                <w:sz w:val="12"/>
                <w:szCs w:val="12"/>
              </w:rPr>
            </w:pPr>
            <w:r w:rsidRPr="00CC11D5">
              <w:rPr>
                <w:rFonts w:ascii="Garamond" w:hAnsi="Garamond"/>
                <w:sz w:val="12"/>
                <w:szCs w:val="12"/>
              </w:rPr>
              <w:t>2027</w:t>
            </w:r>
          </w:p>
        </w:tc>
        <w:tc>
          <w:tcPr>
            <w:tcW w:w="1555" w:type="dxa"/>
          </w:tcPr>
          <w:p w14:paraId="19F98D54" w14:textId="77777777" w:rsidR="005D2226" w:rsidRPr="00CC11D5" w:rsidRDefault="005D2226" w:rsidP="005D2226">
            <w:pPr>
              <w:jc w:val="both"/>
              <w:rPr>
                <w:rFonts w:ascii="Garamond" w:hAnsi="Garamond"/>
                <w:sz w:val="12"/>
                <w:szCs w:val="12"/>
              </w:rPr>
            </w:pPr>
            <w:r w:rsidRPr="00CC11D5">
              <w:rPr>
                <w:rFonts w:ascii="Garamond" w:hAnsi="Garamond"/>
                <w:sz w:val="12"/>
                <w:szCs w:val="12"/>
              </w:rPr>
              <w:t>DPD</w:t>
            </w:r>
          </w:p>
        </w:tc>
      </w:tr>
      <w:tr w:rsidR="005D2226" w:rsidRPr="00CC11D5" w14:paraId="26FE2E85" w14:textId="77777777" w:rsidTr="005D2226">
        <w:tc>
          <w:tcPr>
            <w:tcW w:w="2289" w:type="dxa"/>
          </w:tcPr>
          <w:p w14:paraId="0A1A222F" w14:textId="5E0FB7C0" w:rsidR="005D2226" w:rsidRPr="00CC11D5" w:rsidRDefault="005D2226" w:rsidP="005D2226">
            <w:pPr>
              <w:rPr>
                <w:rFonts w:ascii="Garamond" w:eastAsiaTheme="minorHAnsi" w:hAnsi="Garamond"/>
                <w:sz w:val="12"/>
                <w:szCs w:val="12"/>
              </w:rPr>
            </w:pPr>
            <w:r w:rsidRPr="00CC11D5">
              <w:rPr>
                <w:rFonts w:ascii="Garamond" w:eastAsiaTheme="minorHAnsi" w:hAnsi="Garamond"/>
                <w:sz w:val="12"/>
                <w:szCs w:val="12"/>
              </w:rPr>
              <w:t>Masa 3.5.3 Nënshkrimi i një marrëveshjeje me BE</w:t>
            </w:r>
            <w:r w:rsidR="0058355F" w:rsidRPr="00CC11D5">
              <w:rPr>
                <w:rFonts w:ascii="Garamond" w:eastAsiaTheme="minorHAnsi" w:hAnsi="Garamond"/>
                <w:sz w:val="12"/>
                <w:szCs w:val="12"/>
              </w:rPr>
              <w:t>-në</w:t>
            </w:r>
            <w:r w:rsidRPr="00CC11D5">
              <w:rPr>
                <w:rFonts w:ascii="Garamond" w:eastAsiaTheme="minorHAnsi" w:hAnsi="Garamond"/>
                <w:sz w:val="12"/>
                <w:szCs w:val="12"/>
              </w:rPr>
              <w:t xml:space="preserve"> për njohjen reciproke të OEA-ve</w:t>
            </w:r>
          </w:p>
        </w:tc>
        <w:tc>
          <w:tcPr>
            <w:tcW w:w="2686" w:type="dxa"/>
          </w:tcPr>
          <w:p w14:paraId="279E270D" w14:textId="77777777" w:rsidR="005D2226" w:rsidRPr="00CC11D5" w:rsidRDefault="005D2226" w:rsidP="005D2226">
            <w:pPr>
              <w:rPr>
                <w:rFonts w:ascii="Garamond" w:hAnsi="Garamond"/>
                <w:sz w:val="12"/>
                <w:szCs w:val="12"/>
              </w:rPr>
            </w:pPr>
            <w:r w:rsidRPr="00CC11D5">
              <w:rPr>
                <w:rFonts w:ascii="Garamond" w:hAnsi="Garamond"/>
                <w:sz w:val="12"/>
                <w:szCs w:val="12"/>
              </w:rPr>
              <w:t>Negocimi dhe nënshkrimi i marrëveshjes</w:t>
            </w:r>
          </w:p>
        </w:tc>
        <w:tc>
          <w:tcPr>
            <w:tcW w:w="1143" w:type="dxa"/>
          </w:tcPr>
          <w:p w14:paraId="794CE1DE" w14:textId="77777777" w:rsidR="005D2226" w:rsidRPr="00CC11D5" w:rsidRDefault="005D2226" w:rsidP="005D2226">
            <w:pPr>
              <w:jc w:val="both"/>
              <w:rPr>
                <w:rFonts w:ascii="Garamond" w:hAnsi="Garamond"/>
                <w:sz w:val="12"/>
                <w:szCs w:val="12"/>
              </w:rPr>
            </w:pPr>
          </w:p>
        </w:tc>
        <w:tc>
          <w:tcPr>
            <w:tcW w:w="1343" w:type="dxa"/>
          </w:tcPr>
          <w:p w14:paraId="1581F66D" w14:textId="77777777" w:rsidR="005D2226" w:rsidRPr="00CC11D5" w:rsidRDefault="005D2226" w:rsidP="005D2226">
            <w:pPr>
              <w:jc w:val="both"/>
              <w:rPr>
                <w:rFonts w:ascii="Garamond" w:hAnsi="Garamond"/>
                <w:sz w:val="12"/>
                <w:szCs w:val="12"/>
              </w:rPr>
            </w:pPr>
            <w:r w:rsidRPr="00CC11D5">
              <w:rPr>
                <w:rFonts w:ascii="Garamond" w:hAnsi="Garamond"/>
                <w:sz w:val="12"/>
                <w:szCs w:val="12"/>
              </w:rPr>
              <w:t>2026</w:t>
            </w:r>
          </w:p>
        </w:tc>
        <w:tc>
          <w:tcPr>
            <w:tcW w:w="1555" w:type="dxa"/>
          </w:tcPr>
          <w:p w14:paraId="35D77DB4" w14:textId="1BE3A1BF" w:rsidR="005D2226" w:rsidRPr="00CC11D5" w:rsidRDefault="005D2226" w:rsidP="005D2226">
            <w:pPr>
              <w:jc w:val="both"/>
              <w:rPr>
                <w:rFonts w:ascii="Garamond" w:hAnsi="Garamond"/>
                <w:sz w:val="12"/>
                <w:szCs w:val="12"/>
              </w:rPr>
            </w:pPr>
            <w:r w:rsidRPr="00CC11D5">
              <w:rPr>
                <w:rFonts w:ascii="Garamond" w:hAnsi="Garamond"/>
                <w:sz w:val="12"/>
                <w:szCs w:val="12"/>
              </w:rPr>
              <w:t>DPD në bashkëpunim me MF</w:t>
            </w:r>
            <w:r w:rsidR="0058355F" w:rsidRPr="00CC11D5">
              <w:rPr>
                <w:rFonts w:ascii="Garamond" w:eastAsiaTheme="minorHAnsi" w:hAnsi="Garamond"/>
                <w:sz w:val="12"/>
                <w:szCs w:val="12"/>
              </w:rPr>
              <w:t>-në</w:t>
            </w:r>
            <w:r w:rsidRPr="00CC11D5">
              <w:rPr>
                <w:rFonts w:ascii="Garamond" w:hAnsi="Garamond"/>
                <w:sz w:val="12"/>
                <w:szCs w:val="12"/>
              </w:rPr>
              <w:t>, MEPJ</w:t>
            </w:r>
            <w:r w:rsidR="0058355F" w:rsidRPr="00CC11D5">
              <w:rPr>
                <w:rFonts w:ascii="Garamond" w:hAnsi="Garamond"/>
                <w:sz w:val="12"/>
                <w:szCs w:val="12"/>
              </w:rPr>
              <w:t>-</w:t>
            </w:r>
            <w:r w:rsidR="0058355F" w:rsidRPr="00CC11D5">
              <w:rPr>
                <w:rFonts w:ascii="Garamond" w:eastAsiaTheme="minorHAnsi" w:hAnsi="Garamond"/>
                <w:sz w:val="12"/>
                <w:szCs w:val="12"/>
              </w:rPr>
              <w:t>në</w:t>
            </w:r>
            <w:r w:rsidRPr="00CC11D5">
              <w:rPr>
                <w:rFonts w:ascii="Garamond" w:hAnsi="Garamond"/>
                <w:sz w:val="12"/>
                <w:szCs w:val="12"/>
              </w:rPr>
              <w:t xml:space="preserve"> dhe Shërbimet e Komisionit </w:t>
            </w:r>
            <w:r w:rsidR="008C0C0F" w:rsidRPr="00CC11D5">
              <w:rPr>
                <w:rFonts w:ascii="Garamond" w:hAnsi="Garamond"/>
                <w:sz w:val="12"/>
                <w:szCs w:val="12"/>
              </w:rPr>
              <w:t>Evropian</w:t>
            </w:r>
          </w:p>
        </w:tc>
      </w:tr>
    </w:tbl>
    <w:p w14:paraId="004B6CC7" w14:textId="77777777" w:rsidR="005D2226" w:rsidRPr="00830F4C" w:rsidRDefault="005D2226" w:rsidP="005D2226">
      <w:pPr>
        <w:jc w:val="both"/>
        <w:rPr>
          <w:rFonts w:ascii="Garamond" w:hAnsi="Garamond"/>
          <w:sz w:val="20"/>
          <w:szCs w:val="20"/>
        </w:rPr>
      </w:pPr>
    </w:p>
    <w:p w14:paraId="6898B434" w14:textId="77777777" w:rsidR="005D2226" w:rsidRPr="00830F4C" w:rsidRDefault="005D2226" w:rsidP="005D2226">
      <w:pPr>
        <w:ind w:firstLine="284"/>
        <w:jc w:val="both"/>
        <w:rPr>
          <w:rFonts w:ascii="Garamond" w:hAnsi="Garamond"/>
          <w:b/>
          <w:szCs w:val="20"/>
        </w:rPr>
      </w:pPr>
      <w:r w:rsidRPr="00830F4C">
        <w:rPr>
          <w:rFonts w:ascii="Garamond" w:hAnsi="Garamond"/>
          <w:b/>
          <w:szCs w:val="20"/>
        </w:rPr>
        <w:t>Treguesit e performancës dhe vlerat e synuara</w:t>
      </w:r>
    </w:p>
    <w:tbl>
      <w:tblPr>
        <w:tblW w:w="8835" w:type="dxa"/>
        <w:tblLook w:val="04A0" w:firstRow="1" w:lastRow="0" w:firstColumn="1" w:lastColumn="0" w:noHBand="0" w:noVBand="1"/>
      </w:tblPr>
      <w:tblGrid>
        <w:gridCol w:w="2232"/>
        <w:gridCol w:w="1434"/>
        <w:gridCol w:w="1276"/>
        <w:gridCol w:w="1058"/>
        <w:gridCol w:w="1572"/>
        <w:gridCol w:w="1263"/>
      </w:tblGrid>
      <w:tr w:rsidR="005D2226" w:rsidRPr="00CC11D5" w14:paraId="1337E8C1" w14:textId="77777777" w:rsidTr="0058355F">
        <w:trPr>
          <w:trHeight w:val="20"/>
        </w:trPr>
        <w:tc>
          <w:tcPr>
            <w:tcW w:w="2232" w:type="dxa"/>
            <w:vMerge w:val="restart"/>
            <w:tcBorders>
              <w:top w:val="single" w:sz="4" w:space="0" w:color="auto"/>
              <w:left w:val="single" w:sz="4" w:space="0" w:color="auto"/>
              <w:right w:val="single" w:sz="4" w:space="0" w:color="auto"/>
            </w:tcBorders>
            <w:shd w:val="clear" w:color="FFFFFF" w:fill="FFFFFF"/>
            <w:vAlign w:val="center"/>
          </w:tcPr>
          <w:p w14:paraId="45462BA6" w14:textId="77777777" w:rsidR="005D2226" w:rsidRPr="00CC11D5" w:rsidRDefault="005D2226" w:rsidP="0058355F">
            <w:pPr>
              <w:jc w:val="center"/>
              <w:rPr>
                <w:rFonts w:ascii="Garamond" w:hAnsi="Garamond"/>
                <w:sz w:val="12"/>
                <w:szCs w:val="12"/>
              </w:rPr>
            </w:pPr>
            <w:r w:rsidRPr="00CC11D5">
              <w:rPr>
                <w:rFonts w:ascii="Garamond" w:hAnsi="Garamond"/>
                <w:b/>
                <w:sz w:val="12"/>
                <w:szCs w:val="12"/>
              </w:rPr>
              <w:t>Treguesi</w:t>
            </w:r>
          </w:p>
        </w:tc>
        <w:tc>
          <w:tcPr>
            <w:tcW w:w="1434" w:type="dxa"/>
            <w:vMerge w:val="restart"/>
            <w:tcBorders>
              <w:top w:val="single" w:sz="4" w:space="0" w:color="auto"/>
              <w:left w:val="single" w:sz="4" w:space="0" w:color="auto"/>
              <w:right w:val="single" w:sz="4" w:space="0" w:color="auto"/>
            </w:tcBorders>
            <w:shd w:val="clear" w:color="FFFFFF" w:fill="FFFFFF"/>
            <w:vAlign w:val="center"/>
          </w:tcPr>
          <w:p w14:paraId="60918FE5" w14:textId="77777777" w:rsidR="0058355F" w:rsidRPr="00CC11D5" w:rsidRDefault="005D2226" w:rsidP="0058355F">
            <w:pPr>
              <w:jc w:val="center"/>
              <w:rPr>
                <w:rFonts w:ascii="Garamond" w:hAnsi="Garamond"/>
                <w:b/>
                <w:sz w:val="12"/>
                <w:szCs w:val="12"/>
              </w:rPr>
            </w:pPr>
            <w:r w:rsidRPr="00CC11D5">
              <w:rPr>
                <w:rFonts w:ascii="Garamond" w:hAnsi="Garamond"/>
                <w:b/>
                <w:sz w:val="12"/>
                <w:szCs w:val="12"/>
              </w:rPr>
              <w:t xml:space="preserve">Vlera </w:t>
            </w:r>
            <w:r w:rsidR="0058355F" w:rsidRPr="00CC11D5">
              <w:rPr>
                <w:rFonts w:ascii="Garamond" w:hAnsi="Garamond"/>
                <w:b/>
                <w:sz w:val="12"/>
                <w:szCs w:val="12"/>
              </w:rPr>
              <w:t>b</w:t>
            </w:r>
            <w:r w:rsidRPr="00CC11D5">
              <w:rPr>
                <w:rFonts w:ascii="Garamond" w:hAnsi="Garamond"/>
                <w:b/>
                <w:sz w:val="12"/>
                <w:szCs w:val="12"/>
              </w:rPr>
              <w:t>azë</w:t>
            </w:r>
            <w:r w:rsidR="0058355F" w:rsidRPr="00CC11D5">
              <w:rPr>
                <w:rFonts w:ascii="Garamond" w:hAnsi="Garamond"/>
                <w:b/>
                <w:sz w:val="12"/>
                <w:szCs w:val="12"/>
              </w:rPr>
              <w:t xml:space="preserve"> </w:t>
            </w:r>
          </w:p>
          <w:p w14:paraId="300551BA" w14:textId="0C136EE2" w:rsidR="005D2226" w:rsidRPr="00CC11D5" w:rsidRDefault="005D2226" w:rsidP="0058355F">
            <w:pPr>
              <w:jc w:val="center"/>
              <w:rPr>
                <w:rFonts w:ascii="Garamond" w:hAnsi="Garamond"/>
                <w:sz w:val="12"/>
                <w:szCs w:val="12"/>
              </w:rPr>
            </w:pPr>
            <w:r w:rsidRPr="00CC11D5">
              <w:rPr>
                <w:rFonts w:ascii="Garamond" w:hAnsi="Garamond"/>
                <w:b/>
                <w:sz w:val="12"/>
                <w:szCs w:val="12"/>
              </w:rPr>
              <w:t>(viti 2023)</w:t>
            </w:r>
          </w:p>
        </w:tc>
        <w:tc>
          <w:tcPr>
            <w:tcW w:w="5169" w:type="dxa"/>
            <w:gridSpan w:val="4"/>
            <w:tcBorders>
              <w:top w:val="single" w:sz="4" w:space="0" w:color="auto"/>
              <w:left w:val="nil"/>
              <w:bottom w:val="single" w:sz="4" w:space="0" w:color="auto"/>
              <w:right w:val="single" w:sz="4" w:space="0" w:color="auto"/>
            </w:tcBorders>
            <w:shd w:val="clear" w:color="FFFFFF" w:fill="FFFFFF"/>
          </w:tcPr>
          <w:p w14:paraId="571D1EEA" w14:textId="77777777" w:rsidR="005D2226" w:rsidRPr="00CC11D5" w:rsidRDefault="005D2226" w:rsidP="005D2226">
            <w:pPr>
              <w:jc w:val="center"/>
              <w:rPr>
                <w:rFonts w:ascii="Garamond" w:hAnsi="Garamond"/>
                <w:sz w:val="12"/>
                <w:szCs w:val="12"/>
              </w:rPr>
            </w:pPr>
            <w:r w:rsidRPr="00CC11D5">
              <w:rPr>
                <w:rFonts w:ascii="Garamond" w:hAnsi="Garamond"/>
                <w:b/>
                <w:sz w:val="12"/>
                <w:szCs w:val="12"/>
              </w:rPr>
              <w:t>Vlera e synuar</w:t>
            </w:r>
          </w:p>
        </w:tc>
      </w:tr>
      <w:tr w:rsidR="005D2226" w:rsidRPr="00CC11D5" w14:paraId="5CFFC0AD" w14:textId="77777777" w:rsidTr="005D2226">
        <w:trPr>
          <w:trHeight w:val="20"/>
        </w:trPr>
        <w:tc>
          <w:tcPr>
            <w:tcW w:w="2232" w:type="dxa"/>
            <w:vMerge/>
            <w:tcBorders>
              <w:left w:val="single" w:sz="4" w:space="0" w:color="auto"/>
              <w:bottom w:val="single" w:sz="4" w:space="0" w:color="auto"/>
              <w:right w:val="single" w:sz="4" w:space="0" w:color="auto"/>
            </w:tcBorders>
            <w:shd w:val="clear" w:color="FFFFFF" w:fill="FFFFFF"/>
          </w:tcPr>
          <w:p w14:paraId="62E8DD3F" w14:textId="77777777" w:rsidR="005D2226" w:rsidRPr="00CC11D5" w:rsidRDefault="005D2226" w:rsidP="005D2226">
            <w:pPr>
              <w:jc w:val="center"/>
              <w:rPr>
                <w:rFonts w:ascii="Garamond" w:hAnsi="Garamond"/>
                <w:sz w:val="12"/>
                <w:szCs w:val="12"/>
              </w:rPr>
            </w:pPr>
          </w:p>
        </w:tc>
        <w:tc>
          <w:tcPr>
            <w:tcW w:w="1434" w:type="dxa"/>
            <w:vMerge/>
            <w:tcBorders>
              <w:left w:val="single" w:sz="4" w:space="0" w:color="auto"/>
              <w:bottom w:val="single" w:sz="4" w:space="0" w:color="auto"/>
              <w:right w:val="single" w:sz="4" w:space="0" w:color="auto"/>
            </w:tcBorders>
            <w:shd w:val="clear" w:color="FFFFFF" w:fill="FFFFFF"/>
          </w:tcPr>
          <w:p w14:paraId="1A7CAF60" w14:textId="77777777" w:rsidR="005D2226" w:rsidRPr="00CC11D5" w:rsidRDefault="005D2226" w:rsidP="005D2226">
            <w:pPr>
              <w:jc w:val="center"/>
              <w:rPr>
                <w:rFonts w:ascii="Garamond" w:hAnsi="Garamond"/>
                <w:sz w:val="12"/>
                <w:szCs w:val="12"/>
              </w:rPr>
            </w:pPr>
          </w:p>
        </w:tc>
        <w:tc>
          <w:tcPr>
            <w:tcW w:w="1276" w:type="dxa"/>
            <w:tcBorders>
              <w:top w:val="single" w:sz="4" w:space="0" w:color="auto"/>
              <w:left w:val="nil"/>
              <w:bottom w:val="single" w:sz="4" w:space="0" w:color="auto"/>
              <w:right w:val="single" w:sz="4" w:space="0" w:color="auto"/>
            </w:tcBorders>
            <w:shd w:val="clear" w:color="FFFFFF" w:fill="FFFFFF"/>
          </w:tcPr>
          <w:p w14:paraId="3C60C885" w14:textId="77777777" w:rsidR="005D2226" w:rsidRPr="00CC11D5" w:rsidRDefault="005D2226" w:rsidP="005D2226">
            <w:pPr>
              <w:jc w:val="center"/>
              <w:rPr>
                <w:rFonts w:ascii="Garamond" w:hAnsi="Garamond"/>
                <w:sz w:val="12"/>
                <w:szCs w:val="12"/>
              </w:rPr>
            </w:pPr>
            <w:r w:rsidRPr="00CC11D5">
              <w:rPr>
                <w:rFonts w:ascii="Garamond" w:hAnsi="Garamond"/>
                <w:b/>
                <w:sz w:val="12"/>
                <w:szCs w:val="12"/>
              </w:rPr>
              <w:t>2024</w:t>
            </w:r>
          </w:p>
        </w:tc>
        <w:tc>
          <w:tcPr>
            <w:tcW w:w="1058" w:type="dxa"/>
            <w:tcBorders>
              <w:top w:val="single" w:sz="4" w:space="0" w:color="auto"/>
              <w:left w:val="nil"/>
              <w:bottom w:val="single" w:sz="4" w:space="0" w:color="auto"/>
              <w:right w:val="single" w:sz="4" w:space="0" w:color="auto"/>
            </w:tcBorders>
            <w:shd w:val="clear" w:color="FFFFFF" w:fill="FFFFFF"/>
          </w:tcPr>
          <w:p w14:paraId="67F97D91" w14:textId="77777777" w:rsidR="005D2226" w:rsidRPr="00CC11D5" w:rsidRDefault="005D2226" w:rsidP="005D2226">
            <w:pPr>
              <w:jc w:val="center"/>
              <w:rPr>
                <w:rFonts w:ascii="Garamond" w:hAnsi="Garamond"/>
                <w:sz w:val="12"/>
                <w:szCs w:val="12"/>
              </w:rPr>
            </w:pPr>
            <w:r w:rsidRPr="00CC11D5">
              <w:rPr>
                <w:rFonts w:ascii="Garamond" w:hAnsi="Garamond"/>
                <w:b/>
                <w:sz w:val="12"/>
                <w:szCs w:val="12"/>
              </w:rPr>
              <w:t>2025</w:t>
            </w:r>
          </w:p>
        </w:tc>
        <w:tc>
          <w:tcPr>
            <w:tcW w:w="1572" w:type="dxa"/>
            <w:tcBorders>
              <w:top w:val="single" w:sz="4" w:space="0" w:color="auto"/>
              <w:left w:val="nil"/>
              <w:bottom w:val="single" w:sz="4" w:space="0" w:color="auto"/>
              <w:right w:val="single" w:sz="4" w:space="0" w:color="auto"/>
            </w:tcBorders>
            <w:shd w:val="clear" w:color="FFFFFF" w:fill="FFFFFF"/>
          </w:tcPr>
          <w:p w14:paraId="6953090D" w14:textId="77777777" w:rsidR="005D2226" w:rsidRPr="00CC11D5" w:rsidRDefault="005D2226" w:rsidP="005D2226">
            <w:pPr>
              <w:jc w:val="center"/>
              <w:rPr>
                <w:rFonts w:ascii="Garamond" w:hAnsi="Garamond"/>
                <w:sz w:val="12"/>
                <w:szCs w:val="12"/>
              </w:rPr>
            </w:pPr>
            <w:r w:rsidRPr="00CC11D5">
              <w:rPr>
                <w:rFonts w:ascii="Garamond" w:hAnsi="Garamond"/>
                <w:b/>
                <w:sz w:val="12"/>
                <w:szCs w:val="12"/>
              </w:rPr>
              <w:t>2026</w:t>
            </w:r>
          </w:p>
        </w:tc>
        <w:tc>
          <w:tcPr>
            <w:tcW w:w="1263" w:type="dxa"/>
            <w:tcBorders>
              <w:top w:val="single" w:sz="4" w:space="0" w:color="auto"/>
              <w:left w:val="nil"/>
              <w:bottom w:val="single" w:sz="4" w:space="0" w:color="auto"/>
              <w:right w:val="single" w:sz="4" w:space="0" w:color="auto"/>
            </w:tcBorders>
            <w:shd w:val="clear" w:color="FFFFFF" w:fill="FFFFFF"/>
          </w:tcPr>
          <w:p w14:paraId="318F2EB6" w14:textId="77777777" w:rsidR="005D2226" w:rsidRPr="00CC11D5" w:rsidRDefault="005D2226" w:rsidP="005D2226">
            <w:pPr>
              <w:jc w:val="center"/>
              <w:rPr>
                <w:rFonts w:ascii="Garamond" w:hAnsi="Garamond"/>
                <w:sz w:val="12"/>
                <w:szCs w:val="12"/>
              </w:rPr>
            </w:pPr>
            <w:r w:rsidRPr="00CC11D5">
              <w:rPr>
                <w:rFonts w:ascii="Garamond" w:hAnsi="Garamond"/>
                <w:b/>
                <w:sz w:val="12"/>
                <w:szCs w:val="12"/>
              </w:rPr>
              <w:t>2027</w:t>
            </w:r>
          </w:p>
        </w:tc>
      </w:tr>
      <w:tr w:rsidR="005D2226" w:rsidRPr="00CC11D5" w14:paraId="600F7F57" w14:textId="77777777" w:rsidTr="005D2226">
        <w:trPr>
          <w:trHeight w:val="20"/>
        </w:trPr>
        <w:tc>
          <w:tcPr>
            <w:tcW w:w="2232" w:type="dxa"/>
            <w:tcBorders>
              <w:top w:val="single" w:sz="4" w:space="0" w:color="auto"/>
              <w:left w:val="single" w:sz="4" w:space="0" w:color="auto"/>
              <w:bottom w:val="single" w:sz="4" w:space="0" w:color="auto"/>
              <w:right w:val="single" w:sz="4" w:space="0" w:color="auto"/>
            </w:tcBorders>
            <w:shd w:val="clear" w:color="FFFFFF" w:fill="FFFFFF"/>
          </w:tcPr>
          <w:p w14:paraId="5A8F8E67" w14:textId="77777777" w:rsidR="005D2226" w:rsidRPr="00CC11D5" w:rsidRDefault="005D2226" w:rsidP="005D2226">
            <w:pPr>
              <w:jc w:val="center"/>
              <w:rPr>
                <w:rFonts w:ascii="Garamond" w:hAnsi="Garamond"/>
                <w:sz w:val="12"/>
                <w:szCs w:val="12"/>
              </w:rPr>
            </w:pPr>
            <w:r w:rsidRPr="00CC11D5">
              <w:rPr>
                <w:rFonts w:ascii="Garamond" w:eastAsiaTheme="minorHAnsi" w:hAnsi="Garamond"/>
                <w:sz w:val="12"/>
                <w:szCs w:val="12"/>
              </w:rPr>
              <w:t>Rritja e numrit të subjekteve që përfitojnë statusin OEA</w:t>
            </w:r>
          </w:p>
        </w:tc>
        <w:tc>
          <w:tcPr>
            <w:tcW w:w="1434" w:type="dxa"/>
            <w:tcBorders>
              <w:top w:val="single" w:sz="4" w:space="0" w:color="auto"/>
              <w:left w:val="single" w:sz="4" w:space="0" w:color="auto"/>
              <w:bottom w:val="single" w:sz="4" w:space="0" w:color="auto"/>
              <w:right w:val="single" w:sz="4" w:space="0" w:color="auto"/>
            </w:tcBorders>
            <w:shd w:val="clear" w:color="FFFFFF" w:fill="FFFFFF"/>
          </w:tcPr>
          <w:p w14:paraId="5056F24A" w14:textId="77777777" w:rsidR="005D2226" w:rsidRPr="00CC11D5" w:rsidRDefault="005D2226" w:rsidP="005D2226">
            <w:pPr>
              <w:jc w:val="center"/>
              <w:rPr>
                <w:rFonts w:ascii="Garamond" w:hAnsi="Garamond"/>
                <w:sz w:val="12"/>
                <w:szCs w:val="12"/>
              </w:rPr>
            </w:pPr>
            <w:r w:rsidRPr="00CC11D5">
              <w:rPr>
                <w:rFonts w:ascii="Garamond" w:hAnsi="Garamond"/>
                <w:sz w:val="12"/>
                <w:szCs w:val="12"/>
              </w:rPr>
              <w:t>13</w:t>
            </w:r>
          </w:p>
        </w:tc>
        <w:tc>
          <w:tcPr>
            <w:tcW w:w="1276" w:type="dxa"/>
            <w:tcBorders>
              <w:top w:val="single" w:sz="4" w:space="0" w:color="auto"/>
              <w:left w:val="nil"/>
              <w:bottom w:val="single" w:sz="4" w:space="0" w:color="auto"/>
              <w:right w:val="single" w:sz="4" w:space="0" w:color="auto"/>
            </w:tcBorders>
            <w:shd w:val="clear" w:color="FFFFFF" w:fill="FFFFFF"/>
          </w:tcPr>
          <w:p w14:paraId="3299D7CD" w14:textId="77777777" w:rsidR="005D2226" w:rsidRPr="00CC11D5" w:rsidRDefault="005D2226" w:rsidP="005D2226">
            <w:pPr>
              <w:jc w:val="center"/>
              <w:rPr>
                <w:rFonts w:ascii="Garamond" w:hAnsi="Garamond"/>
                <w:sz w:val="12"/>
                <w:szCs w:val="12"/>
              </w:rPr>
            </w:pPr>
            <w:r w:rsidRPr="00CC11D5">
              <w:rPr>
                <w:rFonts w:ascii="Garamond" w:hAnsi="Garamond"/>
                <w:sz w:val="12"/>
                <w:szCs w:val="12"/>
              </w:rPr>
              <w:t>16</w:t>
            </w:r>
          </w:p>
        </w:tc>
        <w:tc>
          <w:tcPr>
            <w:tcW w:w="1058" w:type="dxa"/>
            <w:tcBorders>
              <w:top w:val="single" w:sz="4" w:space="0" w:color="auto"/>
              <w:left w:val="nil"/>
              <w:bottom w:val="single" w:sz="4" w:space="0" w:color="auto"/>
              <w:right w:val="single" w:sz="4" w:space="0" w:color="auto"/>
            </w:tcBorders>
            <w:shd w:val="clear" w:color="FFFFFF" w:fill="FFFFFF"/>
          </w:tcPr>
          <w:p w14:paraId="52F8A1EC" w14:textId="77777777" w:rsidR="005D2226" w:rsidRPr="00CC11D5" w:rsidRDefault="005D2226" w:rsidP="005D2226">
            <w:pPr>
              <w:jc w:val="center"/>
              <w:rPr>
                <w:rFonts w:ascii="Garamond" w:hAnsi="Garamond"/>
                <w:sz w:val="12"/>
                <w:szCs w:val="12"/>
              </w:rPr>
            </w:pPr>
            <w:r w:rsidRPr="00CC11D5">
              <w:rPr>
                <w:rFonts w:ascii="Garamond" w:hAnsi="Garamond"/>
                <w:sz w:val="12"/>
                <w:szCs w:val="12"/>
              </w:rPr>
              <w:t>Trend rritës</w:t>
            </w:r>
          </w:p>
        </w:tc>
        <w:tc>
          <w:tcPr>
            <w:tcW w:w="1572" w:type="dxa"/>
            <w:tcBorders>
              <w:top w:val="single" w:sz="4" w:space="0" w:color="auto"/>
              <w:left w:val="nil"/>
              <w:bottom w:val="single" w:sz="4" w:space="0" w:color="auto"/>
              <w:right w:val="single" w:sz="4" w:space="0" w:color="auto"/>
            </w:tcBorders>
            <w:shd w:val="clear" w:color="FFFFFF" w:fill="FFFFFF"/>
          </w:tcPr>
          <w:p w14:paraId="2768BB65" w14:textId="77777777" w:rsidR="005D2226" w:rsidRPr="00CC11D5" w:rsidRDefault="005D2226" w:rsidP="005D2226">
            <w:pPr>
              <w:jc w:val="center"/>
              <w:rPr>
                <w:rFonts w:ascii="Garamond" w:hAnsi="Garamond"/>
                <w:sz w:val="12"/>
                <w:szCs w:val="12"/>
              </w:rPr>
            </w:pPr>
            <w:r w:rsidRPr="00CC11D5">
              <w:rPr>
                <w:rFonts w:ascii="Garamond" w:hAnsi="Garamond"/>
                <w:sz w:val="12"/>
                <w:szCs w:val="12"/>
              </w:rPr>
              <w:t>Trend rritës</w:t>
            </w:r>
          </w:p>
        </w:tc>
        <w:tc>
          <w:tcPr>
            <w:tcW w:w="1263" w:type="dxa"/>
            <w:tcBorders>
              <w:top w:val="single" w:sz="4" w:space="0" w:color="auto"/>
              <w:left w:val="nil"/>
              <w:bottom w:val="single" w:sz="4" w:space="0" w:color="auto"/>
              <w:right w:val="single" w:sz="4" w:space="0" w:color="auto"/>
            </w:tcBorders>
            <w:shd w:val="clear" w:color="FFFFFF" w:fill="FFFFFF"/>
          </w:tcPr>
          <w:p w14:paraId="77E9D14D" w14:textId="77777777" w:rsidR="005D2226" w:rsidRPr="00CC11D5" w:rsidRDefault="005D2226" w:rsidP="005D2226">
            <w:pPr>
              <w:jc w:val="center"/>
              <w:rPr>
                <w:rFonts w:ascii="Garamond" w:hAnsi="Garamond"/>
                <w:sz w:val="12"/>
                <w:szCs w:val="12"/>
              </w:rPr>
            </w:pPr>
            <w:r w:rsidRPr="00CC11D5">
              <w:rPr>
                <w:rFonts w:ascii="Garamond" w:hAnsi="Garamond"/>
                <w:sz w:val="12"/>
                <w:szCs w:val="12"/>
              </w:rPr>
              <w:t>Trend rritës</w:t>
            </w:r>
          </w:p>
        </w:tc>
      </w:tr>
      <w:tr w:rsidR="005D2226" w:rsidRPr="00CC11D5" w14:paraId="4574C7EB" w14:textId="77777777" w:rsidTr="005D2226">
        <w:trPr>
          <w:trHeight w:val="20"/>
        </w:trPr>
        <w:tc>
          <w:tcPr>
            <w:tcW w:w="2232" w:type="dxa"/>
            <w:tcBorders>
              <w:top w:val="single" w:sz="4" w:space="0" w:color="auto"/>
              <w:left w:val="single" w:sz="4" w:space="0" w:color="auto"/>
              <w:bottom w:val="single" w:sz="4" w:space="0" w:color="auto"/>
              <w:right w:val="single" w:sz="4" w:space="0" w:color="auto"/>
            </w:tcBorders>
            <w:shd w:val="clear" w:color="FFFFFF" w:fill="FFFFFF"/>
          </w:tcPr>
          <w:p w14:paraId="4D951CEC" w14:textId="77777777" w:rsidR="005D2226" w:rsidRPr="00CC11D5" w:rsidRDefault="005D2226" w:rsidP="005D2226">
            <w:pPr>
              <w:jc w:val="center"/>
              <w:rPr>
                <w:rFonts w:ascii="Garamond" w:hAnsi="Garamond"/>
                <w:sz w:val="12"/>
                <w:szCs w:val="12"/>
              </w:rPr>
            </w:pPr>
            <w:r w:rsidRPr="00CC11D5">
              <w:rPr>
                <w:rFonts w:ascii="Garamond" w:hAnsi="Garamond"/>
                <w:sz w:val="12"/>
                <w:szCs w:val="12"/>
              </w:rPr>
              <w:t>Rritja e të ardhurave doganore nga OEA</w:t>
            </w:r>
          </w:p>
        </w:tc>
        <w:tc>
          <w:tcPr>
            <w:tcW w:w="1434" w:type="dxa"/>
            <w:tcBorders>
              <w:top w:val="single" w:sz="4" w:space="0" w:color="auto"/>
              <w:left w:val="single" w:sz="4" w:space="0" w:color="auto"/>
              <w:bottom w:val="single" w:sz="4" w:space="0" w:color="auto"/>
              <w:right w:val="single" w:sz="4" w:space="0" w:color="auto"/>
            </w:tcBorders>
            <w:shd w:val="clear" w:color="FFFFFF" w:fill="FFFFFF"/>
          </w:tcPr>
          <w:p w14:paraId="6C836E49" w14:textId="77777777" w:rsidR="005D2226" w:rsidRPr="00CC11D5" w:rsidRDefault="005D2226" w:rsidP="005D2226">
            <w:pPr>
              <w:jc w:val="center"/>
              <w:rPr>
                <w:rFonts w:ascii="Garamond" w:hAnsi="Garamond"/>
                <w:sz w:val="12"/>
                <w:szCs w:val="12"/>
              </w:rPr>
            </w:pPr>
          </w:p>
        </w:tc>
        <w:tc>
          <w:tcPr>
            <w:tcW w:w="1276" w:type="dxa"/>
            <w:tcBorders>
              <w:top w:val="single" w:sz="4" w:space="0" w:color="auto"/>
              <w:left w:val="nil"/>
              <w:bottom w:val="single" w:sz="4" w:space="0" w:color="auto"/>
              <w:right w:val="single" w:sz="4" w:space="0" w:color="auto"/>
            </w:tcBorders>
            <w:shd w:val="clear" w:color="FFFFFF" w:fill="FFFFFF"/>
          </w:tcPr>
          <w:p w14:paraId="092ADD96" w14:textId="43605053" w:rsidR="005D2226" w:rsidRPr="00CC11D5" w:rsidRDefault="005D2226" w:rsidP="005D2226">
            <w:pPr>
              <w:jc w:val="center"/>
              <w:rPr>
                <w:rFonts w:ascii="Garamond" w:hAnsi="Garamond"/>
                <w:sz w:val="12"/>
                <w:szCs w:val="12"/>
              </w:rPr>
            </w:pPr>
            <w:r w:rsidRPr="00CC11D5">
              <w:rPr>
                <w:rFonts w:ascii="Garamond" w:hAnsi="Garamond"/>
                <w:sz w:val="12"/>
                <w:szCs w:val="12"/>
              </w:rPr>
              <w:t>0.02% e PPB</w:t>
            </w:r>
            <w:r w:rsidR="008C0C0F" w:rsidRPr="00CC11D5">
              <w:rPr>
                <w:rFonts w:ascii="Garamond" w:hAnsi="Garamond"/>
                <w:sz w:val="12"/>
                <w:szCs w:val="12"/>
              </w:rPr>
              <w:t>-së</w:t>
            </w:r>
          </w:p>
        </w:tc>
        <w:tc>
          <w:tcPr>
            <w:tcW w:w="1058" w:type="dxa"/>
            <w:tcBorders>
              <w:top w:val="single" w:sz="4" w:space="0" w:color="auto"/>
              <w:left w:val="nil"/>
              <w:bottom w:val="single" w:sz="4" w:space="0" w:color="auto"/>
              <w:right w:val="single" w:sz="4" w:space="0" w:color="auto"/>
            </w:tcBorders>
            <w:shd w:val="clear" w:color="FFFFFF" w:fill="FFFFFF"/>
          </w:tcPr>
          <w:p w14:paraId="4C8368BB" w14:textId="3A1D641B" w:rsidR="005D2226" w:rsidRPr="00CC11D5" w:rsidRDefault="005D2226" w:rsidP="005D2226">
            <w:pPr>
              <w:jc w:val="center"/>
              <w:rPr>
                <w:rFonts w:ascii="Garamond" w:hAnsi="Garamond"/>
                <w:sz w:val="12"/>
                <w:szCs w:val="12"/>
              </w:rPr>
            </w:pPr>
            <w:r w:rsidRPr="00CC11D5">
              <w:rPr>
                <w:rFonts w:ascii="Garamond" w:hAnsi="Garamond"/>
                <w:sz w:val="12"/>
                <w:szCs w:val="12"/>
              </w:rPr>
              <w:t>0.02% e PPB</w:t>
            </w:r>
            <w:r w:rsidR="008C0C0F" w:rsidRPr="00CC11D5">
              <w:rPr>
                <w:rFonts w:ascii="Garamond" w:hAnsi="Garamond"/>
                <w:sz w:val="12"/>
                <w:szCs w:val="12"/>
              </w:rPr>
              <w:t>-së</w:t>
            </w:r>
          </w:p>
        </w:tc>
        <w:tc>
          <w:tcPr>
            <w:tcW w:w="1572" w:type="dxa"/>
            <w:tcBorders>
              <w:top w:val="single" w:sz="4" w:space="0" w:color="auto"/>
              <w:left w:val="nil"/>
              <w:bottom w:val="single" w:sz="4" w:space="0" w:color="auto"/>
              <w:right w:val="single" w:sz="4" w:space="0" w:color="auto"/>
            </w:tcBorders>
            <w:shd w:val="clear" w:color="FFFFFF" w:fill="FFFFFF"/>
          </w:tcPr>
          <w:p w14:paraId="6855B256" w14:textId="56F7B0E0" w:rsidR="005D2226" w:rsidRPr="00CC11D5" w:rsidRDefault="005D2226" w:rsidP="005D2226">
            <w:pPr>
              <w:jc w:val="center"/>
              <w:rPr>
                <w:rFonts w:ascii="Garamond" w:hAnsi="Garamond"/>
                <w:sz w:val="12"/>
                <w:szCs w:val="12"/>
              </w:rPr>
            </w:pPr>
            <w:r w:rsidRPr="00CC11D5">
              <w:rPr>
                <w:rFonts w:ascii="Garamond" w:hAnsi="Garamond"/>
                <w:sz w:val="12"/>
                <w:szCs w:val="12"/>
              </w:rPr>
              <w:t>0.02% e PPB</w:t>
            </w:r>
            <w:r w:rsidR="008C0C0F" w:rsidRPr="00CC11D5">
              <w:rPr>
                <w:rFonts w:ascii="Garamond" w:hAnsi="Garamond"/>
                <w:sz w:val="12"/>
                <w:szCs w:val="12"/>
              </w:rPr>
              <w:t>-së</w:t>
            </w:r>
          </w:p>
        </w:tc>
        <w:tc>
          <w:tcPr>
            <w:tcW w:w="1263" w:type="dxa"/>
            <w:tcBorders>
              <w:top w:val="single" w:sz="4" w:space="0" w:color="auto"/>
              <w:left w:val="nil"/>
              <w:bottom w:val="single" w:sz="4" w:space="0" w:color="auto"/>
              <w:right w:val="single" w:sz="4" w:space="0" w:color="auto"/>
            </w:tcBorders>
            <w:shd w:val="clear" w:color="FFFFFF" w:fill="FFFFFF"/>
          </w:tcPr>
          <w:p w14:paraId="3AA7765E" w14:textId="77777777" w:rsidR="005D2226" w:rsidRPr="00CC11D5" w:rsidRDefault="005D2226" w:rsidP="005D2226">
            <w:pPr>
              <w:jc w:val="center"/>
              <w:rPr>
                <w:rFonts w:ascii="Garamond" w:hAnsi="Garamond"/>
                <w:sz w:val="12"/>
                <w:szCs w:val="12"/>
              </w:rPr>
            </w:pPr>
          </w:p>
        </w:tc>
      </w:tr>
      <w:tr w:rsidR="005D2226" w:rsidRPr="00CC11D5" w14:paraId="5BA06F63" w14:textId="77777777" w:rsidTr="005D2226">
        <w:trPr>
          <w:trHeight w:val="20"/>
        </w:trPr>
        <w:tc>
          <w:tcPr>
            <w:tcW w:w="2232" w:type="dxa"/>
            <w:tcBorders>
              <w:top w:val="single" w:sz="4" w:space="0" w:color="auto"/>
              <w:left w:val="single" w:sz="4" w:space="0" w:color="auto"/>
              <w:bottom w:val="single" w:sz="4" w:space="0" w:color="auto"/>
              <w:right w:val="single" w:sz="4" w:space="0" w:color="auto"/>
            </w:tcBorders>
            <w:shd w:val="clear" w:color="FFFFFF" w:fill="FFFFFF"/>
          </w:tcPr>
          <w:p w14:paraId="2C265F0F" w14:textId="77777777" w:rsidR="005D2226" w:rsidRPr="00CC11D5" w:rsidRDefault="005D2226" w:rsidP="005D2226">
            <w:pPr>
              <w:jc w:val="center"/>
              <w:rPr>
                <w:rFonts w:ascii="Garamond" w:hAnsi="Garamond"/>
                <w:sz w:val="12"/>
                <w:szCs w:val="12"/>
              </w:rPr>
            </w:pPr>
            <w:r w:rsidRPr="00CC11D5">
              <w:rPr>
                <w:rFonts w:ascii="Garamond" w:hAnsi="Garamond"/>
                <w:sz w:val="12"/>
                <w:szCs w:val="12"/>
              </w:rPr>
              <w:t>Numri i OEA-ve të audituara</w:t>
            </w:r>
          </w:p>
        </w:tc>
        <w:tc>
          <w:tcPr>
            <w:tcW w:w="1434" w:type="dxa"/>
            <w:tcBorders>
              <w:top w:val="single" w:sz="4" w:space="0" w:color="auto"/>
              <w:left w:val="single" w:sz="4" w:space="0" w:color="auto"/>
              <w:bottom w:val="single" w:sz="4" w:space="0" w:color="auto"/>
              <w:right w:val="single" w:sz="4" w:space="0" w:color="auto"/>
            </w:tcBorders>
            <w:shd w:val="clear" w:color="FFFFFF" w:fill="FFFFFF"/>
          </w:tcPr>
          <w:p w14:paraId="57199060" w14:textId="77777777" w:rsidR="005D2226" w:rsidRPr="00CC11D5" w:rsidRDefault="005D2226" w:rsidP="005D2226">
            <w:pPr>
              <w:jc w:val="center"/>
              <w:rPr>
                <w:rFonts w:ascii="Garamond" w:hAnsi="Garamond"/>
                <w:sz w:val="12"/>
                <w:szCs w:val="12"/>
              </w:rPr>
            </w:pPr>
          </w:p>
        </w:tc>
        <w:tc>
          <w:tcPr>
            <w:tcW w:w="1276" w:type="dxa"/>
            <w:tcBorders>
              <w:top w:val="single" w:sz="4" w:space="0" w:color="auto"/>
              <w:left w:val="nil"/>
              <w:bottom w:val="single" w:sz="4" w:space="0" w:color="auto"/>
              <w:right w:val="single" w:sz="4" w:space="0" w:color="auto"/>
            </w:tcBorders>
            <w:shd w:val="clear" w:color="FFFFFF" w:fill="FFFFFF"/>
          </w:tcPr>
          <w:p w14:paraId="0AC4891F" w14:textId="77777777" w:rsidR="005D2226" w:rsidRPr="00CC11D5" w:rsidRDefault="005D2226" w:rsidP="005D2226">
            <w:pPr>
              <w:jc w:val="center"/>
              <w:rPr>
                <w:rFonts w:ascii="Garamond" w:hAnsi="Garamond"/>
                <w:sz w:val="12"/>
                <w:szCs w:val="12"/>
              </w:rPr>
            </w:pPr>
            <w:r w:rsidRPr="00CC11D5">
              <w:rPr>
                <w:rFonts w:ascii="Garamond" w:hAnsi="Garamond"/>
                <w:sz w:val="12"/>
                <w:szCs w:val="12"/>
              </w:rPr>
              <w:t>3 auditime</w:t>
            </w:r>
          </w:p>
        </w:tc>
        <w:tc>
          <w:tcPr>
            <w:tcW w:w="1058" w:type="dxa"/>
            <w:tcBorders>
              <w:top w:val="single" w:sz="4" w:space="0" w:color="auto"/>
              <w:left w:val="nil"/>
              <w:bottom w:val="single" w:sz="4" w:space="0" w:color="auto"/>
              <w:right w:val="single" w:sz="4" w:space="0" w:color="auto"/>
            </w:tcBorders>
            <w:shd w:val="clear" w:color="FFFFFF" w:fill="FFFFFF"/>
          </w:tcPr>
          <w:p w14:paraId="30CD205C" w14:textId="77777777" w:rsidR="005D2226" w:rsidRPr="00CC11D5" w:rsidRDefault="005D2226" w:rsidP="005D2226">
            <w:pPr>
              <w:jc w:val="center"/>
              <w:rPr>
                <w:rFonts w:ascii="Garamond" w:hAnsi="Garamond"/>
                <w:sz w:val="12"/>
                <w:szCs w:val="12"/>
              </w:rPr>
            </w:pPr>
            <w:r w:rsidRPr="00CC11D5">
              <w:rPr>
                <w:rFonts w:ascii="Garamond" w:hAnsi="Garamond"/>
                <w:sz w:val="12"/>
                <w:szCs w:val="12"/>
              </w:rPr>
              <w:t>4 auditime</w:t>
            </w:r>
          </w:p>
        </w:tc>
        <w:tc>
          <w:tcPr>
            <w:tcW w:w="1572" w:type="dxa"/>
            <w:tcBorders>
              <w:top w:val="single" w:sz="4" w:space="0" w:color="auto"/>
              <w:left w:val="nil"/>
              <w:bottom w:val="single" w:sz="4" w:space="0" w:color="auto"/>
              <w:right w:val="single" w:sz="4" w:space="0" w:color="auto"/>
            </w:tcBorders>
            <w:shd w:val="clear" w:color="FFFFFF" w:fill="FFFFFF"/>
          </w:tcPr>
          <w:p w14:paraId="485F48CE" w14:textId="77777777" w:rsidR="005D2226" w:rsidRPr="00CC11D5" w:rsidRDefault="005D2226" w:rsidP="005D2226">
            <w:pPr>
              <w:jc w:val="center"/>
              <w:rPr>
                <w:rFonts w:ascii="Garamond" w:hAnsi="Garamond"/>
                <w:sz w:val="12"/>
                <w:szCs w:val="12"/>
              </w:rPr>
            </w:pPr>
            <w:r w:rsidRPr="00CC11D5">
              <w:rPr>
                <w:rFonts w:ascii="Garamond" w:hAnsi="Garamond"/>
                <w:sz w:val="12"/>
                <w:szCs w:val="12"/>
              </w:rPr>
              <w:t>3 auditime</w:t>
            </w:r>
          </w:p>
        </w:tc>
        <w:tc>
          <w:tcPr>
            <w:tcW w:w="1263" w:type="dxa"/>
            <w:tcBorders>
              <w:top w:val="single" w:sz="4" w:space="0" w:color="auto"/>
              <w:left w:val="nil"/>
              <w:bottom w:val="single" w:sz="4" w:space="0" w:color="auto"/>
              <w:right w:val="single" w:sz="4" w:space="0" w:color="auto"/>
            </w:tcBorders>
            <w:shd w:val="clear" w:color="FFFFFF" w:fill="FFFFFF"/>
          </w:tcPr>
          <w:p w14:paraId="0A78E972" w14:textId="77777777" w:rsidR="005D2226" w:rsidRPr="00CC11D5" w:rsidRDefault="005D2226" w:rsidP="005D2226">
            <w:pPr>
              <w:jc w:val="center"/>
              <w:rPr>
                <w:rFonts w:ascii="Garamond" w:hAnsi="Garamond"/>
                <w:sz w:val="12"/>
                <w:szCs w:val="12"/>
              </w:rPr>
            </w:pPr>
            <w:r w:rsidRPr="00CC11D5">
              <w:rPr>
                <w:rFonts w:ascii="Garamond" w:hAnsi="Garamond"/>
                <w:sz w:val="12"/>
                <w:szCs w:val="12"/>
              </w:rPr>
              <w:t>3 auditime</w:t>
            </w:r>
          </w:p>
        </w:tc>
      </w:tr>
      <w:tr w:rsidR="005D2226" w:rsidRPr="00CC11D5" w14:paraId="21827977" w14:textId="77777777" w:rsidTr="005D2226">
        <w:trPr>
          <w:trHeight w:val="20"/>
        </w:trPr>
        <w:tc>
          <w:tcPr>
            <w:tcW w:w="2232" w:type="dxa"/>
            <w:tcBorders>
              <w:top w:val="single" w:sz="4" w:space="0" w:color="auto"/>
              <w:left w:val="single" w:sz="4" w:space="0" w:color="auto"/>
              <w:bottom w:val="single" w:sz="4" w:space="0" w:color="auto"/>
              <w:right w:val="single" w:sz="4" w:space="0" w:color="auto"/>
            </w:tcBorders>
            <w:shd w:val="clear" w:color="FFFFFF" w:fill="FFFFFF"/>
          </w:tcPr>
          <w:p w14:paraId="34DE12EA" w14:textId="0BBC45A4" w:rsidR="005D2226" w:rsidRPr="00CC11D5" w:rsidRDefault="005D2226" w:rsidP="005D2226">
            <w:pPr>
              <w:jc w:val="center"/>
              <w:rPr>
                <w:rFonts w:ascii="Garamond" w:hAnsi="Garamond"/>
                <w:sz w:val="12"/>
                <w:szCs w:val="12"/>
              </w:rPr>
            </w:pPr>
            <w:r w:rsidRPr="00CC11D5">
              <w:rPr>
                <w:rFonts w:ascii="Garamond" w:hAnsi="Garamond"/>
                <w:sz w:val="12"/>
                <w:szCs w:val="12"/>
              </w:rPr>
              <w:t>Marrëveshje për njohjen reciproke me BE</w:t>
            </w:r>
            <w:r w:rsidR="008C0C0F" w:rsidRPr="00CC11D5">
              <w:rPr>
                <w:rFonts w:ascii="Garamond" w:hAnsi="Garamond"/>
                <w:sz w:val="12"/>
                <w:szCs w:val="12"/>
              </w:rPr>
              <w:t>-në</w:t>
            </w:r>
          </w:p>
        </w:tc>
        <w:tc>
          <w:tcPr>
            <w:tcW w:w="1434" w:type="dxa"/>
            <w:tcBorders>
              <w:top w:val="single" w:sz="4" w:space="0" w:color="auto"/>
              <w:left w:val="single" w:sz="4" w:space="0" w:color="auto"/>
              <w:bottom w:val="single" w:sz="4" w:space="0" w:color="auto"/>
              <w:right w:val="single" w:sz="4" w:space="0" w:color="auto"/>
            </w:tcBorders>
            <w:shd w:val="clear" w:color="FFFFFF" w:fill="FFFFFF"/>
          </w:tcPr>
          <w:p w14:paraId="46886EB4" w14:textId="77777777" w:rsidR="005D2226" w:rsidRPr="00CC11D5" w:rsidRDefault="005D2226" w:rsidP="005D2226">
            <w:pPr>
              <w:jc w:val="center"/>
              <w:rPr>
                <w:rFonts w:ascii="Garamond" w:hAnsi="Garamond"/>
                <w:sz w:val="12"/>
                <w:szCs w:val="12"/>
              </w:rPr>
            </w:pPr>
          </w:p>
        </w:tc>
        <w:tc>
          <w:tcPr>
            <w:tcW w:w="1276" w:type="dxa"/>
            <w:tcBorders>
              <w:top w:val="single" w:sz="4" w:space="0" w:color="auto"/>
              <w:left w:val="nil"/>
              <w:bottom w:val="single" w:sz="4" w:space="0" w:color="auto"/>
              <w:right w:val="single" w:sz="4" w:space="0" w:color="auto"/>
            </w:tcBorders>
            <w:shd w:val="clear" w:color="FFFFFF" w:fill="FFFFFF"/>
          </w:tcPr>
          <w:p w14:paraId="7B0BC51B" w14:textId="77777777" w:rsidR="005D2226" w:rsidRPr="00CC11D5" w:rsidRDefault="005D2226" w:rsidP="005D2226">
            <w:pPr>
              <w:jc w:val="center"/>
              <w:rPr>
                <w:rFonts w:ascii="Garamond" w:hAnsi="Garamond"/>
                <w:sz w:val="12"/>
                <w:szCs w:val="12"/>
              </w:rPr>
            </w:pPr>
          </w:p>
        </w:tc>
        <w:tc>
          <w:tcPr>
            <w:tcW w:w="1058" w:type="dxa"/>
            <w:tcBorders>
              <w:top w:val="single" w:sz="4" w:space="0" w:color="auto"/>
              <w:left w:val="nil"/>
              <w:bottom w:val="single" w:sz="4" w:space="0" w:color="auto"/>
              <w:right w:val="single" w:sz="4" w:space="0" w:color="auto"/>
            </w:tcBorders>
            <w:shd w:val="clear" w:color="FFFFFF" w:fill="FFFFFF"/>
          </w:tcPr>
          <w:p w14:paraId="0D959539" w14:textId="77777777" w:rsidR="005D2226" w:rsidRPr="00CC11D5" w:rsidRDefault="005D2226" w:rsidP="005D2226">
            <w:pPr>
              <w:jc w:val="center"/>
              <w:rPr>
                <w:rFonts w:ascii="Garamond" w:hAnsi="Garamond"/>
                <w:sz w:val="12"/>
                <w:szCs w:val="12"/>
              </w:rPr>
            </w:pPr>
          </w:p>
        </w:tc>
        <w:tc>
          <w:tcPr>
            <w:tcW w:w="1572" w:type="dxa"/>
            <w:tcBorders>
              <w:top w:val="single" w:sz="4" w:space="0" w:color="auto"/>
              <w:left w:val="nil"/>
              <w:bottom w:val="single" w:sz="4" w:space="0" w:color="auto"/>
              <w:right w:val="single" w:sz="4" w:space="0" w:color="auto"/>
            </w:tcBorders>
            <w:shd w:val="clear" w:color="FFFFFF" w:fill="FFFFFF"/>
          </w:tcPr>
          <w:p w14:paraId="3E8A5B49" w14:textId="77777777" w:rsidR="005D2226" w:rsidRPr="00CC11D5" w:rsidRDefault="005D2226" w:rsidP="005D2226">
            <w:pPr>
              <w:jc w:val="center"/>
              <w:rPr>
                <w:rFonts w:ascii="Garamond" w:hAnsi="Garamond"/>
                <w:sz w:val="12"/>
                <w:szCs w:val="12"/>
              </w:rPr>
            </w:pPr>
            <w:r w:rsidRPr="00CC11D5">
              <w:rPr>
                <w:rFonts w:ascii="Garamond" w:hAnsi="Garamond"/>
                <w:sz w:val="12"/>
                <w:szCs w:val="12"/>
              </w:rPr>
              <w:t>Marrëveshja është hartuar dhe nënshkruar</w:t>
            </w:r>
          </w:p>
        </w:tc>
        <w:tc>
          <w:tcPr>
            <w:tcW w:w="1263" w:type="dxa"/>
            <w:tcBorders>
              <w:top w:val="single" w:sz="4" w:space="0" w:color="auto"/>
              <w:left w:val="nil"/>
              <w:bottom w:val="single" w:sz="4" w:space="0" w:color="auto"/>
              <w:right w:val="single" w:sz="4" w:space="0" w:color="auto"/>
            </w:tcBorders>
            <w:shd w:val="clear" w:color="FFFFFF" w:fill="FFFFFF"/>
          </w:tcPr>
          <w:p w14:paraId="5CDCE678" w14:textId="77777777" w:rsidR="005D2226" w:rsidRPr="00CC11D5" w:rsidRDefault="005D2226" w:rsidP="005D2226">
            <w:pPr>
              <w:jc w:val="center"/>
              <w:rPr>
                <w:rFonts w:ascii="Garamond" w:hAnsi="Garamond"/>
                <w:sz w:val="12"/>
                <w:szCs w:val="12"/>
              </w:rPr>
            </w:pPr>
          </w:p>
        </w:tc>
      </w:tr>
    </w:tbl>
    <w:p w14:paraId="257A84FA" w14:textId="77777777" w:rsidR="005D2226" w:rsidRPr="00830F4C" w:rsidRDefault="005D2226" w:rsidP="005D2226">
      <w:pPr>
        <w:rPr>
          <w:rFonts w:ascii="Garamond" w:hAnsi="Garamond"/>
          <w:sz w:val="20"/>
          <w:szCs w:val="20"/>
        </w:rPr>
      </w:pPr>
    </w:p>
    <w:p w14:paraId="684C2DE1" w14:textId="75242DF0" w:rsidR="005D2226" w:rsidRPr="00830F4C" w:rsidRDefault="005D2226" w:rsidP="005D2226">
      <w:pPr>
        <w:pStyle w:val="Heading2"/>
        <w:spacing w:before="0"/>
        <w:ind w:firstLine="284"/>
        <w:rPr>
          <w:rFonts w:ascii="Garamond" w:hAnsi="Garamond" w:cs="Times New Roman"/>
          <w:b/>
          <w:color w:val="auto"/>
          <w:sz w:val="24"/>
          <w:szCs w:val="24"/>
        </w:rPr>
      </w:pPr>
      <w:bookmarkStart w:id="75" w:name="_Toc185235107"/>
      <w:r w:rsidRPr="00830F4C">
        <w:rPr>
          <w:rFonts w:ascii="Garamond" w:hAnsi="Garamond" w:cs="Times New Roman"/>
          <w:b/>
          <w:color w:val="auto"/>
          <w:sz w:val="24"/>
          <w:szCs w:val="24"/>
        </w:rPr>
        <w:t>VI.7 Komponenti 3.6 Implementimi i Dritares së Vetme Kombëtare (</w:t>
      </w:r>
      <w:r w:rsidRPr="00830F4C">
        <w:rPr>
          <w:rFonts w:ascii="Garamond" w:hAnsi="Garamond" w:cs="Times New Roman"/>
          <w:b/>
          <w:i/>
          <w:color w:val="auto"/>
          <w:sz w:val="24"/>
          <w:szCs w:val="24"/>
        </w:rPr>
        <w:t>National Single Window</w:t>
      </w:r>
      <w:r w:rsidRPr="00830F4C">
        <w:rPr>
          <w:rFonts w:ascii="Garamond" w:hAnsi="Garamond" w:cs="Times New Roman"/>
          <w:b/>
          <w:color w:val="auto"/>
          <w:sz w:val="24"/>
          <w:szCs w:val="24"/>
        </w:rPr>
        <w:t>)</w:t>
      </w:r>
      <w:bookmarkEnd w:id="75"/>
    </w:p>
    <w:p w14:paraId="4D890062" w14:textId="77777777" w:rsidR="005D2226" w:rsidRPr="00830F4C" w:rsidRDefault="005D2226" w:rsidP="005D2226">
      <w:pPr>
        <w:ind w:firstLine="284"/>
        <w:rPr>
          <w:rFonts w:ascii="Garamond" w:hAnsi="Garamond"/>
          <w:b/>
        </w:rPr>
      </w:pPr>
      <w:r w:rsidRPr="00830F4C">
        <w:rPr>
          <w:rFonts w:ascii="Garamond" w:hAnsi="Garamond"/>
          <w:b/>
        </w:rPr>
        <w:t>Objektivi</w:t>
      </w:r>
    </w:p>
    <w:p w14:paraId="1BE07BCE" w14:textId="77777777" w:rsidR="005D2226" w:rsidRPr="00830F4C" w:rsidRDefault="005D2226" w:rsidP="005D2226">
      <w:pPr>
        <w:ind w:firstLine="284"/>
        <w:rPr>
          <w:rFonts w:ascii="Garamond" w:hAnsi="Garamond"/>
        </w:rPr>
      </w:pPr>
      <w:r w:rsidRPr="00830F4C">
        <w:rPr>
          <w:rFonts w:ascii="Garamond" w:hAnsi="Garamond"/>
        </w:rPr>
        <w:t>Brenda vitit 2026 të jetë krijuar Dritarja e Vetme Kombëtare (</w:t>
      </w:r>
      <w:r w:rsidRPr="00830F4C">
        <w:rPr>
          <w:rFonts w:ascii="Garamond" w:hAnsi="Garamond"/>
          <w:i/>
        </w:rPr>
        <w:t>National Single Window</w:t>
      </w:r>
      <w:r w:rsidRPr="00830F4C">
        <w:rPr>
          <w:rFonts w:ascii="Garamond" w:hAnsi="Garamond"/>
        </w:rPr>
        <w:t>-NSW)</w:t>
      </w:r>
    </w:p>
    <w:p w14:paraId="0DFA5D43" w14:textId="77777777" w:rsidR="005D2226" w:rsidRPr="00830F4C" w:rsidRDefault="005D2226" w:rsidP="005D2226">
      <w:pPr>
        <w:ind w:firstLine="284"/>
        <w:jc w:val="both"/>
        <w:rPr>
          <w:rFonts w:ascii="Garamond" w:hAnsi="Garamond"/>
          <w:b/>
        </w:rPr>
      </w:pPr>
      <w:r w:rsidRPr="00830F4C">
        <w:rPr>
          <w:rFonts w:ascii="Garamond" w:hAnsi="Garamond"/>
          <w:b/>
        </w:rPr>
        <w:t>Konteksti</w:t>
      </w:r>
    </w:p>
    <w:p w14:paraId="58D89B7F" w14:textId="045B40BD" w:rsidR="005D2226" w:rsidRPr="00830F4C" w:rsidRDefault="005D2226" w:rsidP="005D2226">
      <w:pPr>
        <w:ind w:firstLine="284"/>
        <w:jc w:val="both"/>
        <w:rPr>
          <w:rFonts w:ascii="Garamond" w:hAnsi="Garamond"/>
        </w:rPr>
      </w:pPr>
      <w:r w:rsidRPr="00830F4C">
        <w:rPr>
          <w:rFonts w:ascii="Garamond" w:hAnsi="Garamond"/>
        </w:rPr>
        <w:t>Lidhur me Komponentin NS</w:t>
      </w:r>
      <w:r w:rsidR="008C0C0F" w:rsidRPr="00830F4C">
        <w:rPr>
          <w:rFonts w:ascii="Garamond" w:hAnsi="Garamond"/>
        </w:rPr>
        <w:t>W</w:t>
      </w:r>
      <w:r w:rsidRPr="00830F4C">
        <w:rPr>
          <w:rFonts w:ascii="Garamond" w:hAnsi="Garamond"/>
        </w:rPr>
        <w:t>, më 14 tetor CFCU</w:t>
      </w:r>
      <w:r w:rsidR="0058355F">
        <w:rPr>
          <w:rFonts w:ascii="Garamond" w:hAnsi="Garamond"/>
        </w:rPr>
        <w:t>-ja</w:t>
      </w:r>
      <w:r w:rsidRPr="00830F4C">
        <w:rPr>
          <w:rFonts w:ascii="Garamond" w:hAnsi="Garamond"/>
        </w:rPr>
        <w:t xml:space="preserve"> në Ministrinë e Financave ka publikuar procedurën e tenderit për Aktivitetin wBTTF-ALB-112CDEF </w:t>
      </w:r>
      <w:r w:rsidR="00D22EA5" w:rsidRPr="00830F4C">
        <w:rPr>
          <w:rFonts w:ascii="Garamond" w:hAnsi="Garamond"/>
        </w:rPr>
        <w:t>“</w:t>
      </w:r>
      <w:r w:rsidRPr="00830F4C">
        <w:rPr>
          <w:rFonts w:ascii="Garamond" w:hAnsi="Garamond"/>
        </w:rPr>
        <w:t>Zgjidhja në dorë e projektit të zbatimit të kontratës NSW</w:t>
      </w:r>
      <w:r w:rsidR="00D22EA5" w:rsidRPr="00830F4C">
        <w:rPr>
          <w:rFonts w:ascii="Garamond" w:hAnsi="Garamond"/>
        </w:rPr>
        <w:t>”</w:t>
      </w:r>
      <w:r w:rsidRPr="00830F4C">
        <w:rPr>
          <w:rFonts w:ascii="Garamond" w:hAnsi="Garamond"/>
        </w:rPr>
        <w:t>. Ky publikim do të jetë deri më 10 dhjetor 2024. Është ngritur Komisioni i Vlerësimit të Ofertave</w:t>
      </w:r>
      <w:r w:rsidR="00D22EA5" w:rsidRPr="00830F4C">
        <w:rPr>
          <w:rFonts w:ascii="Garamond" w:hAnsi="Garamond"/>
        </w:rPr>
        <w:t xml:space="preserve"> </w:t>
      </w:r>
      <w:r w:rsidRPr="00830F4C">
        <w:rPr>
          <w:rFonts w:ascii="Garamond" w:hAnsi="Garamond"/>
        </w:rPr>
        <w:t>për këtë qëllim.</w:t>
      </w:r>
    </w:p>
    <w:p w14:paraId="08D22DE8" w14:textId="11B64BDD" w:rsidR="005D2226" w:rsidRPr="00830F4C" w:rsidRDefault="005D2226" w:rsidP="005D2226">
      <w:pPr>
        <w:ind w:firstLine="284"/>
        <w:jc w:val="both"/>
        <w:rPr>
          <w:rFonts w:ascii="Garamond" w:hAnsi="Garamond"/>
        </w:rPr>
      </w:pPr>
      <w:r w:rsidRPr="00830F4C">
        <w:rPr>
          <w:rFonts w:ascii="Garamond" w:hAnsi="Garamond"/>
        </w:rPr>
        <w:t xml:space="preserve">Konsulenti IOS&amp; Epes që është përgjegjës për </w:t>
      </w:r>
      <w:r w:rsidR="002845E2">
        <w:rPr>
          <w:rFonts w:ascii="Garamond" w:hAnsi="Garamond"/>
        </w:rPr>
        <w:t>a</w:t>
      </w:r>
      <w:r w:rsidRPr="00830F4C">
        <w:rPr>
          <w:rFonts w:ascii="Garamond" w:hAnsi="Garamond"/>
        </w:rPr>
        <w:t xml:space="preserve">ktivitetin WBTTF-ALB-111AB–112AB– </w:t>
      </w:r>
      <w:r w:rsidR="00D22EA5" w:rsidRPr="00830F4C">
        <w:rPr>
          <w:rFonts w:ascii="Garamond" w:hAnsi="Garamond"/>
        </w:rPr>
        <w:t>“</w:t>
      </w:r>
      <w:r w:rsidR="003C72BE" w:rsidRPr="00830F4C">
        <w:rPr>
          <w:rFonts w:ascii="Garamond" w:hAnsi="Garamond"/>
        </w:rPr>
        <w:t>dizenj</w:t>
      </w:r>
      <w:r w:rsidRPr="00830F4C">
        <w:rPr>
          <w:rFonts w:ascii="Garamond" w:hAnsi="Garamond"/>
        </w:rPr>
        <w:t>imi i projektit, specifikimet teknike, mbikëqyrja dhe sigurimi i cilësisë së zbatimit të dritares së vetme kombëtare (NSW) në Shqipëri (Kontrata PSQA)</w:t>
      </w:r>
      <w:r w:rsidR="00D22EA5" w:rsidRPr="00830F4C">
        <w:rPr>
          <w:rFonts w:ascii="Garamond" w:hAnsi="Garamond"/>
        </w:rPr>
        <w:t>”</w:t>
      </w:r>
      <w:r w:rsidRPr="00830F4C">
        <w:rPr>
          <w:rFonts w:ascii="Garamond" w:hAnsi="Garamond"/>
        </w:rPr>
        <w:t xml:space="preserve"> ka dorëzuar detyrën 4 </w:t>
      </w:r>
      <w:r w:rsidR="00D22EA5" w:rsidRPr="00830F4C">
        <w:rPr>
          <w:rFonts w:ascii="Garamond" w:hAnsi="Garamond"/>
        </w:rPr>
        <w:t>“</w:t>
      </w:r>
      <w:r w:rsidRPr="00830F4C">
        <w:rPr>
          <w:rFonts w:ascii="Garamond" w:hAnsi="Garamond"/>
        </w:rPr>
        <w:t>Ndrysho Strategjia e Menaxhimit dhe Plani i Ngritjes së Kapaciteteve për Mbikëqyrjen e projektit për Mbështetjen e Menaxhimit dhe sigurimin e cilësisë të zbatimit të NSW në Shqipëri</w:t>
      </w:r>
      <w:r w:rsidR="00D22EA5" w:rsidRPr="00830F4C">
        <w:rPr>
          <w:rFonts w:ascii="Garamond" w:hAnsi="Garamond"/>
        </w:rPr>
        <w:t>”</w:t>
      </w:r>
      <w:r w:rsidRPr="00830F4C">
        <w:rPr>
          <w:rFonts w:ascii="Garamond" w:hAnsi="Garamond"/>
        </w:rPr>
        <w:t>, kur miratohet nga Përfituesi dhe Banka Botërore.</w:t>
      </w:r>
    </w:p>
    <w:p w14:paraId="0237DDCC" w14:textId="110311EC" w:rsidR="005D2226" w:rsidRPr="00830F4C" w:rsidRDefault="005D2226" w:rsidP="005D2226">
      <w:pPr>
        <w:ind w:firstLine="284"/>
        <w:jc w:val="both"/>
        <w:rPr>
          <w:rFonts w:ascii="Garamond" w:hAnsi="Garamond"/>
        </w:rPr>
      </w:pPr>
      <w:r w:rsidRPr="00830F4C">
        <w:rPr>
          <w:rFonts w:ascii="Garamond" w:hAnsi="Garamond"/>
        </w:rPr>
        <w:t>Dritarja e Vetme Kombëtare (</w:t>
      </w:r>
      <w:r w:rsidRPr="00830F4C">
        <w:rPr>
          <w:rFonts w:ascii="Garamond" w:hAnsi="Garamond"/>
          <w:i/>
        </w:rPr>
        <w:t>National Single Window</w:t>
      </w:r>
      <w:r w:rsidRPr="00830F4C">
        <w:rPr>
          <w:rFonts w:ascii="Garamond" w:hAnsi="Garamond"/>
        </w:rPr>
        <w:t xml:space="preserve">) bën të mundur komunikimin elektronikisht midis autoriteteve doganore dhe të gjitha institucioneve kombëtare që </w:t>
      </w:r>
      <w:r w:rsidR="008C0C0F" w:rsidRPr="00830F4C">
        <w:rPr>
          <w:rFonts w:ascii="Garamond" w:hAnsi="Garamond"/>
        </w:rPr>
        <w:t>lëshojnë</w:t>
      </w:r>
      <w:r w:rsidRPr="00830F4C">
        <w:rPr>
          <w:rFonts w:ascii="Garamond" w:hAnsi="Garamond"/>
        </w:rPr>
        <w:t xml:space="preserve"> leje, </w:t>
      </w:r>
      <w:r w:rsidR="008C0C0F" w:rsidRPr="00830F4C">
        <w:rPr>
          <w:rFonts w:ascii="Garamond" w:hAnsi="Garamond"/>
        </w:rPr>
        <w:t>licenca</w:t>
      </w:r>
      <w:r w:rsidRPr="00830F4C">
        <w:rPr>
          <w:rFonts w:ascii="Garamond" w:hAnsi="Garamond"/>
        </w:rPr>
        <w:t>, autorizime etj</w:t>
      </w:r>
      <w:r w:rsidR="008C0C0F" w:rsidRPr="00830F4C">
        <w:rPr>
          <w:rFonts w:ascii="Garamond" w:hAnsi="Garamond"/>
        </w:rPr>
        <w:t>.</w:t>
      </w:r>
      <w:r w:rsidRPr="00830F4C">
        <w:rPr>
          <w:rFonts w:ascii="Garamond" w:hAnsi="Garamond"/>
        </w:rPr>
        <w:t>, të cilat janë të domosdoshme për kryerjen e procedurave doganore në import-eksportin e mallrave. Kjo sjell uljen e kohës së zhdoganimit, uljen e kostove për bizneset, lehtësi dhe tra</w:t>
      </w:r>
      <w:r w:rsidR="008C0C0F" w:rsidRPr="00830F4C">
        <w:rPr>
          <w:rFonts w:ascii="Garamond" w:hAnsi="Garamond"/>
        </w:rPr>
        <w:t>n</w:t>
      </w:r>
      <w:r w:rsidRPr="00830F4C">
        <w:rPr>
          <w:rFonts w:ascii="Garamond" w:hAnsi="Garamond"/>
        </w:rPr>
        <w:t>sparencë. Sipas vlerësimeve të Bankës Botërore, kostot tregtare ulen me 10%.</w:t>
      </w:r>
    </w:p>
    <w:p w14:paraId="34449DA6" w14:textId="77777777" w:rsidR="005D2226" w:rsidRPr="00830F4C" w:rsidRDefault="005D2226" w:rsidP="005D2226">
      <w:pPr>
        <w:ind w:firstLine="284"/>
        <w:jc w:val="both"/>
        <w:rPr>
          <w:rFonts w:ascii="Garamond" w:hAnsi="Garamond"/>
          <w:b/>
        </w:rPr>
      </w:pPr>
      <w:r w:rsidRPr="00830F4C">
        <w:rPr>
          <w:rFonts w:ascii="Garamond" w:hAnsi="Garamond"/>
          <w:b/>
        </w:rPr>
        <w:t>Prioritetet:</w:t>
      </w:r>
    </w:p>
    <w:p w14:paraId="4760A82C" w14:textId="207DC714" w:rsidR="005D2226" w:rsidRPr="00830F4C" w:rsidRDefault="005D2226" w:rsidP="005D2226">
      <w:pPr>
        <w:ind w:firstLine="284"/>
        <w:jc w:val="both"/>
        <w:rPr>
          <w:rFonts w:ascii="Garamond" w:hAnsi="Garamond"/>
        </w:rPr>
      </w:pPr>
      <w:r w:rsidRPr="00830F4C">
        <w:rPr>
          <w:rFonts w:ascii="Garamond" w:hAnsi="Garamond"/>
        </w:rPr>
        <w:t>Prioritetet për periudhën</w:t>
      </w:r>
      <w:r w:rsidR="00800B00" w:rsidRPr="00830F4C">
        <w:rPr>
          <w:rFonts w:ascii="Garamond" w:hAnsi="Garamond"/>
        </w:rPr>
        <w:t xml:space="preserve"> </w:t>
      </w:r>
      <w:r w:rsidR="00D22EA5" w:rsidRPr="00830F4C">
        <w:rPr>
          <w:rFonts w:ascii="Garamond" w:hAnsi="Garamond"/>
        </w:rPr>
        <w:t>2024–2027</w:t>
      </w:r>
      <w:r w:rsidRPr="00830F4C">
        <w:rPr>
          <w:rFonts w:ascii="Garamond" w:hAnsi="Garamond"/>
        </w:rPr>
        <w:t xml:space="preserve"> janë:</w:t>
      </w:r>
    </w:p>
    <w:p w14:paraId="622079AC" w14:textId="77777777" w:rsidR="005D2226" w:rsidRPr="00830F4C" w:rsidRDefault="005D2226" w:rsidP="005D2226">
      <w:pPr>
        <w:pStyle w:val="ListParagraph"/>
        <w:spacing w:after="0" w:line="240" w:lineRule="auto"/>
        <w:ind w:left="284"/>
        <w:jc w:val="both"/>
        <w:rPr>
          <w:rFonts w:ascii="Garamond" w:hAnsi="Garamond"/>
          <w:sz w:val="24"/>
        </w:rPr>
      </w:pPr>
      <w:r w:rsidRPr="00830F4C">
        <w:rPr>
          <w:rFonts w:ascii="Garamond" w:hAnsi="Garamond"/>
          <w:sz w:val="24"/>
        </w:rPr>
        <w:t>- Implementimi i Dritares së Vetme Kombëtare (</w:t>
      </w:r>
      <w:r w:rsidRPr="00830F4C">
        <w:rPr>
          <w:rFonts w:ascii="Garamond" w:hAnsi="Garamond"/>
          <w:i/>
          <w:sz w:val="24"/>
        </w:rPr>
        <w:t>National Single Window</w:t>
      </w:r>
      <w:r w:rsidRPr="00830F4C">
        <w:rPr>
          <w:rFonts w:ascii="Garamond" w:hAnsi="Garamond"/>
          <w:sz w:val="24"/>
        </w:rPr>
        <w:t>) brenda vitit 2026.</w:t>
      </w:r>
    </w:p>
    <w:p w14:paraId="12E8A596" w14:textId="77777777" w:rsidR="005D2226" w:rsidRPr="00830F4C" w:rsidRDefault="005D2226" w:rsidP="005D2226">
      <w:pPr>
        <w:jc w:val="both"/>
        <w:rPr>
          <w:rFonts w:ascii="Garamond" w:hAnsi="Garamond"/>
          <w:b/>
          <w:szCs w:val="20"/>
        </w:rPr>
      </w:pPr>
      <w:r w:rsidRPr="00830F4C">
        <w:rPr>
          <w:rFonts w:ascii="Garamond" w:hAnsi="Garamond"/>
          <w:b/>
          <w:szCs w:val="20"/>
        </w:rPr>
        <w:t>Masat dhe aktivitetet</w:t>
      </w:r>
    </w:p>
    <w:tbl>
      <w:tblPr>
        <w:tblStyle w:val="TableGrid"/>
        <w:tblW w:w="0" w:type="auto"/>
        <w:tblLook w:val="04A0" w:firstRow="1" w:lastRow="0" w:firstColumn="1" w:lastColumn="0" w:noHBand="0" w:noVBand="1"/>
      </w:tblPr>
      <w:tblGrid>
        <w:gridCol w:w="2664"/>
        <w:gridCol w:w="1504"/>
        <w:gridCol w:w="1466"/>
        <w:gridCol w:w="1722"/>
        <w:gridCol w:w="1994"/>
      </w:tblGrid>
      <w:tr w:rsidR="005D2226" w:rsidRPr="00CC11D5" w14:paraId="4903EB4D" w14:textId="77777777" w:rsidTr="005D2226">
        <w:trPr>
          <w:trHeight w:val="20"/>
        </w:trPr>
        <w:tc>
          <w:tcPr>
            <w:tcW w:w="2667" w:type="dxa"/>
          </w:tcPr>
          <w:p w14:paraId="022526C4" w14:textId="77777777" w:rsidR="005D2226" w:rsidRPr="00CC11D5" w:rsidRDefault="005D2226" w:rsidP="005D2226">
            <w:pPr>
              <w:jc w:val="center"/>
              <w:rPr>
                <w:rFonts w:ascii="Garamond" w:hAnsi="Garamond"/>
                <w:b/>
                <w:sz w:val="12"/>
                <w:szCs w:val="12"/>
              </w:rPr>
            </w:pPr>
            <w:r w:rsidRPr="00CC11D5">
              <w:rPr>
                <w:rFonts w:ascii="Garamond" w:hAnsi="Garamond"/>
                <w:b/>
                <w:sz w:val="12"/>
                <w:szCs w:val="12"/>
              </w:rPr>
              <w:t>Masa</w:t>
            </w:r>
          </w:p>
        </w:tc>
        <w:tc>
          <w:tcPr>
            <w:tcW w:w="1163" w:type="dxa"/>
          </w:tcPr>
          <w:p w14:paraId="664CD450" w14:textId="77777777" w:rsidR="005D2226" w:rsidRPr="00CC11D5" w:rsidRDefault="005D2226" w:rsidP="005D2226">
            <w:pPr>
              <w:jc w:val="center"/>
              <w:rPr>
                <w:rFonts w:ascii="Garamond" w:hAnsi="Garamond"/>
                <w:b/>
                <w:sz w:val="12"/>
                <w:szCs w:val="12"/>
              </w:rPr>
            </w:pPr>
            <w:r w:rsidRPr="00CC11D5">
              <w:rPr>
                <w:rFonts w:ascii="Garamond" w:hAnsi="Garamond"/>
                <w:b/>
                <w:sz w:val="12"/>
                <w:szCs w:val="12"/>
              </w:rPr>
              <w:t>Aktivitete</w:t>
            </w:r>
          </w:p>
        </w:tc>
        <w:tc>
          <w:tcPr>
            <w:tcW w:w="1467" w:type="dxa"/>
          </w:tcPr>
          <w:p w14:paraId="2C79FA3A" w14:textId="77777777" w:rsidR="005D2226" w:rsidRPr="00CC11D5" w:rsidRDefault="005D2226" w:rsidP="005D2226">
            <w:pPr>
              <w:jc w:val="center"/>
              <w:rPr>
                <w:rFonts w:ascii="Garamond" w:hAnsi="Garamond"/>
                <w:b/>
                <w:sz w:val="12"/>
                <w:szCs w:val="12"/>
              </w:rPr>
            </w:pPr>
            <w:r w:rsidRPr="00CC11D5">
              <w:rPr>
                <w:rFonts w:ascii="Garamond" w:hAnsi="Garamond"/>
                <w:b/>
                <w:sz w:val="12"/>
                <w:szCs w:val="12"/>
              </w:rPr>
              <w:t>Fillimi</w:t>
            </w:r>
          </w:p>
        </w:tc>
        <w:tc>
          <w:tcPr>
            <w:tcW w:w="1724" w:type="dxa"/>
          </w:tcPr>
          <w:p w14:paraId="5E814288" w14:textId="77777777" w:rsidR="005D2226" w:rsidRPr="00CC11D5" w:rsidRDefault="005D2226" w:rsidP="005D2226">
            <w:pPr>
              <w:jc w:val="center"/>
              <w:rPr>
                <w:rFonts w:ascii="Garamond" w:hAnsi="Garamond"/>
                <w:b/>
                <w:sz w:val="12"/>
                <w:szCs w:val="12"/>
              </w:rPr>
            </w:pPr>
            <w:r w:rsidRPr="00CC11D5">
              <w:rPr>
                <w:rFonts w:ascii="Garamond" w:hAnsi="Garamond"/>
                <w:b/>
                <w:sz w:val="12"/>
                <w:szCs w:val="12"/>
              </w:rPr>
              <w:t>Mbarimi</w:t>
            </w:r>
          </w:p>
        </w:tc>
        <w:tc>
          <w:tcPr>
            <w:tcW w:w="1995" w:type="dxa"/>
          </w:tcPr>
          <w:p w14:paraId="1FE255D7" w14:textId="77777777" w:rsidR="005D2226" w:rsidRPr="00CC11D5" w:rsidRDefault="005D2226" w:rsidP="005D2226">
            <w:pPr>
              <w:jc w:val="center"/>
              <w:rPr>
                <w:rFonts w:ascii="Garamond" w:hAnsi="Garamond"/>
                <w:b/>
                <w:sz w:val="12"/>
                <w:szCs w:val="12"/>
              </w:rPr>
            </w:pPr>
            <w:r w:rsidRPr="00CC11D5">
              <w:rPr>
                <w:rFonts w:ascii="Garamond" w:hAnsi="Garamond"/>
                <w:b/>
                <w:sz w:val="12"/>
                <w:szCs w:val="12"/>
              </w:rPr>
              <w:t>Institucioni përgjegjës</w:t>
            </w:r>
          </w:p>
        </w:tc>
      </w:tr>
      <w:tr w:rsidR="005D2226" w:rsidRPr="00CC11D5" w14:paraId="080FD221" w14:textId="77777777" w:rsidTr="005D2226">
        <w:trPr>
          <w:trHeight w:val="20"/>
        </w:trPr>
        <w:tc>
          <w:tcPr>
            <w:tcW w:w="2667" w:type="dxa"/>
          </w:tcPr>
          <w:p w14:paraId="3666CCC7" w14:textId="19891F3A" w:rsidR="005D2226" w:rsidRPr="00CC11D5" w:rsidRDefault="005D2226" w:rsidP="005D2226">
            <w:pPr>
              <w:jc w:val="center"/>
              <w:rPr>
                <w:rFonts w:ascii="Garamond" w:eastAsiaTheme="minorHAnsi" w:hAnsi="Garamond"/>
                <w:sz w:val="12"/>
                <w:szCs w:val="12"/>
              </w:rPr>
            </w:pPr>
            <w:r w:rsidRPr="00CC11D5">
              <w:rPr>
                <w:rFonts w:ascii="Garamond" w:hAnsi="Garamond"/>
                <w:sz w:val="12"/>
                <w:szCs w:val="12"/>
              </w:rPr>
              <w:t>Masa 3.6.1 Zhvillimi i konceptit dhe strukturës institucionale të Dritares së Vetme Kombëtare (</w:t>
            </w:r>
            <w:r w:rsidRPr="00CC11D5">
              <w:rPr>
                <w:rFonts w:ascii="Garamond" w:hAnsi="Garamond"/>
                <w:i/>
                <w:sz w:val="12"/>
                <w:szCs w:val="12"/>
              </w:rPr>
              <w:t>National Single Window</w:t>
            </w:r>
            <w:r w:rsidR="008C0C0F" w:rsidRPr="00CC11D5">
              <w:rPr>
                <w:rFonts w:ascii="Garamond" w:hAnsi="Garamond"/>
                <w:sz w:val="12"/>
                <w:szCs w:val="12"/>
              </w:rPr>
              <w:t>)</w:t>
            </w:r>
          </w:p>
        </w:tc>
        <w:tc>
          <w:tcPr>
            <w:tcW w:w="1163" w:type="dxa"/>
          </w:tcPr>
          <w:p w14:paraId="20CAC609" w14:textId="6BC7F919" w:rsidR="005D2226" w:rsidRPr="00CC11D5" w:rsidRDefault="005D2226" w:rsidP="005D2226">
            <w:pPr>
              <w:jc w:val="center"/>
              <w:rPr>
                <w:rFonts w:ascii="Garamond" w:hAnsi="Garamond"/>
                <w:sz w:val="12"/>
                <w:szCs w:val="12"/>
              </w:rPr>
            </w:pPr>
            <w:r w:rsidRPr="00CC11D5">
              <w:rPr>
                <w:rFonts w:ascii="Garamond" w:hAnsi="Garamond"/>
                <w:sz w:val="12"/>
                <w:szCs w:val="12"/>
              </w:rPr>
              <w:t>Aktiviteti 3.6.1.1</w:t>
            </w:r>
            <w:r w:rsidR="002845E2" w:rsidRPr="00CC11D5">
              <w:rPr>
                <w:rFonts w:ascii="Garamond" w:hAnsi="Garamond"/>
                <w:sz w:val="12"/>
                <w:szCs w:val="12"/>
              </w:rPr>
              <w:t>:</w:t>
            </w:r>
            <w:r w:rsidRPr="00CC11D5">
              <w:rPr>
                <w:rFonts w:ascii="Garamond" w:hAnsi="Garamond"/>
                <w:sz w:val="12"/>
                <w:szCs w:val="12"/>
              </w:rPr>
              <w:t xml:space="preserve"> Përzgjidhja e kompanisë që do të kryejë aplikimin teknik</w:t>
            </w:r>
          </w:p>
        </w:tc>
        <w:tc>
          <w:tcPr>
            <w:tcW w:w="1467" w:type="dxa"/>
          </w:tcPr>
          <w:p w14:paraId="1E1C15A6" w14:textId="77777777" w:rsidR="005D2226" w:rsidRPr="00CC11D5" w:rsidRDefault="005D2226" w:rsidP="005D2226">
            <w:pPr>
              <w:jc w:val="center"/>
              <w:rPr>
                <w:rFonts w:ascii="Garamond" w:hAnsi="Garamond"/>
                <w:sz w:val="12"/>
                <w:szCs w:val="12"/>
              </w:rPr>
            </w:pPr>
            <w:r w:rsidRPr="00CC11D5">
              <w:rPr>
                <w:rFonts w:ascii="Garamond" w:hAnsi="Garamond"/>
                <w:sz w:val="12"/>
                <w:szCs w:val="12"/>
              </w:rPr>
              <w:t>2024</w:t>
            </w:r>
          </w:p>
        </w:tc>
        <w:tc>
          <w:tcPr>
            <w:tcW w:w="1724" w:type="dxa"/>
          </w:tcPr>
          <w:p w14:paraId="367734A2" w14:textId="77777777" w:rsidR="005D2226" w:rsidRPr="00CC11D5" w:rsidRDefault="005D2226" w:rsidP="005D2226">
            <w:pPr>
              <w:jc w:val="center"/>
              <w:rPr>
                <w:rFonts w:ascii="Garamond" w:hAnsi="Garamond"/>
                <w:sz w:val="12"/>
                <w:szCs w:val="12"/>
              </w:rPr>
            </w:pPr>
            <w:r w:rsidRPr="00CC11D5">
              <w:rPr>
                <w:rFonts w:ascii="Garamond" w:hAnsi="Garamond"/>
                <w:sz w:val="12"/>
                <w:szCs w:val="12"/>
              </w:rPr>
              <w:t>Qershor 2024</w:t>
            </w:r>
          </w:p>
        </w:tc>
        <w:tc>
          <w:tcPr>
            <w:tcW w:w="1995" w:type="dxa"/>
          </w:tcPr>
          <w:p w14:paraId="162AEE97" w14:textId="77777777" w:rsidR="005D2226" w:rsidRPr="00CC11D5" w:rsidRDefault="005D2226" w:rsidP="005D2226">
            <w:pPr>
              <w:jc w:val="center"/>
              <w:rPr>
                <w:rFonts w:ascii="Garamond" w:hAnsi="Garamond"/>
                <w:sz w:val="12"/>
                <w:szCs w:val="12"/>
              </w:rPr>
            </w:pPr>
            <w:r w:rsidRPr="00CC11D5">
              <w:rPr>
                <w:rFonts w:ascii="Garamond" w:hAnsi="Garamond"/>
                <w:sz w:val="12"/>
                <w:szCs w:val="12"/>
              </w:rPr>
              <w:t>Banka Botërore</w:t>
            </w:r>
          </w:p>
        </w:tc>
      </w:tr>
      <w:tr w:rsidR="005D2226" w:rsidRPr="00CC11D5" w14:paraId="245CCA7C" w14:textId="77777777" w:rsidTr="005D2226">
        <w:trPr>
          <w:trHeight w:val="20"/>
        </w:trPr>
        <w:tc>
          <w:tcPr>
            <w:tcW w:w="2667" w:type="dxa"/>
          </w:tcPr>
          <w:p w14:paraId="61FCE319" w14:textId="076581E2" w:rsidR="005D2226" w:rsidRPr="00CC11D5" w:rsidRDefault="005D2226" w:rsidP="005D2226">
            <w:pPr>
              <w:jc w:val="center"/>
              <w:rPr>
                <w:rFonts w:ascii="Garamond" w:eastAsiaTheme="minorHAnsi" w:hAnsi="Garamond"/>
                <w:sz w:val="12"/>
                <w:szCs w:val="12"/>
              </w:rPr>
            </w:pPr>
            <w:r w:rsidRPr="00CC11D5">
              <w:rPr>
                <w:rFonts w:ascii="Garamond" w:hAnsi="Garamond"/>
                <w:sz w:val="12"/>
                <w:szCs w:val="12"/>
              </w:rPr>
              <w:t>Masa 3.6.2</w:t>
            </w:r>
            <w:r w:rsidR="002845E2" w:rsidRPr="00CC11D5">
              <w:rPr>
                <w:rFonts w:ascii="Garamond" w:hAnsi="Garamond"/>
                <w:sz w:val="12"/>
                <w:szCs w:val="12"/>
              </w:rPr>
              <w:t xml:space="preserve"> </w:t>
            </w:r>
            <w:r w:rsidRPr="00CC11D5">
              <w:rPr>
                <w:rFonts w:ascii="Garamond" w:hAnsi="Garamond"/>
                <w:sz w:val="12"/>
                <w:szCs w:val="12"/>
              </w:rPr>
              <w:t>Rishikimi dhe ndryshimi i legjislacionit dhe i rregulloreve për Dritaren e Vetme Kombëtare (</w:t>
            </w:r>
            <w:r w:rsidRPr="00CC11D5">
              <w:rPr>
                <w:rFonts w:ascii="Garamond" w:hAnsi="Garamond"/>
                <w:i/>
                <w:sz w:val="12"/>
                <w:szCs w:val="12"/>
              </w:rPr>
              <w:t>National Single Window</w:t>
            </w:r>
            <w:r w:rsidRPr="00CC11D5">
              <w:rPr>
                <w:rFonts w:ascii="Garamond" w:hAnsi="Garamond"/>
                <w:sz w:val="12"/>
                <w:szCs w:val="12"/>
              </w:rPr>
              <w:t>)</w:t>
            </w:r>
          </w:p>
        </w:tc>
        <w:tc>
          <w:tcPr>
            <w:tcW w:w="1163" w:type="dxa"/>
          </w:tcPr>
          <w:p w14:paraId="3DA12F3E" w14:textId="71AC188F" w:rsidR="005D2226" w:rsidRPr="00CC11D5" w:rsidRDefault="005D2226" w:rsidP="005D2226">
            <w:pPr>
              <w:jc w:val="center"/>
              <w:rPr>
                <w:rFonts w:ascii="Garamond" w:hAnsi="Garamond"/>
                <w:sz w:val="12"/>
                <w:szCs w:val="12"/>
              </w:rPr>
            </w:pPr>
            <w:r w:rsidRPr="00CC11D5">
              <w:rPr>
                <w:rFonts w:ascii="Garamond" w:hAnsi="Garamond"/>
                <w:sz w:val="12"/>
                <w:szCs w:val="12"/>
              </w:rPr>
              <w:t>Aktiviteti 3.6.2.1</w:t>
            </w:r>
            <w:r w:rsidR="002845E2" w:rsidRPr="00CC11D5">
              <w:rPr>
                <w:rFonts w:ascii="Garamond" w:hAnsi="Garamond"/>
                <w:sz w:val="12"/>
                <w:szCs w:val="12"/>
              </w:rPr>
              <w:t>:</w:t>
            </w:r>
            <w:r w:rsidRPr="00CC11D5">
              <w:rPr>
                <w:rFonts w:ascii="Garamond" w:hAnsi="Garamond"/>
                <w:sz w:val="12"/>
                <w:szCs w:val="12"/>
              </w:rPr>
              <w:t xml:space="preserve"> Hartimi dhe miratimi i paketës ligjore</w:t>
            </w:r>
          </w:p>
        </w:tc>
        <w:tc>
          <w:tcPr>
            <w:tcW w:w="1467" w:type="dxa"/>
          </w:tcPr>
          <w:p w14:paraId="6B9E2C58" w14:textId="77777777" w:rsidR="005D2226" w:rsidRPr="00CC11D5" w:rsidRDefault="005D2226" w:rsidP="005D2226">
            <w:pPr>
              <w:jc w:val="center"/>
              <w:rPr>
                <w:rFonts w:ascii="Garamond" w:hAnsi="Garamond"/>
                <w:sz w:val="12"/>
                <w:szCs w:val="12"/>
              </w:rPr>
            </w:pPr>
            <w:r w:rsidRPr="00CC11D5">
              <w:rPr>
                <w:rFonts w:ascii="Garamond" w:hAnsi="Garamond"/>
                <w:sz w:val="12"/>
                <w:szCs w:val="12"/>
              </w:rPr>
              <w:t>2024</w:t>
            </w:r>
          </w:p>
        </w:tc>
        <w:tc>
          <w:tcPr>
            <w:tcW w:w="1724" w:type="dxa"/>
          </w:tcPr>
          <w:p w14:paraId="2E182F78" w14:textId="77777777" w:rsidR="005D2226" w:rsidRPr="00CC11D5" w:rsidRDefault="005D2226" w:rsidP="005D2226">
            <w:pPr>
              <w:jc w:val="center"/>
              <w:rPr>
                <w:rFonts w:ascii="Garamond" w:hAnsi="Garamond"/>
                <w:sz w:val="12"/>
                <w:szCs w:val="12"/>
              </w:rPr>
            </w:pPr>
            <w:r w:rsidRPr="00CC11D5">
              <w:rPr>
                <w:rFonts w:ascii="Garamond" w:hAnsi="Garamond"/>
                <w:sz w:val="12"/>
                <w:szCs w:val="12"/>
              </w:rPr>
              <w:t>2026</w:t>
            </w:r>
          </w:p>
        </w:tc>
        <w:tc>
          <w:tcPr>
            <w:tcW w:w="1995" w:type="dxa"/>
          </w:tcPr>
          <w:p w14:paraId="70E1E00A" w14:textId="3DD33345" w:rsidR="005D2226" w:rsidRPr="00CC11D5" w:rsidRDefault="005D2226" w:rsidP="005D2226">
            <w:pPr>
              <w:jc w:val="center"/>
              <w:rPr>
                <w:rFonts w:ascii="Garamond" w:hAnsi="Garamond"/>
                <w:sz w:val="12"/>
                <w:szCs w:val="12"/>
              </w:rPr>
            </w:pPr>
            <w:r w:rsidRPr="00CC11D5">
              <w:rPr>
                <w:rFonts w:ascii="Garamond" w:hAnsi="Garamond"/>
                <w:sz w:val="12"/>
                <w:szCs w:val="12"/>
              </w:rPr>
              <w:t>Njësia e Men</w:t>
            </w:r>
            <w:r w:rsidR="008C0C0F" w:rsidRPr="00CC11D5">
              <w:rPr>
                <w:rFonts w:ascii="Garamond" w:hAnsi="Garamond"/>
                <w:sz w:val="12"/>
                <w:szCs w:val="12"/>
              </w:rPr>
              <w:t>a</w:t>
            </w:r>
            <w:r w:rsidRPr="00CC11D5">
              <w:rPr>
                <w:rFonts w:ascii="Garamond" w:hAnsi="Garamond"/>
                <w:sz w:val="12"/>
                <w:szCs w:val="12"/>
              </w:rPr>
              <w:t>xhimit të Projektit DPD/ (PIU)</w:t>
            </w:r>
          </w:p>
        </w:tc>
      </w:tr>
      <w:tr w:rsidR="005D2226" w:rsidRPr="00CC11D5" w14:paraId="15579130" w14:textId="77777777" w:rsidTr="005D2226">
        <w:trPr>
          <w:trHeight w:val="20"/>
        </w:trPr>
        <w:tc>
          <w:tcPr>
            <w:tcW w:w="2667" w:type="dxa"/>
          </w:tcPr>
          <w:p w14:paraId="16D0AB6D" w14:textId="5C345E8B" w:rsidR="005D2226" w:rsidRPr="00CC11D5" w:rsidRDefault="005D2226" w:rsidP="005D2226">
            <w:pPr>
              <w:jc w:val="center"/>
              <w:rPr>
                <w:rFonts w:ascii="Garamond" w:hAnsi="Garamond"/>
                <w:sz w:val="12"/>
                <w:szCs w:val="12"/>
              </w:rPr>
            </w:pPr>
            <w:r w:rsidRPr="00CC11D5">
              <w:rPr>
                <w:rFonts w:ascii="Garamond" w:hAnsi="Garamond"/>
                <w:sz w:val="12"/>
                <w:szCs w:val="12"/>
              </w:rPr>
              <w:t>Masa 3.6.3 Zhvillimi dhe vendosja e zgjidhjes së TI-së për Dritaren e Vetme Kombëtare (</w:t>
            </w:r>
            <w:r w:rsidRPr="00CC11D5">
              <w:rPr>
                <w:rFonts w:ascii="Garamond" w:hAnsi="Garamond"/>
                <w:i/>
                <w:sz w:val="12"/>
                <w:szCs w:val="12"/>
              </w:rPr>
              <w:t>National Single Window</w:t>
            </w:r>
            <w:r w:rsidRPr="00CC11D5">
              <w:rPr>
                <w:rFonts w:ascii="Garamond" w:hAnsi="Garamond"/>
                <w:sz w:val="12"/>
                <w:szCs w:val="12"/>
              </w:rPr>
              <w:t>)</w:t>
            </w:r>
          </w:p>
          <w:p w14:paraId="5E4D26CC" w14:textId="77777777" w:rsidR="005D2226" w:rsidRPr="00CC11D5" w:rsidRDefault="005D2226" w:rsidP="005D2226">
            <w:pPr>
              <w:jc w:val="center"/>
              <w:rPr>
                <w:rFonts w:ascii="Garamond" w:eastAsiaTheme="minorHAnsi" w:hAnsi="Garamond"/>
                <w:sz w:val="12"/>
                <w:szCs w:val="12"/>
              </w:rPr>
            </w:pPr>
          </w:p>
        </w:tc>
        <w:tc>
          <w:tcPr>
            <w:tcW w:w="1163" w:type="dxa"/>
          </w:tcPr>
          <w:p w14:paraId="50D654C6" w14:textId="46585397" w:rsidR="005D2226" w:rsidRPr="00CC11D5" w:rsidRDefault="005D2226" w:rsidP="005D2226">
            <w:pPr>
              <w:jc w:val="center"/>
              <w:rPr>
                <w:rFonts w:ascii="Garamond" w:hAnsi="Garamond"/>
                <w:sz w:val="12"/>
                <w:szCs w:val="12"/>
              </w:rPr>
            </w:pPr>
            <w:r w:rsidRPr="00CC11D5">
              <w:rPr>
                <w:rFonts w:ascii="Garamond" w:hAnsi="Garamond"/>
                <w:sz w:val="12"/>
                <w:szCs w:val="12"/>
              </w:rPr>
              <w:t>Aktiviteti 3.6.3.1</w:t>
            </w:r>
            <w:r w:rsidR="002845E2" w:rsidRPr="00CC11D5">
              <w:rPr>
                <w:rFonts w:ascii="Garamond" w:hAnsi="Garamond"/>
                <w:sz w:val="12"/>
                <w:szCs w:val="12"/>
              </w:rPr>
              <w:t>:</w:t>
            </w:r>
            <w:r w:rsidRPr="00CC11D5">
              <w:rPr>
                <w:rFonts w:ascii="Garamond" w:eastAsiaTheme="minorHAnsi" w:hAnsi="Garamond"/>
                <w:sz w:val="12"/>
                <w:szCs w:val="12"/>
              </w:rPr>
              <w:t xml:space="preserve"> Zhvillimi/instalimi/Testimi i plotë i programit</w:t>
            </w:r>
            <w:r w:rsidRPr="00CC11D5">
              <w:rPr>
                <w:rFonts w:ascii="Garamond" w:hAnsi="Garamond"/>
                <w:sz w:val="12"/>
                <w:szCs w:val="12"/>
              </w:rPr>
              <w:t xml:space="preserve"> nga kompania kryen të gjitha veprimet për një program funksional</w:t>
            </w:r>
          </w:p>
        </w:tc>
        <w:tc>
          <w:tcPr>
            <w:tcW w:w="1467" w:type="dxa"/>
          </w:tcPr>
          <w:p w14:paraId="497F02A6" w14:textId="77777777" w:rsidR="005D2226" w:rsidRPr="00CC11D5" w:rsidRDefault="005D2226" w:rsidP="005D2226">
            <w:pPr>
              <w:jc w:val="center"/>
              <w:rPr>
                <w:rFonts w:ascii="Garamond" w:hAnsi="Garamond"/>
                <w:sz w:val="12"/>
                <w:szCs w:val="12"/>
              </w:rPr>
            </w:pPr>
            <w:r w:rsidRPr="00CC11D5">
              <w:rPr>
                <w:rFonts w:ascii="Garamond" w:hAnsi="Garamond"/>
                <w:sz w:val="12"/>
                <w:szCs w:val="12"/>
              </w:rPr>
              <w:t>2025</w:t>
            </w:r>
          </w:p>
        </w:tc>
        <w:tc>
          <w:tcPr>
            <w:tcW w:w="1724" w:type="dxa"/>
          </w:tcPr>
          <w:p w14:paraId="28958887" w14:textId="77777777" w:rsidR="005D2226" w:rsidRPr="00CC11D5" w:rsidRDefault="005D2226" w:rsidP="005D2226">
            <w:pPr>
              <w:jc w:val="center"/>
              <w:rPr>
                <w:rFonts w:ascii="Garamond" w:hAnsi="Garamond"/>
                <w:sz w:val="12"/>
                <w:szCs w:val="12"/>
              </w:rPr>
            </w:pPr>
            <w:r w:rsidRPr="00CC11D5">
              <w:rPr>
                <w:rFonts w:ascii="Garamond" w:hAnsi="Garamond"/>
                <w:sz w:val="12"/>
                <w:szCs w:val="12"/>
              </w:rPr>
              <w:t>2026</w:t>
            </w:r>
          </w:p>
        </w:tc>
        <w:tc>
          <w:tcPr>
            <w:tcW w:w="1995" w:type="dxa"/>
          </w:tcPr>
          <w:p w14:paraId="0BA35DF1" w14:textId="77777777" w:rsidR="005D2226" w:rsidRPr="00CC11D5" w:rsidRDefault="005D2226" w:rsidP="005D2226">
            <w:pPr>
              <w:jc w:val="center"/>
              <w:rPr>
                <w:rFonts w:ascii="Garamond" w:hAnsi="Garamond"/>
                <w:sz w:val="12"/>
                <w:szCs w:val="12"/>
              </w:rPr>
            </w:pPr>
            <w:r w:rsidRPr="00CC11D5">
              <w:rPr>
                <w:rFonts w:ascii="Garamond" w:hAnsi="Garamond"/>
                <w:sz w:val="12"/>
                <w:szCs w:val="12"/>
              </w:rPr>
              <w:t>Banka Botërore/DPD/ AKSHI dhe institucione të tjera të përfshira</w:t>
            </w:r>
          </w:p>
        </w:tc>
      </w:tr>
      <w:tr w:rsidR="005D2226" w:rsidRPr="00CC11D5" w14:paraId="2928E45B" w14:textId="77777777" w:rsidTr="005D2226">
        <w:trPr>
          <w:trHeight w:val="20"/>
        </w:trPr>
        <w:tc>
          <w:tcPr>
            <w:tcW w:w="2667" w:type="dxa"/>
          </w:tcPr>
          <w:p w14:paraId="5B699F79" w14:textId="26321E7A" w:rsidR="005D2226" w:rsidRPr="00CC11D5" w:rsidRDefault="005D2226" w:rsidP="005D2226">
            <w:pPr>
              <w:jc w:val="center"/>
              <w:rPr>
                <w:rFonts w:ascii="Garamond" w:hAnsi="Garamond"/>
                <w:sz w:val="12"/>
                <w:szCs w:val="12"/>
              </w:rPr>
            </w:pPr>
            <w:r w:rsidRPr="00CC11D5">
              <w:rPr>
                <w:rFonts w:ascii="Garamond" w:hAnsi="Garamond"/>
                <w:sz w:val="12"/>
                <w:szCs w:val="12"/>
              </w:rPr>
              <w:t>Masa 3.6.4</w:t>
            </w:r>
            <w:r w:rsidR="002845E2" w:rsidRPr="00CC11D5">
              <w:rPr>
                <w:rFonts w:ascii="Garamond" w:hAnsi="Garamond"/>
                <w:sz w:val="12"/>
                <w:szCs w:val="12"/>
              </w:rPr>
              <w:t xml:space="preserve"> </w:t>
            </w:r>
            <w:r w:rsidRPr="00CC11D5">
              <w:rPr>
                <w:rFonts w:ascii="Garamond" w:hAnsi="Garamond"/>
                <w:sz w:val="12"/>
                <w:szCs w:val="12"/>
              </w:rPr>
              <w:t>Dritarja e Vetme Kombëtare (</w:t>
            </w:r>
            <w:r w:rsidRPr="00CC11D5">
              <w:rPr>
                <w:rFonts w:ascii="Garamond" w:hAnsi="Garamond"/>
                <w:i/>
                <w:sz w:val="12"/>
                <w:szCs w:val="12"/>
              </w:rPr>
              <w:t>National Single Window</w:t>
            </w:r>
            <w:r w:rsidRPr="00CC11D5">
              <w:rPr>
                <w:rFonts w:ascii="Garamond" w:hAnsi="Garamond"/>
                <w:sz w:val="12"/>
                <w:szCs w:val="12"/>
              </w:rPr>
              <w:t>) është plotësisht funksionale</w:t>
            </w:r>
          </w:p>
        </w:tc>
        <w:tc>
          <w:tcPr>
            <w:tcW w:w="1163" w:type="dxa"/>
          </w:tcPr>
          <w:p w14:paraId="7E17D845" w14:textId="19B2B0BC" w:rsidR="005D2226" w:rsidRPr="00CC11D5" w:rsidRDefault="005D2226" w:rsidP="005D2226">
            <w:pPr>
              <w:jc w:val="center"/>
              <w:rPr>
                <w:rFonts w:ascii="Garamond" w:hAnsi="Garamond"/>
                <w:sz w:val="12"/>
                <w:szCs w:val="12"/>
              </w:rPr>
            </w:pPr>
            <w:r w:rsidRPr="00CC11D5">
              <w:rPr>
                <w:rFonts w:ascii="Garamond" w:hAnsi="Garamond"/>
                <w:sz w:val="12"/>
                <w:szCs w:val="12"/>
              </w:rPr>
              <w:t>Aktiviteti 3.6.4.1</w:t>
            </w:r>
            <w:r w:rsidR="002845E2" w:rsidRPr="00CC11D5">
              <w:rPr>
                <w:rFonts w:ascii="Garamond" w:hAnsi="Garamond"/>
                <w:sz w:val="12"/>
                <w:szCs w:val="12"/>
              </w:rPr>
              <w:t>:</w:t>
            </w:r>
            <w:r w:rsidRPr="00CC11D5">
              <w:rPr>
                <w:rFonts w:ascii="Garamond" w:hAnsi="Garamond"/>
                <w:sz w:val="12"/>
                <w:szCs w:val="12"/>
              </w:rPr>
              <w:t xml:space="preserve"> Kryerja e</w:t>
            </w:r>
            <w:r w:rsidR="00D22EA5" w:rsidRPr="00CC11D5">
              <w:rPr>
                <w:rFonts w:ascii="Garamond" w:hAnsi="Garamond"/>
                <w:sz w:val="12"/>
                <w:szCs w:val="12"/>
              </w:rPr>
              <w:t xml:space="preserve"> </w:t>
            </w:r>
            <w:r w:rsidRPr="00CC11D5">
              <w:rPr>
                <w:rFonts w:ascii="Garamond" w:hAnsi="Garamond"/>
                <w:sz w:val="12"/>
                <w:szCs w:val="12"/>
              </w:rPr>
              <w:t>gjithë aplikimeve të mundshme që Dritarja e Vetme (</w:t>
            </w:r>
            <w:r w:rsidRPr="00CC11D5">
              <w:rPr>
                <w:rFonts w:ascii="Garamond" w:hAnsi="Garamond"/>
                <w:i/>
                <w:sz w:val="12"/>
                <w:szCs w:val="12"/>
              </w:rPr>
              <w:t>National Single Window</w:t>
            </w:r>
            <w:r w:rsidRPr="00CC11D5">
              <w:rPr>
                <w:rFonts w:ascii="Garamond" w:hAnsi="Garamond"/>
                <w:sz w:val="12"/>
                <w:szCs w:val="12"/>
              </w:rPr>
              <w:t>) quhet e realizuar</w:t>
            </w:r>
          </w:p>
        </w:tc>
        <w:tc>
          <w:tcPr>
            <w:tcW w:w="1467" w:type="dxa"/>
          </w:tcPr>
          <w:p w14:paraId="73D0BDCF" w14:textId="77777777" w:rsidR="005D2226" w:rsidRPr="00CC11D5" w:rsidRDefault="005D2226" w:rsidP="005D2226">
            <w:pPr>
              <w:jc w:val="center"/>
              <w:rPr>
                <w:rFonts w:ascii="Garamond" w:hAnsi="Garamond"/>
                <w:sz w:val="12"/>
                <w:szCs w:val="12"/>
              </w:rPr>
            </w:pPr>
            <w:r w:rsidRPr="00CC11D5">
              <w:rPr>
                <w:rFonts w:ascii="Garamond" w:hAnsi="Garamond"/>
                <w:sz w:val="12"/>
                <w:szCs w:val="12"/>
              </w:rPr>
              <w:t>2026</w:t>
            </w:r>
          </w:p>
        </w:tc>
        <w:tc>
          <w:tcPr>
            <w:tcW w:w="1724" w:type="dxa"/>
          </w:tcPr>
          <w:p w14:paraId="2A0E9A06" w14:textId="77777777" w:rsidR="005D2226" w:rsidRPr="00CC11D5" w:rsidRDefault="005D2226" w:rsidP="005D2226">
            <w:pPr>
              <w:jc w:val="center"/>
              <w:rPr>
                <w:rFonts w:ascii="Garamond" w:hAnsi="Garamond"/>
                <w:sz w:val="12"/>
                <w:szCs w:val="12"/>
              </w:rPr>
            </w:pPr>
            <w:r w:rsidRPr="00CC11D5">
              <w:rPr>
                <w:rFonts w:ascii="Garamond" w:hAnsi="Garamond"/>
                <w:sz w:val="12"/>
                <w:szCs w:val="12"/>
              </w:rPr>
              <w:t>2027</w:t>
            </w:r>
          </w:p>
        </w:tc>
        <w:tc>
          <w:tcPr>
            <w:tcW w:w="1995" w:type="dxa"/>
          </w:tcPr>
          <w:p w14:paraId="0D379A58" w14:textId="77777777" w:rsidR="005D2226" w:rsidRPr="00CC11D5" w:rsidRDefault="005D2226" w:rsidP="005D2226">
            <w:pPr>
              <w:jc w:val="center"/>
              <w:rPr>
                <w:rFonts w:ascii="Garamond" w:hAnsi="Garamond"/>
                <w:sz w:val="12"/>
                <w:szCs w:val="12"/>
              </w:rPr>
            </w:pPr>
            <w:r w:rsidRPr="00CC11D5">
              <w:rPr>
                <w:rFonts w:ascii="Garamond" w:hAnsi="Garamond"/>
                <w:sz w:val="12"/>
                <w:szCs w:val="12"/>
              </w:rPr>
              <w:t>Banka Botërore/DPD/ AKSHI dhe institucione të tjera të përfshira</w:t>
            </w:r>
          </w:p>
        </w:tc>
      </w:tr>
    </w:tbl>
    <w:p w14:paraId="20CD4E5A" w14:textId="77777777" w:rsidR="005D2226" w:rsidRPr="00830F4C" w:rsidRDefault="005D2226" w:rsidP="005D2226">
      <w:pPr>
        <w:jc w:val="both"/>
        <w:rPr>
          <w:rFonts w:ascii="Garamond" w:hAnsi="Garamond"/>
          <w:sz w:val="20"/>
          <w:szCs w:val="20"/>
        </w:rPr>
      </w:pPr>
    </w:p>
    <w:p w14:paraId="7F439D9F" w14:textId="77777777" w:rsidR="005D2226" w:rsidRPr="00830F4C" w:rsidRDefault="005D2226" w:rsidP="005D2226">
      <w:pPr>
        <w:jc w:val="both"/>
        <w:rPr>
          <w:rFonts w:ascii="Garamond" w:hAnsi="Garamond"/>
          <w:b/>
          <w:szCs w:val="20"/>
        </w:rPr>
      </w:pPr>
      <w:r w:rsidRPr="00830F4C">
        <w:rPr>
          <w:rFonts w:ascii="Garamond" w:hAnsi="Garamond"/>
          <w:b/>
          <w:szCs w:val="20"/>
        </w:rPr>
        <w:t>Treguesit e performancës dhe vlerat e synuara</w:t>
      </w:r>
    </w:p>
    <w:tbl>
      <w:tblPr>
        <w:tblW w:w="8835" w:type="dxa"/>
        <w:tblLook w:val="04A0" w:firstRow="1" w:lastRow="0" w:firstColumn="1" w:lastColumn="0" w:noHBand="0" w:noVBand="1"/>
      </w:tblPr>
      <w:tblGrid>
        <w:gridCol w:w="2293"/>
        <w:gridCol w:w="1494"/>
        <w:gridCol w:w="1323"/>
        <w:gridCol w:w="1077"/>
        <w:gridCol w:w="1340"/>
        <w:gridCol w:w="1308"/>
      </w:tblGrid>
      <w:tr w:rsidR="005D2226" w:rsidRPr="00CC11D5" w14:paraId="35DE4902" w14:textId="77777777" w:rsidTr="005D2226">
        <w:trPr>
          <w:trHeight w:val="20"/>
        </w:trPr>
        <w:tc>
          <w:tcPr>
            <w:tcW w:w="2293" w:type="dxa"/>
            <w:vMerge w:val="restart"/>
            <w:tcBorders>
              <w:top w:val="single" w:sz="4" w:space="0" w:color="auto"/>
              <w:left w:val="single" w:sz="4" w:space="0" w:color="auto"/>
              <w:right w:val="single" w:sz="4" w:space="0" w:color="auto"/>
            </w:tcBorders>
            <w:shd w:val="clear" w:color="FFFFFF" w:fill="FFFFFF"/>
          </w:tcPr>
          <w:p w14:paraId="6002CF2D" w14:textId="77777777" w:rsidR="005D2226" w:rsidRPr="00CC11D5" w:rsidRDefault="005D2226" w:rsidP="005D2226">
            <w:pPr>
              <w:jc w:val="center"/>
              <w:rPr>
                <w:rFonts w:ascii="Garamond" w:hAnsi="Garamond"/>
                <w:sz w:val="12"/>
                <w:szCs w:val="12"/>
              </w:rPr>
            </w:pPr>
            <w:r w:rsidRPr="00CC11D5">
              <w:rPr>
                <w:rFonts w:ascii="Garamond" w:hAnsi="Garamond"/>
                <w:b/>
                <w:sz w:val="12"/>
                <w:szCs w:val="12"/>
              </w:rPr>
              <w:t>Treguesi</w:t>
            </w:r>
          </w:p>
        </w:tc>
        <w:tc>
          <w:tcPr>
            <w:tcW w:w="1494" w:type="dxa"/>
            <w:vMerge w:val="restart"/>
            <w:tcBorders>
              <w:top w:val="single" w:sz="4" w:space="0" w:color="auto"/>
              <w:left w:val="single" w:sz="4" w:space="0" w:color="auto"/>
              <w:right w:val="single" w:sz="4" w:space="0" w:color="auto"/>
            </w:tcBorders>
            <w:shd w:val="clear" w:color="FFFFFF" w:fill="FFFFFF"/>
          </w:tcPr>
          <w:p w14:paraId="66D2D945" w14:textId="7426EB6C" w:rsidR="005D2226" w:rsidRPr="00CC11D5" w:rsidRDefault="005D2226" w:rsidP="005D2226">
            <w:pPr>
              <w:jc w:val="center"/>
              <w:rPr>
                <w:rFonts w:ascii="Garamond" w:hAnsi="Garamond"/>
                <w:sz w:val="12"/>
                <w:szCs w:val="12"/>
              </w:rPr>
            </w:pPr>
            <w:r w:rsidRPr="00CC11D5">
              <w:rPr>
                <w:rFonts w:ascii="Garamond" w:hAnsi="Garamond"/>
                <w:b/>
                <w:sz w:val="12"/>
                <w:szCs w:val="12"/>
              </w:rPr>
              <w:t xml:space="preserve">Vlera </w:t>
            </w:r>
            <w:r w:rsidR="002845E2" w:rsidRPr="00CC11D5">
              <w:rPr>
                <w:rFonts w:ascii="Garamond" w:hAnsi="Garamond"/>
                <w:b/>
                <w:sz w:val="12"/>
                <w:szCs w:val="12"/>
              </w:rPr>
              <w:t>b</w:t>
            </w:r>
            <w:r w:rsidRPr="00CC11D5">
              <w:rPr>
                <w:rFonts w:ascii="Garamond" w:hAnsi="Garamond"/>
                <w:b/>
                <w:sz w:val="12"/>
                <w:szCs w:val="12"/>
              </w:rPr>
              <w:t>azë</w:t>
            </w:r>
            <w:r w:rsidR="002845E2" w:rsidRPr="00CC11D5">
              <w:rPr>
                <w:rFonts w:ascii="Garamond" w:hAnsi="Garamond"/>
                <w:b/>
                <w:sz w:val="12"/>
                <w:szCs w:val="12"/>
              </w:rPr>
              <w:t xml:space="preserve"> </w:t>
            </w:r>
            <w:r w:rsidRPr="00CC11D5">
              <w:rPr>
                <w:rFonts w:ascii="Garamond" w:hAnsi="Garamond"/>
                <w:b/>
                <w:sz w:val="12"/>
                <w:szCs w:val="12"/>
              </w:rPr>
              <w:t>(viti</w:t>
            </w:r>
          </w:p>
        </w:tc>
        <w:tc>
          <w:tcPr>
            <w:tcW w:w="5048" w:type="dxa"/>
            <w:gridSpan w:val="4"/>
            <w:tcBorders>
              <w:top w:val="single" w:sz="4" w:space="0" w:color="auto"/>
              <w:left w:val="nil"/>
              <w:bottom w:val="single" w:sz="4" w:space="0" w:color="auto"/>
              <w:right w:val="single" w:sz="4" w:space="0" w:color="auto"/>
            </w:tcBorders>
            <w:shd w:val="clear" w:color="FFFFFF" w:fill="FFFFFF"/>
          </w:tcPr>
          <w:p w14:paraId="41E629CC" w14:textId="77777777" w:rsidR="005D2226" w:rsidRPr="00CC11D5" w:rsidRDefault="005D2226" w:rsidP="005D2226">
            <w:pPr>
              <w:jc w:val="center"/>
              <w:rPr>
                <w:rFonts w:ascii="Garamond" w:hAnsi="Garamond"/>
                <w:sz w:val="12"/>
                <w:szCs w:val="12"/>
              </w:rPr>
            </w:pPr>
            <w:r w:rsidRPr="00CC11D5">
              <w:rPr>
                <w:rFonts w:ascii="Garamond" w:hAnsi="Garamond"/>
                <w:b/>
                <w:sz w:val="12"/>
                <w:szCs w:val="12"/>
              </w:rPr>
              <w:t>Vlera e synuar</w:t>
            </w:r>
          </w:p>
        </w:tc>
      </w:tr>
      <w:tr w:rsidR="005D2226" w:rsidRPr="00CC11D5" w14:paraId="302A347E" w14:textId="77777777" w:rsidTr="005D2226">
        <w:trPr>
          <w:trHeight w:val="20"/>
        </w:trPr>
        <w:tc>
          <w:tcPr>
            <w:tcW w:w="2293" w:type="dxa"/>
            <w:vMerge/>
            <w:tcBorders>
              <w:left w:val="single" w:sz="4" w:space="0" w:color="auto"/>
              <w:bottom w:val="single" w:sz="4" w:space="0" w:color="auto"/>
              <w:right w:val="single" w:sz="4" w:space="0" w:color="auto"/>
            </w:tcBorders>
            <w:shd w:val="clear" w:color="FFFFFF" w:fill="FFFFFF"/>
          </w:tcPr>
          <w:p w14:paraId="2BA399A9" w14:textId="77777777" w:rsidR="005D2226" w:rsidRPr="00CC11D5" w:rsidRDefault="005D2226" w:rsidP="005D2226">
            <w:pPr>
              <w:jc w:val="center"/>
              <w:rPr>
                <w:rFonts w:ascii="Garamond" w:hAnsi="Garamond"/>
                <w:sz w:val="12"/>
                <w:szCs w:val="12"/>
              </w:rPr>
            </w:pPr>
          </w:p>
        </w:tc>
        <w:tc>
          <w:tcPr>
            <w:tcW w:w="1494" w:type="dxa"/>
            <w:vMerge/>
            <w:tcBorders>
              <w:left w:val="single" w:sz="4" w:space="0" w:color="auto"/>
              <w:bottom w:val="single" w:sz="4" w:space="0" w:color="auto"/>
              <w:right w:val="single" w:sz="4" w:space="0" w:color="auto"/>
            </w:tcBorders>
            <w:shd w:val="clear" w:color="FFFFFF" w:fill="FFFFFF"/>
          </w:tcPr>
          <w:p w14:paraId="3E4AAA42" w14:textId="77777777" w:rsidR="005D2226" w:rsidRPr="00CC11D5" w:rsidRDefault="005D2226" w:rsidP="005D2226">
            <w:pPr>
              <w:jc w:val="center"/>
              <w:rPr>
                <w:rFonts w:ascii="Garamond" w:hAnsi="Garamond"/>
                <w:sz w:val="12"/>
                <w:szCs w:val="12"/>
              </w:rPr>
            </w:pPr>
          </w:p>
        </w:tc>
        <w:tc>
          <w:tcPr>
            <w:tcW w:w="1323" w:type="dxa"/>
            <w:tcBorders>
              <w:top w:val="single" w:sz="4" w:space="0" w:color="auto"/>
              <w:left w:val="nil"/>
              <w:bottom w:val="single" w:sz="4" w:space="0" w:color="auto"/>
              <w:right w:val="single" w:sz="4" w:space="0" w:color="auto"/>
            </w:tcBorders>
            <w:shd w:val="clear" w:color="FFFFFF" w:fill="FFFFFF"/>
          </w:tcPr>
          <w:p w14:paraId="517272DA" w14:textId="77777777" w:rsidR="005D2226" w:rsidRPr="00CC11D5" w:rsidRDefault="005D2226" w:rsidP="005D2226">
            <w:pPr>
              <w:jc w:val="center"/>
              <w:rPr>
                <w:rFonts w:ascii="Garamond" w:hAnsi="Garamond"/>
                <w:sz w:val="12"/>
                <w:szCs w:val="12"/>
              </w:rPr>
            </w:pPr>
            <w:r w:rsidRPr="00CC11D5">
              <w:rPr>
                <w:rFonts w:ascii="Garamond" w:hAnsi="Garamond"/>
                <w:b/>
                <w:sz w:val="12"/>
                <w:szCs w:val="12"/>
              </w:rPr>
              <w:t>2024</w:t>
            </w:r>
          </w:p>
        </w:tc>
        <w:tc>
          <w:tcPr>
            <w:tcW w:w="1077" w:type="dxa"/>
            <w:tcBorders>
              <w:top w:val="single" w:sz="4" w:space="0" w:color="auto"/>
              <w:left w:val="nil"/>
              <w:bottom w:val="single" w:sz="4" w:space="0" w:color="auto"/>
              <w:right w:val="single" w:sz="4" w:space="0" w:color="auto"/>
            </w:tcBorders>
            <w:shd w:val="clear" w:color="FFFFFF" w:fill="FFFFFF"/>
          </w:tcPr>
          <w:p w14:paraId="2EACFCF9" w14:textId="77777777" w:rsidR="005D2226" w:rsidRPr="00CC11D5" w:rsidRDefault="005D2226" w:rsidP="005D2226">
            <w:pPr>
              <w:jc w:val="center"/>
              <w:rPr>
                <w:rFonts w:ascii="Garamond" w:hAnsi="Garamond"/>
                <w:sz w:val="12"/>
                <w:szCs w:val="12"/>
              </w:rPr>
            </w:pPr>
            <w:r w:rsidRPr="00CC11D5">
              <w:rPr>
                <w:rFonts w:ascii="Garamond" w:hAnsi="Garamond"/>
                <w:b/>
                <w:sz w:val="12"/>
                <w:szCs w:val="12"/>
              </w:rPr>
              <w:t>2025</w:t>
            </w:r>
          </w:p>
        </w:tc>
        <w:tc>
          <w:tcPr>
            <w:tcW w:w="1340" w:type="dxa"/>
            <w:tcBorders>
              <w:top w:val="single" w:sz="4" w:space="0" w:color="auto"/>
              <w:left w:val="nil"/>
              <w:bottom w:val="single" w:sz="4" w:space="0" w:color="auto"/>
              <w:right w:val="single" w:sz="4" w:space="0" w:color="auto"/>
            </w:tcBorders>
            <w:shd w:val="clear" w:color="FFFFFF" w:fill="FFFFFF"/>
          </w:tcPr>
          <w:p w14:paraId="3D71A5E3" w14:textId="77777777" w:rsidR="005D2226" w:rsidRPr="00CC11D5" w:rsidRDefault="005D2226" w:rsidP="005D2226">
            <w:pPr>
              <w:jc w:val="center"/>
              <w:rPr>
                <w:rFonts w:ascii="Garamond" w:hAnsi="Garamond"/>
                <w:sz w:val="12"/>
                <w:szCs w:val="12"/>
              </w:rPr>
            </w:pPr>
            <w:r w:rsidRPr="00CC11D5">
              <w:rPr>
                <w:rFonts w:ascii="Garamond" w:hAnsi="Garamond"/>
                <w:b/>
                <w:sz w:val="12"/>
                <w:szCs w:val="12"/>
              </w:rPr>
              <w:t>2026</w:t>
            </w:r>
          </w:p>
        </w:tc>
        <w:tc>
          <w:tcPr>
            <w:tcW w:w="1308" w:type="dxa"/>
            <w:tcBorders>
              <w:top w:val="single" w:sz="4" w:space="0" w:color="auto"/>
              <w:left w:val="nil"/>
              <w:bottom w:val="single" w:sz="4" w:space="0" w:color="auto"/>
              <w:right w:val="single" w:sz="4" w:space="0" w:color="auto"/>
            </w:tcBorders>
            <w:shd w:val="clear" w:color="FFFFFF" w:fill="FFFFFF"/>
          </w:tcPr>
          <w:p w14:paraId="4BF5CF9A" w14:textId="77777777" w:rsidR="005D2226" w:rsidRPr="00CC11D5" w:rsidRDefault="005D2226" w:rsidP="005D2226">
            <w:pPr>
              <w:jc w:val="center"/>
              <w:rPr>
                <w:rFonts w:ascii="Garamond" w:hAnsi="Garamond"/>
                <w:sz w:val="12"/>
                <w:szCs w:val="12"/>
              </w:rPr>
            </w:pPr>
            <w:r w:rsidRPr="00CC11D5">
              <w:rPr>
                <w:rFonts w:ascii="Garamond" w:hAnsi="Garamond"/>
                <w:b/>
                <w:sz w:val="12"/>
                <w:szCs w:val="12"/>
              </w:rPr>
              <w:t>2027</w:t>
            </w:r>
          </w:p>
        </w:tc>
      </w:tr>
      <w:tr w:rsidR="005D2226" w:rsidRPr="00CC11D5" w14:paraId="0369DBE1" w14:textId="77777777" w:rsidTr="005D2226">
        <w:trPr>
          <w:trHeight w:val="20"/>
        </w:trPr>
        <w:tc>
          <w:tcPr>
            <w:tcW w:w="2293" w:type="dxa"/>
            <w:tcBorders>
              <w:top w:val="single" w:sz="4" w:space="0" w:color="auto"/>
              <w:left w:val="single" w:sz="4" w:space="0" w:color="auto"/>
              <w:bottom w:val="single" w:sz="4" w:space="0" w:color="auto"/>
              <w:right w:val="single" w:sz="4" w:space="0" w:color="auto"/>
            </w:tcBorders>
            <w:shd w:val="clear" w:color="FFFFFF" w:fill="FFFFFF"/>
          </w:tcPr>
          <w:p w14:paraId="5E2C8EAD" w14:textId="77777777" w:rsidR="005D2226" w:rsidRPr="00CC11D5" w:rsidRDefault="005D2226" w:rsidP="005D2226">
            <w:pPr>
              <w:jc w:val="center"/>
              <w:rPr>
                <w:rFonts w:ascii="Garamond" w:hAnsi="Garamond"/>
                <w:sz w:val="12"/>
                <w:szCs w:val="12"/>
              </w:rPr>
            </w:pPr>
            <w:r w:rsidRPr="00CC11D5">
              <w:rPr>
                <w:rFonts w:ascii="Garamond" w:hAnsi="Garamond"/>
                <w:sz w:val="12"/>
                <w:szCs w:val="12"/>
              </w:rPr>
              <w:t>Dritarja e Vetme Kombëtare (</w:t>
            </w:r>
            <w:r w:rsidRPr="00CC11D5">
              <w:rPr>
                <w:rFonts w:ascii="Garamond" w:hAnsi="Garamond"/>
                <w:i/>
                <w:sz w:val="12"/>
                <w:szCs w:val="12"/>
              </w:rPr>
              <w:t>National Single Window</w:t>
            </w:r>
            <w:r w:rsidRPr="00CC11D5">
              <w:rPr>
                <w:rFonts w:ascii="Garamond" w:hAnsi="Garamond"/>
                <w:sz w:val="12"/>
                <w:szCs w:val="12"/>
              </w:rPr>
              <w:t>)</w:t>
            </w:r>
          </w:p>
        </w:tc>
        <w:tc>
          <w:tcPr>
            <w:tcW w:w="1494" w:type="dxa"/>
            <w:tcBorders>
              <w:top w:val="single" w:sz="4" w:space="0" w:color="auto"/>
              <w:left w:val="single" w:sz="4" w:space="0" w:color="auto"/>
              <w:bottom w:val="single" w:sz="4" w:space="0" w:color="auto"/>
              <w:right w:val="single" w:sz="4" w:space="0" w:color="auto"/>
            </w:tcBorders>
            <w:shd w:val="clear" w:color="FFFFFF" w:fill="FFFFFF"/>
          </w:tcPr>
          <w:p w14:paraId="6E6A78EF" w14:textId="77777777" w:rsidR="005D2226" w:rsidRPr="00CC11D5" w:rsidRDefault="005D2226" w:rsidP="005D2226">
            <w:pPr>
              <w:jc w:val="center"/>
              <w:rPr>
                <w:rFonts w:ascii="Garamond" w:hAnsi="Garamond"/>
                <w:sz w:val="12"/>
                <w:szCs w:val="12"/>
              </w:rPr>
            </w:pPr>
          </w:p>
        </w:tc>
        <w:tc>
          <w:tcPr>
            <w:tcW w:w="1323" w:type="dxa"/>
            <w:tcBorders>
              <w:top w:val="single" w:sz="4" w:space="0" w:color="auto"/>
              <w:left w:val="nil"/>
              <w:bottom w:val="single" w:sz="4" w:space="0" w:color="auto"/>
              <w:right w:val="single" w:sz="4" w:space="0" w:color="auto"/>
            </w:tcBorders>
            <w:shd w:val="clear" w:color="FFFFFF" w:fill="FFFFFF"/>
          </w:tcPr>
          <w:p w14:paraId="05AE4CDB" w14:textId="77777777" w:rsidR="005D2226" w:rsidRPr="00CC11D5" w:rsidRDefault="005D2226" w:rsidP="005D2226">
            <w:pPr>
              <w:jc w:val="center"/>
              <w:rPr>
                <w:rFonts w:ascii="Garamond" w:hAnsi="Garamond"/>
                <w:sz w:val="12"/>
                <w:szCs w:val="12"/>
              </w:rPr>
            </w:pPr>
            <w:r w:rsidRPr="00CC11D5">
              <w:rPr>
                <w:rFonts w:ascii="Garamond" w:hAnsi="Garamond"/>
                <w:sz w:val="12"/>
                <w:szCs w:val="12"/>
              </w:rPr>
              <w:t>-</w:t>
            </w:r>
          </w:p>
        </w:tc>
        <w:tc>
          <w:tcPr>
            <w:tcW w:w="1077" w:type="dxa"/>
            <w:tcBorders>
              <w:top w:val="single" w:sz="4" w:space="0" w:color="auto"/>
              <w:left w:val="nil"/>
              <w:bottom w:val="single" w:sz="4" w:space="0" w:color="auto"/>
              <w:right w:val="single" w:sz="4" w:space="0" w:color="auto"/>
            </w:tcBorders>
            <w:shd w:val="clear" w:color="FFFFFF" w:fill="FFFFFF"/>
          </w:tcPr>
          <w:p w14:paraId="0AC733EB" w14:textId="77777777" w:rsidR="005D2226" w:rsidRPr="00CC11D5" w:rsidRDefault="005D2226" w:rsidP="005D2226">
            <w:pPr>
              <w:jc w:val="center"/>
              <w:rPr>
                <w:rFonts w:ascii="Garamond" w:hAnsi="Garamond"/>
                <w:sz w:val="12"/>
                <w:szCs w:val="12"/>
              </w:rPr>
            </w:pPr>
            <w:r w:rsidRPr="00CC11D5">
              <w:rPr>
                <w:rFonts w:ascii="Garamond" w:hAnsi="Garamond"/>
                <w:sz w:val="12"/>
                <w:szCs w:val="12"/>
              </w:rPr>
              <w:t>-</w:t>
            </w:r>
          </w:p>
        </w:tc>
        <w:tc>
          <w:tcPr>
            <w:tcW w:w="1340" w:type="dxa"/>
            <w:tcBorders>
              <w:top w:val="single" w:sz="4" w:space="0" w:color="auto"/>
              <w:left w:val="nil"/>
              <w:bottom w:val="single" w:sz="4" w:space="0" w:color="auto"/>
              <w:right w:val="single" w:sz="4" w:space="0" w:color="auto"/>
            </w:tcBorders>
            <w:shd w:val="clear" w:color="FFFFFF" w:fill="FFFFFF"/>
          </w:tcPr>
          <w:p w14:paraId="171F875B" w14:textId="77777777" w:rsidR="005D2226" w:rsidRPr="00CC11D5" w:rsidRDefault="005D2226" w:rsidP="005D2226">
            <w:pPr>
              <w:jc w:val="center"/>
              <w:rPr>
                <w:rFonts w:ascii="Garamond" w:hAnsi="Garamond"/>
                <w:sz w:val="12"/>
                <w:szCs w:val="12"/>
              </w:rPr>
            </w:pPr>
            <w:r w:rsidRPr="00CC11D5">
              <w:rPr>
                <w:rFonts w:ascii="Garamond" w:hAnsi="Garamond"/>
                <w:sz w:val="12"/>
                <w:szCs w:val="12"/>
              </w:rPr>
              <w:t>Krijuar</w:t>
            </w:r>
          </w:p>
        </w:tc>
        <w:tc>
          <w:tcPr>
            <w:tcW w:w="1308" w:type="dxa"/>
            <w:tcBorders>
              <w:top w:val="single" w:sz="4" w:space="0" w:color="auto"/>
              <w:left w:val="nil"/>
              <w:bottom w:val="single" w:sz="4" w:space="0" w:color="auto"/>
              <w:right w:val="single" w:sz="4" w:space="0" w:color="auto"/>
            </w:tcBorders>
            <w:shd w:val="clear" w:color="FFFFFF" w:fill="FFFFFF"/>
          </w:tcPr>
          <w:p w14:paraId="2F985E64" w14:textId="77777777" w:rsidR="005D2226" w:rsidRPr="00CC11D5" w:rsidRDefault="005D2226" w:rsidP="005D2226">
            <w:pPr>
              <w:jc w:val="center"/>
              <w:rPr>
                <w:rFonts w:ascii="Garamond" w:hAnsi="Garamond"/>
                <w:sz w:val="12"/>
                <w:szCs w:val="12"/>
              </w:rPr>
            </w:pPr>
            <w:r w:rsidRPr="00CC11D5">
              <w:rPr>
                <w:rFonts w:ascii="Garamond" w:hAnsi="Garamond"/>
                <w:sz w:val="12"/>
                <w:szCs w:val="12"/>
              </w:rPr>
              <w:t>-</w:t>
            </w:r>
          </w:p>
        </w:tc>
      </w:tr>
    </w:tbl>
    <w:p w14:paraId="0F24E709" w14:textId="0C85B306" w:rsidR="005D2226" w:rsidRPr="00830F4C" w:rsidRDefault="005D2226" w:rsidP="002845E2">
      <w:pPr>
        <w:pStyle w:val="Heading2"/>
        <w:spacing w:before="0"/>
        <w:ind w:firstLine="284"/>
        <w:jc w:val="both"/>
        <w:rPr>
          <w:rFonts w:ascii="Garamond" w:hAnsi="Garamond" w:cs="Times New Roman"/>
          <w:color w:val="auto"/>
          <w:sz w:val="24"/>
          <w:szCs w:val="24"/>
        </w:rPr>
      </w:pPr>
      <w:bookmarkStart w:id="76" w:name="_Toc167973996"/>
      <w:bookmarkStart w:id="77" w:name="_Toc185235108"/>
      <w:r w:rsidRPr="00830F4C">
        <w:rPr>
          <w:rFonts w:ascii="Garamond" w:hAnsi="Garamond" w:cs="Times New Roman"/>
          <w:b/>
          <w:color w:val="auto"/>
          <w:sz w:val="24"/>
          <w:szCs w:val="24"/>
        </w:rPr>
        <w:t xml:space="preserve">VI.8 Komponenti 3.7 </w:t>
      </w:r>
      <w:r w:rsidRPr="00830F4C">
        <w:rPr>
          <w:rFonts w:ascii="Garamond" w:hAnsi="Garamond" w:cs="Times New Roman"/>
          <w:b/>
          <w:bCs/>
          <w:color w:val="auto"/>
          <w:sz w:val="24"/>
          <w:szCs w:val="24"/>
        </w:rPr>
        <w:t>Implementimi i Sistemit të Ri të Kompjuterizuara të Transitit (</w:t>
      </w:r>
      <w:bookmarkEnd w:id="76"/>
      <w:r w:rsidRPr="00830F4C">
        <w:rPr>
          <w:rFonts w:ascii="Garamond" w:hAnsi="Garamond" w:cs="Times New Roman"/>
          <w:b/>
          <w:bCs/>
          <w:color w:val="auto"/>
          <w:sz w:val="24"/>
          <w:szCs w:val="24"/>
        </w:rPr>
        <w:t>NCTS)</w:t>
      </w:r>
      <w:bookmarkEnd w:id="77"/>
    </w:p>
    <w:p w14:paraId="15C002C3" w14:textId="77777777" w:rsidR="005D2226" w:rsidRPr="00830F4C" w:rsidRDefault="005D2226" w:rsidP="005D2226">
      <w:pPr>
        <w:ind w:firstLine="284"/>
        <w:jc w:val="both"/>
        <w:rPr>
          <w:rFonts w:ascii="Garamond" w:hAnsi="Garamond"/>
          <w:b/>
        </w:rPr>
      </w:pPr>
      <w:r w:rsidRPr="00830F4C">
        <w:rPr>
          <w:rFonts w:ascii="Garamond" w:hAnsi="Garamond"/>
          <w:b/>
        </w:rPr>
        <w:t>Objektivi</w:t>
      </w:r>
    </w:p>
    <w:p w14:paraId="0236B90D" w14:textId="00E3E50E" w:rsidR="005D2226" w:rsidRPr="00830F4C" w:rsidRDefault="005D2226" w:rsidP="005D2226">
      <w:pPr>
        <w:ind w:firstLine="284"/>
        <w:jc w:val="both"/>
        <w:rPr>
          <w:rFonts w:ascii="Garamond" w:hAnsi="Garamond"/>
        </w:rPr>
      </w:pPr>
      <w:r w:rsidRPr="00830F4C">
        <w:rPr>
          <w:rFonts w:ascii="Garamond" w:hAnsi="Garamond"/>
        </w:rPr>
        <w:t xml:space="preserve">Synimi i këtij komponenti është që Shqipëria të bëhet pjesë e tranzitit </w:t>
      </w:r>
      <w:r w:rsidR="008C0C0F" w:rsidRPr="00830F4C">
        <w:rPr>
          <w:rFonts w:ascii="Garamond" w:hAnsi="Garamond"/>
        </w:rPr>
        <w:t>Evropian</w:t>
      </w:r>
      <w:r w:rsidRPr="00830F4C">
        <w:rPr>
          <w:rFonts w:ascii="Garamond" w:hAnsi="Garamond"/>
        </w:rPr>
        <w:t xml:space="preserve"> brenda vitit 2027.</w:t>
      </w:r>
    </w:p>
    <w:p w14:paraId="0865E2C5" w14:textId="77777777" w:rsidR="005D2226" w:rsidRPr="00830F4C" w:rsidRDefault="005D2226" w:rsidP="005D2226">
      <w:pPr>
        <w:ind w:firstLine="284"/>
        <w:jc w:val="both"/>
        <w:rPr>
          <w:rFonts w:ascii="Garamond" w:hAnsi="Garamond"/>
          <w:b/>
        </w:rPr>
      </w:pPr>
      <w:r w:rsidRPr="00830F4C">
        <w:rPr>
          <w:rFonts w:ascii="Garamond" w:hAnsi="Garamond"/>
          <w:b/>
        </w:rPr>
        <w:t>Konteksti</w:t>
      </w:r>
    </w:p>
    <w:p w14:paraId="47B95824" w14:textId="77777777" w:rsidR="005D2226" w:rsidRPr="00830F4C" w:rsidRDefault="005D2226" w:rsidP="005D2226">
      <w:pPr>
        <w:ind w:firstLine="284"/>
        <w:jc w:val="both"/>
        <w:rPr>
          <w:rFonts w:ascii="Garamond" w:hAnsi="Garamond" w:cs="Segoe UI"/>
        </w:rPr>
      </w:pPr>
      <w:r w:rsidRPr="00830F4C">
        <w:rPr>
          <w:rFonts w:ascii="Garamond" w:hAnsi="Garamond"/>
        </w:rPr>
        <w:t>Sistemi i Ri i Kompjuterizuar i Tranzitit (NCTS) është thelbësor për të siguruar kontrollin e lëvizjeve tranzit në të gjithë territorin e Komunitetit. Aderimi në Konventën e Tranzitit të Përbashkët është një kusht për anëtarësimin në BE. Deri në atë datë, aplikacioni i Tranzitit Kombëtar, plotësisht i pajtueshëm me NCTS duhet të jetë i disponueshëm për Shqipërinë. Kjo do të thotë që sistemi IT të jetë plotësisht i testuar në mënyra kombëtare dhe ndërkombëtare</w:t>
      </w:r>
      <w:r w:rsidRPr="00830F4C">
        <w:rPr>
          <w:rFonts w:ascii="Garamond" w:hAnsi="Garamond" w:cs="Segoe UI"/>
        </w:rPr>
        <w:t>.</w:t>
      </w:r>
    </w:p>
    <w:p w14:paraId="2C772CDE" w14:textId="77777777" w:rsidR="005D2226" w:rsidRPr="00830F4C" w:rsidRDefault="005D2226" w:rsidP="005D2226">
      <w:pPr>
        <w:ind w:firstLine="284"/>
        <w:jc w:val="both"/>
        <w:rPr>
          <w:rFonts w:ascii="Garamond" w:hAnsi="Garamond"/>
        </w:rPr>
      </w:pPr>
      <w:r w:rsidRPr="00830F4C">
        <w:rPr>
          <w:rFonts w:ascii="Garamond" w:hAnsi="Garamond"/>
        </w:rPr>
        <w:t>Aktualisht, statusi i aktivitetit që lidhet me zhvillimin dhe zbatimin e Sistemit të Përbashkët të Transitit NCTS P5 është si më poshtë:</w:t>
      </w:r>
    </w:p>
    <w:p w14:paraId="73011C5C" w14:textId="0CC1A9A0" w:rsidR="005D2226" w:rsidRPr="00830F4C" w:rsidRDefault="005D2226" w:rsidP="005D2226">
      <w:pPr>
        <w:ind w:firstLine="284"/>
        <w:jc w:val="both"/>
        <w:rPr>
          <w:rFonts w:ascii="Garamond" w:hAnsi="Garamond"/>
        </w:rPr>
      </w:pPr>
      <w:r w:rsidRPr="00830F4C">
        <w:rPr>
          <w:rFonts w:ascii="Garamond" w:hAnsi="Garamond"/>
        </w:rPr>
        <w:t xml:space="preserve">Banka Botërore/Ministria e Financave ka nënshkruar kontratën me kompaninë fituese </w:t>
      </w:r>
      <w:r w:rsidR="00D22EA5" w:rsidRPr="00830F4C">
        <w:rPr>
          <w:rFonts w:ascii="Garamond" w:hAnsi="Garamond"/>
        </w:rPr>
        <w:t>“</w:t>
      </w:r>
      <w:r w:rsidRPr="00830F4C">
        <w:rPr>
          <w:rFonts w:ascii="Garamond" w:hAnsi="Garamond"/>
          <w:i/>
        </w:rPr>
        <w:t>Net Company</w:t>
      </w:r>
      <w:r w:rsidRPr="00830F4C">
        <w:rPr>
          <w:rFonts w:ascii="Garamond" w:hAnsi="Garamond"/>
        </w:rPr>
        <w:t>/Intrasoft</w:t>
      </w:r>
      <w:r w:rsidR="00D22EA5" w:rsidRPr="00830F4C">
        <w:rPr>
          <w:rFonts w:ascii="Garamond" w:hAnsi="Garamond"/>
        </w:rPr>
        <w:t>”</w:t>
      </w:r>
      <w:r w:rsidRPr="00830F4C">
        <w:rPr>
          <w:rFonts w:ascii="Garamond" w:hAnsi="Garamond"/>
        </w:rPr>
        <w:t xml:space="preserve"> në qershor 2024, me tenderin e vetëm të produktit Soft, pasi pajisjet dhe rrjeti i produkteve </w:t>
      </w:r>
      <w:r w:rsidR="002845E2">
        <w:rPr>
          <w:rFonts w:ascii="Garamond" w:hAnsi="Garamond"/>
          <w:i/>
        </w:rPr>
        <w:t>h</w:t>
      </w:r>
      <w:r w:rsidRPr="002845E2">
        <w:rPr>
          <w:rFonts w:ascii="Garamond" w:hAnsi="Garamond"/>
          <w:i/>
        </w:rPr>
        <w:t>ard</w:t>
      </w:r>
      <w:r w:rsidRPr="00830F4C">
        <w:rPr>
          <w:rFonts w:ascii="Garamond" w:hAnsi="Garamond"/>
        </w:rPr>
        <w:t xml:space="preserve"> do të sigurohen nga institucioni. të AKSHI-it.</w:t>
      </w:r>
    </w:p>
    <w:p w14:paraId="0CA9DBDA" w14:textId="4024D852" w:rsidR="005D2226" w:rsidRPr="00830F4C" w:rsidRDefault="005D2226" w:rsidP="005D2226">
      <w:pPr>
        <w:ind w:firstLine="284"/>
        <w:jc w:val="both"/>
        <w:rPr>
          <w:rFonts w:ascii="Garamond" w:hAnsi="Garamond"/>
        </w:rPr>
      </w:pPr>
      <w:r w:rsidRPr="00830F4C">
        <w:rPr>
          <w:rFonts w:ascii="Garamond" w:hAnsi="Garamond"/>
        </w:rPr>
        <w:t>Në bashkëpunim me kompaninë që do të zbatojë sistemin NCTS, me konsulencën e një eksperti ndërkombëtar dhe PIU-në (</w:t>
      </w:r>
      <w:r w:rsidR="002845E2">
        <w:rPr>
          <w:rFonts w:ascii="Garamond" w:hAnsi="Garamond"/>
        </w:rPr>
        <w:t>n</w:t>
      </w:r>
      <w:r w:rsidRPr="00830F4C">
        <w:rPr>
          <w:rFonts w:ascii="Garamond" w:hAnsi="Garamond"/>
        </w:rPr>
        <w:t>jësia e zbatimit të projektit), administrata doganore po harton dokumentin me specifikimet teknike kombëtare, ka miratuar urdhrin për krijimin e grupi</w:t>
      </w:r>
      <w:r w:rsidR="002845E2">
        <w:rPr>
          <w:rFonts w:ascii="Garamond" w:hAnsi="Garamond"/>
        </w:rPr>
        <w:t>t</w:t>
      </w:r>
      <w:r w:rsidRPr="00830F4C">
        <w:rPr>
          <w:rFonts w:ascii="Garamond" w:hAnsi="Garamond"/>
        </w:rPr>
        <w:t xml:space="preserve"> </w:t>
      </w:r>
      <w:r w:rsidR="002845E2">
        <w:rPr>
          <w:rFonts w:ascii="Garamond" w:hAnsi="Garamond"/>
        </w:rPr>
        <w:t>të</w:t>
      </w:r>
      <w:r w:rsidRPr="00830F4C">
        <w:rPr>
          <w:rFonts w:ascii="Garamond" w:hAnsi="Garamond"/>
        </w:rPr>
        <w:t xml:space="preserve"> punës që do të marrë pjesë në këtë proces gjatë </w:t>
      </w:r>
      <w:r w:rsidR="002845E2" w:rsidRPr="00830F4C">
        <w:rPr>
          <w:rFonts w:ascii="Garamond" w:hAnsi="Garamond"/>
        </w:rPr>
        <w:t xml:space="preserve">të </w:t>
      </w:r>
      <w:r w:rsidRPr="00830F4C">
        <w:rPr>
          <w:rFonts w:ascii="Garamond" w:hAnsi="Garamond"/>
        </w:rPr>
        <w:t xml:space="preserve">gjithë fazës së zbatimit dhe ka përgatitur dokumentin NCTS P5 të NPP </w:t>
      </w:r>
      <w:r w:rsidR="00D22EA5" w:rsidRPr="00830F4C">
        <w:rPr>
          <w:rFonts w:ascii="Garamond" w:hAnsi="Garamond"/>
        </w:rPr>
        <w:t>“</w:t>
      </w:r>
      <w:r w:rsidRPr="00830F4C">
        <w:rPr>
          <w:rFonts w:ascii="Garamond" w:hAnsi="Garamond"/>
        </w:rPr>
        <w:t>Plani Kombëtar i Projektit dhe Strategjia e IT</w:t>
      </w:r>
      <w:r w:rsidR="002845E2">
        <w:rPr>
          <w:rFonts w:ascii="Garamond" w:hAnsi="Garamond"/>
        </w:rPr>
        <w:t>-s</w:t>
      </w:r>
      <w:r w:rsidR="002845E2" w:rsidRPr="00830F4C">
        <w:rPr>
          <w:rFonts w:ascii="Garamond" w:hAnsi="Garamond"/>
        </w:rPr>
        <w:t>ë</w:t>
      </w:r>
      <w:r w:rsidR="00D22EA5" w:rsidRPr="00830F4C">
        <w:rPr>
          <w:rFonts w:ascii="Garamond" w:hAnsi="Garamond"/>
        </w:rPr>
        <w:t>”</w:t>
      </w:r>
      <w:r w:rsidRPr="00830F4C">
        <w:rPr>
          <w:rFonts w:ascii="Garamond" w:hAnsi="Garamond"/>
        </w:rPr>
        <w:t xml:space="preserve"> dhe e dërgon atë në Drejtorinë e Përgjithshme </w:t>
      </w:r>
      <w:r w:rsidRPr="002845E2">
        <w:rPr>
          <w:rFonts w:ascii="Garamond" w:hAnsi="Garamond"/>
          <w:i/>
        </w:rPr>
        <w:t>Taxud</w:t>
      </w:r>
      <w:r w:rsidRPr="00830F4C">
        <w:rPr>
          <w:rFonts w:ascii="Garamond" w:hAnsi="Garamond"/>
        </w:rPr>
        <w:t xml:space="preserve"> </w:t>
      </w:r>
      <w:r w:rsidR="008C0C0F" w:rsidRPr="00830F4C">
        <w:rPr>
          <w:rFonts w:ascii="Garamond" w:hAnsi="Garamond"/>
        </w:rPr>
        <w:t>të</w:t>
      </w:r>
      <w:r w:rsidRPr="00830F4C">
        <w:rPr>
          <w:rFonts w:ascii="Garamond" w:hAnsi="Garamond"/>
        </w:rPr>
        <w:t xml:space="preserve"> Komisionit </w:t>
      </w:r>
      <w:r w:rsidR="008C0C0F" w:rsidRPr="00830F4C">
        <w:rPr>
          <w:rFonts w:ascii="Garamond" w:hAnsi="Garamond"/>
        </w:rPr>
        <w:t>Evropian</w:t>
      </w:r>
      <w:r w:rsidRPr="00830F4C">
        <w:rPr>
          <w:rFonts w:ascii="Garamond" w:hAnsi="Garamond"/>
        </w:rPr>
        <w:t>.</w:t>
      </w:r>
    </w:p>
    <w:p w14:paraId="6B63F95C" w14:textId="77777777" w:rsidR="005D2226" w:rsidRPr="00830F4C" w:rsidRDefault="005D2226" w:rsidP="005D2226">
      <w:pPr>
        <w:ind w:firstLine="284"/>
        <w:jc w:val="both"/>
        <w:rPr>
          <w:rFonts w:ascii="Garamond" w:hAnsi="Garamond"/>
        </w:rPr>
      </w:pPr>
      <w:r w:rsidRPr="00830F4C">
        <w:rPr>
          <w:rFonts w:ascii="Garamond" w:hAnsi="Garamond"/>
        </w:rPr>
        <w:t>Kompania zbatuese ka nisur me instalimin në mjedisin e testimit të sistemit ERMIS (NCTS).</w:t>
      </w:r>
    </w:p>
    <w:p w14:paraId="75621CFA" w14:textId="77777777" w:rsidR="005D2226" w:rsidRPr="00830F4C" w:rsidRDefault="005D2226" w:rsidP="005D2226">
      <w:pPr>
        <w:ind w:firstLine="284"/>
        <w:jc w:val="both"/>
        <w:rPr>
          <w:rFonts w:ascii="Garamond" w:hAnsi="Garamond"/>
          <w:b/>
        </w:rPr>
      </w:pPr>
      <w:r w:rsidRPr="00830F4C">
        <w:rPr>
          <w:rFonts w:ascii="Garamond" w:hAnsi="Garamond"/>
          <w:b/>
        </w:rPr>
        <w:t>Prioritetet:</w:t>
      </w:r>
    </w:p>
    <w:p w14:paraId="4FFEAC03" w14:textId="1BCFD561" w:rsidR="005D2226" w:rsidRPr="00830F4C" w:rsidRDefault="005D2226" w:rsidP="005D2226">
      <w:pPr>
        <w:ind w:firstLine="284"/>
        <w:jc w:val="both"/>
        <w:rPr>
          <w:rFonts w:ascii="Garamond" w:hAnsi="Garamond"/>
        </w:rPr>
      </w:pPr>
      <w:r w:rsidRPr="00830F4C">
        <w:rPr>
          <w:rFonts w:ascii="Garamond" w:hAnsi="Garamond"/>
        </w:rPr>
        <w:t>Prioritetet për periudhën</w:t>
      </w:r>
      <w:r w:rsidR="00800B00" w:rsidRPr="00830F4C">
        <w:rPr>
          <w:rFonts w:ascii="Garamond" w:hAnsi="Garamond"/>
        </w:rPr>
        <w:t xml:space="preserve"> </w:t>
      </w:r>
      <w:r w:rsidR="00D22EA5" w:rsidRPr="00830F4C">
        <w:rPr>
          <w:rFonts w:ascii="Garamond" w:hAnsi="Garamond"/>
        </w:rPr>
        <w:t>2024–2027</w:t>
      </w:r>
      <w:r w:rsidRPr="00830F4C">
        <w:rPr>
          <w:rFonts w:ascii="Garamond" w:hAnsi="Garamond"/>
        </w:rPr>
        <w:t xml:space="preserve"> janë:</w:t>
      </w:r>
    </w:p>
    <w:p w14:paraId="7819DF67" w14:textId="6D397852" w:rsidR="005D2226" w:rsidRPr="00830F4C" w:rsidRDefault="005D2226" w:rsidP="005D2226">
      <w:pPr>
        <w:pStyle w:val="ListParagraph"/>
        <w:spacing w:after="0" w:line="240" w:lineRule="auto"/>
        <w:ind w:left="284"/>
        <w:jc w:val="both"/>
        <w:rPr>
          <w:rFonts w:ascii="Garamond" w:hAnsi="Garamond" w:cs="Times New Roman"/>
          <w:sz w:val="24"/>
          <w:szCs w:val="24"/>
        </w:rPr>
      </w:pPr>
      <w:r w:rsidRPr="00830F4C">
        <w:rPr>
          <w:rFonts w:ascii="Garamond" w:hAnsi="Garamond" w:cs="Times New Roman"/>
          <w:bCs/>
          <w:sz w:val="24"/>
          <w:szCs w:val="24"/>
        </w:rPr>
        <w:t>- NCTS</w:t>
      </w:r>
      <w:r w:rsidR="002845E2">
        <w:rPr>
          <w:rFonts w:ascii="Garamond" w:hAnsi="Garamond" w:cs="Times New Roman"/>
          <w:bCs/>
          <w:sz w:val="24"/>
          <w:szCs w:val="24"/>
        </w:rPr>
        <w:t>-ja</w:t>
      </w:r>
      <w:r w:rsidRPr="00830F4C">
        <w:rPr>
          <w:rFonts w:ascii="Garamond" w:hAnsi="Garamond" w:cs="Times New Roman"/>
          <w:sz w:val="24"/>
          <w:szCs w:val="24"/>
        </w:rPr>
        <w:t xml:space="preserve"> është funksionale në 2026 dhe Shqipëria bëhet pjesë e tranzitit </w:t>
      </w:r>
      <w:r w:rsidR="008C0C0F" w:rsidRPr="00830F4C">
        <w:rPr>
          <w:rFonts w:ascii="Garamond" w:hAnsi="Garamond" w:cs="Times New Roman"/>
          <w:sz w:val="24"/>
          <w:szCs w:val="24"/>
        </w:rPr>
        <w:t>Evropian</w:t>
      </w:r>
      <w:r w:rsidRPr="00830F4C">
        <w:rPr>
          <w:rFonts w:ascii="Garamond" w:hAnsi="Garamond" w:cs="Times New Roman"/>
          <w:sz w:val="24"/>
          <w:szCs w:val="24"/>
        </w:rPr>
        <w:t xml:space="preserve"> brenda vitit 2027</w:t>
      </w:r>
    </w:p>
    <w:p w14:paraId="139C7D57" w14:textId="77777777" w:rsidR="005D2226" w:rsidRPr="00830F4C" w:rsidRDefault="005D2226" w:rsidP="005D2226">
      <w:pPr>
        <w:ind w:firstLine="284"/>
        <w:jc w:val="both"/>
        <w:rPr>
          <w:rFonts w:ascii="Garamond" w:hAnsi="Garamond"/>
          <w:b/>
        </w:rPr>
      </w:pPr>
      <w:r w:rsidRPr="00830F4C">
        <w:rPr>
          <w:rFonts w:ascii="Garamond" w:hAnsi="Garamond"/>
          <w:b/>
        </w:rPr>
        <w:t>Masat dhe aktivitetet</w:t>
      </w:r>
    </w:p>
    <w:tbl>
      <w:tblPr>
        <w:tblStyle w:val="TableGrid"/>
        <w:tblW w:w="0" w:type="auto"/>
        <w:tblLook w:val="04A0" w:firstRow="1" w:lastRow="0" w:firstColumn="1" w:lastColumn="0" w:noHBand="0" w:noVBand="1"/>
      </w:tblPr>
      <w:tblGrid>
        <w:gridCol w:w="3561"/>
        <w:gridCol w:w="2299"/>
        <w:gridCol w:w="915"/>
        <w:gridCol w:w="1090"/>
        <w:gridCol w:w="1485"/>
      </w:tblGrid>
      <w:tr w:rsidR="005D2226" w:rsidRPr="00CC11D5" w14:paraId="3A194FF8" w14:textId="77777777" w:rsidTr="008C0C0F">
        <w:trPr>
          <w:trHeight w:val="20"/>
        </w:trPr>
        <w:tc>
          <w:tcPr>
            <w:tcW w:w="0" w:type="auto"/>
            <w:vAlign w:val="center"/>
          </w:tcPr>
          <w:p w14:paraId="75811D16" w14:textId="77777777" w:rsidR="005D2226" w:rsidRPr="00CC11D5" w:rsidRDefault="005D2226" w:rsidP="008C0C0F">
            <w:pPr>
              <w:ind w:left="360"/>
              <w:jc w:val="center"/>
              <w:rPr>
                <w:rFonts w:ascii="Garamond" w:hAnsi="Garamond"/>
                <w:b/>
                <w:sz w:val="12"/>
                <w:szCs w:val="12"/>
              </w:rPr>
            </w:pPr>
            <w:r w:rsidRPr="00CC11D5">
              <w:rPr>
                <w:rFonts w:ascii="Garamond" w:hAnsi="Garamond"/>
                <w:b/>
                <w:sz w:val="12"/>
                <w:szCs w:val="12"/>
              </w:rPr>
              <w:t>Masa</w:t>
            </w:r>
          </w:p>
        </w:tc>
        <w:tc>
          <w:tcPr>
            <w:tcW w:w="0" w:type="auto"/>
            <w:vAlign w:val="center"/>
          </w:tcPr>
          <w:p w14:paraId="7545D4D1" w14:textId="77777777" w:rsidR="005D2226" w:rsidRPr="00CC11D5" w:rsidRDefault="005D2226" w:rsidP="008C0C0F">
            <w:pPr>
              <w:ind w:left="360"/>
              <w:jc w:val="center"/>
              <w:rPr>
                <w:rFonts w:ascii="Garamond" w:hAnsi="Garamond"/>
                <w:b/>
                <w:sz w:val="12"/>
                <w:szCs w:val="12"/>
              </w:rPr>
            </w:pPr>
            <w:r w:rsidRPr="00CC11D5">
              <w:rPr>
                <w:rFonts w:ascii="Garamond" w:hAnsi="Garamond"/>
                <w:b/>
                <w:sz w:val="12"/>
                <w:szCs w:val="12"/>
              </w:rPr>
              <w:t>Aktiviteti</w:t>
            </w:r>
          </w:p>
        </w:tc>
        <w:tc>
          <w:tcPr>
            <w:tcW w:w="0" w:type="auto"/>
            <w:vAlign w:val="center"/>
          </w:tcPr>
          <w:p w14:paraId="130251A3" w14:textId="77777777" w:rsidR="005D2226" w:rsidRPr="00CC11D5" w:rsidRDefault="005D2226" w:rsidP="008C0C0F">
            <w:pPr>
              <w:ind w:left="360"/>
              <w:jc w:val="center"/>
              <w:rPr>
                <w:rFonts w:ascii="Garamond" w:hAnsi="Garamond"/>
                <w:b/>
                <w:sz w:val="12"/>
                <w:szCs w:val="12"/>
              </w:rPr>
            </w:pPr>
            <w:r w:rsidRPr="00CC11D5">
              <w:rPr>
                <w:rFonts w:ascii="Garamond" w:hAnsi="Garamond"/>
                <w:b/>
                <w:sz w:val="12"/>
                <w:szCs w:val="12"/>
              </w:rPr>
              <w:t>Fillimi</w:t>
            </w:r>
          </w:p>
        </w:tc>
        <w:tc>
          <w:tcPr>
            <w:tcW w:w="0" w:type="auto"/>
            <w:vAlign w:val="center"/>
          </w:tcPr>
          <w:p w14:paraId="5B02897E" w14:textId="77777777" w:rsidR="005D2226" w:rsidRPr="00CC11D5" w:rsidRDefault="005D2226" w:rsidP="008C0C0F">
            <w:pPr>
              <w:ind w:left="360"/>
              <w:jc w:val="center"/>
              <w:rPr>
                <w:rFonts w:ascii="Garamond" w:hAnsi="Garamond"/>
                <w:b/>
                <w:sz w:val="12"/>
                <w:szCs w:val="12"/>
              </w:rPr>
            </w:pPr>
            <w:r w:rsidRPr="00CC11D5">
              <w:rPr>
                <w:rFonts w:ascii="Garamond" w:hAnsi="Garamond"/>
                <w:b/>
                <w:sz w:val="12"/>
                <w:szCs w:val="12"/>
              </w:rPr>
              <w:t>Mbarimi</w:t>
            </w:r>
          </w:p>
        </w:tc>
        <w:tc>
          <w:tcPr>
            <w:tcW w:w="0" w:type="auto"/>
            <w:vAlign w:val="center"/>
          </w:tcPr>
          <w:p w14:paraId="0B619838" w14:textId="77777777" w:rsidR="005D2226" w:rsidRPr="00CC11D5" w:rsidRDefault="005D2226" w:rsidP="008C0C0F">
            <w:pPr>
              <w:ind w:left="360"/>
              <w:jc w:val="center"/>
              <w:rPr>
                <w:rFonts w:ascii="Garamond" w:hAnsi="Garamond"/>
                <w:b/>
                <w:sz w:val="12"/>
                <w:szCs w:val="12"/>
              </w:rPr>
            </w:pPr>
            <w:r w:rsidRPr="00CC11D5">
              <w:rPr>
                <w:rFonts w:ascii="Garamond" w:hAnsi="Garamond"/>
                <w:b/>
                <w:sz w:val="12"/>
                <w:szCs w:val="12"/>
              </w:rPr>
              <w:t>Institucioni përgjegjës</w:t>
            </w:r>
          </w:p>
        </w:tc>
      </w:tr>
      <w:tr w:rsidR="005D2226" w:rsidRPr="00CC11D5" w14:paraId="32B64444" w14:textId="77777777" w:rsidTr="002845E2">
        <w:trPr>
          <w:trHeight w:val="20"/>
        </w:trPr>
        <w:tc>
          <w:tcPr>
            <w:tcW w:w="0" w:type="auto"/>
          </w:tcPr>
          <w:p w14:paraId="781DBCB3" w14:textId="50C9D853" w:rsidR="005D2226" w:rsidRPr="00CC11D5" w:rsidRDefault="005D2226" w:rsidP="005D2226">
            <w:pPr>
              <w:pStyle w:val="pf0"/>
              <w:jc w:val="center"/>
              <w:rPr>
                <w:rFonts w:ascii="Garamond" w:hAnsi="Garamond"/>
                <w:sz w:val="12"/>
                <w:szCs w:val="12"/>
                <w:lang w:val="sq-AL"/>
              </w:rPr>
            </w:pPr>
            <w:r w:rsidRPr="00CC11D5">
              <w:rPr>
                <w:rFonts w:ascii="Garamond" w:eastAsiaTheme="minorHAnsi" w:hAnsi="Garamond"/>
                <w:sz w:val="12"/>
                <w:szCs w:val="12"/>
                <w:lang w:val="sq-AL"/>
              </w:rPr>
              <w:t xml:space="preserve">Masa 3.7.1 </w:t>
            </w:r>
            <w:r w:rsidRPr="00CC11D5">
              <w:rPr>
                <w:rFonts w:ascii="Garamond" w:hAnsi="Garamond"/>
                <w:sz w:val="12"/>
                <w:szCs w:val="12"/>
                <w:lang w:val="sq-AL"/>
              </w:rPr>
              <w:t>Arkitektura dhe vendosja e Aplikacionit Kombëtar të Tranzitit dhe Regjistrimi dhe Identifikimi i Operatorit Ekonomik (EORI) plotësisht në përputhje me EU-NCTS</w:t>
            </w:r>
          </w:p>
        </w:tc>
        <w:tc>
          <w:tcPr>
            <w:tcW w:w="0" w:type="auto"/>
            <w:vAlign w:val="center"/>
          </w:tcPr>
          <w:p w14:paraId="27DD168A" w14:textId="77777777" w:rsidR="005D2226" w:rsidRPr="00CC11D5" w:rsidRDefault="005D2226" w:rsidP="002845E2">
            <w:pPr>
              <w:jc w:val="center"/>
              <w:rPr>
                <w:rFonts w:ascii="Garamond" w:hAnsi="Garamond"/>
                <w:sz w:val="12"/>
                <w:szCs w:val="12"/>
              </w:rPr>
            </w:pPr>
          </w:p>
        </w:tc>
        <w:tc>
          <w:tcPr>
            <w:tcW w:w="0" w:type="auto"/>
            <w:vAlign w:val="center"/>
          </w:tcPr>
          <w:p w14:paraId="67B67B2E" w14:textId="77777777" w:rsidR="005D2226" w:rsidRPr="00CC11D5" w:rsidRDefault="005D2226" w:rsidP="002845E2">
            <w:pPr>
              <w:ind w:left="360"/>
              <w:jc w:val="center"/>
              <w:rPr>
                <w:rFonts w:ascii="Garamond" w:hAnsi="Garamond"/>
                <w:sz w:val="12"/>
                <w:szCs w:val="12"/>
              </w:rPr>
            </w:pPr>
            <w:r w:rsidRPr="00CC11D5">
              <w:rPr>
                <w:rFonts w:ascii="Garamond" w:hAnsi="Garamond"/>
                <w:sz w:val="12"/>
                <w:szCs w:val="12"/>
              </w:rPr>
              <w:t>2024</w:t>
            </w:r>
          </w:p>
        </w:tc>
        <w:tc>
          <w:tcPr>
            <w:tcW w:w="0" w:type="auto"/>
            <w:vAlign w:val="center"/>
          </w:tcPr>
          <w:p w14:paraId="5EA085C0" w14:textId="77777777" w:rsidR="005D2226" w:rsidRPr="00CC11D5" w:rsidRDefault="005D2226" w:rsidP="002845E2">
            <w:pPr>
              <w:ind w:left="360"/>
              <w:jc w:val="center"/>
              <w:rPr>
                <w:rFonts w:ascii="Garamond" w:hAnsi="Garamond"/>
                <w:sz w:val="12"/>
                <w:szCs w:val="12"/>
              </w:rPr>
            </w:pPr>
            <w:r w:rsidRPr="00CC11D5">
              <w:rPr>
                <w:rFonts w:ascii="Garamond" w:hAnsi="Garamond"/>
                <w:sz w:val="12"/>
                <w:szCs w:val="12"/>
              </w:rPr>
              <w:t>Qershor 2026</w:t>
            </w:r>
          </w:p>
        </w:tc>
        <w:tc>
          <w:tcPr>
            <w:tcW w:w="0" w:type="auto"/>
            <w:vAlign w:val="center"/>
          </w:tcPr>
          <w:p w14:paraId="4F38021F" w14:textId="77777777" w:rsidR="005D2226" w:rsidRPr="00CC11D5" w:rsidRDefault="005D2226" w:rsidP="002845E2">
            <w:pPr>
              <w:jc w:val="center"/>
              <w:rPr>
                <w:rFonts w:ascii="Garamond" w:hAnsi="Garamond"/>
                <w:sz w:val="12"/>
                <w:szCs w:val="12"/>
              </w:rPr>
            </w:pPr>
            <w:r w:rsidRPr="00CC11D5">
              <w:rPr>
                <w:rFonts w:ascii="Garamond" w:hAnsi="Garamond"/>
                <w:sz w:val="12"/>
                <w:szCs w:val="12"/>
              </w:rPr>
              <w:t>Banka Botërore/DPD/AKSHI</w:t>
            </w:r>
          </w:p>
        </w:tc>
      </w:tr>
      <w:tr w:rsidR="005D2226" w:rsidRPr="00CC11D5" w14:paraId="28EDD849" w14:textId="77777777" w:rsidTr="002845E2">
        <w:trPr>
          <w:trHeight w:val="20"/>
        </w:trPr>
        <w:tc>
          <w:tcPr>
            <w:tcW w:w="0" w:type="auto"/>
          </w:tcPr>
          <w:p w14:paraId="1565B8DA" w14:textId="6A7CCFC7" w:rsidR="005D2226" w:rsidRPr="00CC11D5" w:rsidRDefault="005D2226" w:rsidP="005D2226">
            <w:pPr>
              <w:jc w:val="center"/>
              <w:rPr>
                <w:rFonts w:ascii="Garamond" w:eastAsiaTheme="minorHAnsi" w:hAnsi="Garamond"/>
                <w:sz w:val="12"/>
                <w:szCs w:val="12"/>
              </w:rPr>
            </w:pPr>
            <w:r w:rsidRPr="00CC11D5">
              <w:rPr>
                <w:rFonts w:ascii="Garamond" w:eastAsiaTheme="minorHAnsi" w:hAnsi="Garamond"/>
                <w:sz w:val="12"/>
                <w:szCs w:val="12"/>
              </w:rPr>
              <w:t>Masa 3.7.2 Implementimi dhe testimi në nivel kombëtar</w:t>
            </w:r>
          </w:p>
        </w:tc>
        <w:tc>
          <w:tcPr>
            <w:tcW w:w="0" w:type="auto"/>
            <w:vAlign w:val="center"/>
          </w:tcPr>
          <w:p w14:paraId="7A7135FE" w14:textId="54C66E37" w:rsidR="005D2226" w:rsidRPr="00CC11D5" w:rsidRDefault="005D2226" w:rsidP="002845E2">
            <w:pPr>
              <w:jc w:val="center"/>
              <w:rPr>
                <w:rFonts w:ascii="Garamond" w:hAnsi="Garamond"/>
                <w:sz w:val="12"/>
                <w:szCs w:val="12"/>
              </w:rPr>
            </w:pPr>
            <w:r w:rsidRPr="00CC11D5">
              <w:rPr>
                <w:rFonts w:ascii="Garamond" w:hAnsi="Garamond"/>
                <w:sz w:val="12"/>
                <w:szCs w:val="12"/>
              </w:rPr>
              <w:t>Aktiviteti 3.7.2.1</w:t>
            </w:r>
            <w:r w:rsidR="002845E2" w:rsidRPr="00CC11D5">
              <w:rPr>
                <w:rFonts w:ascii="Garamond" w:hAnsi="Garamond"/>
                <w:sz w:val="12"/>
                <w:szCs w:val="12"/>
              </w:rPr>
              <w:t xml:space="preserve">: </w:t>
            </w:r>
            <w:r w:rsidRPr="00CC11D5">
              <w:rPr>
                <w:rFonts w:ascii="Garamond" w:hAnsi="Garamond"/>
                <w:sz w:val="12"/>
                <w:szCs w:val="12"/>
              </w:rPr>
              <w:t>Kryerja e testimeve që të japin rezultatin final t</w:t>
            </w:r>
            <w:r w:rsidR="008C0C0F" w:rsidRPr="00CC11D5">
              <w:rPr>
                <w:rFonts w:ascii="Garamond" w:hAnsi="Garamond"/>
                <w:sz w:val="12"/>
                <w:szCs w:val="12"/>
              </w:rPr>
              <w:t>ë</w:t>
            </w:r>
            <w:r w:rsidRPr="00CC11D5">
              <w:rPr>
                <w:rFonts w:ascii="Garamond" w:hAnsi="Garamond"/>
                <w:sz w:val="12"/>
                <w:szCs w:val="12"/>
              </w:rPr>
              <w:t xml:space="preserve"> pun</w:t>
            </w:r>
            <w:r w:rsidR="008C0C0F" w:rsidRPr="00CC11D5">
              <w:rPr>
                <w:rFonts w:ascii="Garamond" w:hAnsi="Garamond"/>
                <w:sz w:val="12"/>
                <w:szCs w:val="12"/>
              </w:rPr>
              <w:t>ë</w:t>
            </w:r>
            <w:r w:rsidRPr="00CC11D5">
              <w:rPr>
                <w:rFonts w:ascii="Garamond" w:hAnsi="Garamond"/>
                <w:sz w:val="12"/>
                <w:szCs w:val="12"/>
              </w:rPr>
              <w:t>s s</w:t>
            </w:r>
            <w:r w:rsidR="008C0C0F" w:rsidRPr="00CC11D5">
              <w:rPr>
                <w:rFonts w:ascii="Garamond" w:hAnsi="Garamond"/>
                <w:sz w:val="12"/>
                <w:szCs w:val="12"/>
              </w:rPr>
              <w:t>ë</w:t>
            </w:r>
            <w:r w:rsidRPr="00CC11D5">
              <w:rPr>
                <w:rFonts w:ascii="Garamond" w:hAnsi="Garamond"/>
                <w:sz w:val="12"/>
                <w:szCs w:val="12"/>
              </w:rPr>
              <w:t xml:space="preserve"> </w:t>
            </w:r>
            <w:r w:rsidR="002845E2" w:rsidRPr="00CC11D5">
              <w:rPr>
                <w:rFonts w:ascii="Garamond" w:hAnsi="Garamond"/>
                <w:sz w:val="12"/>
                <w:szCs w:val="12"/>
              </w:rPr>
              <w:t>kompanisë</w:t>
            </w:r>
            <w:r w:rsidRPr="00CC11D5">
              <w:rPr>
                <w:rFonts w:ascii="Garamond" w:hAnsi="Garamond"/>
                <w:sz w:val="12"/>
                <w:szCs w:val="12"/>
              </w:rPr>
              <w:t xml:space="preserve"> zbatuese</w:t>
            </w:r>
          </w:p>
          <w:p w14:paraId="64315751" w14:textId="77777777" w:rsidR="005D2226" w:rsidRPr="00CC11D5" w:rsidRDefault="005D2226" w:rsidP="002845E2">
            <w:pPr>
              <w:ind w:left="360"/>
              <w:jc w:val="center"/>
              <w:rPr>
                <w:rFonts w:ascii="Garamond" w:hAnsi="Garamond"/>
                <w:sz w:val="12"/>
                <w:szCs w:val="12"/>
              </w:rPr>
            </w:pPr>
          </w:p>
        </w:tc>
        <w:tc>
          <w:tcPr>
            <w:tcW w:w="0" w:type="auto"/>
            <w:vAlign w:val="center"/>
          </w:tcPr>
          <w:p w14:paraId="53EFBCFB" w14:textId="77777777" w:rsidR="005D2226" w:rsidRPr="00CC11D5" w:rsidRDefault="005D2226" w:rsidP="002845E2">
            <w:pPr>
              <w:ind w:left="360"/>
              <w:jc w:val="center"/>
              <w:rPr>
                <w:rFonts w:ascii="Garamond" w:hAnsi="Garamond"/>
                <w:sz w:val="12"/>
                <w:szCs w:val="12"/>
              </w:rPr>
            </w:pPr>
            <w:r w:rsidRPr="00CC11D5">
              <w:rPr>
                <w:rFonts w:ascii="Garamond" w:hAnsi="Garamond"/>
                <w:sz w:val="12"/>
                <w:szCs w:val="12"/>
              </w:rPr>
              <w:t>2026</w:t>
            </w:r>
          </w:p>
        </w:tc>
        <w:tc>
          <w:tcPr>
            <w:tcW w:w="0" w:type="auto"/>
            <w:vAlign w:val="center"/>
          </w:tcPr>
          <w:p w14:paraId="2F31BB02" w14:textId="77777777" w:rsidR="005D2226" w:rsidRPr="00CC11D5" w:rsidRDefault="005D2226" w:rsidP="002845E2">
            <w:pPr>
              <w:ind w:left="360"/>
              <w:jc w:val="center"/>
              <w:rPr>
                <w:rFonts w:ascii="Garamond" w:hAnsi="Garamond"/>
                <w:sz w:val="12"/>
                <w:szCs w:val="12"/>
              </w:rPr>
            </w:pPr>
            <w:r w:rsidRPr="00CC11D5">
              <w:rPr>
                <w:rFonts w:ascii="Garamond" w:hAnsi="Garamond"/>
                <w:sz w:val="12"/>
                <w:szCs w:val="12"/>
              </w:rPr>
              <w:t>2027</w:t>
            </w:r>
          </w:p>
        </w:tc>
        <w:tc>
          <w:tcPr>
            <w:tcW w:w="0" w:type="auto"/>
            <w:vAlign w:val="center"/>
          </w:tcPr>
          <w:p w14:paraId="21DFFCB1" w14:textId="77777777" w:rsidR="005D2226" w:rsidRPr="00CC11D5" w:rsidRDefault="005D2226" w:rsidP="002845E2">
            <w:pPr>
              <w:jc w:val="center"/>
              <w:rPr>
                <w:rFonts w:ascii="Garamond" w:hAnsi="Garamond"/>
                <w:sz w:val="12"/>
                <w:szCs w:val="12"/>
              </w:rPr>
            </w:pPr>
            <w:r w:rsidRPr="00CC11D5">
              <w:rPr>
                <w:rFonts w:ascii="Garamond" w:hAnsi="Garamond"/>
                <w:sz w:val="12"/>
                <w:szCs w:val="12"/>
              </w:rPr>
              <w:t>Banka Botërore/DPD/AKSHI</w:t>
            </w:r>
          </w:p>
        </w:tc>
      </w:tr>
      <w:tr w:rsidR="005D2226" w:rsidRPr="00CC11D5" w14:paraId="712B2E92" w14:textId="77777777" w:rsidTr="002845E2">
        <w:trPr>
          <w:trHeight w:val="20"/>
        </w:trPr>
        <w:tc>
          <w:tcPr>
            <w:tcW w:w="0" w:type="auto"/>
          </w:tcPr>
          <w:p w14:paraId="478F3505" w14:textId="513BE726" w:rsidR="005D2226" w:rsidRPr="00CC11D5" w:rsidRDefault="005D2226" w:rsidP="005D2226">
            <w:pPr>
              <w:jc w:val="center"/>
              <w:rPr>
                <w:rFonts w:ascii="Garamond" w:eastAsiaTheme="minorHAnsi" w:hAnsi="Garamond"/>
                <w:sz w:val="12"/>
                <w:szCs w:val="12"/>
              </w:rPr>
            </w:pPr>
            <w:r w:rsidRPr="00CC11D5">
              <w:rPr>
                <w:rFonts w:ascii="Garamond" w:eastAsiaTheme="minorHAnsi" w:hAnsi="Garamond"/>
                <w:sz w:val="12"/>
                <w:szCs w:val="12"/>
              </w:rPr>
              <w:t xml:space="preserve">Masa 3.7.3 </w:t>
            </w:r>
            <w:r w:rsidRPr="00CC11D5">
              <w:rPr>
                <w:rStyle w:val="cf01"/>
                <w:rFonts w:ascii="Garamond" w:hAnsi="Garamond"/>
                <w:sz w:val="12"/>
                <w:szCs w:val="12"/>
              </w:rPr>
              <w:t>Aderimi në Konventën Ndërkombëtare të Tranzitit (CTC)</w:t>
            </w:r>
          </w:p>
        </w:tc>
        <w:tc>
          <w:tcPr>
            <w:tcW w:w="0" w:type="auto"/>
            <w:vAlign w:val="center"/>
          </w:tcPr>
          <w:p w14:paraId="5BF1EC1D" w14:textId="77777777" w:rsidR="005D2226" w:rsidRPr="00CC11D5" w:rsidRDefault="005D2226" w:rsidP="002845E2">
            <w:pPr>
              <w:ind w:left="360"/>
              <w:jc w:val="center"/>
              <w:rPr>
                <w:rFonts w:ascii="Garamond" w:hAnsi="Garamond"/>
                <w:sz w:val="12"/>
                <w:szCs w:val="12"/>
              </w:rPr>
            </w:pPr>
          </w:p>
        </w:tc>
        <w:tc>
          <w:tcPr>
            <w:tcW w:w="0" w:type="auto"/>
            <w:vAlign w:val="center"/>
          </w:tcPr>
          <w:p w14:paraId="6AFBF291" w14:textId="77777777" w:rsidR="005D2226" w:rsidRPr="00CC11D5" w:rsidRDefault="005D2226" w:rsidP="002845E2">
            <w:pPr>
              <w:ind w:left="360"/>
              <w:jc w:val="center"/>
              <w:rPr>
                <w:rFonts w:ascii="Garamond" w:hAnsi="Garamond"/>
                <w:sz w:val="12"/>
                <w:szCs w:val="12"/>
              </w:rPr>
            </w:pPr>
            <w:r w:rsidRPr="00CC11D5">
              <w:rPr>
                <w:rFonts w:ascii="Garamond" w:hAnsi="Garamond"/>
                <w:sz w:val="12"/>
                <w:szCs w:val="12"/>
              </w:rPr>
              <w:t>2027</w:t>
            </w:r>
          </w:p>
        </w:tc>
        <w:tc>
          <w:tcPr>
            <w:tcW w:w="0" w:type="auto"/>
            <w:vAlign w:val="center"/>
          </w:tcPr>
          <w:p w14:paraId="5E95A34E" w14:textId="77777777" w:rsidR="005D2226" w:rsidRPr="00CC11D5" w:rsidRDefault="005D2226" w:rsidP="002845E2">
            <w:pPr>
              <w:ind w:left="360"/>
              <w:jc w:val="center"/>
              <w:rPr>
                <w:rFonts w:ascii="Garamond" w:hAnsi="Garamond"/>
                <w:sz w:val="12"/>
                <w:szCs w:val="12"/>
              </w:rPr>
            </w:pPr>
            <w:r w:rsidRPr="00CC11D5">
              <w:rPr>
                <w:rFonts w:ascii="Garamond" w:hAnsi="Garamond"/>
                <w:sz w:val="12"/>
                <w:szCs w:val="12"/>
              </w:rPr>
              <w:t>Në vazhdim</w:t>
            </w:r>
          </w:p>
        </w:tc>
        <w:tc>
          <w:tcPr>
            <w:tcW w:w="0" w:type="auto"/>
            <w:vAlign w:val="center"/>
          </w:tcPr>
          <w:p w14:paraId="2DA6C047" w14:textId="77777777" w:rsidR="005D2226" w:rsidRPr="00CC11D5" w:rsidRDefault="005D2226" w:rsidP="002845E2">
            <w:pPr>
              <w:jc w:val="center"/>
              <w:rPr>
                <w:rFonts w:ascii="Garamond" w:hAnsi="Garamond"/>
                <w:sz w:val="12"/>
                <w:szCs w:val="12"/>
              </w:rPr>
            </w:pPr>
            <w:r w:rsidRPr="00CC11D5">
              <w:rPr>
                <w:rFonts w:ascii="Garamond" w:hAnsi="Garamond"/>
                <w:sz w:val="12"/>
                <w:szCs w:val="12"/>
              </w:rPr>
              <w:t>Banka Botërore/DPD/AKSHI</w:t>
            </w:r>
          </w:p>
        </w:tc>
      </w:tr>
      <w:tr w:rsidR="005D2226" w:rsidRPr="00CC11D5" w14:paraId="1698B70F" w14:textId="77777777" w:rsidTr="002845E2">
        <w:trPr>
          <w:trHeight w:val="20"/>
        </w:trPr>
        <w:tc>
          <w:tcPr>
            <w:tcW w:w="0" w:type="auto"/>
          </w:tcPr>
          <w:p w14:paraId="20A67B85" w14:textId="021F7F31" w:rsidR="005D2226" w:rsidRPr="00CC11D5" w:rsidRDefault="005D2226" w:rsidP="005D2226">
            <w:pPr>
              <w:jc w:val="center"/>
              <w:rPr>
                <w:rFonts w:ascii="Garamond" w:eastAsiaTheme="minorHAnsi" w:hAnsi="Garamond"/>
                <w:sz w:val="12"/>
                <w:szCs w:val="12"/>
              </w:rPr>
            </w:pPr>
            <w:r w:rsidRPr="00CC11D5">
              <w:rPr>
                <w:rFonts w:ascii="Garamond" w:eastAsiaTheme="minorHAnsi" w:hAnsi="Garamond"/>
                <w:sz w:val="12"/>
                <w:szCs w:val="12"/>
              </w:rPr>
              <w:t>Masa 3.7.4 Lidhja e sistemit shqiptar me sistemin ndërkombëtar</w:t>
            </w:r>
          </w:p>
        </w:tc>
        <w:tc>
          <w:tcPr>
            <w:tcW w:w="0" w:type="auto"/>
            <w:vAlign w:val="center"/>
          </w:tcPr>
          <w:p w14:paraId="2DDD671F" w14:textId="3652EB2A" w:rsidR="005D2226" w:rsidRPr="00CC11D5" w:rsidRDefault="005D2226" w:rsidP="002845E2">
            <w:pPr>
              <w:jc w:val="center"/>
              <w:rPr>
                <w:rFonts w:ascii="Garamond" w:hAnsi="Garamond"/>
                <w:sz w:val="12"/>
                <w:szCs w:val="12"/>
              </w:rPr>
            </w:pPr>
            <w:r w:rsidRPr="00CC11D5">
              <w:rPr>
                <w:rFonts w:ascii="Garamond" w:hAnsi="Garamond"/>
                <w:sz w:val="12"/>
                <w:szCs w:val="12"/>
              </w:rPr>
              <w:t>Aktiviteti 3.7.4.1</w:t>
            </w:r>
            <w:r w:rsidR="002845E2" w:rsidRPr="00CC11D5">
              <w:rPr>
                <w:rFonts w:ascii="Garamond" w:hAnsi="Garamond"/>
                <w:sz w:val="12"/>
                <w:szCs w:val="12"/>
              </w:rPr>
              <w:t xml:space="preserve">: </w:t>
            </w:r>
            <w:r w:rsidRPr="00CC11D5">
              <w:rPr>
                <w:rFonts w:ascii="Garamond" w:hAnsi="Garamond"/>
                <w:sz w:val="12"/>
                <w:szCs w:val="12"/>
              </w:rPr>
              <w:t>Zhvillim i mëtejshëm i mjedisit të TI-së të NCTS</w:t>
            </w:r>
          </w:p>
          <w:p w14:paraId="21C9E6E2" w14:textId="0878E10B" w:rsidR="005D2226" w:rsidRPr="00CC11D5" w:rsidRDefault="005D2226" w:rsidP="002845E2">
            <w:pPr>
              <w:jc w:val="center"/>
              <w:rPr>
                <w:rFonts w:ascii="Garamond" w:hAnsi="Garamond"/>
                <w:sz w:val="12"/>
                <w:szCs w:val="12"/>
              </w:rPr>
            </w:pPr>
            <w:r w:rsidRPr="00CC11D5">
              <w:rPr>
                <w:rFonts w:ascii="Garamond" w:hAnsi="Garamond"/>
                <w:sz w:val="12"/>
                <w:szCs w:val="12"/>
              </w:rPr>
              <w:t>Aktiviteti 3.7.4.2</w:t>
            </w:r>
            <w:r w:rsidR="002845E2" w:rsidRPr="00CC11D5">
              <w:rPr>
                <w:rFonts w:ascii="Garamond" w:hAnsi="Garamond"/>
                <w:sz w:val="12"/>
                <w:szCs w:val="12"/>
              </w:rPr>
              <w:t xml:space="preserve">: </w:t>
            </w:r>
            <w:r w:rsidRPr="00CC11D5">
              <w:rPr>
                <w:rFonts w:ascii="Garamond" w:hAnsi="Garamond"/>
                <w:sz w:val="12"/>
                <w:szCs w:val="12"/>
              </w:rPr>
              <w:t>Kryerja e ndërlidhjeve mes sistemeve</w:t>
            </w:r>
          </w:p>
        </w:tc>
        <w:tc>
          <w:tcPr>
            <w:tcW w:w="0" w:type="auto"/>
            <w:vAlign w:val="center"/>
          </w:tcPr>
          <w:p w14:paraId="59AB1EAD" w14:textId="77777777" w:rsidR="005D2226" w:rsidRPr="00CC11D5" w:rsidRDefault="005D2226" w:rsidP="002845E2">
            <w:pPr>
              <w:ind w:left="360"/>
              <w:jc w:val="center"/>
              <w:rPr>
                <w:rFonts w:ascii="Garamond" w:hAnsi="Garamond"/>
                <w:sz w:val="12"/>
                <w:szCs w:val="12"/>
              </w:rPr>
            </w:pPr>
            <w:r w:rsidRPr="00CC11D5">
              <w:rPr>
                <w:rFonts w:ascii="Garamond" w:hAnsi="Garamond"/>
                <w:sz w:val="12"/>
                <w:szCs w:val="12"/>
              </w:rPr>
              <w:t>2027</w:t>
            </w:r>
          </w:p>
        </w:tc>
        <w:tc>
          <w:tcPr>
            <w:tcW w:w="0" w:type="auto"/>
            <w:vAlign w:val="center"/>
          </w:tcPr>
          <w:p w14:paraId="14C4C3FE" w14:textId="77777777" w:rsidR="005D2226" w:rsidRPr="00CC11D5" w:rsidRDefault="005D2226" w:rsidP="002845E2">
            <w:pPr>
              <w:ind w:left="360"/>
              <w:jc w:val="center"/>
              <w:rPr>
                <w:rFonts w:ascii="Garamond" w:hAnsi="Garamond"/>
                <w:sz w:val="12"/>
                <w:szCs w:val="12"/>
              </w:rPr>
            </w:pPr>
            <w:r w:rsidRPr="00CC11D5">
              <w:rPr>
                <w:rFonts w:ascii="Garamond" w:hAnsi="Garamond"/>
                <w:sz w:val="12"/>
                <w:szCs w:val="12"/>
              </w:rPr>
              <w:t>Në vazhdim</w:t>
            </w:r>
          </w:p>
        </w:tc>
        <w:tc>
          <w:tcPr>
            <w:tcW w:w="0" w:type="auto"/>
            <w:vAlign w:val="center"/>
          </w:tcPr>
          <w:p w14:paraId="5B9FA563" w14:textId="77777777" w:rsidR="005D2226" w:rsidRPr="00CC11D5" w:rsidRDefault="005D2226" w:rsidP="002845E2">
            <w:pPr>
              <w:jc w:val="center"/>
              <w:rPr>
                <w:rFonts w:ascii="Garamond" w:hAnsi="Garamond"/>
                <w:sz w:val="12"/>
                <w:szCs w:val="12"/>
              </w:rPr>
            </w:pPr>
            <w:r w:rsidRPr="00CC11D5">
              <w:rPr>
                <w:rFonts w:ascii="Garamond" w:hAnsi="Garamond"/>
                <w:sz w:val="12"/>
                <w:szCs w:val="12"/>
              </w:rPr>
              <w:t>Banka Botërore/DPD/AKSHI</w:t>
            </w:r>
          </w:p>
        </w:tc>
      </w:tr>
    </w:tbl>
    <w:p w14:paraId="7BB38A18" w14:textId="77777777" w:rsidR="005D2226" w:rsidRPr="00830F4C" w:rsidRDefault="005D2226" w:rsidP="005D2226">
      <w:pPr>
        <w:ind w:left="360"/>
        <w:jc w:val="both"/>
        <w:rPr>
          <w:rFonts w:ascii="Garamond" w:hAnsi="Garamond"/>
          <w:sz w:val="20"/>
          <w:szCs w:val="20"/>
        </w:rPr>
      </w:pPr>
    </w:p>
    <w:p w14:paraId="31C5BE25" w14:textId="77777777" w:rsidR="005D2226" w:rsidRPr="00830F4C" w:rsidRDefault="005D2226" w:rsidP="005D2226">
      <w:pPr>
        <w:jc w:val="both"/>
        <w:rPr>
          <w:rFonts w:ascii="Garamond" w:hAnsi="Garamond"/>
          <w:b/>
          <w:szCs w:val="20"/>
        </w:rPr>
      </w:pPr>
      <w:r w:rsidRPr="00830F4C">
        <w:rPr>
          <w:rFonts w:ascii="Garamond" w:hAnsi="Garamond"/>
          <w:b/>
          <w:szCs w:val="20"/>
        </w:rPr>
        <w:t>Treguesit e performancës dhe vlerat e synuara</w:t>
      </w:r>
    </w:p>
    <w:tbl>
      <w:tblPr>
        <w:tblW w:w="8835" w:type="dxa"/>
        <w:tblLook w:val="04A0" w:firstRow="1" w:lastRow="0" w:firstColumn="1" w:lastColumn="0" w:noHBand="0" w:noVBand="1"/>
      </w:tblPr>
      <w:tblGrid>
        <w:gridCol w:w="2293"/>
        <w:gridCol w:w="1494"/>
        <w:gridCol w:w="1323"/>
        <w:gridCol w:w="1077"/>
        <w:gridCol w:w="1340"/>
        <w:gridCol w:w="1308"/>
      </w:tblGrid>
      <w:tr w:rsidR="005D2226" w:rsidRPr="00CC11D5" w14:paraId="6813AAB7" w14:textId="77777777" w:rsidTr="002845E2">
        <w:trPr>
          <w:trHeight w:val="20"/>
        </w:trPr>
        <w:tc>
          <w:tcPr>
            <w:tcW w:w="2293" w:type="dxa"/>
            <w:vMerge w:val="restart"/>
            <w:tcBorders>
              <w:top w:val="single" w:sz="4" w:space="0" w:color="auto"/>
              <w:left w:val="single" w:sz="4" w:space="0" w:color="auto"/>
              <w:right w:val="single" w:sz="4" w:space="0" w:color="auto"/>
            </w:tcBorders>
            <w:shd w:val="clear" w:color="FFFFFF" w:fill="FFFFFF"/>
            <w:vAlign w:val="center"/>
          </w:tcPr>
          <w:p w14:paraId="0A1C5C00" w14:textId="77777777" w:rsidR="005D2226" w:rsidRPr="00CC11D5" w:rsidRDefault="005D2226" w:rsidP="002845E2">
            <w:pPr>
              <w:jc w:val="center"/>
              <w:rPr>
                <w:rFonts w:ascii="Garamond" w:hAnsi="Garamond"/>
                <w:sz w:val="12"/>
                <w:szCs w:val="12"/>
              </w:rPr>
            </w:pPr>
            <w:r w:rsidRPr="00CC11D5">
              <w:rPr>
                <w:rFonts w:ascii="Garamond" w:hAnsi="Garamond"/>
                <w:b/>
                <w:sz w:val="12"/>
                <w:szCs w:val="12"/>
              </w:rPr>
              <w:t>Treguesi</w:t>
            </w:r>
          </w:p>
        </w:tc>
        <w:tc>
          <w:tcPr>
            <w:tcW w:w="1494" w:type="dxa"/>
            <w:vMerge w:val="restart"/>
            <w:tcBorders>
              <w:top w:val="single" w:sz="4" w:space="0" w:color="auto"/>
              <w:left w:val="single" w:sz="4" w:space="0" w:color="auto"/>
              <w:right w:val="single" w:sz="4" w:space="0" w:color="auto"/>
            </w:tcBorders>
            <w:shd w:val="clear" w:color="FFFFFF" w:fill="FFFFFF"/>
            <w:vAlign w:val="center"/>
          </w:tcPr>
          <w:p w14:paraId="16491806" w14:textId="537CFE0B" w:rsidR="008C0C0F" w:rsidRPr="00CC11D5" w:rsidRDefault="005D2226" w:rsidP="002845E2">
            <w:pPr>
              <w:jc w:val="center"/>
              <w:rPr>
                <w:rFonts w:ascii="Garamond" w:hAnsi="Garamond"/>
                <w:b/>
                <w:sz w:val="12"/>
                <w:szCs w:val="12"/>
              </w:rPr>
            </w:pPr>
            <w:r w:rsidRPr="00CC11D5">
              <w:rPr>
                <w:rFonts w:ascii="Garamond" w:hAnsi="Garamond"/>
                <w:b/>
                <w:sz w:val="12"/>
                <w:szCs w:val="12"/>
              </w:rPr>
              <w:t xml:space="preserve">Vlera </w:t>
            </w:r>
            <w:r w:rsidR="002845E2" w:rsidRPr="00CC11D5">
              <w:rPr>
                <w:rFonts w:ascii="Garamond" w:hAnsi="Garamond"/>
                <w:b/>
                <w:sz w:val="12"/>
                <w:szCs w:val="12"/>
              </w:rPr>
              <w:t>b</w:t>
            </w:r>
            <w:r w:rsidRPr="00CC11D5">
              <w:rPr>
                <w:rFonts w:ascii="Garamond" w:hAnsi="Garamond"/>
                <w:b/>
                <w:sz w:val="12"/>
                <w:szCs w:val="12"/>
              </w:rPr>
              <w:t>azë</w:t>
            </w:r>
          </w:p>
          <w:p w14:paraId="7D021535" w14:textId="54455C60" w:rsidR="005D2226" w:rsidRPr="00CC11D5" w:rsidRDefault="005D2226" w:rsidP="002845E2">
            <w:pPr>
              <w:jc w:val="center"/>
              <w:rPr>
                <w:rFonts w:ascii="Garamond" w:hAnsi="Garamond"/>
                <w:sz w:val="12"/>
                <w:szCs w:val="12"/>
              </w:rPr>
            </w:pPr>
            <w:r w:rsidRPr="00CC11D5">
              <w:rPr>
                <w:rFonts w:ascii="Garamond" w:hAnsi="Garamond"/>
                <w:b/>
                <w:sz w:val="12"/>
                <w:szCs w:val="12"/>
              </w:rPr>
              <w:t>(viti</w:t>
            </w:r>
            <w:r w:rsidR="002845E2" w:rsidRPr="00CC11D5">
              <w:rPr>
                <w:rFonts w:ascii="Garamond" w:hAnsi="Garamond"/>
                <w:b/>
                <w:sz w:val="12"/>
                <w:szCs w:val="12"/>
              </w:rPr>
              <w:t>)</w:t>
            </w:r>
          </w:p>
        </w:tc>
        <w:tc>
          <w:tcPr>
            <w:tcW w:w="5048" w:type="dxa"/>
            <w:gridSpan w:val="4"/>
            <w:tcBorders>
              <w:top w:val="single" w:sz="4" w:space="0" w:color="auto"/>
              <w:left w:val="nil"/>
              <w:bottom w:val="single" w:sz="4" w:space="0" w:color="auto"/>
              <w:right w:val="single" w:sz="4" w:space="0" w:color="auto"/>
            </w:tcBorders>
            <w:shd w:val="clear" w:color="FFFFFF" w:fill="FFFFFF"/>
          </w:tcPr>
          <w:p w14:paraId="53F48EB5" w14:textId="77777777" w:rsidR="005D2226" w:rsidRPr="00CC11D5" w:rsidRDefault="005D2226" w:rsidP="005D2226">
            <w:pPr>
              <w:jc w:val="center"/>
              <w:rPr>
                <w:rFonts w:ascii="Garamond" w:hAnsi="Garamond"/>
                <w:sz w:val="12"/>
                <w:szCs w:val="12"/>
              </w:rPr>
            </w:pPr>
            <w:r w:rsidRPr="00CC11D5">
              <w:rPr>
                <w:rFonts w:ascii="Garamond" w:hAnsi="Garamond"/>
                <w:b/>
                <w:sz w:val="12"/>
                <w:szCs w:val="12"/>
              </w:rPr>
              <w:t>Vlera e synuar</w:t>
            </w:r>
          </w:p>
        </w:tc>
      </w:tr>
      <w:tr w:rsidR="005D2226" w:rsidRPr="00CC11D5" w14:paraId="3505630A" w14:textId="77777777" w:rsidTr="005D2226">
        <w:trPr>
          <w:trHeight w:val="20"/>
        </w:trPr>
        <w:tc>
          <w:tcPr>
            <w:tcW w:w="2293" w:type="dxa"/>
            <w:vMerge/>
            <w:tcBorders>
              <w:left w:val="single" w:sz="4" w:space="0" w:color="auto"/>
              <w:bottom w:val="single" w:sz="4" w:space="0" w:color="auto"/>
              <w:right w:val="single" w:sz="4" w:space="0" w:color="auto"/>
            </w:tcBorders>
            <w:shd w:val="clear" w:color="FFFFFF" w:fill="FFFFFF"/>
          </w:tcPr>
          <w:p w14:paraId="55891D13" w14:textId="77777777" w:rsidR="005D2226" w:rsidRPr="00CC11D5" w:rsidRDefault="005D2226" w:rsidP="005D2226">
            <w:pPr>
              <w:jc w:val="center"/>
              <w:rPr>
                <w:rFonts w:ascii="Garamond" w:hAnsi="Garamond"/>
                <w:sz w:val="12"/>
                <w:szCs w:val="12"/>
              </w:rPr>
            </w:pPr>
          </w:p>
        </w:tc>
        <w:tc>
          <w:tcPr>
            <w:tcW w:w="1494" w:type="dxa"/>
            <w:vMerge/>
            <w:tcBorders>
              <w:left w:val="single" w:sz="4" w:space="0" w:color="auto"/>
              <w:bottom w:val="single" w:sz="4" w:space="0" w:color="auto"/>
              <w:right w:val="single" w:sz="4" w:space="0" w:color="auto"/>
            </w:tcBorders>
            <w:shd w:val="clear" w:color="FFFFFF" w:fill="FFFFFF"/>
          </w:tcPr>
          <w:p w14:paraId="082D3FA4" w14:textId="77777777" w:rsidR="005D2226" w:rsidRPr="00CC11D5" w:rsidRDefault="005D2226" w:rsidP="005D2226">
            <w:pPr>
              <w:jc w:val="center"/>
              <w:rPr>
                <w:rFonts w:ascii="Garamond" w:hAnsi="Garamond"/>
                <w:sz w:val="12"/>
                <w:szCs w:val="12"/>
              </w:rPr>
            </w:pPr>
          </w:p>
        </w:tc>
        <w:tc>
          <w:tcPr>
            <w:tcW w:w="1323" w:type="dxa"/>
            <w:tcBorders>
              <w:top w:val="single" w:sz="4" w:space="0" w:color="auto"/>
              <w:left w:val="nil"/>
              <w:bottom w:val="single" w:sz="4" w:space="0" w:color="auto"/>
              <w:right w:val="single" w:sz="4" w:space="0" w:color="auto"/>
            </w:tcBorders>
            <w:shd w:val="clear" w:color="FFFFFF" w:fill="FFFFFF"/>
          </w:tcPr>
          <w:p w14:paraId="4AEF32F8" w14:textId="77777777" w:rsidR="005D2226" w:rsidRPr="00CC11D5" w:rsidRDefault="005D2226" w:rsidP="005D2226">
            <w:pPr>
              <w:jc w:val="center"/>
              <w:rPr>
                <w:rFonts w:ascii="Garamond" w:hAnsi="Garamond"/>
                <w:sz w:val="12"/>
                <w:szCs w:val="12"/>
              </w:rPr>
            </w:pPr>
            <w:r w:rsidRPr="00CC11D5">
              <w:rPr>
                <w:rFonts w:ascii="Garamond" w:hAnsi="Garamond"/>
                <w:b/>
                <w:sz w:val="12"/>
                <w:szCs w:val="12"/>
              </w:rPr>
              <w:t>2024</w:t>
            </w:r>
          </w:p>
        </w:tc>
        <w:tc>
          <w:tcPr>
            <w:tcW w:w="1077" w:type="dxa"/>
            <w:tcBorders>
              <w:top w:val="single" w:sz="4" w:space="0" w:color="auto"/>
              <w:left w:val="nil"/>
              <w:bottom w:val="single" w:sz="4" w:space="0" w:color="auto"/>
              <w:right w:val="single" w:sz="4" w:space="0" w:color="auto"/>
            </w:tcBorders>
            <w:shd w:val="clear" w:color="FFFFFF" w:fill="FFFFFF"/>
          </w:tcPr>
          <w:p w14:paraId="55833D5E" w14:textId="77777777" w:rsidR="005D2226" w:rsidRPr="00CC11D5" w:rsidRDefault="005D2226" w:rsidP="005D2226">
            <w:pPr>
              <w:jc w:val="center"/>
              <w:rPr>
                <w:rFonts w:ascii="Garamond" w:hAnsi="Garamond"/>
                <w:sz w:val="12"/>
                <w:szCs w:val="12"/>
              </w:rPr>
            </w:pPr>
            <w:r w:rsidRPr="00CC11D5">
              <w:rPr>
                <w:rFonts w:ascii="Garamond" w:hAnsi="Garamond"/>
                <w:b/>
                <w:sz w:val="12"/>
                <w:szCs w:val="12"/>
              </w:rPr>
              <w:t>2025</w:t>
            </w:r>
          </w:p>
        </w:tc>
        <w:tc>
          <w:tcPr>
            <w:tcW w:w="1340" w:type="dxa"/>
            <w:tcBorders>
              <w:top w:val="single" w:sz="4" w:space="0" w:color="auto"/>
              <w:left w:val="nil"/>
              <w:bottom w:val="single" w:sz="4" w:space="0" w:color="auto"/>
              <w:right w:val="single" w:sz="4" w:space="0" w:color="auto"/>
            </w:tcBorders>
            <w:shd w:val="clear" w:color="FFFFFF" w:fill="FFFFFF"/>
          </w:tcPr>
          <w:p w14:paraId="26D620DB" w14:textId="77777777" w:rsidR="005D2226" w:rsidRPr="00CC11D5" w:rsidRDefault="005D2226" w:rsidP="005D2226">
            <w:pPr>
              <w:jc w:val="center"/>
              <w:rPr>
                <w:rFonts w:ascii="Garamond" w:hAnsi="Garamond"/>
                <w:sz w:val="12"/>
                <w:szCs w:val="12"/>
              </w:rPr>
            </w:pPr>
            <w:r w:rsidRPr="00CC11D5">
              <w:rPr>
                <w:rFonts w:ascii="Garamond" w:hAnsi="Garamond"/>
                <w:b/>
                <w:sz w:val="12"/>
                <w:szCs w:val="12"/>
              </w:rPr>
              <w:t>2026</w:t>
            </w:r>
          </w:p>
        </w:tc>
        <w:tc>
          <w:tcPr>
            <w:tcW w:w="1308" w:type="dxa"/>
            <w:tcBorders>
              <w:top w:val="single" w:sz="4" w:space="0" w:color="auto"/>
              <w:left w:val="nil"/>
              <w:bottom w:val="single" w:sz="4" w:space="0" w:color="auto"/>
              <w:right w:val="single" w:sz="4" w:space="0" w:color="auto"/>
            </w:tcBorders>
            <w:shd w:val="clear" w:color="FFFFFF" w:fill="FFFFFF"/>
          </w:tcPr>
          <w:p w14:paraId="7FB74600" w14:textId="77777777" w:rsidR="005D2226" w:rsidRPr="00CC11D5" w:rsidRDefault="005D2226" w:rsidP="005D2226">
            <w:pPr>
              <w:jc w:val="center"/>
              <w:rPr>
                <w:rFonts w:ascii="Garamond" w:hAnsi="Garamond"/>
                <w:sz w:val="12"/>
                <w:szCs w:val="12"/>
              </w:rPr>
            </w:pPr>
            <w:r w:rsidRPr="00CC11D5">
              <w:rPr>
                <w:rFonts w:ascii="Garamond" w:hAnsi="Garamond"/>
                <w:b/>
                <w:sz w:val="12"/>
                <w:szCs w:val="12"/>
              </w:rPr>
              <w:t>2027</w:t>
            </w:r>
          </w:p>
        </w:tc>
      </w:tr>
      <w:tr w:rsidR="005D2226" w:rsidRPr="00CC11D5" w14:paraId="146E1E97" w14:textId="77777777" w:rsidTr="005D2226">
        <w:trPr>
          <w:trHeight w:val="20"/>
        </w:trPr>
        <w:tc>
          <w:tcPr>
            <w:tcW w:w="2293" w:type="dxa"/>
            <w:tcBorders>
              <w:top w:val="single" w:sz="4" w:space="0" w:color="auto"/>
              <w:left w:val="single" w:sz="4" w:space="0" w:color="auto"/>
              <w:bottom w:val="single" w:sz="4" w:space="0" w:color="auto"/>
              <w:right w:val="single" w:sz="4" w:space="0" w:color="auto"/>
            </w:tcBorders>
            <w:shd w:val="clear" w:color="FFFFFF" w:fill="FFFFFF"/>
          </w:tcPr>
          <w:p w14:paraId="2AB545FC" w14:textId="77777777" w:rsidR="005D2226" w:rsidRPr="00CC11D5" w:rsidRDefault="005D2226" w:rsidP="005D2226">
            <w:pPr>
              <w:jc w:val="center"/>
              <w:rPr>
                <w:rFonts w:ascii="Garamond" w:hAnsi="Garamond"/>
                <w:sz w:val="12"/>
                <w:szCs w:val="12"/>
              </w:rPr>
            </w:pPr>
            <w:r w:rsidRPr="00CC11D5">
              <w:rPr>
                <w:rFonts w:ascii="Garamond" w:hAnsi="Garamond"/>
                <w:sz w:val="12"/>
                <w:szCs w:val="12"/>
              </w:rPr>
              <w:t>Sistemi i Ri i Kompjuterizuar i Transitit (NCTS)</w:t>
            </w:r>
          </w:p>
        </w:tc>
        <w:tc>
          <w:tcPr>
            <w:tcW w:w="1494" w:type="dxa"/>
            <w:tcBorders>
              <w:top w:val="single" w:sz="4" w:space="0" w:color="auto"/>
              <w:left w:val="single" w:sz="4" w:space="0" w:color="auto"/>
              <w:bottom w:val="single" w:sz="4" w:space="0" w:color="auto"/>
              <w:right w:val="single" w:sz="4" w:space="0" w:color="auto"/>
            </w:tcBorders>
            <w:shd w:val="clear" w:color="FFFFFF" w:fill="FFFFFF"/>
          </w:tcPr>
          <w:p w14:paraId="074A95BD" w14:textId="77777777" w:rsidR="005D2226" w:rsidRPr="00CC11D5" w:rsidRDefault="005D2226" w:rsidP="005D2226">
            <w:pPr>
              <w:jc w:val="center"/>
              <w:rPr>
                <w:rFonts w:ascii="Garamond" w:hAnsi="Garamond"/>
                <w:sz w:val="12"/>
                <w:szCs w:val="12"/>
              </w:rPr>
            </w:pPr>
          </w:p>
        </w:tc>
        <w:tc>
          <w:tcPr>
            <w:tcW w:w="1323" w:type="dxa"/>
            <w:tcBorders>
              <w:top w:val="single" w:sz="4" w:space="0" w:color="auto"/>
              <w:left w:val="nil"/>
              <w:bottom w:val="single" w:sz="4" w:space="0" w:color="auto"/>
              <w:right w:val="single" w:sz="4" w:space="0" w:color="auto"/>
            </w:tcBorders>
            <w:shd w:val="clear" w:color="FFFFFF" w:fill="FFFFFF"/>
          </w:tcPr>
          <w:p w14:paraId="535F282F" w14:textId="77777777" w:rsidR="005D2226" w:rsidRPr="00CC11D5" w:rsidRDefault="005D2226" w:rsidP="005D2226">
            <w:pPr>
              <w:jc w:val="center"/>
              <w:rPr>
                <w:rFonts w:ascii="Garamond" w:hAnsi="Garamond"/>
                <w:sz w:val="12"/>
                <w:szCs w:val="12"/>
              </w:rPr>
            </w:pPr>
          </w:p>
        </w:tc>
        <w:tc>
          <w:tcPr>
            <w:tcW w:w="1077" w:type="dxa"/>
            <w:tcBorders>
              <w:top w:val="single" w:sz="4" w:space="0" w:color="auto"/>
              <w:left w:val="nil"/>
              <w:bottom w:val="single" w:sz="4" w:space="0" w:color="auto"/>
              <w:right w:val="single" w:sz="4" w:space="0" w:color="auto"/>
            </w:tcBorders>
            <w:shd w:val="clear" w:color="FFFFFF" w:fill="FFFFFF"/>
          </w:tcPr>
          <w:p w14:paraId="04957994" w14:textId="77777777" w:rsidR="005D2226" w:rsidRPr="00CC11D5" w:rsidRDefault="005D2226" w:rsidP="005D2226">
            <w:pPr>
              <w:jc w:val="center"/>
              <w:rPr>
                <w:rFonts w:ascii="Garamond" w:hAnsi="Garamond"/>
                <w:sz w:val="12"/>
                <w:szCs w:val="12"/>
              </w:rPr>
            </w:pPr>
          </w:p>
        </w:tc>
        <w:tc>
          <w:tcPr>
            <w:tcW w:w="1340" w:type="dxa"/>
            <w:tcBorders>
              <w:top w:val="single" w:sz="4" w:space="0" w:color="auto"/>
              <w:left w:val="nil"/>
              <w:bottom w:val="single" w:sz="4" w:space="0" w:color="auto"/>
              <w:right w:val="single" w:sz="4" w:space="0" w:color="auto"/>
            </w:tcBorders>
            <w:shd w:val="clear" w:color="FFFFFF" w:fill="FFFFFF"/>
          </w:tcPr>
          <w:p w14:paraId="7565E8D2" w14:textId="77777777" w:rsidR="005D2226" w:rsidRPr="00CC11D5" w:rsidRDefault="005D2226" w:rsidP="005D2226">
            <w:pPr>
              <w:jc w:val="center"/>
              <w:rPr>
                <w:rFonts w:ascii="Garamond" w:hAnsi="Garamond"/>
                <w:sz w:val="12"/>
                <w:szCs w:val="12"/>
              </w:rPr>
            </w:pPr>
            <w:r w:rsidRPr="00CC11D5">
              <w:rPr>
                <w:rFonts w:ascii="Garamond" w:hAnsi="Garamond"/>
                <w:sz w:val="12"/>
                <w:szCs w:val="12"/>
              </w:rPr>
              <w:t>NCTS funksional</w:t>
            </w:r>
          </w:p>
        </w:tc>
        <w:tc>
          <w:tcPr>
            <w:tcW w:w="1308" w:type="dxa"/>
            <w:tcBorders>
              <w:top w:val="single" w:sz="4" w:space="0" w:color="auto"/>
              <w:left w:val="nil"/>
              <w:bottom w:val="single" w:sz="4" w:space="0" w:color="auto"/>
              <w:right w:val="single" w:sz="4" w:space="0" w:color="auto"/>
            </w:tcBorders>
            <w:shd w:val="clear" w:color="FFFFFF" w:fill="FFFFFF"/>
          </w:tcPr>
          <w:p w14:paraId="61A1BA1F" w14:textId="77777777" w:rsidR="005D2226" w:rsidRPr="00CC11D5" w:rsidRDefault="005D2226" w:rsidP="005D2226">
            <w:pPr>
              <w:jc w:val="center"/>
              <w:rPr>
                <w:rFonts w:ascii="Garamond" w:hAnsi="Garamond"/>
                <w:sz w:val="12"/>
                <w:szCs w:val="12"/>
              </w:rPr>
            </w:pPr>
          </w:p>
        </w:tc>
      </w:tr>
    </w:tbl>
    <w:p w14:paraId="5F984CD6" w14:textId="4F7E930F" w:rsidR="005D2226" w:rsidRPr="00830F4C" w:rsidRDefault="005D2226" w:rsidP="002845E2">
      <w:pPr>
        <w:pStyle w:val="Heading2"/>
        <w:spacing w:before="0"/>
        <w:ind w:firstLine="284"/>
        <w:jc w:val="both"/>
        <w:rPr>
          <w:rFonts w:ascii="Garamond" w:hAnsi="Garamond"/>
          <w:b/>
          <w:bCs/>
          <w:color w:val="auto"/>
          <w:sz w:val="24"/>
          <w:szCs w:val="24"/>
        </w:rPr>
      </w:pPr>
      <w:r w:rsidRPr="00830F4C">
        <w:rPr>
          <w:rFonts w:ascii="Garamond" w:hAnsi="Garamond"/>
          <w:b/>
          <w:bCs/>
          <w:color w:val="auto"/>
          <w:sz w:val="24"/>
          <w:szCs w:val="24"/>
        </w:rPr>
        <w:t>VI.9 Komponenti 3.8 Rritja e bashkëpunimit në luftën kundër informalitetit, kontrabandës, korrupsionit dhe importit të mallrave të falsifikuara</w:t>
      </w:r>
    </w:p>
    <w:p w14:paraId="70C8A09B" w14:textId="77777777" w:rsidR="005D2226" w:rsidRPr="00830F4C" w:rsidRDefault="005D2226" w:rsidP="005D2226">
      <w:pPr>
        <w:ind w:firstLine="284"/>
        <w:jc w:val="both"/>
        <w:rPr>
          <w:rFonts w:ascii="Garamond" w:hAnsi="Garamond"/>
          <w:b/>
          <w:bCs/>
        </w:rPr>
      </w:pPr>
      <w:r w:rsidRPr="00830F4C">
        <w:rPr>
          <w:rFonts w:ascii="Garamond" w:hAnsi="Garamond"/>
          <w:b/>
          <w:bCs/>
        </w:rPr>
        <w:t>Objektivi</w:t>
      </w:r>
    </w:p>
    <w:p w14:paraId="5BC6459B" w14:textId="77777777" w:rsidR="005D2226" w:rsidRPr="00830F4C" w:rsidRDefault="005D2226" w:rsidP="005D2226">
      <w:pPr>
        <w:ind w:firstLine="284"/>
        <w:jc w:val="both"/>
        <w:rPr>
          <w:rFonts w:ascii="Garamond" w:hAnsi="Garamond"/>
        </w:rPr>
      </w:pPr>
      <w:r w:rsidRPr="00830F4C">
        <w:rPr>
          <w:rFonts w:ascii="Garamond" w:hAnsi="Garamond"/>
        </w:rPr>
        <w:t>Synimi në 2027 është që brenda vitit 2027 të jetë rritur bashkëpunimi në luftën kundër informalitetit, kontrabandës, korrupsionit dhe importit të mallrave të falsifikuara.</w:t>
      </w:r>
    </w:p>
    <w:p w14:paraId="60692958" w14:textId="77777777" w:rsidR="005D2226" w:rsidRPr="00830F4C" w:rsidRDefault="005D2226" w:rsidP="005D2226">
      <w:pPr>
        <w:ind w:firstLine="284"/>
        <w:jc w:val="both"/>
        <w:rPr>
          <w:rFonts w:ascii="Garamond" w:hAnsi="Garamond"/>
          <w:b/>
          <w:bCs/>
        </w:rPr>
      </w:pPr>
      <w:r w:rsidRPr="00830F4C">
        <w:rPr>
          <w:rFonts w:ascii="Garamond" w:hAnsi="Garamond"/>
          <w:b/>
          <w:bCs/>
        </w:rPr>
        <w:t>Konteksti</w:t>
      </w:r>
    </w:p>
    <w:p w14:paraId="3D63ED3C" w14:textId="385D5B1B" w:rsidR="005D2226" w:rsidRPr="00830F4C" w:rsidRDefault="005D2226" w:rsidP="005D2226">
      <w:pPr>
        <w:pStyle w:val="NoSpacing"/>
        <w:ind w:firstLine="284"/>
        <w:jc w:val="both"/>
        <w:rPr>
          <w:rFonts w:ascii="Garamond" w:eastAsiaTheme="minorHAnsi" w:hAnsi="Garamond" w:cs="Times New Roman"/>
          <w:sz w:val="24"/>
          <w:szCs w:val="24"/>
        </w:rPr>
      </w:pPr>
      <w:r w:rsidRPr="00830F4C">
        <w:rPr>
          <w:rFonts w:ascii="Garamond" w:eastAsiaTheme="minorHAnsi" w:hAnsi="Garamond" w:cs="Times New Roman"/>
          <w:sz w:val="24"/>
          <w:szCs w:val="24"/>
        </w:rPr>
        <w:t>Administrata Doganore Shqiptare në kuadër të misionit fiskal, ekonomik dhe mbrojtës ka për detyrë mbrojtjen e të drejtave të pronësisë intelektuale me qëllim</w:t>
      </w:r>
      <w:r w:rsidR="002845E2">
        <w:rPr>
          <w:rFonts w:ascii="Garamond" w:eastAsiaTheme="minorHAnsi" w:hAnsi="Garamond" w:cs="Times New Roman"/>
          <w:sz w:val="24"/>
          <w:szCs w:val="24"/>
        </w:rPr>
        <w:t>:</w:t>
      </w:r>
    </w:p>
    <w:p w14:paraId="3D90EF96" w14:textId="1DFBC97B" w:rsidR="005D2226" w:rsidRPr="00830F4C" w:rsidRDefault="005D2226" w:rsidP="005D2226">
      <w:pPr>
        <w:pStyle w:val="NoSpacing"/>
        <w:ind w:firstLine="284"/>
        <w:jc w:val="both"/>
        <w:rPr>
          <w:rFonts w:ascii="Garamond" w:eastAsiaTheme="minorHAnsi" w:hAnsi="Garamond" w:cs="Times New Roman"/>
          <w:sz w:val="24"/>
          <w:szCs w:val="24"/>
        </w:rPr>
      </w:pPr>
      <w:r w:rsidRPr="00830F4C">
        <w:rPr>
          <w:rFonts w:ascii="Garamond" w:eastAsiaTheme="minorHAnsi" w:hAnsi="Garamond" w:cs="Symbol"/>
          <w:sz w:val="24"/>
          <w:szCs w:val="24"/>
        </w:rPr>
        <w:t xml:space="preserve">- </w:t>
      </w:r>
      <w:r w:rsidRPr="00830F4C">
        <w:rPr>
          <w:rFonts w:ascii="Garamond" w:eastAsiaTheme="minorHAnsi" w:hAnsi="Garamond" w:cs="Times New Roman"/>
          <w:sz w:val="24"/>
          <w:szCs w:val="24"/>
        </w:rPr>
        <w:t>Mbrojtjen e ambientit të biznesit të cilët janë mbajtës dhe/ose përdorues të një të drejte të pronësisë intelektuale nga konkurrenca e pandershme</w:t>
      </w:r>
      <w:r w:rsidR="002845E2">
        <w:rPr>
          <w:rFonts w:ascii="Garamond" w:eastAsiaTheme="minorHAnsi" w:hAnsi="Garamond" w:cs="Times New Roman"/>
          <w:sz w:val="24"/>
          <w:szCs w:val="24"/>
        </w:rPr>
        <w:t>;</w:t>
      </w:r>
    </w:p>
    <w:p w14:paraId="7C4430B2" w14:textId="4577BF89" w:rsidR="005D2226" w:rsidRPr="00830F4C" w:rsidRDefault="005D2226" w:rsidP="005D2226">
      <w:pPr>
        <w:pStyle w:val="NoSpacing"/>
        <w:ind w:firstLine="284"/>
        <w:jc w:val="both"/>
        <w:rPr>
          <w:rFonts w:ascii="Garamond" w:eastAsiaTheme="minorHAnsi" w:hAnsi="Garamond" w:cs="Times New Roman"/>
          <w:sz w:val="24"/>
          <w:szCs w:val="24"/>
        </w:rPr>
      </w:pPr>
      <w:r w:rsidRPr="00830F4C">
        <w:rPr>
          <w:rFonts w:ascii="Garamond" w:eastAsiaTheme="minorHAnsi" w:hAnsi="Garamond" w:cs="Symbol"/>
          <w:sz w:val="24"/>
          <w:szCs w:val="24"/>
        </w:rPr>
        <w:t xml:space="preserve">- </w:t>
      </w:r>
      <w:r w:rsidRPr="00830F4C">
        <w:rPr>
          <w:rFonts w:ascii="Garamond" w:eastAsiaTheme="minorHAnsi" w:hAnsi="Garamond" w:cs="Times New Roman"/>
          <w:sz w:val="24"/>
          <w:szCs w:val="24"/>
        </w:rPr>
        <w:t>Mbrojtjen e konsumatorit dhe shëndetit publik nga mallra të falsifikuara/piratë për pasojat që shkaktojnë</w:t>
      </w:r>
      <w:r w:rsidR="002845E2">
        <w:rPr>
          <w:rFonts w:ascii="Garamond" w:eastAsiaTheme="minorHAnsi" w:hAnsi="Garamond" w:cs="Times New Roman"/>
          <w:sz w:val="24"/>
          <w:szCs w:val="24"/>
        </w:rPr>
        <w:t>;</w:t>
      </w:r>
    </w:p>
    <w:p w14:paraId="5F0D0962" w14:textId="5F6D3DF0" w:rsidR="005D2226" w:rsidRPr="00830F4C" w:rsidRDefault="005D2226" w:rsidP="005D2226">
      <w:pPr>
        <w:pStyle w:val="NoSpacing"/>
        <w:ind w:firstLine="284"/>
        <w:jc w:val="both"/>
        <w:rPr>
          <w:rFonts w:ascii="Garamond" w:eastAsiaTheme="minorHAnsi" w:hAnsi="Garamond" w:cs="Times New Roman"/>
          <w:sz w:val="24"/>
          <w:szCs w:val="24"/>
        </w:rPr>
      </w:pPr>
      <w:r w:rsidRPr="00830F4C">
        <w:rPr>
          <w:rFonts w:ascii="Garamond" w:eastAsiaTheme="minorHAnsi" w:hAnsi="Garamond" w:cs="Symbol"/>
          <w:sz w:val="24"/>
          <w:szCs w:val="24"/>
        </w:rPr>
        <w:t xml:space="preserve">- </w:t>
      </w:r>
      <w:r w:rsidRPr="00830F4C">
        <w:rPr>
          <w:rFonts w:ascii="Garamond" w:eastAsiaTheme="minorHAnsi" w:hAnsi="Garamond" w:cs="Times New Roman"/>
          <w:sz w:val="24"/>
          <w:szCs w:val="24"/>
        </w:rPr>
        <w:t>Kufizimin e mundshëm të humbjeve të të ardhurave në buxhetin e shtetit që vijnë si pasojë e mallrave që c</w:t>
      </w:r>
      <w:r w:rsidR="008C0C0F" w:rsidRPr="00830F4C">
        <w:rPr>
          <w:rFonts w:ascii="Garamond" w:eastAsiaTheme="minorHAnsi" w:hAnsi="Garamond" w:cs="Times New Roman"/>
          <w:sz w:val="24"/>
          <w:szCs w:val="24"/>
        </w:rPr>
        <w:t>e</w:t>
      </w:r>
      <w:r w:rsidRPr="00830F4C">
        <w:rPr>
          <w:rFonts w:ascii="Garamond" w:eastAsiaTheme="minorHAnsi" w:hAnsi="Garamond" w:cs="Times New Roman"/>
          <w:sz w:val="24"/>
          <w:szCs w:val="24"/>
        </w:rPr>
        <w:t>nojnë një të drejtë të pronësisë intelektuale.</w:t>
      </w:r>
    </w:p>
    <w:p w14:paraId="122DE406" w14:textId="77777777" w:rsidR="005D2226" w:rsidRPr="00830F4C" w:rsidRDefault="005D2226" w:rsidP="005D2226">
      <w:pPr>
        <w:ind w:firstLine="284"/>
        <w:jc w:val="both"/>
        <w:rPr>
          <w:rFonts w:ascii="Garamond" w:hAnsi="Garamond"/>
        </w:rPr>
      </w:pPr>
      <w:r w:rsidRPr="00830F4C">
        <w:rPr>
          <w:rFonts w:ascii="Garamond" w:hAnsi="Garamond"/>
        </w:rPr>
        <w:t>Për këto arsye, vitet në vijim do të kenë një fokus të shtuar në këtë drejtim.</w:t>
      </w:r>
    </w:p>
    <w:p w14:paraId="0591717B" w14:textId="77777777" w:rsidR="005D2226" w:rsidRPr="00830F4C" w:rsidRDefault="005D2226" w:rsidP="005D2226">
      <w:pPr>
        <w:ind w:firstLine="284"/>
        <w:jc w:val="both"/>
        <w:rPr>
          <w:rFonts w:ascii="Garamond" w:hAnsi="Garamond"/>
          <w:b/>
          <w:bCs/>
        </w:rPr>
      </w:pPr>
      <w:r w:rsidRPr="00830F4C">
        <w:rPr>
          <w:rFonts w:ascii="Garamond" w:hAnsi="Garamond"/>
          <w:b/>
          <w:bCs/>
        </w:rPr>
        <w:t>Prioritetet:</w:t>
      </w:r>
    </w:p>
    <w:p w14:paraId="37BB311C" w14:textId="329A8DAD" w:rsidR="005D2226" w:rsidRPr="00830F4C" w:rsidRDefault="005D2226" w:rsidP="005D2226">
      <w:pPr>
        <w:ind w:firstLine="284"/>
        <w:jc w:val="both"/>
        <w:rPr>
          <w:rFonts w:ascii="Garamond" w:hAnsi="Garamond"/>
        </w:rPr>
      </w:pPr>
      <w:r w:rsidRPr="00830F4C">
        <w:rPr>
          <w:rFonts w:ascii="Garamond" w:hAnsi="Garamond"/>
        </w:rPr>
        <w:t>Prioritetet për periudhën</w:t>
      </w:r>
      <w:r w:rsidR="00800B00" w:rsidRPr="00830F4C">
        <w:rPr>
          <w:rFonts w:ascii="Garamond" w:hAnsi="Garamond"/>
        </w:rPr>
        <w:t xml:space="preserve"> </w:t>
      </w:r>
      <w:r w:rsidR="00D22EA5" w:rsidRPr="00830F4C">
        <w:rPr>
          <w:rFonts w:ascii="Garamond" w:hAnsi="Garamond"/>
        </w:rPr>
        <w:t>2024–2027</w:t>
      </w:r>
      <w:r w:rsidRPr="00830F4C">
        <w:rPr>
          <w:rFonts w:ascii="Garamond" w:hAnsi="Garamond"/>
        </w:rPr>
        <w:t xml:space="preserve"> janë:</w:t>
      </w:r>
    </w:p>
    <w:p w14:paraId="2357C635" w14:textId="77777777" w:rsidR="005D2226" w:rsidRPr="00830F4C" w:rsidRDefault="005D2226" w:rsidP="002845E2">
      <w:pPr>
        <w:pStyle w:val="ListParagraph"/>
        <w:spacing w:after="0" w:line="240" w:lineRule="auto"/>
        <w:ind w:left="0" w:firstLine="284"/>
        <w:jc w:val="both"/>
        <w:rPr>
          <w:rFonts w:ascii="Garamond" w:eastAsiaTheme="minorHAnsi" w:hAnsi="Garamond" w:cs="Times New Roman"/>
          <w:sz w:val="24"/>
          <w:szCs w:val="24"/>
        </w:rPr>
      </w:pPr>
      <w:r w:rsidRPr="00830F4C">
        <w:rPr>
          <w:rFonts w:ascii="Garamond" w:eastAsiaTheme="minorHAnsi" w:hAnsi="Garamond" w:cs="Symbol"/>
          <w:sz w:val="24"/>
          <w:szCs w:val="24"/>
        </w:rPr>
        <w:t xml:space="preserve">- </w:t>
      </w:r>
      <w:r w:rsidRPr="00830F4C">
        <w:rPr>
          <w:rFonts w:ascii="Garamond" w:eastAsiaTheme="minorHAnsi" w:hAnsi="Garamond" w:cs="Times New Roman"/>
          <w:sz w:val="24"/>
          <w:szCs w:val="24"/>
        </w:rPr>
        <w:t>Brenda vitit 2027 të jetë rritur bashkëpunimi në luftën kundër informalitetit, kontrabandës, korrupsionit dhe importit të mallrave të falsifikuara.</w:t>
      </w:r>
    </w:p>
    <w:p w14:paraId="795B9A38" w14:textId="70258769" w:rsidR="005D2226" w:rsidRPr="00830F4C" w:rsidRDefault="005D2226" w:rsidP="005D2226">
      <w:pPr>
        <w:ind w:firstLine="284"/>
        <w:jc w:val="both"/>
        <w:rPr>
          <w:rFonts w:ascii="Garamond" w:hAnsi="Garamond"/>
        </w:rPr>
      </w:pPr>
      <w:r w:rsidRPr="00830F4C">
        <w:rPr>
          <w:rFonts w:ascii="Garamond" w:hAnsi="Garamond"/>
        </w:rPr>
        <w:t xml:space="preserve">Në kuadër të ngritjes së kapaciteteve administrative, Drejtoria për Mbrojtjen e Pronësisë Intelektuale, së bashku me Drejtorinë e Burimeve Njerëzore, kanë organizuar disa trajnime në dogana të ndryshme. Këto trajnime janë organizuar së bashku me mbajtësit e të drejtave të </w:t>
      </w:r>
      <w:r w:rsidR="00D22EA5" w:rsidRPr="00830F4C">
        <w:rPr>
          <w:rFonts w:ascii="Garamond" w:hAnsi="Garamond"/>
        </w:rPr>
        <w:t>“</w:t>
      </w:r>
      <w:r w:rsidRPr="00830F4C">
        <w:rPr>
          <w:rFonts w:ascii="Garamond" w:hAnsi="Garamond"/>
        </w:rPr>
        <w:t>Procter &amp; Gamble</w:t>
      </w:r>
      <w:r w:rsidR="00D22EA5" w:rsidRPr="00830F4C">
        <w:rPr>
          <w:rFonts w:ascii="Garamond" w:hAnsi="Garamond"/>
        </w:rPr>
        <w:t>”</w:t>
      </w:r>
      <w:r w:rsidRPr="00830F4C">
        <w:rPr>
          <w:rFonts w:ascii="Garamond" w:hAnsi="Garamond"/>
        </w:rPr>
        <w:t>, Gucci, Lacoste dhe Gant, lidhur me kontrollin fizik nga doganierët, në të cilat kanë sqaruar detajet që dallojnë mallin origjinal nga ai i falsifikuar.</w:t>
      </w:r>
    </w:p>
    <w:p w14:paraId="4A3854AC" w14:textId="77777777" w:rsidR="005D2226" w:rsidRPr="00830F4C" w:rsidRDefault="005D2226" w:rsidP="005D2226">
      <w:pPr>
        <w:ind w:firstLine="284"/>
        <w:jc w:val="both"/>
        <w:rPr>
          <w:rFonts w:ascii="Garamond" w:hAnsi="Garamond"/>
          <w:b/>
          <w:bCs/>
        </w:rPr>
      </w:pPr>
      <w:r w:rsidRPr="00830F4C">
        <w:rPr>
          <w:rFonts w:ascii="Garamond" w:hAnsi="Garamond"/>
          <w:b/>
          <w:bCs/>
        </w:rPr>
        <w:t>Masat dhe aktivitetet</w:t>
      </w:r>
    </w:p>
    <w:tbl>
      <w:tblPr>
        <w:tblStyle w:val="TableGrid"/>
        <w:tblW w:w="9195" w:type="dxa"/>
        <w:tblLook w:val="04A0" w:firstRow="1" w:lastRow="0" w:firstColumn="1" w:lastColumn="0" w:noHBand="0" w:noVBand="1"/>
      </w:tblPr>
      <w:tblGrid>
        <w:gridCol w:w="4122"/>
        <w:gridCol w:w="1435"/>
        <w:gridCol w:w="1686"/>
        <w:gridCol w:w="1952"/>
      </w:tblGrid>
      <w:tr w:rsidR="00723888" w:rsidRPr="00CC11D5" w14:paraId="2A0CDE79" w14:textId="77777777" w:rsidTr="008C0C0F">
        <w:trPr>
          <w:trHeight w:val="338"/>
        </w:trPr>
        <w:tc>
          <w:tcPr>
            <w:tcW w:w="4122" w:type="dxa"/>
            <w:vAlign w:val="center"/>
          </w:tcPr>
          <w:p w14:paraId="6E152DE9" w14:textId="77777777" w:rsidR="005D2226" w:rsidRPr="00CC11D5" w:rsidRDefault="005D2226" w:rsidP="008C0C0F">
            <w:pPr>
              <w:jc w:val="center"/>
              <w:rPr>
                <w:rFonts w:ascii="Garamond" w:hAnsi="Garamond"/>
                <w:b/>
                <w:sz w:val="12"/>
                <w:szCs w:val="12"/>
              </w:rPr>
            </w:pPr>
            <w:r w:rsidRPr="00CC11D5">
              <w:rPr>
                <w:rFonts w:ascii="Garamond" w:hAnsi="Garamond"/>
                <w:b/>
                <w:sz w:val="12"/>
                <w:szCs w:val="12"/>
              </w:rPr>
              <w:t>Masa</w:t>
            </w:r>
          </w:p>
        </w:tc>
        <w:tc>
          <w:tcPr>
            <w:tcW w:w="1435" w:type="dxa"/>
            <w:vAlign w:val="center"/>
          </w:tcPr>
          <w:p w14:paraId="3D8F4545" w14:textId="77777777" w:rsidR="005D2226" w:rsidRPr="00CC11D5" w:rsidRDefault="005D2226" w:rsidP="008C0C0F">
            <w:pPr>
              <w:jc w:val="center"/>
              <w:rPr>
                <w:rFonts w:ascii="Garamond" w:hAnsi="Garamond"/>
                <w:b/>
                <w:sz w:val="12"/>
                <w:szCs w:val="12"/>
              </w:rPr>
            </w:pPr>
            <w:r w:rsidRPr="00CC11D5">
              <w:rPr>
                <w:rFonts w:ascii="Garamond" w:hAnsi="Garamond"/>
                <w:b/>
                <w:sz w:val="12"/>
                <w:szCs w:val="12"/>
              </w:rPr>
              <w:t>Fillimi</w:t>
            </w:r>
          </w:p>
        </w:tc>
        <w:tc>
          <w:tcPr>
            <w:tcW w:w="1686" w:type="dxa"/>
            <w:vAlign w:val="center"/>
          </w:tcPr>
          <w:p w14:paraId="3C614B32" w14:textId="77777777" w:rsidR="005D2226" w:rsidRPr="00CC11D5" w:rsidRDefault="005D2226" w:rsidP="008C0C0F">
            <w:pPr>
              <w:jc w:val="center"/>
              <w:rPr>
                <w:rFonts w:ascii="Garamond" w:hAnsi="Garamond"/>
                <w:b/>
                <w:sz w:val="12"/>
                <w:szCs w:val="12"/>
              </w:rPr>
            </w:pPr>
            <w:r w:rsidRPr="00CC11D5">
              <w:rPr>
                <w:rFonts w:ascii="Garamond" w:hAnsi="Garamond"/>
                <w:b/>
                <w:sz w:val="12"/>
                <w:szCs w:val="12"/>
              </w:rPr>
              <w:t>Mbarimi</w:t>
            </w:r>
          </w:p>
        </w:tc>
        <w:tc>
          <w:tcPr>
            <w:tcW w:w="1952" w:type="dxa"/>
            <w:vAlign w:val="center"/>
          </w:tcPr>
          <w:p w14:paraId="7B8EA2EA" w14:textId="77777777" w:rsidR="005D2226" w:rsidRPr="00CC11D5" w:rsidRDefault="005D2226" w:rsidP="008C0C0F">
            <w:pPr>
              <w:jc w:val="center"/>
              <w:rPr>
                <w:rFonts w:ascii="Garamond" w:hAnsi="Garamond"/>
                <w:b/>
                <w:sz w:val="12"/>
                <w:szCs w:val="12"/>
              </w:rPr>
            </w:pPr>
            <w:r w:rsidRPr="00CC11D5">
              <w:rPr>
                <w:rFonts w:ascii="Garamond" w:hAnsi="Garamond"/>
                <w:b/>
                <w:sz w:val="12"/>
                <w:szCs w:val="12"/>
              </w:rPr>
              <w:t>Institucioni përgjegjës</w:t>
            </w:r>
          </w:p>
        </w:tc>
      </w:tr>
      <w:tr w:rsidR="00723888" w:rsidRPr="00CC11D5" w14:paraId="4F79C745" w14:textId="77777777" w:rsidTr="00CC11D5">
        <w:trPr>
          <w:trHeight w:val="458"/>
        </w:trPr>
        <w:tc>
          <w:tcPr>
            <w:tcW w:w="4122" w:type="dxa"/>
          </w:tcPr>
          <w:p w14:paraId="4ABF9E59" w14:textId="7CEDFA3F" w:rsidR="005D2226" w:rsidRPr="00CC11D5" w:rsidRDefault="005D2226" w:rsidP="00DD658A">
            <w:pPr>
              <w:rPr>
                <w:rFonts w:ascii="Garamond" w:eastAsiaTheme="minorHAnsi" w:hAnsi="Garamond"/>
                <w:sz w:val="12"/>
                <w:szCs w:val="12"/>
              </w:rPr>
            </w:pPr>
            <w:r w:rsidRPr="00CC11D5">
              <w:rPr>
                <w:rFonts w:ascii="Garamond" w:eastAsiaTheme="minorHAnsi" w:hAnsi="Garamond"/>
                <w:sz w:val="12"/>
                <w:szCs w:val="12"/>
              </w:rPr>
              <w:t>Masa 3.8.1 Bashkëpunimit me organet ligjzbatuese për rritjen e kapjeve të mallrave të falsifikuar</w:t>
            </w:r>
          </w:p>
        </w:tc>
        <w:tc>
          <w:tcPr>
            <w:tcW w:w="1435" w:type="dxa"/>
          </w:tcPr>
          <w:p w14:paraId="342AA6BB" w14:textId="77777777" w:rsidR="005D2226" w:rsidRPr="00CC11D5" w:rsidRDefault="005D2226" w:rsidP="00DD658A">
            <w:pPr>
              <w:jc w:val="both"/>
              <w:rPr>
                <w:rFonts w:ascii="Garamond" w:hAnsi="Garamond"/>
                <w:sz w:val="12"/>
                <w:szCs w:val="12"/>
              </w:rPr>
            </w:pPr>
            <w:r w:rsidRPr="00CC11D5">
              <w:rPr>
                <w:rFonts w:ascii="Garamond" w:hAnsi="Garamond"/>
                <w:sz w:val="12"/>
                <w:szCs w:val="12"/>
              </w:rPr>
              <w:t>2024</w:t>
            </w:r>
          </w:p>
        </w:tc>
        <w:tc>
          <w:tcPr>
            <w:tcW w:w="1686" w:type="dxa"/>
          </w:tcPr>
          <w:p w14:paraId="634B2B13" w14:textId="77777777" w:rsidR="005D2226" w:rsidRPr="00CC11D5" w:rsidRDefault="005D2226" w:rsidP="00DD658A">
            <w:pPr>
              <w:jc w:val="both"/>
              <w:rPr>
                <w:rFonts w:ascii="Garamond" w:hAnsi="Garamond"/>
                <w:sz w:val="12"/>
                <w:szCs w:val="12"/>
              </w:rPr>
            </w:pPr>
            <w:r w:rsidRPr="00CC11D5">
              <w:rPr>
                <w:rFonts w:ascii="Garamond" w:hAnsi="Garamond"/>
                <w:sz w:val="12"/>
                <w:szCs w:val="12"/>
              </w:rPr>
              <w:t>2027</w:t>
            </w:r>
          </w:p>
        </w:tc>
        <w:tc>
          <w:tcPr>
            <w:tcW w:w="1952" w:type="dxa"/>
          </w:tcPr>
          <w:p w14:paraId="55C05B42" w14:textId="77777777" w:rsidR="005D2226" w:rsidRPr="00CC11D5" w:rsidRDefault="005D2226" w:rsidP="00DD658A">
            <w:pPr>
              <w:jc w:val="both"/>
              <w:rPr>
                <w:rFonts w:ascii="Garamond" w:hAnsi="Garamond"/>
                <w:sz w:val="12"/>
                <w:szCs w:val="12"/>
              </w:rPr>
            </w:pPr>
            <w:r w:rsidRPr="00CC11D5">
              <w:rPr>
                <w:rFonts w:ascii="Garamond" w:hAnsi="Garamond"/>
                <w:sz w:val="12"/>
                <w:szCs w:val="12"/>
              </w:rPr>
              <w:t>DPD/Drejtoria e Markave dhe Patentave</w:t>
            </w:r>
          </w:p>
        </w:tc>
      </w:tr>
      <w:tr w:rsidR="00723888" w:rsidRPr="00CC11D5" w14:paraId="3D06B76B" w14:textId="77777777" w:rsidTr="00CC11D5">
        <w:trPr>
          <w:trHeight w:val="341"/>
        </w:trPr>
        <w:tc>
          <w:tcPr>
            <w:tcW w:w="4122" w:type="dxa"/>
          </w:tcPr>
          <w:p w14:paraId="0DDE892C" w14:textId="50A64FD3" w:rsidR="005D2226" w:rsidRPr="00CC11D5" w:rsidRDefault="005D2226" w:rsidP="00DD658A">
            <w:pPr>
              <w:rPr>
                <w:rFonts w:ascii="Garamond" w:eastAsiaTheme="minorHAnsi" w:hAnsi="Garamond"/>
                <w:sz w:val="12"/>
                <w:szCs w:val="12"/>
              </w:rPr>
            </w:pPr>
            <w:r w:rsidRPr="00CC11D5">
              <w:rPr>
                <w:rFonts w:ascii="Garamond" w:eastAsiaTheme="minorHAnsi" w:hAnsi="Garamond"/>
                <w:sz w:val="12"/>
                <w:szCs w:val="12"/>
              </w:rPr>
              <w:t xml:space="preserve">Masa 3.8.2 Shkëmbimi i informacionit me doganat homologe </w:t>
            </w:r>
          </w:p>
        </w:tc>
        <w:tc>
          <w:tcPr>
            <w:tcW w:w="1435" w:type="dxa"/>
          </w:tcPr>
          <w:p w14:paraId="2D410E10" w14:textId="77777777" w:rsidR="005D2226" w:rsidRPr="00CC11D5" w:rsidRDefault="005D2226" w:rsidP="00DD658A">
            <w:pPr>
              <w:jc w:val="both"/>
              <w:rPr>
                <w:rFonts w:ascii="Garamond" w:hAnsi="Garamond"/>
                <w:sz w:val="12"/>
                <w:szCs w:val="12"/>
              </w:rPr>
            </w:pPr>
            <w:r w:rsidRPr="00CC11D5">
              <w:rPr>
                <w:rFonts w:ascii="Garamond" w:hAnsi="Garamond"/>
                <w:sz w:val="12"/>
                <w:szCs w:val="12"/>
              </w:rPr>
              <w:t>2024</w:t>
            </w:r>
          </w:p>
        </w:tc>
        <w:tc>
          <w:tcPr>
            <w:tcW w:w="1686" w:type="dxa"/>
          </w:tcPr>
          <w:p w14:paraId="33C554AE" w14:textId="77777777" w:rsidR="005D2226" w:rsidRPr="00CC11D5" w:rsidRDefault="005D2226" w:rsidP="00DD658A">
            <w:pPr>
              <w:jc w:val="both"/>
              <w:rPr>
                <w:rFonts w:ascii="Garamond" w:hAnsi="Garamond"/>
                <w:sz w:val="12"/>
                <w:szCs w:val="12"/>
              </w:rPr>
            </w:pPr>
            <w:r w:rsidRPr="00CC11D5">
              <w:rPr>
                <w:rFonts w:ascii="Garamond" w:hAnsi="Garamond"/>
                <w:sz w:val="12"/>
                <w:szCs w:val="12"/>
              </w:rPr>
              <w:t>2027</w:t>
            </w:r>
          </w:p>
        </w:tc>
        <w:tc>
          <w:tcPr>
            <w:tcW w:w="1952" w:type="dxa"/>
          </w:tcPr>
          <w:p w14:paraId="344E5B06" w14:textId="77777777" w:rsidR="005D2226" w:rsidRPr="00CC11D5" w:rsidRDefault="005D2226" w:rsidP="00DD658A">
            <w:pPr>
              <w:jc w:val="both"/>
              <w:rPr>
                <w:rFonts w:ascii="Garamond" w:hAnsi="Garamond"/>
                <w:sz w:val="12"/>
                <w:szCs w:val="12"/>
              </w:rPr>
            </w:pPr>
            <w:r w:rsidRPr="00CC11D5">
              <w:rPr>
                <w:rFonts w:ascii="Garamond" w:hAnsi="Garamond"/>
                <w:sz w:val="12"/>
                <w:szCs w:val="12"/>
              </w:rPr>
              <w:t>DPD/Drejtoria e Markave dhe Patentave</w:t>
            </w:r>
          </w:p>
        </w:tc>
      </w:tr>
      <w:tr w:rsidR="00723888" w:rsidRPr="00CC11D5" w14:paraId="40C1DF15" w14:textId="77777777" w:rsidTr="00CC11D5">
        <w:trPr>
          <w:trHeight w:val="359"/>
        </w:trPr>
        <w:tc>
          <w:tcPr>
            <w:tcW w:w="4122" w:type="dxa"/>
          </w:tcPr>
          <w:p w14:paraId="45B74D3A" w14:textId="1751451F" w:rsidR="005D2226" w:rsidRPr="00CC11D5" w:rsidRDefault="005D2226" w:rsidP="00DD658A">
            <w:pPr>
              <w:rPr>
                <w:rFonts w:ascii="Garamond" w:eastAsiaTheme="minorHAnsi" w:hAnsi="Garamond"/>
                <w:sz w:val="12"/>
                <w:szCs w:val="12"/>
              </w:rPr>
            </w:pPr>
            <w:r w:rsidRPr="00CC11D5">
              <w:rPr>
                <w:rFonts w:ascii="Garamond" w:eastAsiaTheme="minorHAnsi" w:hAnsi="Garamond"/>
                <w:sz w:val="12"/>
                <w:szCs w:val="12"/>
              </w:rPr>
              <w:t>Masa 3.8.3 Bashkëpunimi me kompanitë importuese për sensibilizimin/regjistrimin/verifikimin e markave origjinuese</w:t>
            </w:r>
          </w:p>
          <w:p w14:paraId="241A7D3E" w14:textId="77777777" w:rsidR="005D2226" w:rsidRPr="00CC11D5" w:rsidRDefault="005D2226" w:rsidP="00DD658A">
            <w:pPr>
              <w:rPr>
                <w:rFonts w:ascii="Garamond" w:eastAsiaTheme="minorHAnsi" w:hAnsi="Garamond"/>
                <w:sz w:val="12"/>
                <w:szCs w:val="12"/>
              </w:rPr>
            </w:pPr>
          </w:p>
        </w:tc>
        <w:tc>
          <w:tcPr>
            <w:tcW w:w="1435" w:type="dxa"/>
          </w:tcPr>
          <w:p w14:paraId="27437ED4" w14:textId="77777777" w:rsidR="005D2226" w:rsidRPr="00CC11D5" w:rsidRDefault="005D2226" w:rsidP="00DD658A">
            <w:pPr>
              <w:jc w:val="both"/>
              <w:rPr>
                <w:rFonts w:ascii="Garamond" w:hAnsi="Garamond"/>
                <w:sz w:val="12"/>
                <w:szCs w:val="12"/>
              </w:rPr>
            </w:pPr>
            <w:r w:rsidRPr="00CC11D5">
              <w:rPr>
                <w:rFonts w:ascii="Garamond" w:hAnsi="Garamond"/>
                <w:sz w:val="12"/>
                <w:szCs w:val="12"/>
              </w:rPr>
              <w:t>2024</w:t>
            </w:r>
          </w:p>
        </w:tc>
        <w:tc>
          <w:tcPr>
            <w:tcW w:w="1686" w:type="dxa"/>
          </w:tcPr>
          <w:p w14:paraId="6365538B" w14:textId="77777777" w:rsidR="005D2226" w:rsidRPr="00CC11D5" w:rsidRDefault="005D2226" w:rsidP="00DD658A">
            <w:pPr>
              <w:jc w:val="both"/>
              <w:rPr>
                <w:rFonts w:ascii="Garamond" w:hAnsi="Garamond"/>
                <w:sz w:val="12"/>
                <w:szCs w:val="12"/>
              </w:rPr>
            </w:pPr>
            <w:r w:rsidRPr="00CC11D5">
              <w:rPr>
                <w:rFonts w:ascii="Garamond" w:hAnsi="Garamond"/>
                <w:sz w:val="12"/>
                <w:szCs w:val="12"/>
              </w:rPr>
              <w:t>2027</w:t>
            </w:r>
          </w:p>
        </w:tc>
        <w:tc>
          <w:tcPr>
            <w:tcW w:w="1952" w:type="dxa"/>
          </w:tcPr>
          <w:p w14:paraId="4142F51B" w14:textId="77777777" w:rsidR="005D2226" w:rsidRPr="00CC11D5" w:rsidRDefault="005D2226" w:rsidP="00DD658A">
            <w:pPr>
              <w:jc w:val="both"/>
              <w:rPr>
                <w:rFonts w:ascii="Garamond" w:hAnsi="Garamond"/>
                <w:sz w:val="12"/>
                <w:szCs w:val="12"/>
              </w:rPr>
            </w:pPr>
            <w:r w:rsidRPr="00CC11D5">
              <w:rPr>
                <w:rFonts w:ascii="Garamond" w:hAnsi="Garamond"/>
                <w:sz w:val="12"/>
                <w:szCs w:val="12"/>
              </w:rPr>
              <w:t>DPD/Drejtoria e Markave dhe Patentave</w:t>
            </w:r>
          </w:p>
        </w:tc>
      </w:tr>
    </w:tbl>
    <w:p w14:paraId="6897ED09" w14:textId="77777777" w:rsidR="005D2226" w:rsidRPr="00830F4C" w:rsidRDefault="005D2226" w:rsidP="005D2226">
      <w:pPr>
        <w:ind w:firstLine="284"/>
        <w:jc w:val="both"/>
        <w:rPr>
          <w:rFonts w:ascii="Garamond" w:hAnsi="Garamond"/>
        </w:rPr>
      </w:pPr>
    </w:p>
    <w:p w14:paraId="276D6C41" w14:textId="77777777" w:rsidR="005D2226" w:rsidRPr="00830F4C" w:rsidRDefault="005D2226" w:rsidP="005D2226">
      <w:pPr>
        <w:ind w:firstLine="284"/>
        <w:jc w:val="both"/>
        <w:rPr>
          <w:rFonts w:ascii="Garamond" w:hAnsi="Garamond"/>
          <w:b/>
        </w:rPr>
      </w:pPr>
      <w:r w:rsidRPr="00830F4C">
        <w:rPr>
          <w:rFonts w:ascii="Garamond" w:hAnsi="Garamond"/>
          <w:b/>
        </w:rPr>
        <w:t>Treguesit e performancës dhe vlerat e synuara</w:t>
      </w:r>
    </w:p>
    <w:tbl>
      <w:tblPr>
        <w:tblW w:w="9129" w:type="dxa"/>
        <w:jc w:val="center"/>
        <w:tblLook w:val="04A0" w:firstRow="1" w:lastRow="0" w:firstColumn="1" w:lastColumn="0" w:noHBand="0" w:noVBand="1"/>
      </w:tblPr>
      <w:tblGrid>
        <w:gridCol w:w="2587"/>
        <w:gridCol w:w="1494"/>
        <w:gridCol w:w="1323"/>
        <w:gridCol w:w="1077"/>
        <w:gridCol w:w="1340"/>
        <w:gridCol w:w="1308"/>
      </w:tblGrid>
      <w:tr w:rsidR="00723888" w:rsidRPr="00CC11D5" w14:paraId="17379EDC" w14:textId="77777777" w:rsidTr="008C0C0F">
        <w:trPr>
          <w:trHeight w:val="159"/>
          <w:jc w:val="center"/>
        </w:trPr>
        <w:tc>
          <w:tcPr>
            <w:tcW w:w="2587" w:type="dxa"/>
            <w:vMerge w:val="restart"/>
            <w:tcBorders>
              <w:top w:val="single" w:sz="4" w:space="0" w:color="auto"/>
              <w:left w:val="single" w:sz="4" w:space="0" w:color="auto"/>
              <w:right w:val="single" w:sz="4" w:space="0" w:color="auto"/>
            </w:tcBorders>
            <w:shd w:val="clear" w:color="FFFFFF" w:fill="FFFFFF"/>
            <w:vAlign w:val="center"/>
          </w:tcPr>
          <w:p w14:paraId="2BDEC85D" w14:textId="77777777" w:rsidR="005D2226" w:rsidRPr="00CC11D5" w:rsidRDefault="005D2226" w:rsidP="008C0C0F">
            <w:pPr>
              <w:jc w:val="center"/>
              <w:rPr>
                <w:rFonts w:ascii="Garamond" w:hAnsi="Garamond"/>
                <w:sz w:val="12"/>
                <w:szCs w:val="12"/>
              </w:rPr>
            </w:pPr>
            <w:r w:rsidRPr="00CC11D5">
              <w:rPr>
                <w:rFonts w:ascii="Garamond" w:hAnsi="Garamond"/>
                <w:b/>
                <w:sz w:val="12"/>
                <w:szCs w:val="12"/>
              </w:rPr>
              <w:t>Treguesi</w:t>
            </w:r>
          </w:p>
        </w:tc>
        <w:tc>
          <w:tcPr>
            <w:tcW w:w="1494" w:type="dxa"/>
            <w:vMerge w:val="restart"/>
            <w:tcBorders>
              <w:top w:val="single" w:sz="4" w:space="0" w:color="auto"/>
              <w:left w:val="single" w:sz="4" w:space="0" w:color="auto"/>
              <w:right w:val="single" w:sz="4" w:space="0" w:color="auto"/>
            </w:tcBorders>
            <w:shd w:val="clear" w:color="FFFFFF" w:fill="FFFFFF"/>
            <w:vAlign w:val="center"/>
          </w:tcPr>
          <w:p w14:paraId="2F7C13F5" w14:textId="64D883F8" w:rsidR="008C0C0F" w:rsidRPr="00CC11D5" w:rsidRDefault="005D2226" w:rsidP="008C0C0F">
            <w:pPr>
              <w:jc w:val="center"/>
              <w:rPr>
                <w:rFonts w:ascii="Garamond" w:hAnsi="Garamond"/>
                <w:b/>
                <w:sz w:val="12"/>
                <w:szCs w:val="12"/>
              </w:rPr>
            </w:pPr>
            <w:r w:rsidRPr="00CC11D5">
              <w:rPr>
                <w:rFonts w:ascii="Garamond" w:hAnsi="Garamond"/>
                <w:b/>
                <w:sz w:val="12"/>
                <w:szCs w:val="12"/>
              </w:rPr>
              <w:t xml:space="preserve">Vlera </w:t>
            </w:r>
            <w:r w:rsidR="008C0C0F" w:rsidRPr="00CC11D5">
              <w:rPr>
                <w:rFonts w:ascii="Garamond" w:hAnsi="Garamond"/>
                <w:b/>
                <w:sz w:val="12"/>
                <w:szCs w:val="12"/>
              </w:rPr>
              <w:t>b</w:t>
            </w:r>
            <w:r w:rsidRPr="00CC11D5">
              <w:rPr>
                <w:rFonts w:ascii="Garamond" w:hAnsi="Garamond"/>
                <w:b/>
                <w:sz w:val="12"/>
                <w:szCs w:val="12"/>
              </w:rPr>
              <w:t>azë</w:t>
            </w:r>
          </w:p>
          <w:p w14:paraId="1CB96DF5" w14:textId="23D56638" w:rsidR="005D2226" w:rsidRPr="00CC11D5" w:rsidRDefault="005D2226" w:rsidP="008C0C0F">
            <w:pPr>
              <w:jc w:val="center"/>
              <w:rPr>
                <w:rFonts w:ascii="Garamond" w:hAnsi="Garamond"/>
                <w:sz w:val="12"/>
                <w:szCs w:val="12"/>
              </w:rPr>
            </w:pPr>
            <w:r w:rsidRPr="00CC11D5">
              <w:rPr>
                <w:rFonts w:ascii="Garamond" w:hAnsi="Garamond"/>
                <w:b/>
                <w:sz w:val="12"/>
                <w:szCs w:val="12"/>
              </w:rPr>
              <w:t>(viti</w:t>
            </w:r>
            <w:r w:rsidR="002845E2" w:rsidRPr="00CC11D5">
              <w:rPr>
                <w:rFonts w:ascii="Garamond" w:hAnsi="Garamond"/>
                <w:b/>
                <w:sz w:val="12"/>
                <w:szCs w:val="12"/>
              </w:rPr>
              <w:t>)</w:t>
            </w:r>
          </w:p>
        </w:tc>
        <w:tc>
          <w:tcPr>
            <w:tcW w:w="5048" w:type="dxa"/>
            <w:gridSpan w:val="4"/>
            <w:tcBorders>
              <w:top w:val="single" w:sz="4" w:space="0" w:color="auto"/>
              <w:left w:val="nil"/>
              <w:bottom w:val="single" w:sz="4" w:space="0" w:color="auto"/>
              <w:right w:val="single" w:sz="4" w:space="0" w:color="auto"/>
            </w:tcBorders>
            <w:shd w:val="clear" w:color="FFFFFF" w:fill="FFFFFF"/>
            <w:vAlign w:val="center"/>
          </w:tcPr>
          <w:p w14:paraId="10BBFF23" w14:textId="77777777" w:rsidR="005D2226" w:rsidRPr="00CC11D5" w:rsidRDefault="005D2226" w:rsidP="008C0C0F">
            <w:pPr>
              <w:jc w:val="center"/>
              <w:rPr>
                <w:rFonts w:ascii="Garamond" w:hAnsi="Garamond"/>
                <w:sz w:val="12"/>
                <w:szCs w:val="12"/>
              </w:rPr>
            </w:pPr>
            <w:r w:rsidRPr="00CC11D5">
              <w:rPr>
                <w:rFonts w:ascii="Garamond" w:hAnsi="Garamond"/>
                <w:b/>
                <w:sz w:val="12"/>
                <w:szCs w:val="12"/>
              </w:rPr>
              <w:t>Vlera e synuar</w:t>
            </w:r>
          </w:p>
        </w:tc>
      </w:tr>
      <w:tr w:rsidR="00723888" w:rsidRPr="00CC11D5" w14:paraId="303BFCB6" w14:textId="77777777" w:rsidTr="008C0C0F">
        <w:trPr>
          <w:trHeight w:val="164"/>
          <w:jc w:val="center"/>
        </w:trPr>
        <w:tc>
          <w:tcPr>
            <w:tcW w:w="2587" w:type="dxa"/>
            <w:vMerge/>
            <w:tcBorders>
              <w:left w:val="single" w:sz="4" w:space="0" w:color="auto"/>
              <w:bottom w:val="single" w:sz="4" w:space="0" w:color="auto"/>
              <w:right w:val="single" w:sz="4" w:space="0" w:color="auto"/>
            </w:tcBorders>
            <w:shd w:val="clear" w:color="FFFFFF" w:fill="FFFFFF"/>
            <w:vAlign w:val="center"/>
          </w:tcPr>
          <w:p w14:paraId="4BD619CA" w14:textId="77777777" w:rsidR="005D2226" w:rsidRPr="00CC11D5" w:rsidRDefault="005D2226" w:rsidP="008C0C0F">
            <w:pPr>
              <w:jc w:val="center"/>
              <w:rPr>
                <w:rFonts w:ascii="Garamond" w:hAnsi="Garamond"/>
                <w:sz w:val="12"/>
                <w:szCs w:val="12"/>
              </w:rPr>
            </w:pPr>
          </w:p>
        </w:tc>
        <w:tc>
          <w:tcPr>
            <w:tcW w:w="1494" w:type="dxa"/>
            <w:vMerge/>
            <w:tcBorders>
              <w:left w:val="single" w:sz="4" w:space="0" w:color="auto"/>
              <w:bottom w:val="single" w:sz="4" w:space="0" w:color="auto"/>
              <w:right w:val="single" w:sz="4" w:space="0" w:color="auto"/>
            </w:tcBorders>
            <w:shd w:val="clear" w:color="FFFFFF" w:fill="FFFFFF"/>
            <w:vAlign w:val="center"/>
          </w:tcPr>
          <w:p w14:paraId="6FA8393D" w14:textId="77777777" w:rsidR="005D2226" w:rsidRPr="00CC11D5" w:rsidRDefault="005D2226" w:rsidP="008C0C0F">
            <w:pPr>
              <w:jc w:val="center"/>
              <w:rPr>
                <w:rFonts w:ascii="Garamond" w:hAnsi="Garamond"/>
                <w:sz w:val="12"/>
                <w:szCs w:val="12"/>
              </w:rPr>
            </w:pPr>
          </w:p>
        </w:tc>
        <w:tc>
          <w:tcPr>
            <w:tcW w:w="1323" w:type="dxa"/>
            <w:tcBorders>
              <w:top w:val="single" w:sz="4" w:space="0" w:color="auto"/>
              <w:left w:val="nil"/>
              <w:bottom w:val="single" w:sz="4" w:space="0" w:color="auto"/>
              <w:right w:val="single" w:sz="4" w:space="0" w:color="auto"/>
            </w:tcBorders>
            <w:shd w:val="clear" w:color="FFFFFF" w:fill="FFFFFF"/>
            <w:vAlign w:val="center"/>
          </w:tcPr>
          <w:p w14:paraId="23A8D7B7" w14:textId="77777777" w:rsidR="005D2226" w:rsidRPr="00CC11D5" w:rsidRDefault="005D2226" w:rsidP="008C0C0F">
            <w:pPr>
              <w:jc w:val="center"/>
              <w:rPr>
                <w:rFonts w:ascii="Garamond" w:hAnsi="Garamond"/>
                <w:sz w:val="12"/>
                <w:szCs w:val="12"/>
              </w:rPr>
            </w:pPr>
            <w:r w:rsidRPr="00CC11D5">
              <w:rPr>
                <w:rFonts w:ascii="Garamond" w:hAnsi="Garamond"/>
                <w:b/>
                <w:sz w:val="12"/>
                <w:szCs w:val="12"/>
              </w:rPr>
              <w:t>2024</w:t>
            </w:r>
          </w:p>
        </w:tc>
        <w:tc>
          <w:tcPr>
            <w:tcW w:w="1077" w:type="dxa"/>
            <w:tcBorders>
              <w:top w:val="single" w:sz="4" w:space="0" w:color="auto"/>
              <w:left w:val="nil"/>
              <w:bottom w:val="single" w:sz="4" w:space="0" w:color="auto"/>
              <w:right w:val="single" w:sz="4" w:space="0" w:color="auto"/>
            </w:tcBorders>
            <w:shd w:val="clear" w:color="FFFFFF" w:fill="FFFFFF"/>
            <w:vAlign w:val="center"/>
          </w:tcPr>
          <w:p w14:paraId="1F685961" w14:textId="77777777" w:rsidR="005D2226" w:rsidRPr="00CC11D5" w:rsidRDefault="005D2226" w:rsidP="008C0C0F">
            <w:pPr>
              <w:jc w:val="center"/>
              <w:rPr>
                <w:rFonts w:ascii="Garamond" w:hAnsi="Garamond"/>
                <w:sz w:val="12"/>
                <w:szCs w:val="12"/>
              </w:rPr>
            </w:pPr>
            <w:r w:rsidRPr="00CC11D5">
              <w:rPr>
                <w:rFonts w:ascii="Garamond" w:hAnsi="Garamond"/>
                <w:b/>
                <w:sz w:val="12"/>
                <w:szCs w:val="12"/>
              </w:rPr>
              <w:t>2025</w:t>
            </w:r>
          </w:p>
        </w:tc>
        <w:tc>
          <w:tcPr>
            <w:tcW w:w="1340" w:type="dxa"/>
            <w:tcBorders>
              <w:top w:val="single" w:sz="4" w:space="0" w:color="auto"/>
              <w:left w:val="nil"/>
              <w:bottom w:val="single" w:sz="4" w:space="0" w:color="auto"/>
              <w:right w:val="single" w:sz="4" w:space="0" w:color="auto"/>
            </w:tcBorders>
            <w:shd w:val="clear" w:color="FFFFFF" w:fill="FFFFFF"/>
            <w:vAlign w:val="center"/>
          </w:tcPr>
          <w:p w14:paraId="0139A62C" w14:textId="77777777" w:rsidR="005D2226" w:rsidRPr="00CC11D5" w:rsidRDefault="005D2226" w:rsidP="008C0C0F">
            <w:pPr>
              <w:jc w:val="center"/>
              <w:rPr>
                <w:rFonts w:ascii="Garamond" w:hAnsi="Garamond"/>
                <w:sz w:val="12"/>
                <w:szCs w:val="12"/>
              </w:rPr>
            </w:pPr>
            <w:r w:rsidRPr="00CC11D5">
              <w:rPr>
                <w:rFonts w:ascii="Garamond" w:hAnsi="Garamond"/>
                <w:b/>
                <w:sz w:val="12"/>
                <w:szCs w:val="12"/>
              </w:rPr>
              <w:t>2026</w:t>
            </w:r>
          </w:p>
        </w:tc>
        <w:tc>
          <w:tcPr>
            <w:tcW w:w="1308" w:type="dxa"/>
            <w:tcBorders>
              <w:top w:val="single" w:sz="4" w:space="0" w:color="auto"/>
              <w:left w:val="nil"/>
              <w:bottom w:val="single" w:sz="4" w:space="0" w:color="auto"/>
              <w:right w:val="single" w:sz="4" w:space="0" w:color="auto"/>
            </w:tcBorders>
            <w:shd w:val="clear" w:color="FFFFFF" w:fill="FFFFFF"/>
            <w:vAlign w:val="center"/>
          </w:tcPr>
          <w:p w14:paraId="1BA8A7D9" w14:textId="77777777" w:rsidR="005D2226" w:rsidRPr="00CC11D5" w:rsidRDefault="005D2226" w:rsidP="008C0C0F">
            <w:pPr>
              <w:jc w:val="center"/>
              <w:rPr>
                <w:rFonts w:ascii="Garamond" w:hAnsi="Garamond"/>
                <w:sz w:val="12"/>
                <w:szCs w:val="12"/>
              </w:rPr>
            </w:pPr>
            <w:r w:rsidRPr="00CC11D5">
              <w:rPr>
                <w:rFonts w:ascii="Garamond" w:hAnsi="Garamond"/>
                <w:b/>
                <w:sz w:val="12"/>
                <w:szCs w:val="12"/>
              </w:rPr>
              <w:t>2027</w:t>
            </w:r>
          </w:p>
        </w:tc>
      </w:tr>
      <w:tr w:rsidR="00723888" w:rsidRPr="00CC11D5" w14:paraId="67DF6E55" w14:textId="77777777" w:rsidTr="002845E2">
        <w:trPr>
          <w:trHeight w:val="430"/>
          <w:jc w:val="center"/>
        </w:trPr>
        <w:tc>
          <w:tcPr>
            <w:tcW w:w="2587" w:type="dxa"/>
            <w:tcBorders>
              <w:top w:val="single" w:sz="4" w:space="0" w:color="auto"/>
              <w:left w:val="single" w:sz="4" w:space="0" w:color="auto"/>
              <w:bottom w:val="single" w:sz="4" w:space="0" w:color="auto"/>
              <w:right w:val="single" w:sz="4" w:space="0" w:color="auto"/>
            </w:tcBorders>
            <w:shd w:val="clear" w:color="FFFFFF" w:fill="FFFFFF"/>
          </w:tcPr>
          <w:p w14:paraId="085A9F09" w14:textId="77777777" w:rsidR="005D2226" w:rsidRPr="00CC11D5" w:rsidRDefault="005D2226" w:rsidP="00DD658A">
            <w:pPr>
              <w:rPr>
                <w:rFonts w:ascii="Garamond" w:hAnsi="Garamond"/>
                <w:sz w:val="12"/>
                <w:szCs w:val="12"/>
              </w:rPr>
            </w:pPr>
            <w:r w:rsidRPr="00CC11D5">
              <w:rPr>
                <w:rFonts w:ascii="Garamond" w:hAnsi="Garamond"/>
                <w:sz w:val="12"/>
                <w:szCs w:val="12"/>
              </w:rPr>
              <w:t>Rritja e kapjeve të mallrave të falsifikuar për të siguruar tregti të ndershme dhe me vlerë reale të materialit/punës/tregut</w:t>
            </w:r>
          </w:p>
        </w:tc>
        <w:tc>
          <w:tcPr>
            <w:tcW w:w="1494" w:type="dxa"/>
            <w:tcBorders>
              <w:top w:val="single" w:sz="4" w:space="0" w:color="auto"/>
              <w:left w:val="single" w:sz="4" w:space="0" w:color="auto"/>
              <w:bottom w:val="single" w:sz="4" w:space="0" w:color="auto"/>
              <w:right w:val="single" w:sz="4" w:space="0" w:color="auto"/>
            </w:tcBorders>
            <w:shd w:val="clear" w:color="FFFFFF" w:fill="FFFFFF"/>
            <w:vAlign w:val="center"/>
          </w:tcPr>
          <w:p w14:paraId="1793CDFD" w14:textId="77777777" w:rsidR="005D2226" w:rsidRPr="00CC11D5" w:rsidRDefault="005D2226" w:rsidP="00DD658A">
            <w:pPr>
              <w:rPr>
                <w:rFonts w:ascii="Garamond" w:hAnsi="Garamond"/>
                <w:sz w:val="12"/>
                <w:szCs w:val="12"/>
              </w:rPr>
            </w:pPr>
          </w:p>
        </w:tc>
        <w:tc>
          <w:tcPr>
            <w:tcW w:w="1323" w:type="dxa"/>
            <w:tcBorders>
              <w:top w:val="single" w:sz="4" w:space="0" w:color="auto"/>
              <w:left w:val="nil"/>
              <w:bottom w:val="single" w:sz="4" w:space="0" w:color="auto"/>
              <w:right w:val="single" w:sz="4" w:space="0" w:color="auto"/>
            </w:tcBorders>
            <w:shd w:val="clear" w:color="FFFFFF" w:fill="FFFFFF"/>
            <w:vAlign w:val="center"/>
          </w:tcPr>
          <w:p w14:paraId="1C52171A" w14:textId="4101F8E4" w:rsidR="005D2226" w:rsidRPr="00CC11D5" w:rsidRDefault="005D2226" w:rsidP="002845E2">
            <w:pPr>
              <w:jc w:val="center"/>
              <w:rPr>
                <w:rFonts w:ascii="Garamond" w:hAnsi="Garamond"/>
                <w:sz w:val="12"/>
                <w:szCs w:val="12"/>
              </w:rPr>
            </w:pPr>
            <w:r w:rsidRPr="00CC11D5">
              <w:rPr>
                <w:rFonts w:ascii="Garamond" w:hAnsi="Garamond"/>
                <w:sz w:val="12"/>
                <w:szCs w:val="12"/>
              </w:rPr>
              <w:t>0.01% e PBB</w:t>
            </w:r>
            <w:r w:rsidR="008C0C0F" w:rsidRPr="00CC11D5">
              <w:rPr>
                <w:rFonts w:ascii="Garamond" w:hAnsi="Garamond"/>
                <w:sz w:val="12"/>
                <w:szCs w:val="12"/>
              </w:rPr>
              <w:t>-së</w:t>
            </w:r>
          </w:p>
          <w:p w14:paraId="144CF469" w14:textId="77777777" w:rsidR="005D2226" w:rsidRPr="00CC11D5" w:rsidRDefault="005D2226" w:rsidP="002845E2">
            <w:pPr>
              <w:jc w:val="center"/>
              <w:rPr>
                <w:rFonts w:ascii="Garamond" w:hAnsi="Garamond"/>
                <w:sz w:val="12"/>
                <w:szCs w:val="12"/>
              </w:rPr>
            </w:pPr>
          </w:p>
        </w:tc>
        <w:tc>
          <w:tcPr>
            <w:tcW w:w="1077" w:type="dxa"/>
            <w:tcBorders>
              <w:top w:val="single" w:sz="4" w:space="0" w:color="auto"/>
              <w:left w:val="nil"/>
              <w:bottom w:val="single" w:sz="4" w:space="0" w:color="auto"/>
              <w:right w:val="single" w:sz="4" w:space="0" w:color="auto"/>
            </w:tcBorders>
            <w:shd w:val="clear" w:color="FFFFFF" w:fill="FFFFFF"/>
            <w:vAlign w:val="center"/>
          </w:tcPr>
          <w:p w14:paraId="67492590" w14:textId="11428733" w:rsidR="005D2226" w:rsidRPr="00CC11D5" w:rsidRDefault="005D2226" w:rsidP="002845E2">
            <w:pPr>
              <w:jc w:val="center"/>
              <w:rPr>
                <w:rFonts w:ascii="Garamond" w:hAnsi="Garamond"/>
                <w:sz w:val="12"/>
                <w:szCs w:val="12"/>
              </w:rPr>
            </w:pPr>
            <w:r w:rsidRPr="00CC11D5">
              <w:rPr>
                <w:rFonts w:ascii="Garamond" w:hAnsi="Garamond"/>
                <w:sz w:val="12"/>
                <w:szCs w:val="12"/>
              </w:rPr>
              <w:t>0.01% e PBB</w:t>
            </w:r>
            <w:r w:rsidR="008C0C0F" w:rsidRPr="00CC11D5">
              <w:rPr>
                <w:rFonts w:ascii="Garamond" w:hAnsi="Garamond"/>
                <w:sz w:val="12"/>
                <w:szCs w:val="12"/>
              </w:rPr>
              <w:t>-së</w:t>
            </w:r>
          </w:p>
        </w:tc>
        <w:tc>
          <w:tcPr>
            <w:tcW w:w="1340" w:type="dxa"/>
            <w:tcBorders>
              <w:top w:val="single" w:sz="4" w:space="0" w:color="auto"/>
              <w:left w:val="nil"/>
              <w:bottom w:val="single" w:sz="4" w:space="0" w:color="auto"/>
              <w:right w:val="single" w:sz="4" w:space="0" w:color="auto"/>
            </w:tcBorders>
            <w:shd w:val="clear" w:color="FFFFFF" w:fill="FFFFFF"/>
            <w:vAlign w:val="center"/>
          </w:tcPr>
          <w:p w14:paraId="7C32FD75" w14:textId="1959B941" w:rsidR="005D2226" w:rsidRPr="00CC11D5" w:rsidRDefault="005D2226" w:rsidP="002845E2">
            <w:pPr>
              <w:jc w:val="center"/>
              <w:rPr>
                <w:rFonts w:ascii="Garamond" w:hAnsi="Garamond"/>
                <w:sz w:val="12"/>
                <w:szCs w:val="12"/>
              </w:rPr>
            </w:pPr>
            <w:r w:rsidRPr="00CC11D5">
              <w:rPr>
                <w:rFonts w:ascii="Garamond" w:hAnsi="Garamond"/>
                <w:sz w:val="12"/>
                <w:szCs w:val="12"/>
              </w:rPr>
              <w:t>0.003% e PBB</w:t>
            </w:r>
            <w:r w:rsidR="008C0C0F" w:rsidRPr="00CC11D5">
              <w:rPr>
                <w:rFonts w:ascii="Garamond" w:hAnsi="Garamond"/>
                <w:sz w:val="12"/>
                <w:szCs w:val="12"/>
              </w:rPr>
              <w:t>-së</w:t>
            </w:r>
          </w:p>
        </w:tc>
        <w:tc>
          <w:tcPr>
            <w:tcW w:w="1308" w:type="dxa"/>
            <w:tcBorders>
              <w:top w:val="single" w:sz="4" w:space="0" w:color="auto"/>
              <w:left w:val="nil"/>
              <w:bottom w:val="single" w:sz="4" w:space="0" w:color="auto"/>
              <w:right w:val="single" w:sz="4" w:space="0" w:color="auto"/>
            </w:tcBorders>
            <w:shd w:val="clear" w:color="FFFFFF" w:fill="FFFFFF"/>
            <w:vAlign w:val="center"/>
          </w:tcPr>
          <w:p w14:paraId="4B32687D" w14:textId="3C71AC68" w:rsidR="005D2226" w:rsidRPr="00CC11D5" w:rsidRDefault="005D2226" w:rsidP="002845E2">
            <w:pPr>
              <w:jc w:val="center"/>
              <w:rPr>
                <w:rFonts w:ascii="Garamond" w:hAnsi="Garamond"/>
                <w:sz w:val="12"/>
                <w:szCs w:val="12"/>
              </w:rPr>
            </w:pPr>
            <w:r w:rsidRPr="00CC11D5">
              <w:rPr>
                <w:rFonts w:ascii="Garamond" w:hAnsi="Garamond"/>
                <w:sz w:val="12"/>
                <w:szCs w:val="12"/>
              </w:rPr>
              <w:t>0.003% e PBB</w:t>
            </w:r>
            <w:r w:rsidR="008C0C0F" w:rsidRPr="00CC11D5">
              <w:rPr>
                <w:rFonts w:ascii="Garamond" w:hAnsi="Garamond"/>
                <w:sz w:val="12"/>
                <w:szCs w:val="12"/>
              </w:rPr>
              <w:t>-së</w:t>
            </w:r>
          </w:p>
        </w:tc>
      </w:tr>
    </w:tbl>
    <w:p w14:paraId="01989471" w14:textId="03F5A472" w:rsidR="005D2226" w:rsidRPr="00830F4C" w:rsidRDefault="005D2226" w:rsidP="005D2226">
      <w:pPr>
        <w:pStyle w:val="Heading2"/>
        <w:spacing w:before="0"/>
        <w:ind w:firstLine="284"/>
        <w:rPr>
          <w:rFonts w:ascii="Garamond" w:hAnsi="Garamond" w:cs="Times New Roman"/>
          <w:b/>
          <w:color w:val="auto"/>
          <w:sz w:val="24"/>
          <w:szCs w:val="24"/>
        </w:rPr>
      </w:pPr>
      <w:bookmarkStart w:id="78" w:name="_Toc167973998"/>
      <w:bookmarkStart w:id="79" w:name="_Toc185235110"/>
      <w:r w:rsidRPr="00830F4C">
        <w:rPr>
          <w:rFonts w:ascii="Garamond" w:hAnsi="Garamond" w:cs="Times New Roman"/>
          <w:b/>
          <w:color w:val="auto"/>
          <w:sz w:val="24"/>
          <w:szCs w:val="24"/>
        </w:rPr>
        <w:t xml:space="preserve">VI.10 Komponenti 3.9. Zgjerimi i shkëmbimit të informacionit me partnerët vendas dhe ndërkombëtarë për të përmirësuar profilin e </w:t>
      </w:r>
      <w:bookmarkEnd w:id="78"/>
      <w:r w:rsidRPr="00830F4C">
        <w:rPr>
          <w:rFonts w:ascii="Garamond" w:hAnsi="Garamond" w:cs="Times New Roman"/>
          <w:b/>
          <w:color w:val="auto"/>
          <w:sz w:val="24"/>
          <w:szCs w:val="24"/>
        </w:rPr>
        <w:t>riskut</w:t>
      </w:r>
      <w:bookmarkEnd w:id="79"/>
    </w:p>
    <w:p w14:paraId="55835332" w14:textId="77777777" w:rsidR="005D2226" w:rsidRPr="00830F4C" w:rsidRDefault="005D2226" w:rsidP="005D2226">
      <w:pPr>
        <w:ind w:firstLine="284"/>
        <w:jc w:val="both"/>
        <w:rPr>
          <w:rFonts w:ascii="Garamond" w:hAnsi="Garamond"/>
          <w:b/>
        </w:rPr>
      </w:pPr>
      <w:r w:rsidRPr="00830F4C">
        <w:rPr>
          <w:rFonts w:ascii="Garamond" w:hAnsi="Garamond"/>
          <w:b/>
        </w:rPr>
        <w:t>Objektivi</w:t>
      </w:r>
    </w:p>
    <w:p w14:paraId="2A1B7C15" w14:textId="2A74550B" w:rsidR="005D2226" w:rsidRPr="00830F4C" w:rsidRDefault="005D2226" w:rsidP="00F91D85">
      <w:pPr>
        <w:ind w:firstLine="284"/>
        <w:jc w:val="both"/>
        <w:rPr>
          <w:rFonts w:ascii="Garamond" w:hAnsi="Garamond"/>
        </w:rPr>
      </w:pPr>
      <w:r w:rsidRPr="00830F4C">
        <w:rPr>
          <w:rFonts w:ascii="Garamond" w:hAnsi="Garamond"/>
        </w:rPr>
        <w:t>Zgjerimi i shkëmbimit të informacionit me partnerët vendas dhe ndërkombëtarë për të përmirësuar profilin e riskut.</w:t>
      </w:r>
    </w:p>
    <w:p w14:paraId="7B740B8A" w14:textId="77777777" w:rsidR="005D2226" w:rsidRPr="00830F4C" w:rsidRDefault="005D2226" w:rsidP="005D2226">
      <w:pPr>
        <w:ind w:firstLine="284"/>
        <w:jc w:val="both"/>
        <w:rPr>
          <w:rFonts w:ascii="Garamond" w:hAnsi="Garamond"/>
          <w:b/>
        </w:rPr>
      </w:pPr>
      <w:r w:rsidRPr="00830F4C">
        <w:rPr>
          <w:rFonts w:ascii="Garamond" w:hAnsi="Garamond"/>
          <w:b/>
        </w:rPr>
        <w:t>Konteksti</w:t>
      </w:r>
    </w:p>
    <w:p w14:paraId="2DEBAC23" w14:textId="4FBE92D7" w:rsidR="005D2226" w:rsidRPr="00830F4C" w:rsidRDefault="005D2226" w:rsidP="005D2226">
      <w:pPr>
        <w:ind w:firstLine="284"/>
        <w:jc w:val="both"/>
        <w:rPr>
          <w:rFonts w:ascii="Garamond" w:hAnsi="Garamond"/>
        </w:rPr>
      </w:pPr>
      <w:r w:rsidRPr="00830F4C">
        <w:rPr>
          <w:rFonts w:ascii="Garamond" w:hAnsi="Garamond"/>
        </w:rPr>
        <w:t>Aktualisht DPD</w:t>
      </w:r>
      <w:r w:rsidR="00F91D85">
        <w:rPr>
          <w:rFonts w:ascii="Garamond" w:hAnsi="Garamond"/>
        </w:rPr>
        <w:t>-ja</w:t>
      </w:r>
      <w:r w:rsidRPr="00830F4C">
        <w:rPr>
          <w:rFonts w:ascii="Garamond" w:hAnsi="Garamond"/>
        </w:rPr>
        <w:t xml:space="preserve"> ka marrëveshje bashkëpunimi me disa institucione ligjzbatuese. Në shtator 2022 u nënshk</w:t>
      </w:r>
      <w:r w:rsidR="008C0C0F" w:rsidRPr="00830F4C">
        <w:rPr>
          <w:rFonts w:ascii="Garamond" w:hAnsi="Garamond"/>
        </w:rPr>
        <w:t>r</w:t>
      </w:r>
      <w:r w:rsidRPr="00830F4C">
        <w:rPr>
          <w:rFonts w:ascii="Garamond" w:hAnsi="Garamond"/>
        </w:rPr>
        <w:t>ua marrëveshja për shkëmbimin e të dhënave me administratën doganore italiane. Platforma SEED është në përdorim për shkëmbimin e informacionit me administratat doganore të palëve CEFTA. Funksionimi i shkëmbimit të informacionit ndërmjet palëve të CEFTA</w:t>
      </w:r>
      <w:r w:rsidR="00F91D85">
        <w:rPr>
          <w:rFonts w:ascii="Garamond" w:hAnsi="Garamond"/>
        </w:rPr>
        <w:t>-s</w:t>
      </w:r>
      <w:r w:rsidRPr="00830F4C">
        <w:rPr>
          <w:rFonts w:ascii="Garamond" w:hAnsi="Garamond"/>
        </w:rPr>
        <w:t xml:space="preserve"> në zbatim të parashikimeve të Protokollit Shtesë 5 të kësaj marrëveshje do të ndikojë pozitivisht në arritjen e këtij objektivi.</w:t>
      </w:r>
    </w:p>
    <w:p w14:paraId="4537900F" w14:textId="17B4BD60" w:rsidR="005D2226" w:rsidRPr="00830F4C" w:rsidRDefault="005D2226" w:rsidP="005D2226">
      <w:pPr>
        <w:ind w:firstLine="284"/>
        <w:jc w:val="both"/>
        <w:rPr>
          <w:rFonts w:ascii="Garamond" w:hAnsi="Garamond"/>
        </w:rPr>
      </w:pPr>
      <w:r w:rsidRPr="00830F4C">
        <w:rPr>
          <w:rFonts w:ascii="Garamond" w:hAnsi="Garamond"/>
        </w:rPr>
        <w:t xml:space="preserve">Me synimin për të rritur më tej efikasitetin e profilizimit tonë të rrezikut, duke trajtuar sigurinë ndërkufitare, luftën kundër trafikut të paligjshëm, respektimin e standardeve të Bashkimit Evropian të </w:t>
      </w:r>
      <w:r w:rsidR="008C0C0F" w:rsidRPr="00830F4C">
        <w:rPr>
          <w:rFonts w:ascii="Garamond" w:hAnsi="Garamond"/>
        </w:rPr>
        <w:t>procedurave</w:t>
      </w:r>
      <w:r w:rsidRPr="00830F4C">
        <w:rPr>
          <w:rFonts w:ascii="Garamond" w:hAnsi="Garamond"/>
        </w:rPr>
        <w:t xml:space="preserve"> doganore dhe lehtësimin e shkëmbimeve tregtare, DPD</w:t>
      </w:r>
      <w:r w:rsidR="00F91D85">
        <w:rPr>
          <w:rFonts w:ascii="Garamond" w:hAnsi="Garamond"/>
        </w:rPr>
        <w:t>-ja</w:t>
      </w:r>
      <w:r w:rsidRPr="00830F4C">
        <w:rPr>
          <w:rFonts w:ascii="Garamond" w:hAnsi="Garamond"/>
        </w:rPr>
        <w:t xml:space="preserve"> nga njëra anë dhe Doganat Italiane dhe </w:t>
      </w:r>
      <w:r w:rsidRPr="00830F4C">
        <w:rPr>
          <w:rFonts w:ascii="Garamond" w:hAnsi="Garamond"/>
          <w:i/>
        </w:rPr>
        <w:t>Guardia di Finanza</w:t>
      </w:r>
      <w:r w:rsidRPr="00830F4C">
        <w:rPr>
          <w:rFonts w:ascii="Garamond" w:hAnsi="Garamond"/>
        </w:rPr>
        <w:t xml:space="preserve"> nga ana tjetër, nënshkruan një memorandum të përbashkët më 4 prill 2024, duke përfshirë një program të plotë aktivitetesh për doganierët tanë. Një nga aktivitetet lidhur me këtë protokoll u zhvillua në Shqipëri në maj 2024, misioni i parë </w:t>
      </w:r>
      <w:r w:rsidR="00D22EA5" w:rsidRPr="00830F4C">
        <w:rPr>
          <w:rFonts w:ascii="Garamond" w:hAnsi="Garamond"/>
        </w:rPr>
        <w:t>“</w:t>
      </w:r>
      <w:r w:rsidRPr="00830F4C">
        <w:rPr>
          <w:rFonts w:ascii="Garamond" w:hAnsi="Garamond"/>
        </w:rPr>
        <w:t>për vlerësimin e mangësive dhe nevojave për analizën e rrezikut</w:t>
      </w:r>
      <w:r w:rsidR="00D22EA5" w:rsidRPr="00830F4C">
        <w:rPr>
          <w:rFonts w:ascii="Garamond" w:hAnsi="Garamond"/>
        </w:rPr>
        <w:t>”</w:t>
      </w:r>
      <w:r w:rsidRPr="00830F4C">
        <w:rPr>
          <w:rFonts w:ascii="Garamond" w:hAnsi="Garamond"/>
        </w:rPr>
        <w:t>, me pjesëmarrjen e strukturave ligjzbatuese doganore dhe ekspertëve italianë të kësaj fushe.</w:t>
      </w:r>
    </w:p>
    <w:p w14:paraId="7F9E6504" w14:textId="0BD1CE0A" w:rsidR="005D2226" w:rsidRPr="00830F4C" w:rsidRDefault="005D2226" w:rsidP="005D2226">
      <w:pPr>
        <w:ind w:firstLine="284"/>
        <w:jc w:val="both"/>
        <w:rPr>
          <w:rFonts w:ascii="Garamond" w:hAnsi="Garamond"/>
        </w:rPr>
      </w:pPr>
      <w:r w:rsidRPr="00830F4C">
        <w:rPr>
          <w:rFonts w:ascii="Garamond" w:hAnsi="Garamond"/>
        </w:rPr>
        <w:t>Të gjitha këto përpjekje janë plotësisht në përputhje me praktikën e mirë ndërkombëtare dhe duhet të ndiqen më tej në veçanti me BE-në, vendet fqinje dhe partnerët kryesorë tregtarë.</w:t>
      </w:r>
    </w:p>
    <w:p w14:paraId="7A9634EC" w14:textId="2E876CFD" w:rsidR="005D2226" w:rsidRPr="00830F4C" w:rsidRDefault="005D2226" w:rsidP="005D2226">
      <w:pPr>
        <w:ind w:firstLine="284"/>
        <w:jc w:val="both"/>
        <w:rPr>
          <w:rFonts w:ascii="Garamond" w:hAnsi="Garamond"/>
        </w:rPr>
      </w:pPr>
      <w:r w:rsidRPr="00830F4C">
        <w:rPr>
          <w:rFonts w:ascii="Garamond" w:hAnsi="Garamond"/>
        </w:rPr>
        <w:t>DPD</w:t>
      </w:r>
      <w:r w:rsidR="00F91D85">
        <w:rPr>
          <w:rFonts w:ascii="Garamond" w:hAnsi="Garamond"/>
        </w:rPr>
        <w:t>-ja</w:t>
      </w:r>
      <w:r w:rsidRPr="00830F4C">
        <w:rPr>
          <w:rFonts w:ascii="Garamond" w:hAnsi="Garamond"/>
        </w:rPr>
        <w:t xml:space="preserve"> ka një oficer ndërlidhës të vendosur në mënyrë të përhershme në Bukuresht dhe të bashkangjitur në Qendrën SELEC. Versioni i Organizatës Botërore të Doganave (OBD) nCEN 3.3.1 ka 39 përdorues në DPD, të cilët po analizojnë</w:t>
      </w:r>
      <w:r w:rsidR="00F91D85">
        <w:rPr>
          <w:rFonts w:ascii="Garamond" w:hAnsi="Garamond"/>
        </w:rPr>
        <w:t>,</w:t>
      </w:r>
      <w:r w:rsidRPr="00830F4C">
        <w:rPr>
          <w:rFonts w:ascii="Garamond" w:hAnsi="Garamond"/>
        </w:rPr>
        <w:t xml:space="preserve"> gjithashtu</w:t>
      </w:r>
      <w:r w:rsidR="00F91D85">
        <w:rPr>
          <w:rFonts w:ascii="Garamond" w:hAnsi="Garamond"/>
        </w:rPr>
        <w:t>,</w:t>
      </w:r>
      <w:r w:rsidRPr="00830F4C">
        <w:rPr>
          <w:rFonts w:ascii="Garamond" w:hAnsi="Garamond"/>
        </w:rPr>
        <w:t xml:space="preserve"> informacionin përmes Zyrave të Ndërlidhjes së Inteligjencës Rajonale të Organizatës Botërore të Doganave. Aktualisht shkeljet (përveç atyre të raportuara përmes Modulit të Raporteve të Parregullsive) pasqyrohen në një sistem të dedikuar RESHDA, i cili përditësohet kur zbulohet shkelja dhe vendimi i duhur merret nga Dega e Doganës. </w:t>
      </w:r>
    </w:p>
    <w:p w14:paraId="6F794648" w14:textId="1C6CF650" w:rsidR="005D2226" w:rsidRPr="00830F4C" w:rsidRDefault="005D2226" w:rsidP="005D2226">
      <w:pPr>
        <w:ind w:firstLine="284"/>
        <w:jc w:val="both"/>
        <w:rPr>
          <w:rFonts w:ascii="Garamond" w:hAnsi="Garamond"/>
        </w:rPr>
      </w:pPr>
      <w:r w:rsidRPr="00830F4C">
        <w:rPr>
          <w:rFonts w:ascii="Garamond" w:hAnsi="Garamond"/>
        </w:rPr>
        <w:t>Funksionimi i sistemit të Rrjetit Kombëtar të Zbatimit të Doganave (nCEN) të Organizatës Botërore të Doganave, i instaluar në DPD, do të ketë një ndikim pozitiv në arritjen e këtij objektivi. Shkëmbimi i informacionit do të sjell verifikim më të saktë të vlerave të transaksionit</w:t>
      </w:r>
      <w:r w:rsidR="00F91D85">
        <w:rPr>
          <w:rFonts w:ascii="Garamond" w:hAnsi="Garamond"/>
        </w:rPr>
        <w:t>,</w:t>
      </w:r>
      <w:r w:rsidRPr="00830F4C">
        <w:rPr>
          <w:rFonts w:ascii="Garamond" w:hAnsi="Garamond"/>
        </w:rPr>
        <w:t xml:space="preserve"> si edhe rritje të ndërgjegjësimit të subjekteve lidhur me deklarimin në doganë.</w:t>
      </w:r>
    </w:p>
    <w:p w14:paraId="14241AD6" w14:textId="77777777" w:rsidR="008C0C0F" w:rsidRPr="00830F4C" w:rsidRDefault="005D2226" w:rsidP="008C0C0F">
      <w:pPr>
        <w:ind w:firstLine="284"/>
        <w:jc w:val="both"/>
        <w:rPr>
          <w:rFonts w:ascii="Garamond" w:hAnsi="Garamond"/>
        </w:rPr>
      </w:pPr>
      <w:r w:rsidRPr="00830F4C">
        <w:rPr>
          <w:rFonts w:ascii="Garamond" w:hAnsi="Garamond"/>
        </w:rPr>
        <w:t>Bashkëpunimi me Policinë e Shtetit është rritur përmes kontrolleve të përbashkëta në pikat kufitare, si dhe përmes shkëmbimit të informacionit në kohë reale nëpërmjet platformave dhe mjeteve të teknologjisë së informacionit me këto institucione, si dhe me partnerët ndërkombëtarë përmes platformave CENcomm, iArms dhe Siena.</w:t>
      </w:r>
    </w:p>
    <w:p w14:paraId="6945513D" w14:textId="77777777" w:rsidR="008C0C0F" w:rsidRPr="00830F4C" w:rsidRDefault="00DD658A" w:rsidP="008C0C0F">
      <w:pPr>
        <w:ind w:firstLine="284"/>
        <w:jc w:val="both"/>
        <w:rPr>
          <w:rFonts w:ascii="Garamond" w:hAnsi="Garamond"/>
        </w:rPr>
      </w:pPr>
      <w:r w:rsidRPr="00830F4C">
        <w:rPr>
          <w:rFonts w:ascii="Garamond" w:hAnsi="Garamond"/>
          <w:b/>
        </w:rPr>
        <w:t>Prioritetet:</w:t>
      </w:r>
    </w:p>
    <w:p w14:paraId="77C7D593" w14:textId="4113001F" w:rsidR="008C0C0F" w:rsidRPr="00830F4C" w:rsidRDefault="00DD658A" w:rsidP="008C0C0F">
      <w:pPr>
        <w:ind w:firstLine="284"/>
        <w:jc w:val="both"/>
        <w:rPr>
          <w:rFonts w:ascii="Garamond" w:hAnsi="Garamond"/>
        </w:rPr>
      </w:pPr>
      <w:r w:rsidRPr="00830F4C">
        <w:rPr>
          <w:rFonts w:ascii="Garamond" w:hAnsi="Garamond"/>
        </w:rPr>
        <w:t>Prioritetet për periudhën</w:t>
      </w:r>
      <w:r w:rsidR="00800B00" w:rsidRPr="00830F4C">
        <w:rPr>
          <w:rFonts w:ascii="Garamond" w:hAnsi="Garamond"/>
        </w:rPr>
        <w:t xml:space="preserve"> </w:t>
      </w:r>
      <w:r w:rsidR="00D22EA5" w:rsidRPr="00830F4C">
        <w:rPr>
          <w:rFonts w:ascii="Garamond" w:hAnsi="Garamond"/>
        </w:rPr>
        <w:t>2024–2027</w:t>
      </w:r>
      <w:r w:rsidRPr="00830F4C">
        <w:rPr>
          <w:rFonts w:ascii="Garamond" w:hAnsi="Garamond"/>
        </w:rPr>
        <w:t xml:space="preserve"> janë:</w:t>
      </w:r>
    </w:p>
    <w:p w14:paraId="6FDE86BA" w14:textId="69D1FC66" w:rsidR="008C0C0F" w:rsidRPr="00830F4C" w:rsidRDefault="00DD658A" w:rsidP="008C0C0F">
      <w:pPr>
        <w:ind w:firstLine="284"/>
        <w:jc w:val="both"/>
        <w:rPr>
          <w:rFonts w:ascii="Garamond" w:hAnsi="Garamond"/>
        </w:rPr>
      </w:pPr>
      <w:r w:rsidRPr="00830F4C">
        <w:rPr>
          <w:rFonts w:ascii="Garamond" w:hAnsi="Garamond"/>
        </w:rPr>
        <w:t>- Rritja e efektivitetit të bashkëpunimit me palët e treta.</w:t>
      </w:r>
    </w:p>
    <w:p w14:paraId="4F429056" w14:textId="2A288762" w:rsidR="00DD658A" w:rsidRPr="00830F4C" w:rsidRDefault="00DD658A" w:rsidP="008C0C0F">
      <w:pPr>
        <w:ind w:firstLine="284"/>
        <w:jc w:val="both"/>
        <w:rPr>
          <w:rFonts w:ascii="Garamond" w:hAnsi="Garamond"/>
        </w:rPr>
      </w:pPr>
      <w:r w:rsidRPr="00830F4C">
        <w:rPr>
          <w:rFonts w:ascii="Garamond" w:hAnsi="Garamond"/>
          <w:b/>
        </w:rPr>
        <w:t xml:space="preserve">Masat dhe aktivitetet </w:t>
      </w:r>
    </w:p>
    <w:tbl>
      <w:tblPr>
        <w:tblStyle w:val="TableGrid"/>
        <w:tblW w:w="0" w:type="auto"/>
        <w:tblLook w:val="04A0" w:firstRow="1" w:lastRow="0" w:firstColumn="1" w:lastColumn="0" w:noHBand="0" w:noVBand="1"/>
      </w:tblPr>
      <w:tblGrid>
        <w:gridCol w:w="3248"/>
        <w:gridCol w:w="1622"/>
        <w:gridCol w:w="1906"/>
        <w:gridCol w:w="2207"/>
      </w:tblGrid>
      <w:tr w:rsidR="00723888" w:rsidRPr="00CC11D5" w14:paraId="035102E8" w14:textId="77777777" w:rsidTr="008C0C0F">
        <w:trPr>
          <w:trHeight w:val="317"/>
        </w:trPr>
        <w:tc>
          <w:tcPr>
            <w:tcW w:w="3248" w:type="dxa"/>
            <w:vAlign w:val="center"/>
          </w:tcPr>
          <w:p w14:paraId="47A81BEB" w14:textId="77777777" w:rsidR="00DD658A" w:rsidRPr="00CC11D5" w:rsidRDefault="00DD658A" w:rsidP="008C0C0F">
            <w:pPr>
              <w:ind w:left="360"/>
              <w:jc w:val="center"/>
              <w:rPr>
                <w:rFonts w:ascii="Garamond" w:hAnsi="Garamond"/>
                <w:b/>
                <w:sz w:val="12"/>
                <w:szCs w:val="12"/>
              </w:rPr>
            </w:pPr>
            <w:r w:rsidRPr="00CC11D5">
              <w:rPr>
                <w:rFonts w:ascii="Garamond" w:hAnsi="Garamond"/>
                <w:b/>
                <w:sz w:val="12"/>
                <w:szCs w:val="12"/>
              </w:rPr>
              <w:t>Masa</w:t>
            </w:r>
          </w:p>
        </w:tc>
        <w:tc>
          <w:tcPr>
            <w:tcW w:w="1622" w:type="dxa"/>
            <w:vAlign w:val="center"/>
          </w:tcPr>
          <w:p w14:paraId="1743D6B2" w14:textId="77777777" w:rsidR="00DD658A" w:rsidRPr="00CC11D5" w:rsidRDefault="00DD658A" w:rsidP="008C0C0F">
            <w:pPr>
              <w:ind w:left="360"/>
              <w:jc w:val="center"/>
              <w:rPr>
                <w:rFonts w:ascii="Garamond" w:hAnsi="Garamond"/>
                <w:b/>
                <w:sz w:val="12"/>
                <w:szCs w:val="12"/>
              </w:rPr>
            </w:pPr>
            <w:r w:rsidRPr="00CC11D5">
              <w:rPr>
                <w:rFonts w:ascii="Garamond" w:hAnsi="Garamond"/>
                <w:b/>
                <w:sz w:val="12"/>
                <w:szCs w:val="12"/>
              </w:rPr>
              <w:t>Fillimi</w:t>
            </w:r>
          </w:p>
        </w:tc>
        <w:tc>
          <w:tcPr>
            <w:tcW w:w="1906" w:type="dxa"/>
            <w:vAlign w:val="center"/>
          </w:tcPr>
          <w:p w14:paraId="209039B7" w14:textId="77777777" w:rsidR="00DD658A" w:rsidRPr="00CC11D5" w:rsidRDefault="00DD658A" w:rsidP="008C0C0F">
            <w:pPr>
              <w:ind w:left="360"/>
              <w:jc w:val="center"/>
              <w:rPr>
                <w:rFonts w:ascii="Garamond" w:hAnsi="Garamond"/>
                <w:b/>
                <w:sz w:val="12"/>
                <w:szCs w:val="12"/>
              </w:rPr>
            </w:pPr>
            <w:r w:rsidRPr="00CC11D5">
              <w:rPr>
                <w:rFonts w:ascii="Garamond" w:hAnsi="Garamond"/>
                <w:b/>
                <w:sz w:val="12"/>
                <w:szCs w:val="12"/>
              </w:rPr>
              <w:t>Mbarimi</w:t>
            </w:r>
          </w:p>
        </w:tc>
        <w:tc>
          <w:tcPr>
            <w:tcW w:w="2207" w:type="dxa"/>
            <w:vAlign w:val="center"/>
          </w:tcPr>
          <w:p w14:paraId="5802ED28" w14:textId="77777777" w:rsidR="00DD658A" w:rsidRPr="00CC11D5" w:rsidRDefault="00DD658A" w:rsidP="008C0C0F">
            <w:pPr>
              <w:ind w:left="360"/>
              <w:jc w:val="center"/>
              <w:rPr>
                <w:rFonts w:ascii="Garamond" w:hAnsi="Garamond"/>
                <w:b/>
                <w:sz w:val="12"/>
                <w:szCs w:val="12"/>
              </w:rPr>
            </w:pPr>
            <w:r w:rsidRPr="00CC11D5">
              <w:rPr>
                <w:rFonts w:ascii="Garamond" w:hAnsi="Garamond"/>
                <w:b/>
                <w:sz w:val="12"/>
                <w:szCs w:val="12"/>
              </w:rPr>
              <w:t>Institucioni përgjegjës</w:t>
            </w:r>
          </w:p>
        </w:tc>
      </w:tr>
      <w:tr w:rsidR="00723888" w:rsidRPr="00CC11D5" w14:paraId="7A0C325D" w14:textId="77777777" w:rsidTr="00CC11D5">
        <w:trPr>
          <w:trHeight w:val="476"/>
        </w:trPr>
        <w:tc>
          <w:tcPr>
            <w:tcW w:w="3248" w:type="dxa"/>
          </w:tcPr>
          <w:p w14:paraId="55E93CEC" w14:textId="450D59F4" w:rsidR="00DD658A" w:rsidRPr="00CC11D5" w:rsidRDefault="00DD658A" w:rsidP="00723888">
            <w:pPr>
              <w:rPr>
                <w:rFonts w:ascii="Garamond" w:eastAsiaTheme="minorHAnsi" w:hAnsi="Garamond"/>
                <w:sz w:val="12"/>
                <w:szCs w:val="12"/>
              </w:rPr>
            </w:pPr>
            <w:r w:rsidRPr="00CC11D5">
              <w:rPr>
                <w:rFonts w:ascii="Garamond" w:eastAsiaTheme="minorHAnsi" w:hAnsi="Garamond"/>
                <w:sz w:val="12"/>
                <w:szCs w:val="12"/>
              </w:rPr>
              <w:t>Masa 3.9.1</w:t>
            </w:r>
            <w:r w:rsidR="00F91D85" w:rsidRPr="00CC11D5">
              <w:rPr>
                <w:rFonts w:ascii="Garamond" w:eastAsiaTheme="minorHAnsi" w:hAnsi="Garamond"/>
                <w:sz w:val="12"/>
                <w:szCs w:val="12"/>
              </w:rPr>
              <w:t xml:space="preserve"> </w:t>
            </w:r>
            <w:r w:rsidRPr="00CC11D5">
              <w:rPr>
                <w:rFonts w:ascii="Garamond" w:eastAsiaTheme="minorHAnsi" w:hAnsi="Garamond"/>
                <w:sz w:val="12"/>
                <w:szCs w:val="12"/>
              </w:rPr>
              <w:t>Trajnimi i vijueshëm i pikave të kontaktit ekzistuese dhe të reja</w:t>
            </w:r>
          </w:p>
        </w:tc>
        <w:tc>
          <w:tcPr>
            <w:tcW w:w="1622" w:type="dxa"/>
          </w:tcPr>
          <w:p w14:paraId="6FD2FDE1" w14:textId="77777777" w:rsidR="00DD658A" w:rsidRPr="00CC11D5" w:rsidRDefault="00DD658A" w:rsidP="00723888">
            <w:pPr>
              <w:ind w:left="360"/>
              <w:jc w:val="both"/>
              <w:rPr>
                <w:rFonts w:ascii="Garamond" w:hAnsi="Garamond"/>
                <w:sz w:val="12"/>
                <w:szCs w:val="12"/>
              </w:rPr>
            </w:pPr>
            <w:r w:rsidRPr="00CC11D5">
              <w:rPr>
                <w:rFonts w:ascii="Garamond" w:hAnsi="Garamond"/>
                <w:sz w:val="12"/>
                <w:szCs w:val="12"/>
              </w:rPr>
              <w:t>Janar 2024</w:t>
            </w:r>
          </w:p>
        </w:tc>
        <w:tc>
          <w:tcPr>
            <w:tcW w:w="1906" w:type="dxa"/>
          </w:tcPr>
          <w:p w14:paraId="0C6290E9" w14:textId="77777777" w:rsidR="00DD658A" w:rsidRPr="00CC11D5" w:rsidRDefault="00DD658A" w:rsidP="00723888">
            <w:pPr>
              <w:ind w:left="360"/>
              <w:jc w:val="both"/>
              <w:rPr>
                <w:rFonts w:ascii="Garamond" w:hAnsi="Garamond"/>
                <w:sz w:val="12"/>
                <w:szCs w:val="12"/>
              </w:rPr>
            </w:pPr>
            <w:r w:rsidRPr="00CC11D5">
              <w:rPr>
                <w:rFonts w:ascii="Garamond" w:hAnsi="Garamond"/>
                <w:sz w:val="12"/>
                <w:szCs w:val="12"/>
              </w:rPr>
              <w:t>2027</w:t>
            </w:r>
          </w:p>
        </w:tc>
        <w:tc>
          <w:tcPr>
            <w:tcW w:w="2207" w:type="dxa"/>
          </w:tcPr>
          <w:p w14:paraId="3C5DEAF9" w14:textId="77777777" w:rsidR="00DD658A" w:rsidRPr="00CC11D5" w:rsidRDefault="00DD658A" w:rsidP="00723888">
            <w:pPr>
              <w:jc w:val="both"/>
              <w:rPr>
                <w:rFonts w:ascii="Garamond" w:hAnsi="Garamond"/>
                <w:sz w:val="12"/>
                <w:szCs w:val="12"/>
              </w:rPr>
            </w:pPr>
            <w:r w:rsidRPr="00CC11D5">
              <w:rPr>
                <w:rFonts w:ascii="Garamond" w:hAnsi="Garamond"/>
                <w:sz w:val="12"/>
                <w:szCs w:val="12"/>
              </w:rPr>
              <w:t>DPD &amp; Qendra e Trajnimit të Administratës Tatimore dhe Doganore</w:t>
            </w:r>
          </w:p>
        </w:tc>
      </w:tr>
      <w:tr w:rsidR="00723888" w:rsidRPr="00CC11D5" w14:paraId="1E7842FE" w14:textId="77777777" w:rsidTr="00CC11D5">
        <w:trPr>
          <w:trHeight w:val="530"/>
        </w:trPr>
        <w:tc>
          <w:tcPr>
            <w:tcW w:w="3248" w:type="dxa"/>
          </w:tcPr>
          <w:p w14:paraId="40F506CE" w14:textId="2C40CB8B" w:rsidR="00DD658A" w:rsidRPr="00CC11D5" w:rsidRDefault="00DD658A" w:rsidP="00723888">
            <w:pPr>
              <w:rPr>
                <w:rFonts w:ascii="Garamond" w:eastAsiaTheme="minorHAnsi" w:hAnsi="Garamond"/>
                <w:sz w:val="12"/>
                <w:szCs w:val="12"/>
              </w:rPr>
            </w:pPr>
            <w:r w:rsidRPr="00CC11D5">
              <w:rPr>
                <w:rFonts w:ascii="Garamond" w:eastAsiaTheme="minorHAnsi" w:hAnsi="Garamond"/>
                <w:sz w:val="12"/>
                <w:szCs w:val="12"/>
              </w:rPr>
              <w:t xml:space="preserve">Masa 3.9.2 Trajnim i vazhdueshëm për doganierët në bazë të zgjatjes së protokollit me Doganën Italiane dhe </w:t>
            </w:r>
            <w:r w:rsidRPr="00CC11D5">
              <w:rPr>
                <w:rFonts w:ascii="Garamond" w:eastAsiaTheme="minorHAnsi" w:hAnsi="Garamond"/>
                <w:i/>
                <w:sz w:val="12"/>
                <w:szCs w:val="12"/>
              </w:rPr>
              <w:t>Guardia di Finanza</w:t>
            </w:r>
            <w:r w:rsidRPr="00CC11D5">
              <w:rPr>
                <w:rFonts w:ascii="Garamond" w:eastAsiaTheme="minorHAnsi" w:hAnsi="Garamond"/>
                <w:sz w:val="12"/>
                <w:szCs w:val="12"/>
              </w:rPr>
              <w:t xml:space="preserve"> edhe për vitin 2025.</w:t>
            </w:r>
          </w:p>
        </w:tc>
        <w:tc>
          <w:tcPr>
            <w:tcW w:w="1622" w:type="dxa"/>
          </w:tcPr>
          <w:p w14:paraId="1312F1C4" w14:textId="77777777" w:rsidR="00DD658A" w:rsidRPr="00CC11D5" w:rsidRDefault="00DD658A" w:rsidP="00723888">
            <w:pPr>
              <w:ind w:left="360"/>
              <w:jc w:val="both"/>
              <w:rPr>
                <w:rFonts w:ascii="Garamond" w:hAnsi="Garamond"/>
                <w:sz w:val="12"/>
                <w:szCs w:val="12"/>
              </w:rPr>
            </w:pPr>
            <w:r w:rsidRPr="00CC11D5">
              <w:rPr>
                <w:rFonts w:ascii="Garamond" w:hAnsi="Garamond"/>
                <w:sz w:val="12"/>
                <w:szCs w:val="12"/>
              </w:rPr>
              <w:t>Janar 2025</w:t>
            </w:r>
          </w:p>
        </w:tc>
        <w:tc>
          <w:tcPr>
            <w:tcW w:w="1906" w:type="dxa"/>
          </w:tcPr>
          <w:p w14:paraId="58D1B961" w14:textId="77777777" w:rsidR="00DD658A" w:rsidRPr="00CC11D5" w:rsidRDefault="00DD658A" w:rsidP="00723888">
            <w:pPr>
              <w:ind w:left="360"/>
              <w:jc w:val="both"/>
              <w:rPr>
                <w:rFonts w:ascii="Garamond" w:hAnsi="Garamond"/>
                <w:sz w:val="12"/>
                <w:szCs w:val="12"/>
              </w:rPr>
            </w:pPr>
            <w:r w:rsidRPr="00CC11D5">
              <w:rPr>
                <w:rFonts w:ascii="Garamond" w:hAnsi="Garamond"/>
                <w:sz w:val="12"/>
                <w:szCs w:val="12"/>
              </w:rPr>
              <w:t>Dhjetor 2025</w:t>
            </w:r>
          </w:p>
        </w:tc>
        <w:tc>
          <w:tcPr>
            <w:tcW w:w="2207" w:type="dxa"/>
          </w:tcPr>
          <w:p w14:paraId="00C19B87" w14:textId="77777777" w:rsidR="00DD658A" w:rsidRPr="00CC11D5" w:rsidRDefault="00DD658A" w:rsidP="00723888">
            <w:pPr>
              <w:jc w:val="both"/>
              <w:rPr>
                <w:rFonts w:ascii="Garamond" w:hAnsi="Garamond"/>
                <w:sz w:val="12"/>
                <w:szCs w:val="12"/>
              </w:rPr>
            </w:pPr>
            <w:r w:rsidRPr="00CC11D5">
              <w:rPr>
                <w:rFonts w:ascii="Garamond" w:hAnsi="Garamond"/>
                <w:sz w:val="12"/>
                <w:szCs w:val="12"/>
              </w:rPr>
              <w:t xml:space="preserve">DPD </w:t>
            </w:r>
          </w:p>
        </w:tc>
      </w:tr>
    </w:tbl>
    <w:p w14:paraId="06AEBF8D" w14:textId="77777777" w:rsidR="00DD658A" w:rsidRPr="00830F4C" w:rsidRDefault="00DD658A" w:rsidP="00DD658A">
      <w:pPr>
        <w:jc w:val="both"/>
        <w:rPr>
          <w:rFonts w:ascii="Garamond" w:hAnsi="Garamond"/>
        </w:rPr>
      </w:pPr>
    </w:p>
    <w:p w14:paraId="78F748D1" w14:textId="77777777" w:rsidR="00DD658A" w:rsidRPr="00830F4C" w:rsidRDefault="00DD658A" w:rsidP="00DD658A">
      <w:pPr>
        <w:jc w:val="both"/>
        <w:rPr>
          <w:rFonts w:ascii="Garamond" w:hAnsi="Garamond"/>
          <w:b/>
        </w:rPr>
      </w:pPr>
      <w:r w:rsidRPr="00830F4C">
        <w:rPr>
          <w:rFonts w:ascii="Garamond" w:hAnsi="Garamond"/>
          <w:b/>
        </w:rPr>
        <w:t>Treguesit e performancës dhe vlerat e synuara</w:t>
      </w:r>
    </w:p>
    <w:tbl>
      <w:tblPr>
        <w:tblW w:w="8835" w:type="dxa"/>
        <w:tblLook w:val="04A0" w:firstRow="1" w:lastRow="0" w:firstColumn="1" w:lastColumn="0" w:noHBand="0" w:noVBand="1"/>
      </w:tblPr>
      <w:tblGrid>
        <w:gridCol w:w="2293"/>
        <w:gridCol w:w="1494"/>
        <w:gridCol w:w="1248"/>
        <w:gridCol w:w="1152"/>
        <w:gridCol w:w="1340"/>
        <w:gridCol w:w="1308"/>
      </w:tblGrid>
      <w:tr w:rsidR="00723888" w:rsidRPr="00CC11D5" w14:paraId="016BA77D" w14:textId="77777777" w:rsidTr="00DD658A">
        <w:trPr>
          <w:trHeight w:val="20"/>
        </w:trPr>
        <w:tc>
          <w:tcPr>
            <w:tcW w:w="2293" w:type="dxa"/>
            <w:vMerge w:val="restart"/>
            <w:tcBorders>
              <w:top w:val="single" w:sz="4" w:space="0" w:color="auto"/>
              <w:left w:val="single" w:sz="4" w:space="0" w:color="auto"/>
              <w:right w:val="single" w:sz="4" w:space="0" w:color="auto"/>
            </w:tcBorders>
            <w:shd w:val="clear" w:color="FFFFFF" w:fill="FFFFFF"/>
          </w:tcPr>
          <w:p w14:paraId="41B17226" w14:textId="77777777" w:rsidR="00DD658A" w:rsidRPr="00CC11D5" w:rsidRDefault="00DD658A" w:rsidP="00723888">
            <w:pPr>
              <w:jc w:val="center"/>
              <w:rPr>
                <w:rFonts w:ascii="Garamond" w:hAnsi="Garamond"/>
                <w:sz w:val="12"/>
                <w:szCs w:val="12"/>
              </w:rPr>
            </w:pPr>
            <w:r w:rsidRPr="00CC11D5">
              <w:rPr>
                <w:rFonts w:ascii="Garamond" w:hAnsi="Garamond"/>
                <w:b/>
                <w:sz w:val="12"/>
                <w:szCs w:val="12"/>
              </w:rPr>
              <w:t>Treguesi</w:t>
            </w:r>
          </w:p>
        </w:tc>
        <w:tc>
          <w:tcPr>
            <w:tcW w:w="1494" w:type="dxa"/>
            <w:vMerge w:val="restart"/>
            <w:tcBorders>
              <w:top w:val="single" w:sz="4" w:space="0" w:color="auto"/>
              <w:left w:val="single" w:sz="4" w:space="0" w:color="auto"/>
              <w:right w:val="single" w:sz="4" w:space="0" w:color="auto"/>
            </w:tcBorders>
            <w:shd w:val="clear" w:color="FFFFFF" w:fill="FFFFFF"/>
            <w:vAlign w:val="center"/>
          </w:tcPr>
          <w:p w14:paraId="031547A5" w14:textId="20734D81" w:rsidR="008C0C0F" w:rsidRPr="00CC11D5" w:rsidRDefault="00DD658A" w:rsidP="00723888">
            <w:pPr>
              <w:jc w:val="center"/>
              <w:rPr>
                <w:rFonts w:ascii="Garamond" w:hAnsi="Garamond"/>
                <w:b/>
                <w:sz w:val="12"/>
                <w:szCs w:val="12"/>
              </w:rPr>
            </w:pPr>
            <w:r w:rsidRPr="00CC11D5">
              <w:rPr>
                <w:rFonts w:ascii="Garamond" w:hAnsi="Garamond"/>
                <w:b/>
                <w:sz w:val="12"/>
                <w:szCs w:val="12"/>
              </w:rPr>
              <w:t xml:space="preserve">Vlera </w:t>
            </w:r>
            <w:r w:rsidR="008C0C0F" w:rsidRPr="00CC11D5">
              <w:rPr>
                <w:rFonts w:ascii="Garamond" w:hAnsi="Garamond"/>
                <w:b/>
                <w:sz w:val="12"/>
                <w:szCs w:val="12"/>
              </w:rPr>
              <w:t>b</w:t>
            </w:r>
            <w:r w:rsidRPr="00CC11D5">
              <w:rPr>
                <w:rFonts w:ascii="Garamond" w:hAnsi="Garamond"/>
                <w:b/>
                <w:sz w:val="12"/>
                <w:szCs w:val="12"/>
              </w:rPr>
              <w:t>azë</w:t>
            </w:r>
          </w:p>
          <w:p w14:paraId="4F74F38C" w14:textId="4CCD6E89" w:rsidR="00DD658A" w:rsidRPr="00CC11D5" w:rsidRDefault="00DD658A" w:rsidP="00723888">
            <w:pPr>
              <w:jc w:val="center"/>
              <w:rPr>
                <w:rFonts w:ascii="Garamond" w:hAnsi="Garamond"/>
                <w:sz w:val="12"/>
                <w:szCs w:val="12"/>
              </w:rPr>
            </w:pPr>
            <w:r w:rsidRPr="00CC11D5">
              <w:rPr>
                <w:rFonts w:ascii="Garamond" w:hAnsi="Garamond"/>
                <w:b/>
                <w:sz w:val="12"/>
                <w:szCs w:val="12"/>
              </w:rPr>
              <w:t>(viti</w:t>
            </w:r>
            <w:r w:rsidR="00F91D85" w:rsidRPr="00CC11D5">
              <w:rPr>
                <w:rFonts w:ascii="Garamond" w:hAnsi="Garamond"/>
                <w:b/>
                <w:sz w:val="12"/>
                <w:szCs w:val="12"/>
              </w:rPr>
              <w:t>)</w:t>
            </w:r>
          </w:p>
        </w:tc>
        <w:tc>
          <w:tcPr>
            <w:tcW w:w="5048" w:type="dxa"/>
            <w:gridSpan w:val="4"/>
            <w:tcBorders>
              <w:top w:val="single" w:sz="4" w:space="0" w:color="auto"/>
              <w:left w:val="nil"/>
              <w:bottom w:val="single" w:sz="4" w:space="0" w:color="auto"/>
              <w:right w:val="single" w:sz="4" w:space="0" w:color="auto"/>
            </w:tcBorders>
            <w:shd w:val="clear" w:color="FFFFFF" w:fill="FFFFFF"/>
            <w:vAlign w:val="center"/>
          </w:tcPr>
          <w:p w14:paraId="54B0103C" w14:textId="77777777" w:rsidR="00DD658A" w:rsidRPr="00CC11D5" w:rsidRDefault="00DD658A" w:rsidP="00723888">
            <w:pPr>
              <w:jc w:val="center"/>
              <w:rPr>
                <w:rFonts w:ascii="Garamond" w:hAnsi="Garamond"/>
                <w:sz w:val="12"/>
                <w:szCs w:val="12"/>
              </w:rPr>
            </w:pPr>
            <w:r w:rsidRPr="00CC11D5">
              <w:rPr>
                <w:rFonts w:ascii="Garamond" w:hAnsi="Garamond"/>
                <w:b/>
                <w:sz w:val="12"/>
                <w:szCs w:val="12"/>
              </w:rPr>
              <w:t>Vlera e synuar</w:t>
            </w:r>
          </w:p>
        </w:tc>
      </w:tr>
      <w:tr w:rsidR="00723888" w:rsidRPr="00CC11D5" w14:paraId="3EABDBF8" w14:textId="77777777" w:rsidTr="00DD658A">
        <w:trPr>
          <w:trHeight w:val="20"/>
        </w:trPr>
        <w:tc>
          <w:tcPr>
            <w:tcW w:w="2293" w:type="dxa"/>
            <w:vMerge/>
            <w:tcBorders>
              <w:left w:val="single" w:sz="4" w:space="0" w:color="auto"/>
              <w:bottom w:val="single" w:sz="4" w:space="0" w:color="auto"/>
              <w:right w:val="single" w:sz="4" w:space="0" w:color="auto"/>
            </w:tcBorders>
            <w:shd w:val="clear" w:color="FFFFFF" w:fill="FFFFFF"/>
          </w:tcPr>
          <w:p w14:paraId="1A052A26" w14:textId="77777777" w:rsidR="00DD658A" w:rsidRPr="00CC11D5" w:rsidRDefault="00DD658A" w:rsidP="00723888">
            <w:pPr>
              <w:jc w:val="center"/>
              <w:rPr>
                <w:rFonts w:ascii="Garamond" w:hAnsi="Garamond"/>
                <w:sz w:val="12"/>
                <w:szCs w:val="12"/>
              </w:rPr>
            </w:pPr>
          </w:p>
        </w:tc>
        <w:tc>
          <w:tcPr>
            <w:tcW w:w="1494" w:type="dxa"/>
            <w:vMerge/>
            <w:tcBorders>
              <w:left w:val="single" w:sz="4" w:space="0" w:color="auto"/>
              <w:bottom w:val="single" w:sz="4" w:space="0" w:color="auto"/>
              <w:right w:val="single" w:sz="4" w:space="0" w:color="auto"/>
            </w:tcBorders>
            <w:shd w:val="clear" w:color="FFFFFF" w:fill="FFFFFF"/>
            <w:vAlign w:val="center"/>
          </w:tcPr>
          <w:p w14:paraId="532EAF13" w14:textId="77777777" w:rsidR="00DD658A" w:rsidRPr="00CC11D5" w:rsidRDefault="00DD658A" w:rsidP="00723888">
            <w:pPr>
              <w:jc w:val="center"/>
              <w:rPr>
                <w:rFonts w:ascii="Garamond" w:hAnsi="Garamond"/>
                <w:sz w:val="12"/>
                <w:szCs w:val="12"/>
              </w:rPr>
            </w:pPr>
          </w:p>
        </w:tc>
        <w:tc>
          <w:tcPr>
            <w:tcW w:w="1248" w:type="dxa"/>
            <w:tcBorders>
              <w:top w:val="single" w:sz="4" w:space="0" w:color="auto"/>
              <w:left w:val="nil"/>
              <w:bottom w:val="single" w:sz="4" w:space="0" w:color="auto"/>
              <w:right w:val="single" w:sz="4" w:space="0" w:color="auto"/>
            </w:tcBorders>
            <w:shd w:val="clear" w:color="FFFFFF" w:fill="FFFFFF"/>
          </w:tcPr>
          <w:p w14:paraId="40FF44E1" w14:textId="77777777" w:rsidR="00DD658A" w:rsidRPr="00CC11D5" w:rsidRDefault="00DD658A" w:rsidP="00723888">
            <w:pPr>
              <w:jc w:val="center"/>
              <w:rPr>
                <w:rFonts w:ascii="Garamond" w:hAnsi="Garamond"/>
                <w:sz w:val="12"/>
                <w:szCs w:val="12"/>
              </w:rPr>
            </w:pPr>
            <w:r w:rsidRPr="00CC11D5">
              <w:rPr>
                <w:rFonts w:ascii="Garamond" w:hAnsi="Garamond"/>
                <w:b/>
                <w:sz w:val="12"/>
                <w:szCs w:val="12"/>
              </w:rPr>
              <w:t>2024</w:t>
            </w:r>
          </w:p>
        </w:tc>
        <w:tc>
          <w:tcPr>
            <w:tcW w:w="1152" w:type="dxa"/>
            <w:tcBorders>
              <w:top w:val="single" w:sz="4" w:space="0" w:color="auto"/>
              <w:left w:val="nil"/>
              <w:bottom w:val="single" w:sz="4" w:space="0" w:color="auto"/>
              <w:right w:val="single" w:sz="4" w:space="0" w:color="auto"/>
            </w:tcBorders>
            <w:shd w:val="clear" w:color="FFFFFF" w:fill="FFFFFF"/>
          </w:tcPr>
          <w:p w14:paraId="1C024D26" w14:textId="77777777" w:rsidR="00DD658A" w:rsidRPr="00CC11D5" w:rsidRDefault="00DD658A" w:rsidP="00723888">
            <w:pPr>
              <w:jc w:val="center"/>
              <w:rPr>
                <w:rFonts w:ascii="Garamond" w:hAnsi="Garamond"/>
                <w:sz w:val="12"/>
                <w:szCs w:val="12"/>
              </w:rPr>
            </w:pPr>
            <w:r w:rsidRPr="00CC11D5">
              <w:rPr>
                <w:rFonts w:ascii="Garamond" w:hAnsi="Garamond"/>
                <w:b/>
                <w:sz w:val="12"/>
                <w:szCs w:val="12"/>
              </w:rPr>
              <w:t>2025</w:t>
            </w:r>
          </w:p>
        </w:tc>
        <w:tc>
          <w:tcPr>
            <w:tcW w:w="1340" w:type="dxa"/>
            <w:tcBorders>
              <w:top w:val="single" w:sz="4" w:space="0" w:color="auto"/>
              <w:left w:val="nil"/>
              <w:bottom w:val="single" w:sz="4" w:space="0" w:color="auto"/>
              <w:right w:val="single" w:sz="4" w:space="0" w:color="auto"/>
            </w:tcBorders>
            <w:shd w:val="clear" w:color="FFFFFF" w:fill="FFFFFF"/>
          </w:tcPr>
          <w:p w14:paraId="1F566361" w14:textId="77777777" w:rsidR="00DD658A" w:rsidRPr="00CC11D5" w:rsidRDefault="00DD658A" w:rsidP="00723888">
            <w:pPr>
              <w:jc w:val="center"/>
              <w:rPr>
                <w:rFonts w:ascii="Garamond" w:hAnsi="Garamond"/>
                <w:sz w:val="12"/>
                <w:szCs w:val="12"/>
              </w:rPr>
            </w:pPr>
            <w:r w:rsidRPr="00CC11D5">
              <w:rPr>
                <w:rFonts w:ascii="Garamond" w:hAnsi="Garamond"/>
                <w:b/>
                <w:sz w:val="12"/>
                <w:szCs w:val="12"/>
              </w:rPr>
              <w:t>2026</w:t>
            </w:r>
          </w:p>
        </w:tc>
        <w:tc>
          <w:tcPr>
            <w:tcW w:w="1308" w:type="dxa"/>
            <w:tcBorders>
              <w:top w:val="single" w:sz="4" w:space="0" w:color="auto"/>
              <w:left w:val="nil"/>
              <w:bottom w:val="single" w:sz="4" w:space="0" w:color="auto"/>
              <w:right w:val="single" w:sz="4" w:space="0" w:color="auto"/>
            </w:tcBorders>
            <w:shd w:val="clear" w:color="FFFFFF" w:fill="FFFFFF"/>
          </w:tcPr>
          <w:p w14:paraId="502F3909" w14:textId="77777777" w:rsidR="00DD658A" w:rsidRPr="00CC11D5" w:rsidRDefault="00DD658A" w:rsidP="00723888">
            <w:pPr>
              <w:jc w:val="center"/>
              <w:rPr>
                <w:rFonts w:ascii="Garamond" w:hAnsi="Garamond"/>
                <w:sz w:val="12"/>
                <w:szCs w:val="12"/>
              </w:rPr>
            </w:pPr>
            <w:r w:rsidRPr="00CC11D5">
              <w:rPr>
                <w:rFonts w:ascii="Garamond" w:hAnsi="Garamond"/>
                <w:b/>
                <w:sz w:val="12"/>
                <w:szCs w:val="12"/>
              </w:rPr>
              <w:t>2027</w:t>
            </w:r>
          </w:p>
        </w:tc>
      </w:tr>
      <w:tr w:rsidR="00723888" w:rsidRPr="00CC11D5" w14:paraId="0EF1F2F0" w14:textId="77777777" w:rsidTr="00F91D85">
        <w:trPr>
          <w:trHeight w:val="20"/>
        </w:trPr>
        <w:tc>
          <w:tcPr>
            <w:tcW w:w="2293" w:type="dxa"/>
            <w:tcBorders>
              <w:top w:val="single" w:sz="4" w:space="0" w:color="auto"/>
              <w:left w:val="single" w:sz="4" w:space="0" w:color="auto"/>
              <w:bottom w:val="single" w:sz="4" w:space="0" w:color="auto"/>
              <w:right w:val="single" w:sz="4" w:space="0" w:color="auto"/>
            </w:tcBorders>
            <w:shd w:val="clear" w:color="FFFFFF" w:fill="FFFFFF"/>
          </w:tcPr>
          <w:p w14:paraId="6222A0CB" w14:textId="77777777" w:rsidR="00DD658A" w:rsidRPr="00CC11D5" w:rsidRDefault="00DD658A" w:rsidP="00723888">
            <w:pPr>
              <w:rPr>
                <w:rFonts w:ascii="Garamond" w:hAnsi="Garamond"/>
                <w:sz w:val="12"/>
                <w:szCs w:val="12"/>
              </w:rPr>
            </w:pPr>
            <w:r w:rsidRPr="00CC11D5">
              <w:rPr>
                <w:rFonts w:ascii="Garamond" w:hAnsi="Garamond"/>
                <w:sz w:val="12"/>
                <w:szCs w:val="12"/>
              </w:rPr>
              <w:t>Rritje e të ardhurave doganore nga zgjerimi i shkëmbimit të informacionit</w:t>
            </w:r>
          </w:p>
        </w:tc>
        <w:tc>
          <w:tcPr>
            <w:tcW w:w="1494" w:type="dxa"/>
            <w:tcBorders>
              <w:top w:val="single" w:sz="4" w:space="0" w:color="auto"/>
              <w:left w:val="single" w:sz="4" w:space="0" w:color="auto"/>
              <w:bottom w:val="single" w:sz="4" w:space="0" w:color="auto"/>
              <w:right w:val="single" w:sz="4" w:space="0" w:color="auto"/>
            </w:tcBorders>
            <w:shd w:val="clear" w:color="FFFFFF" w:fill="FFFFFF"/>
            <w:vAlign w:val="center"/>
          </w:tcPr>
          <w:p w14:paraId="657F7492" w14:textId="77777777" w:rsidR="00DD658A" w:rsidRPr="00CC11D5" w:rsidRDefault="00DD658A" w:rsidP="00723888">
            <w:pPr>
              <w:rPr>
                <w:rFonts w:ascii="Garamond" w:hAnsi="Garamond"/>
                <w:sz w:val="12"/>
                <w:szCs w:val="12"/>
              </w:rPr>
            </w:pPr>
          </w:p>
        </w:tc>
        <w:tc>
          <w:tcPr>
            <w:tcW w:w="1248" w:type="dxa"/>
            <w:tcBorders>
              <w:top w:val="single" w:sz="4" w:space="0" w:color="auto"/>
              <w:left w:val="nil"/>
              <w:bottom w:val="single" w:sz="4" w:space="0" w:color="auto"/>
              <w:right w:val="single" w:sz="4" w:space="0" w:color="auto"/>
            </w:tcBorders>
            <w:shd w:val="clear" w:color="FFFFFF" w:fill="FFFFFF"/>
            <w:vAlign w:val="center"/>
          </w:tcPr>
          <w:p w14:paraId="65A7E34C" w14:textId="3316F493" w:rsidR="00DD658A" w:rsidRPr="00CC11D5" w:rsidRDefault="00DD658A" w:rsidP="00F91D85">
            <w:pPr>
              <w:jc w:val="center"/>
              <w:rPr>
                <w:rFonts w:ascii="Garamond" w:hAnsi="Garamond"/>
                <w:sz w:val="12"/>
                <w:szCs w:val="12"/>
              </w:rPr>
            </w:pPr>
            <w:r w:rsidRPr="00CC11D5">
              <w:rPr>
                <w:rFonts w:ascii="Garamond" w:hAnsi="Garamond"/>
                <w:sz w:val="12"/>
                <w:szCs w:val="12"/>
              </w:rPr>
              <w:t>0.01% e PPB</w:t>
            </w:r>
            <w:r w:rsidR="008C0C0F" w:rsidRPr="00CC11D5">
              <w:rPr>
                <w:rFonts w:ascii="Garamond" w:hAnsi="Garamond"/>
                <w:sz w:val="12"/>
                <w:szCs w:val="12"/>
              </w:rPr>
              <w:t>-së</w:t>
            </w:r>
          </w:p>
          <w:p w14:paraId="74C7C7C7" w14:textId="77777777" w:rsidR="00DD658A" w:rsidRPr="00CC11D5" w:rsidRDefault="00DD658A" w:rsidP="00F91D85">
            <w:pPr>
              <w:jc w:val="center"/>
              <w:rPr>
                <w:rFonts w:ascii="Garamond" w:hAnsi="Garamond"/>
                <w:sz w:val="12"/>
                <w:szCs w:val="12"/>
              </w:rPr>
            </w:pPr>
          </w:p>
        </w:tc>
        <w:tc>
          <w:tcPr>
            <w:tcW w:w="1152" w:type="dxa"/>
            <w:tcBorders>
              <w:top w:val="single" w:sz="4" w:space="0" w:color="auto"/>
              <w:left w:val="nil"/>
              <w:bottom w:val="single" w:sz="4" w:space="0" w:color="auto"/>
              <w:right w:val="single" w:sz="4" w:space="0" w:color="auto"/>
            </w:tcBorders>
            <w:shd w:val="clear" w:color="FFFFFF" w:fill="FFFFFF"/>
            <w:vAlign w:val="center"/>
          </w:tcPr>
          <w:p w14:paraId="2F481016" w14:textId="26ABD263" w:rsidR="00DD658A" w:rsidRPr="00CC11D5" w:rsidRDefault="00DD658A" w:rsidP="00F91D85">
            <w:pPr>
              <w:jc w:val="center"/>
              <w:rPr>
                <w:rFonts w:ascii="Garamond" w:hAnsi="Garamond"/>
                <w:sz w:val="12"/>
                <w:szCs w:val="12"/>
              </w:rPr>
            </w:pPr>
            <w:r w:rsidRPr="00CC11D5">
              <w:rPr>
                <w:rFonts w:ascii="Garamond" w:hAnsi="Garamond"/>
                <w:sz w:val="12"/>
                <w:szCs w:val="12"/>
              </w:rPr>
              <w:t>0.01% e PPB</w:t>
            </w:r>
            <w:r w:rsidR="008C0C0F" w:rsidRPr="00CC11D5">
              <w:rPr>
                <w:rFonts w:ascii="Garamond" w:hAnsi="Garamond"/>
                <w:sz w:val="12"/>
                <w:szCs w:val="12"/>
              </w:rPr>
              <w:t>-së</w:t>
            </w:r>
          </w:p>
        </w:tc>
        <w:tc>
          <w:tcPr>
            <w:tcW w:w="1340" w:type="dxa"/>
            <w:tcBorders>
              <w:top w:val="single" w:sz="4" w:space="0" w:color="auto"/>
              <w:left w:val="nil"/>
              <w:bottom w:val="single" w:sz="4" w:space="0" w:color="auto"/>
              <w:right w:val="single" w:sz="4" w:space="0" w:color="auto"/>
            </w:tcBorders>
            <w:shd w:val="clear" w:color="FFFFFF" w:fill="FFFFFF"/>
            <w:vAlign w:val="center"/>
          </w:tcPr>
          <w:p w14:paraId="7A9DD9F4" w14:textId="7D7B69C5" w:rsidR="00DD658A" w:rsidRPr="00CC11D5" w:rsidRDefault="00DD658A" w:rsidP="00F91D85">
            <w:pPr>
              <w:jc w:val="center"/>
              <w:rPr>
                <w:rFonts w:ascii="Garamond" w:hAnsi="Garamond"/>
                <w:sz w:val="12"/>
                <w:szCs w:val="12"/>
              </w:rPr>
            </w:pPr>
            <w:r w:rsidRPr="00CC11D5">
              <w:rPr>
                <w:rFonts w:ascii="Garamond" w:hAnsi="Garamond"/>
                <w:sz w:val="12"/>
                <w:szCs w:val="12"/>
              </w:rPr>
              <w:t>0.01% e PPB</w:t>
            </w:r>
            <w:r w:rsidR="008C0C0F" w:rsidRPr="00CC11D5">
              <w:rPr>
                <w:rFonts w:ascii="Garamond" w:hAnsi="Garamond"/>
                <w:sz w:val="12"/>
                <w:szCs w:val="12"/>
              </w:rPr>
              <w:t>-së</w:t>
            </w:r>
          </w:p>
        </w:tc>
        <w:tc>
          <w:tcPr>
            <w:tcW w:w="1308" w:type="dxa"/>
            <w:tcBorders>
              <w:top w:val="single" w:sz="4" w:space="0" w:color="auto"/>
              <w:left w:val="nil"/>
              <w:bottom w:val="single" w:sz="4" w:space="0" w:color="auto"/>
              <w:right w:val="single" w:sz="4" w:space="0" w:color="auto"/>
            </w:tcBorders>
            <w:shd w:val="clear" w:color="FFFFFF" w:fill="FFFFFF"/>
            <w:vAlign w:val="center"/>
          </w:tcPr>
          <w:p w14:paraId="14BF6E2A" w14:textId="5F1E2A3D" w:rsidR="00DD658A" w:rsidRPr="00CC11D5" w:rsidRDefault="00DD658A" w:rsidP="00F91D85">
            <w:pPr>
              <w:jc w:val="center"/>
              <w:rPr>
                <w:rFonts w:ascii="Garamond" w:hAnsi="Garamond"/>
                <w:sz w:val="12"/>
                <w:szCs w:val="12"/>
              </w:rPr>
            </w:pPr>
            <w:r w:rsidRPr="00CC11D5">
              <w:rPr>
                <w:rFonts w:ascii="Garamond" w:hAnsi="Garamond"/>
                <w:sz w:val="12"/>
                <w:szCs w:val="12"/>
              </w:rPr>
              <w:t>0.01% e PPB</w:t>
            </w:r>
            <w:r w:rsidR="008C0C0F" w:rsidRPr="00CC11D5">
              <w:rPr>
                <w:rFonts w:ascii="Garamond" w:hAnsi="Garamond"/>
                <w:sz w:val="12"/>
                <w:szCs w:val="12"/>
              </w:rPr>
              <w:t>-së</w:t>
            </w:r>
          </w:p>
        </w:tc>
      </w:tr>
    </w:tbl>
    <w:p w14:paraId="7301A512" w14:textId="77777777" w:rsidR="00DD658A" w:rsidRPr="00830F4C" w:rsidRDefault="00DD658A" w:rsidP="00DD658A">
      <w:pPr>
        <w:rPr>
          <w:rFonts w:ascii="Garamond" w:hAnsi="Garamond"/>
        </w:rPr>
      </w:pPr>
    </w:p>
    <w:p w14:paraId="2126931C" w14:textId="46979DE5" w:rsidR="00DD658A" w:rsidRPr="00830F4C" w:rsidRDefault="00DD658A" w:rsidP="00DD658A">
      <w:pPr>
        <w:pStyle w:val="Heading1"/>
        <w:spacing w:before="0" w:line="240" w:lineRule="auto"/>
        <w:ind w:firstLine="284"/>
        <w:rPr>
          <w:rFonts w:ascii="Garamond" w:hAnsi="Garamond" w:cs="Times New Roman"/>
          <w:b/>
          <w:bCs/>
          <w:color w:val="auto"/>
          <w:sz w:val="24"/>
          <w:szCs w:val="24"/>
        </w:rPr>
      </w:pPr>
      <w:bookmarkStart w:id="80" w:name="_Toc185235111"/>
      <w:r w:rsidRPr="00830F4C">
        <w:rPr>
          <w:rFonts w:ascii="Garamond" w:hAnsi="Garamond" w:cs="Times New Roman"/>
          <w:b/>
          <w:bCs/>
          <w:color w:val="auto"/>
          <w:sz w:val="24"/>
          <w:szCs w:val="24"/>
        </w:rPr>
        <w:t>VII</w:t>
      </w:r>
      <w:bookmarkStart w:id="81" w:name="_Toc161748842"/>
      <w:r w:rsidR="008C0C0F" w:rsidRPr="00830F4C">
        <w:rPr>
          <w:rFonts w:ascii="Garamond" w:hAnsi="Garamond" w:cs="Times New Roman"/>
          <w:b/>
          <w:bCs/>
          <w:color w:val="auto"/>
          <w:sz w:val="24"/>
          <w:szCs w:val="24"/>
        </w:rPr>
        <w:t>.</w:t>
      </w:r>
      <w:r w:rsidRPr="00830F4C">
        <w:rPr>
          <w:rFonts w:ascii="Garamond" w:hAnsi="Garamond" w:cs="Times New Roman"/>
          <w:b/>
          <w:bCs/>
          <w:color w:val="auto"/>
          <w:sz w:val="24"/>
          <w:szCs w:val="24"/>
        </w:rPr>
        <w:t xml:space="preserve"> </w:t>
      </w:r>
      <w:r w:rsidRPr="00830F4C">
        <w:rPr>
          <w:rStyle w:val="rynqvb"/>
          <w:rFonts w:ascii="Garamond" w:hAnsi="Garamond" w:cs="Times New Roman"/>
          <w:b/>
          <w:bCs/>
          <w:color w:val="auto"/>
          <w:sz w:val="24"/>
          <w:szCs w:val="24"/>
        </w:rPr>
        <w:t>Risqet dhe masat zbutëse</w:t>
      </w:r>
      <w:bookmarkEnd w:id="80"/>
      <w:bookmarkEnd w:id="81"/>
    </w:p>
    <w:p w14:paraId="5FE65E7B" w14:textId="00164BD9" w:rsidR="00DD658A" w:rsidRPr="00830F4C" w:rsidRDefault="00DD658A" w:rsidP="00DD658A">
      <w:pPr>
        <w:autoSpaceDE w:val="0"/>
        <w:autoSpaceDN w:val="0"/>
        <w:adjustRightInd w:val="0"/>
        <w:ind w:firstLine="284"/>
        <w:jc w:val="both"/>
        <w:rPr>
          <w:rFonts w:ascii="Garamond" w:eastAsia="MS Mincho" w:hAnsi="Garamond"/>
        </w:rPr>
      </w:pPr>
      <w:r w:rsidRPr="00830F4C">
        <w:rPr>
          <w:rFonts w:ascii="Garamond" w:eastAsia="MS Mincho" w:hAnsi="Garamond"/>
        </w:rPr>
        <w:t>Për të siguruar menaxhimin efektiv të reformave është e domosdoshme një qasje më proaktive për menaxhimin e riskut. Kjo përfshin jo vetëm adresimin e risqeve që lidhen me zbatimin e aktiviteteve, por edhe marrjen parasysh të risqeve të mundshme për objektivat kryesore të Shtyllave dhe komponentëve të tyre përkatës.</w:t>
      </w:r>
    </w:p>
    <w:p w14:paraId="23C36F33" w14:textId="2E429187" w:rsidR="00DD658A" w:rsidRPr="00830F4C" w:rsidRDefault="00DD658A" w:rsidP="00DD658A">
      <w:pPr>
        <w:autoSpaceDE w:val="0"/>
        <w:autoSpaceDN w:val="0"/>
        <w:adjustRightInd w:val="0"/>
        <w:ind w:firstLine="284"/>
        <w:jc w:val="both"/>
        <w:rPr>
          <w:rFonts w:ascii="Garamond" w:eastAsia="MS Mincho" w:hAnsi="Garamond"/>
        </w:rPr>
      </w:pPr>
      <w:r w:rsidRPr="00830F4C">
        <w:rPr>
          <w:rFonts w:ascii="Garamond" w:eastAsia="MS Mincho" w:hAnsi="Garamond"/>
        </w:rPr>
        <w:t xml:space="preserve">Institucionet përgjegjëse sipas </w:t>
      </w:r>
      <w:r w:rsidR="00F91D85" w:rsidRPr="00830F4C">
        <w:rPr>
          <w:rFonts w:ascii="Garamond" w:eastAsia="MS Mincho" w:hAnsi="Garamond"/>
        </w:rPr>
        <w:t xml:space="preserve">shtyllave/komponentëve </w:t>
      </w:r>
      <w:r w:rsidRPr="00830F4C">
        <w:rPr>
          <w:rFonts w:ascii="Garamond" w:eastAsia="MS Mincho" w:hAnsi="Garamond"/>
        </w:rPr>
        <w:t>kanë për detyrë monitorimin e vazhdueshëm të zbatimit të Planit të Veprimit të Strategjisë, me fokus të veçantë në propozimin e masave zbutëse sa herë që materializohen risqet e identifikuara. Më poshtë janë përcaktuar risqet kryesore që lidhen me zbatimin e Strategjisë, të shoqëruara me informacion se si këto sfida mund të zbuten në mënyrë efektive.</w:t>
      </w:r>
    </w:p>
    <w:p w14:paraId="02BE6C55" w14:textId="77777777" w:rsidR="00F91D85" w:rsidRDefault="00DD658A" w:rsidP="00DD658A">
      <w:pPr>
        <w:autoSpaceDE w:val="0"/>
        <w:autoSpaceDN w:val="0"/>
        <w:adjustRightInd w:val="0"/>
        <w:ind w:firstLine="284"/>
        <w:jc w:val="both"/>
        <w:rPr>
          <w:rFonts w:ascii="Garamond" w:eastAsia="MS Mincho" w:hAnsi="Garamond"/>
        </w:rPr>
      </w:pPr>
      <w:r w:rsidRPr="00830F4C">
        <w:rPr>
          <w:rFonts w:ascii="Garamond" w:eastAsia="MS Mincho" w:hAnsi="Garamond"/>
          <w:b/>
        </w:rPr>
        <w:t>Risku politik</w:t>
      </w:r>
      <w:r w:rsidRPr="00830F4C">
        <w:rPr>
          <w:rFonts w:ascii="Garamond" w:eastAsia="MS Mincho" w:hAnsi="Garamond"/>
        </w:rPr>
        <w:t xml:space="preserve"> </w:t>
      </w:r>
    </w:p>
    <w:p w14:paraId="1B8DBB31" w14:textId="4AD5AF99" w:rsidR="00DD658A" w:rsidRPr="00830F4C" w:rsidRDefault="00DD658A" w:rsidP="00DD658A">
      <w:pPr>
        <w:autoSpaceDE w:val="0"/>
        <w:autoSpaceDN w:val="0"/>
        <w:adjustRightInd w:val="0"/>
        <w:ind w:firstLine="284"/>
        <w:jc w:val="both"/>
        <w:rPr>
          <w:rFonts w:ascii="Garamond" w:eastAsia="MS Mincho" w:hAnsi="Garamond"/>
        </w:rPr>
      </w:pPr>
      <w:r w:rsidRPr="00830F4C">
        <w:rPr>
          <w:rFonts w:ascii="Garamond" w:eastAsia="MS Mincho" w:hAnsi="Garamond"/>
        </w:rPr>
        <w:t>- Tranzicionet politike, ndryshimet në udhëheqje ose ndryshimi i prioriteteve mund të rezultojnë në një angazhim të lëkundur ndaj a</w:t>
      </w:r>
      <w:r w:rsidR="008C0C0F" w:rsidRPr="00830F4C">
        <w:rPr>
          <w:rFonts w:ascii="Garamond" w:eastAsia="MS Mincho" w:hAnsi="Garamond"/>
        </w:rPr>
        <w:t>gj</w:t>
      </w:r>
      <w:r w:rsidRPr="00830F4C">
        <w:rPr>
          <w:rFonts w:ascii="Garamond" w:eastAsia="MS Mincho" w:hAnsi="Garamond"/>
        </w:rPr>
        <w:t>endës së reformës. Për të zbutur këtë risk:</w:t>
      </w:r>
    </w:p>
    <w:p w14:paraId="2752FB1A" w14:textId="5E4EB3FF" w:rsidR="00DD658A" w:rsidRPr="00830F4C" w:rsidRDefault="00DD658A" w:rsidP="00DD658A">
      <w:pPr>
        <w:autoSpaceDE w:val="0"/>
        <w:autoSpaceDN w:val="0"/>
        <w:adjustRightInd w:val="0"/>
        <w:ind w:firstLine="284"/>
        <w:jc w:val="both"/>
        <w:rPr>
          <w:rFonts w:ascii="Garamond" w:eastAsiaTheme="minorHAnsi" w:hAnsi="Garamond"/>
        </w:rPr>
      </w:pPr>
      <w:r w:rsidRPr="00830F4C">
        <w:rPr>
          <w:rFonts w:ascii="Garamond" w:eastAsiaTheme="minorHAnsi" w:hAnsi="Garamond"/>
        </w:rPr>
        <w:t>- Rritja e ndërgjegjësimit midis liderëve politikë dhe vendimmarrësve kryesorë</w:t>
      </w:r>
      <w:r w:rsidR="00F91D85">
        <w:rPr>
          <w:rFonts w:ascii="Garamond" w:eastAsiaTheme="minorHAnsi" w:hAnsi="Garamond"/>
        </w:rPr>
        <w:t>,</w:t>
      </w:r>
      <w:r w:rsidRPr="00830F4C">
        <w:rPr>
          <w:rFonts w:ascii="Garamond" w:eastAsiaTheme="minorHAnsi" w:hAnsi="Garamond"/>
        </w:rPr>
        <w:t xml:space="preserve"> në lidhje me rëndësinë dhe përfitimet e reformave të Strategjisë;</w:t>
      </w:r>
    </w:p>
    <w:p w14:paraId="3577E60B" w14:textId="77777777" w:rsidR="00DD658A" w:rsidRPr="00830F4C" w:rsidRDefault="00DD658A" w:rsidP="00DD658A">
      <w:pPr>
        <w:autoSpaceDE w:val="0"/>
        <w:autoSpaceDN w:val="0"/>
        <w:adjustRightInd w:val="0"/>
        <w:ind w:firstLine="284"/>
        <w:jc w:val="both"/>
        <w:rPr>
          <w:rFonts w:ascii="Garamond" w:eastAsiaTheme="minorHAnsi" w:hAnsi="Garamond"/>
        </w:rPr>
      </w:pPr>
      <w:r w:rsidRPr="00830F4C">
        <w:rPr>
          <w:rFonts w:ascii="Garamond" w:eastAsiaTheme="minorHAnsi" w:hAnsi="Garamond"/>
        </w:rPr>
        <w:t>- Sigurimi i integrimit të reformave të strategjisë në planet dhe strategjitë më të gjera të qeverisë;</w:t>
      </w:r>
    </w:p>
    <w:p w14:paraId="53C1066B" w14:textId="77777777" w:rsidR="00DD658A" w:rsidRPr="00830F4C" w:rsidRDefault="00DD658A" w:rsidP="00DD658A">
      <w:pPr>
        <w:autoSpaceDE w:val="0"/>
        <w:autoSpaceDN w:val="0"/>
        <w:adjustRightInd w:val="0"/>
        <w:ind w:firstLine="284"/>
        <w:jc w:val="both"/>
        <w:rPr>
          <w:rFonts w:ascii="Garamond" w:eastAsiaTheme="minorHAnsi" w:hAnsi="Garamond"/>
        </w:rPr>
      </w:pPr>
      <w:r w:rsidRPr="00830F4C">
        <w:rPr>
          <w:rFonts w:ascii="Garamond" w:eastAsiaTheme="minorHAnsi" w:hAnsi="Garamond"/>
        </w:rPr>
        <w:t>- Kryerja e fushatave të ndërgjegjësimit të publikut për të informuar qytetarët mbi rëndësinë e reformave të strategjisë, duke shfrytëzuar mbështetjen publike për të ndikuar në prioritizimin dhe qëndrueshmërinë politike.</w:t>
      </w:r>
    </w:p>
    <w:p w14:paraId="45CC572C" w14:textId="77777777" w:rsidR="00F91D85" w:rsidRDefault="00DD658A" w:rsidP="00DD658A">
      <w:pPr>
        <w:autoSpaceDE w:val="0"/>
        <w:autoSpaceDN w:val="0"/>
        <w:adjustRightInd w:val="0"/>
        <w:ind w:firstLine="284"/>
        <w:jc w:val="both"/>
        <w:rPr>
          <w:rFonts w:ascii="Garamond" w:eastAsia="MS Mincho" w:hAnsi="Garamond"/>
        </w:rPr>
      </w:pPr>
      <w:r w:rsidRPr="00830F4C">
        <w:rPr>
          <w:rFonts w:ascii="Garamond" w:eastAsia="MS Mincho" w:hAnsi="Garamond"/>
          <w:b/>
        </w:rPr>
        <w:t>Risqet institucionale</w:t>
      </w:r>
      <w:r w:rsidRPr="00830F4C">
        <w:rPr>
          <w:rFonts w:ascii="Garamond" w:eastAsia="MS Mincho" w:hAnsi="Garamond"/>
        </w:rPr>
        <w:t xml:space="preserve"> </w:t>
      </w:r>
    </w:p>
    <w:p w14:paraId="2F200938" w14:textId="0C5C238C" w:rsidR="00DD658A" w:rsidRPr="00830F4C" w:rsidRDefault="00DD658A" w:rsidP="00DD658A">
      <w:pPr>
        <w:autoSpaceDE w:val="0"/>
        <w:autoSpaceDN w:val="0"/>
        <w:adjustRightInd w:val="0"/>
        <w:ind w:firstLine="284"/>
        <w:jc w:val="both"/>
        <w:rPr>
          <w:rFonts w:ascii="Garamond" w:eastAsia="MS Mincho" w:hAnsi="Garamond"/>
        </w:rPr>
      </w:pPr>
      <w:r w:rsidRPr="00830F4C">
        <w:rPr>
          <w:rFonts w:ascii="Garamond" w:eastAsia="MS Mincho" w:hAnsi="Garamond"/>
        </w:rPr>
        <w:t>- Kapaciteti dhe aftësitë e pamjaftueshme brenda institucioneve qeveritare paraqesin risqe të konsiderueshme për reformat e parashikuara. Për të zbutur këto risqe:</w:t>
      </w:r>
    </w:p>
    <w:p w14:paraId="7B0E74B8" w14:textId="77777777" w:rsidR="00DD658A" w:rsidRPr="00830F4C" w:rsidRDefault="00DD658A" w:rsidP="00DD658A">
      <w:pPr>
        <w:autoSpaceDE w:val="0"/>
        <w:autoSpaceDN w:val="0"/>
        <w:adjustRightInd w:val="0"/>
        <w:ind w:firstLine="284"/>
        <w:jc w:val="both"/>
        <w:rPr>
          <w:rFonts w:ascii="Garamond" w:eastAsiaTheme="minorHAnsi" w:hAnsi="Garamond"/>
        </w:rPr>
      </w:pPr>
      <w:r w:rsidRPr="00830F4C">
        <w:rPr>
          <w:rFonts w:ascii="Garamond" w:eastAsiaTheme="minorHAnsi" w:hAnsi="Garamond"/>
        </w:rPr>
        <w:t>- MF-ja dhe institucionet e tjera të përfshira janë të përkushtuara për të investuar në një vlerësim gjithëpërfshirës të nevojave për trajnim dhe zhvillimin e programeve të përshtatura të trajnimit;</w:t>
      </w:r>
    </w:p>
    <w:p w14:paraId="74A0ACB4" w14:textId="77777777" w:rsidR="00DD658A" w:rsidRPr="00830F4C" w:rsidRDefault="00DD658A" w:rsidP="00DD658A">
      <w:pPr>
        <w:autoSpaceDE w:val="0"/>
        <w:autoSpaceDN w:val="0"/>
        <w:adjustRightInd w:val="0"/>
        <w:ind w:firstLine="284"/>
        <w:jc w:val="both"/>
        <w:rPr>
          <w:rFonts w:ascii="Garamond" w:eastAsiaTheme="minorHAnsi" w:hAnsi="Garamond"/>
        </w:rPr>
      </w:pPr>
      <w:r w:rsidRPr="00830F4C">
        <w:rPr>
          <w:rFonts w:ascii="Garamond" w:eastAsiaTheme="minorHAnsi" w:hAnsi="Garamond"/>
        </w:rPr>
        <w:t>- Forcimi i bashkëpunimit me partnerët dhe organizatat ndërkombëtare për mbështetje shtesë;</w:t>
      </w:r>
    </w:p>
    <w:p w14:paraId="530E6AF4" w14:textId="77777777" w:rsidR="00DD658A" w:rsidRPr="00830F4C" w:rsidRDefault="00DD658A" w:rsidP="00DD658A">
      <w:pPr>
        <w:autoSpaceDE w:val="0"/>
        <w:autoSpaceDN w:val="0"/>
        <w:adjustRightInd w:val="0"/>
        <w:ind w:firstLine="284"/>
        <w:jc w:val="both"/>
        <w:rPr>
          <w:rFonts w:ascii="Garamond" w:eastAsiaTheme="minorHAnsi" w:hAnsi="Garamond"/>
        </w:rPr>
      </w:pPr>
      <w:r w:rsidRPr="00830F4C">
        <w:rPr>
          <w:rFonts w:ascii="Garamond" w:eastAsiaTheme="minorHAnsi" w:hAnsi="Garamond"/>
        </w:rPr>
        <w:t>- Mbajtja e angazhimit të vazhdueshëm në investimet e kapitalit njerëzor, duke e njohur atë si thelbësore për ruajtjen e rezultateve pozitive.</w:t>
      </w:r>
    </w:p>
    <w:p w14:paraId="694E6E0F" w14:textId="77777777" w:rsidR="00F91D85" w:rsidRDefault="00DD658A" w:rsidP="00DD658A">
      <w:pPr>
        <w:autoSpaceDE w:val="0"/>
        <w:autoSpaceDN w:val="0"/>
        <w:adjustRightInd w:val="0"/>
        <w:ind w:firstLine="284"/>
        <w:jc w:val="both"/>
        <w:rPr>
          <w:rFonts w:ascii="Garamond" w:eastAsia="MS Mincho" w:hAnsi="Garamond"/>
        </w:rPr>
      </w:pPr>
      <w:r w:rsidRPr="00830F4C">
        <w:rPr>
          <w:rFonts w:ascii="Garamond" w:eastAsia="MS Mincho" w:hAnsi="Garamond"/>
          <w:b/>
        </w:rPr>
        <w:t>Risku ligjor</w:t>
      </w:r>
      <w:r w:rsidRPr="00830F4C">
        <w:rPr>
          <w:rFonts w:ascii="Garamond" w:eastAsia="MS Mincho" w:hAnsi="Garamond"/>
        </w:rPr>
        <w:t xml:space="preserve"> </w:t>
      </w:r>
    </w:p>
    <w:p w14:paraId="6B29EC54" w14:textId="5E7AFBEA" w:rsidR="00DD658A" w:rsidRPr="00830F4C" w:rsidRDefault="00F91D85" w:rsidP="00F91D85">
      <w:pPr>
        <w:autoSpaceDE w:val="0"/>
        <w:autoSpaceDN w:val="0"/>
        <w:adjustRightInd w:val="0"/>
        <w:ind w:firstLine="284"/>
        <w:jc w:val="both"/>
        <w:rPr>
          <w:rFonts w:ascii="Garamond" w:eastAsia="MS Mincho" w:hAnsi="Garamond"/>
        </w:rPr>
      </w:pPr>
      <w:r>
        <w:rPr>
          <w:rFonts w:ascii="Garamond" w:eastAsia="MS Mincho" w:hAnsi="Garamond"/>
        </w:rPr>
        <w:t>-</w:t>
      </w:r>
      <w:r w:rsidR="00DD658A" w:rsidRPr="00830F4C">
        <w:rPr>
          <w:rFonts w:ascii="Garamond" w:eastAsia="MS Mincho" w:hAnsi="Garamond"/>
        </w:rPr>
        <w:t xml:space="preserve"> </w:t>
      </w:r>
      <w:r w:rsidRPr="00830F4C">
        <w:rPr>
          <w:rFonts w:ascii="Garamond" w:eastAsia="MS Mincho" w:hAnsi="Garamond"/>
        </w:rPr>
        <w:t xml:space="preserve">Ndryshimet </w:t>
      </w:r>
      <w:r w:rsidR="00DD658A" w:rsidRPr="00830F4C">
        <w:rPr>
          <w:rFonts w:ascii="Garamond" w:eastAsia="MS Mincho" w:hAnsi="Garamond"/>
        </w:rPr>
        <w:t>rregullatore të planifikuara vonohen. Për të zbutur këtë risk:</w:t>
      </w:r>
    </w:p>
    <w:p w14:paraId="425C3C9D" w14:textId="77777777" w:rsidR="00DD658A" w:rsidRPr="00830F4C" w:rsidRDefault="00DD658A" w:rsidP="00F91D85">
      <w:pPr>
        <w:autoSpaceDE w:val="0"/>
        <w:autoSpaceDN w:val="0"/>
        <w:adjustRightInd w:val="0"/>
        <w:ind w:firstLine="284"/>
        <w:jc w:val="both"/>
        <w:rPr>
          <w:rFonts w:ascii="Garamond" w:eastAsiaTheme="minorHAnsi" w:hAnsi="Garamond"/>
        </w:rPr>
      </w:pPr>
      <w:r w:rsidRPr="00830F4C">
        <w:rPr>
          <w:rFonts w:ascii="Garamond" w:eastAsiaTheme="minorHAnsi" w:hAnsi="Garamond"/>
        </w:rPr>
        <w:t>- Krijimi i kanaleve të rregullta të komunikimit me organet përkatëse rregullatore të përfshira në Shtyllat e strategjisë;</w:t>
      </w:r>
    </w:p>
    <w:p w14:paraId="678E34AA" w14:textId="77777777" w:rsidR="00DD658A" w:rsidRPr="00830F4C" w:rsidRDefault="00DD658A" w:rsidP="00F91D85">
      <w:pPr>
        <w:autoSpaceDE w:val="0"/>
        <w:autoSpaceDN w:val="0"/>
        <w:adjustRightInd w:val="0"/>
        <w:ind w:firstLine="284"/>
        <w:jc w:val="both"/>
        <w:rPr>
          <w:rFonts w:ascii="Garamond" w:eastAsiaTheme="minorHAnsi" w:hAnsi="Garamond"/>
        </w:rPr>
      </w:pPr>
      <w:r w:rsidRPr="00830F4C">
        <w:rPr>
          <w:rFonts w:ascii="Garamond" w:eastAsiaTheme="minorHAnsi" w:hAnsi="Garamond"/>
        </w:rPr>
        <w:t>- Kërkimi i mbështetjes nga liderët politikë dhe institucionet kyçe për të dhënë prioritet dhe për të lehtësuar zbatimin e ndryshimeve rregullatore;</w:t>
      </w:r>
    </w:p>
    <w:p w14:paraId="55875199" w14:textId="2F1F2935" w:rsidR="00DD658A" w:rsidRPr="00830F4C" w:rsidRDefault="00DD658A" w:rsidP="00F91D85">
      <w:pPr>
        <w:autoSpaceDE w:val="0"/>
        <w:autoSpaceDN w:val="0"/>
        <w:adjustRightInd w:val="0"/>
        <w:ind w:firstLine="284"/>
        <w:jc w:val="both"/>
        <w:rPr>
          <w:rFonts w:ascii="Garamond" w:eastAsiaTheme="minorHAnsi" w:hAnsi="Garamond"/>
        </w:rPr>
      </w:pPr>
      <w:r w:rsidRPr="00830F4C">
        <w:rPr>
          <w:rFonts w:ascii="Garamond" w:eastAsiaTheme="minorHAnsi" w:hAnsi="Garamond"/>
        </w:rPr>
        <w:t xml:space="preserve">- </w:t>
      </w:r>
      <w:r w:rsidRPr="00234A99">
        <w:rPr>
          <w:rFonts w:ascii="Garamond" w:eastAsiaTheme="minorHAnsi" w:hAnsi="Garamond"/>
        </w:rPr>
        <w:t>A</w:t>
      </w:r>
      <w:r w:rsidR="00F91D85" w:rsidRPr="00234A99">
        <w:rPr>
          <w:rFonts w:ascii="Garamond" w:eastAsiaTheme="minorHAnsi" w:hAnsi="Garamond"/>
        </w:rPr>
        <w:t>d</w:t>
      </w:r>
      <w:r w:rsidRPr="00234A99">
        <w:rPr>
          <w:rFonts w:ascii="Garamond" w:eastAsiaTheme="minorHAnsi" w:hAnsi="Garamond"/>
        </w:rPr>
        <w:t>vokimi</w:t>
      </w:r>
      <w:r w:rsidRPr="00830F4C">
        <w:rPr>
          <w:rFonts w:ascii="Garamond" w:eastAsiaTheme="minorHAnsi" w:hAnsi="Garamond"/>
        </w:rPr>
        <w:t xml:space="preserve"> për rëndësinë e reformave rregullatore në kohë për të arritur objektivat.</w:t>
      </w:r>
    </w:p>
    <w:p w14:paraId="7437BE19" w14:textId="77777777" w:rsidR="00F91D85" w:rsidRDefault="00DD658A" w:rsidP="00DD658A">
      <w:pPr>
        <w:autoSpaceDE w:val="0"/>
        <w:autoSpaceDN w:val="0"/>
        <w:adjustRightInd w:val="0"/>
        <w:ind w:firstLine="284"/>
        <w:jc w:val="both"/>
        <w:rPr>
          <w:rFonts w:ascii="Garamond" w:eastAsia="MS Mincho" w:hAnsi="Garamond"/>
        </w:rPr>
      </w:pPr>
      <w:r w:rsidRPr="00830F4C">
        <w:rPr>
          <w:rFonts w:ascii="Garamond" w:eastAsia="MS Mincho" w:hAnsi="Garamond"/>
          <w:b/>
        </w:rPr>
        <w:t>Risqet financiare</w:t>
      </w:r>
      <w:r w:rsidRPr="00830F4C">
        <w:rPr>
          <w:rFonts w:ascii="Garamond" w:eastAsia="MS Mincho" w:hAnsi="Garamond"/>
        </w:rPr>
        <w:t xml:space="preserve"> </w:t>
      </w:r>
    </w:p>
    <w:p w14:paraId="43522D61" w14:textId="7883D2B7" w:rsidR="00DD658A" w:rsidRPr="00830F4C" w:rsidRDefault="00DD658A" w:rsidP="00DD658A">
      <w:pPr>
        <w:autoSpaceDE w:val="0"/>
        <w:autoSpaceDN w:val="0"/>
        <w:adjustRightInd w:val="0"/>
        <w:ind w:firstLine="284"/>
        <w:jc w:val="both"/>
        <w:rPr>
          <w:rFonts w:ascii="Garamond" w:eastAsia="MS Mincho" w:hAnsi="Garamond"/>
        </w:rPr>
      </w:pPr>
      <w:r w:rsidRPr="00830F4C">
        <w:rPr>
          <w:rFonts w:ascii="Garamond" w:eastAsia="MS Mincho" w:hAnsi="Garamond"/>
        </w:rPr>
        <w:t>- Burimet e kufizuara financiare mund të pengojnë zbatimin e reformave gjithëpërfshirëse. Për të zbutur këto risqe:</w:t>
      </w:r>
    </w:p>
    <w:p w14:paraId="42A3B110" w14:textId="77777777" w:rsidR="00DD658A" w:rsidRPr="00830F4C" w:rsidRDefault="00DD658A" w:rsidP="00F91D85">
      <w:pPr>
        <w:autoSpaceDE w:val="0"/>
        <w:autoSpaceDN w:val="0"/>
        <w:adjustRightInd w:val="0"/>
        <w:ind w:firstLine="284"/>
        <w:jc w:val="both"/>
        <w:rPr>
          <w:rFonts w:ascii="Garamond" w:eastAsiaTheme="minorHAnsi" w:hAnsi="Garamond"/>
        </w:rPr>
      </w:pPr>
      <w:r w:rsidRPr="00830F4C">
        <w:rPr>
          <w:rFonts w:ascii="Garamond" w:eastAsiaTheme="minorHAnsi" w:hAnsi="Garamond"/>
        </w:rPr>
        <w:t>- Kryerja e një rishikimi të plotë të burimeve të nevojshme për zbatimin e tij;</w:t>
      </w:r>
    </w:p>
    <w:p w14:paraId="1CCC8FF3" w14:textId="77777777" w:rsidR="00DD658A" w:rsidRPr="00830F4C" w:rsidRDefault="00DD658A" w:rsidP="00F91D85">
      <w:pPr>
        <w:autoSpaceDE w:val="0"/>
        <w:autoSpaceDN w:val="0"/>
        <w:adjustRightInd w:val="0"/>
        <w:ind w:firstLine="284"/>
        <w:jc w:val="both"/>
        <w:rPr>
          <w:rFonts w:ascii="Garamond" w:eastAsiaTheme="minorHAnsi" w:hAnsi="Garamond"/>
        </w:rPr>
      </w:pPr>
      <w:r w:rsidRPr="00830F4C">
        <w:rPr>
          <w:rFonts w:ascii="Garamond" w:eastAsiaTheme="minorHAnsi" w:hAnsi="Garamond"/>
        </w:rPr>
        <w:t>- Marrja në konsideratë e një qasjeje të zbatimit me faza nëse është e nevojshme;</w:t>
      </w:r>
    </w:p>
    <w:p w14:paraId="6EBB2EA6" w14:textId="77777777" w:rsidR="00DD658A" w:rsidRPr="00830F4C" w:rsidRDefault="00DD658A" w:rsidP="00F91D85">
      <w:pPr>
        <w:autoSpaceDE w:val="0"/>
        <w:autoSpaceDN w:val="0"/>
        <w:adjustRightInd w:val="0"/>
        <w:ind w:firstLine="284"/>
        <w:jc w:val="both"/>
        <w:rPr>
          <w:rFonts w:ascii="Garamond" w:eastAsiaTheme="minorHAnsi" w:hAnsi="Garamond"/>
        </w:rPr>
      </w:pPr>
      <w:r w:rsidRPr="00830F4C">
        <w:rPr>
          <w:rFonts w:ascii="Garamond" w:eastAsiaTheme="minorHAnsi" w:hAnsi="Garamond"/>
        </w:rPr>
        <w:t>- Eksplorimi i burimeve alternative të financimit, duke përfshirë financimin e donatorëve ndërkombëtarë.</w:t>
      </w:r>
    </w:p>
    <w:p w14:paraId="1443E245" w14:textId="77777777" w:rsidR="00F91D85" w:rsidRDefault="00DD658A" w:rsidP="00DD658A">
      <w:pPr>
        <w:autoSpaceDE w:val="0"/>
        <w:autoSpaceDN w:val="0"/>
        <w:adjustRightInd w:val="0"/>
        <w:ind w:firstLine="284"/>
        <w:jc w:val="both"/>
        <w:rPr>
          <w:rFonts w:ascii="Garamond" w:eastAsia="MS Mincho" w:hAnsi="Garamond"/>
        </w:rPr>
      </w:pPr>
      <w:r w:rsidRPr="00830F4C">
        <w:rPr>
          <w:rFonts w:ascii="Garamond" w:eastAsia="MS Mincho" w:hAnsi="Garamond"/>
          <w:b/>
        </w:rPr>
        <w:t>Risku teknologjik</w:t>
      </w:r>
      <w:r w:rsidRPr="00830F4C">
        <w:rPr>
          <w:rFonts w:ascii="Garamond" w:eastAsia="MS Mincho" w:hAnsi="Garamond"/>
        </w:rPr>
        <w:t xml:space="preserve"> </w:t>
      </w:r>
    </w:p>
    <w:p w14:paraId="1DF97A30" w14:textId="1984BC98" w:rsidR="00DD658A" w:rsidRPr="00830F4C" w:rsidRDefault="00DD658A" w:rsidP="00F91D85">
      <w:pPr>
        <w:autoSpaceDE w:val="0"/>
        <w:autoSpaceDN w:val="0"/>
        <w:adjustRightInd w:val="0"/>
        <w:ind w:firstLine="284"/>
        <w:jc w:val="both"/>
        <w:rPr>
          <w:rFonts w:ascii="Garamond" w:eastAsia="MS Mincho" w:hAnsi="Garamond"/>
        </w:rPr>
      </w:pPr>
      <w:r w:rsidRPr="00830F4C">
        <w:rPr>
          <w:rFonts w:ascii="Garamond" w:eastAsia="MS Mincho" w:hAnsi="Garamond"/>
        </w:rPr>
        <w:t>- Ndërsa një pjesë e rëndë</w:t>
      </w:r>
      <w:r w:rsidR="008C0C0F" w:rsidRPr="00830F4C">
        <w:rPr>
          <w:rFonts w:ascii="Garamond" w:eastAsia="MS Mincho" w:hAnsi="Garamond"/>
        </w:rPr>
        <w:t>s</w:t>
      </w:r>
      <w:r w:rsidRPr="00830F4C">
        <w:rPr>
          <w:rFonts w:ascii="Garamond" w:eastAsia="MS Mincho" w:hAnsi="Garamond"/>
        </w:rPr>
        <w:t>ishme e masave mbështeten gjithnjë e më shumë në teknologji, risku i kërcënimeve të sigurisë kibernetike rritet. Për të zbutur këtë risk:</w:t>
      </w:r>
    </w:p>
    <w:p w14:paraId="06D13BDD" w14:textId="77777777" w:rsidR="00DD658A" w:rsidRPr="00830F4C" w:rsidRDefault="00DD658A" w:rsidP="00F91D85">
      <w:pPr>
        <w:autoSpaceDE w:val="0"/>
        <w:autoSpaceDN w:val="0"/>
        <w:adjustRightInd w:val="0"/>
        <w:ind w:firstLine="284"/>
        <w:jc w:val="both"/>
        <w:rPr>
          <w:rFonts w:ascii="Garamond" w:eastAsiaTheme="minorHAnsi" w:hAnsi="Garamond"/>
        </w:rPr>
      </w:pPr>
      <w:r w:rsidRPr="00830F4C">
        <w:rPr>
          <w:rFonts w:ascii="Garamond" w:eastAsiaTheme="minorHAnsi" w:hAnsi="Garamond"/>
        </w:rPr>
        <w:t>- Formulimi i një politike gjithëpërfshirëse të sigurisë kibernetike që përshkruan standardet, protokollet dhe udhëzimet për mbrojtjen e sistemeve të informacionit;</w:t>
      </w:r>
    </w:p>
    <w:p w14:paraId="23F23825" w14:textId="77777777" w:rsidR="00DD658A" w:rsidRPr="00830F4C" w:rsidRDefault="00DD658A" w:rsidP="00F91D85">
      <w:pPr>
        <w:autoSpaceDE w:val="0"/>
        <w:autoSpaceDN w:val="0"/>
        <w:adjustRightInd w:val="0"/>
        <w:ind w:firstLine="284"/>
        <w:jc w:val="both"/>
        <w:rPr>
          <w:rFonts w:ascii="Garamond" w:eastAsiaTheme="minorHAnsi" w:hAnsi="Garamond"/>
        </w:rPr>
      </w:pPr>
      <w:r w:rsidRPr="00830F4C">
        <w:rPr>
          <w:rFonts w:ascii="Garamond" w:eastAsiaTheme="minorHAnsi" w:hAnsi="Garamond"/>
        </w:rPr>
        <w:t>- Theksimi i monitorimit të vazhdueshëm dhe përshtatshmërinë ndaj kërcënimeve në zhvillim si komponentë thelbësorë të një plani të suksesshëm të sigurisë kibernetike.</w:t>
      </w:r>
    </w:p>
    <w:p w14:paraId="06C33066" w14:textId="77777777" w:rsidR="00F91D85" w:rsidRDefault="00DD658A" w:rsidP="00DD658A">
      <w:pPr>
        <w:autoSpaceDE w:val="0"/>
        <w:autoSpaceDN w:val="0"/>
        <w:adjustRightInd w:val="0"/>
        <w:ind w:firstLine="284"/>
        <w:jc w:val="both"/>
        <w:rPr>
          <w:rFonts w:ascii="Garamond" w:eastAsia="MS Mincho" w:hAnsi="Garamond"/>
        </w:rPr>
      </w:pPr>
      <w:r w:rsidRPr="00830F4C">
        <w:rPr>
          <w:rFonts w:ascii="Garamond" w:eastAsia="MS Mincho" w:hAnsi="Garamond"/>
          <w:b/>
        </w:rPr>
        <w:t>Risqet sociale</w:t>
      </w:r>
      <w:r w:rsidRPr="00830F4C">
        <w:rPr>
          <w:rFonts w:ascii="Garamond" w:eastAsia="MS Mincho" w:hAnsi="Garamond"/>
        </w:rPr>
        <w:t xml:space="preserve"> </w:t>
      </w:r>
    </w:p>
    <w:p w14:paraId="1E60B963" w14:textId="0B4C3CBF" w:rsidR="00DD658A" w:rsidRPr="00830F4C" w:rsidRDefault="00DD658A" w:rsidP="00F91D85">
      <w:pPr>
        <w:autoSpaceDE w:val="0"/>
        <w:autoSpaceDN w:val="0"/>
        <w:adjustRightInd w:val="0"/>
        <w:ind w:firstLine="284"/>
        <w:jc w:val="both"/>
        <w:rPr>
          <w:rFonts w:ascii="Garamond" w:eastAsia="MS Mincho" w:hAnsi="Garamond"/>
        </w:rPr>
      </w:pPr>
      <w:r w:rsidRPr="00830F4C">
        <w:rPr>
          <w:rFonts w:ascii="Garamond" w:eastAsia="MS Mincho" w:hAnsi="Garamond"/>
        </w:rPr>
        <w:t>- Konsultimi dhe komunikimi i pamjaftueshëm me palët kryesore të interesit mund të çojë në rezistencë sociale ose keqkuptime. Për të zbutur këtë risk:</w:t>
      </w:r>
    </w:p>
    <w:p w14:paraId="7FB4CB8D" w14:textId="77777777" w:rsidR="00DD658A" w:rsidRPr="00830F4C" w:rsidRDefault="00DD658A" w:rsidP="00F91D85">
      <w:pPr>
        <w:autoSpaceDE w:val="0"/>
        <w:autoSpaceDN w:val="0"/>
        <w:adjustRightInd w:val="0"/>
        <w:ind w:firstLine="284"/>
        <w:jc w:val="both"/>
        <w:rPr>
          <w:rFonts w:ascii="Garamond" w:eastAsiaTheme="minorHAnsi" w:hAnsi="Garamond"/>
        </w:rPr>
      </w:pPr>
      <w:r w:rsidRPr="00830F4C">
        <w:rPr>
          <w:rFonts w:ascii="Garamond" w:eastAsiaTheme="minorHAnsi" w:hAnsi="Garamond"/>
        </w:rPr>
        <w:t>- Angazhimi gjerësisht i palëve të interesuara gjatë procesit të përgatitjes së Strategjisë dhe monitorimit të saj.</w:t>
      </w:r>
    </w:p>
    <w:p w14:paraId="55F1D017" w14:textId="293BB489" w:rsidR="00DD658A" w:rsidRPr="00830F4C" w:rsidRDefault="00DD658A" w:rsidP="00F91D85">
      <w:pPr>
        <w:autoSpaceDE w:val="0"/>
        <w:autoSpaceDN w:val="0"/>
        <w:adjustRightInd w:val="0"/>
        <w:ind w:firstLine="284"/>
        <w:jc w:val="both"/>
        <w:rPr>
          <w:rFonts w:ascii="Garamond" w:eastAsiaTheme="minorHAnsi" w:hAnsi="Garamond"/>
        </w:rPr>
      </w:pPr>
      <w:r w:rsidRPr="00830F4C">
        <w:rPr>
          <w:rFonts w:ascii="Garamond" w:eastAsiaTheme="minorHAnsi" w:hAnsi="Garamond"/>
        </w:rPr>
        <w:t xml:space="preserve">- Vënia në dispozicion për publikut të </w:t>
      </w:r>
      <w:r w:rsidR="00F91D85" w:rsidRPr="00830F4C">
        <w:rPr>
          <w:rFonts w:ascii="Garamond" w:hAnsi="Garamond"/>
        </w:rPr>
        <w:t>të</w:t>
      </w:r>
      <w:r w:rsidR="00F91D85" w:rsidRPr="00830F4C">
        <w:rPr>
          <w:rFonts w:ascii="Garamond" w:eastAsiaTheme="minorHAnsi" w:hAnsi="Garamond"/>
        </w:rPr>
        <w:t xml:space="preserve"> </w:t>
      </w:r>
      <w:r w:rsidRPr="00830F4C">
        <w:rPr>
          <w:rFonts w:ascii="Garamond" w:eastAsiaTheme="minorHAnsi" w:hAnsi="Garamond"/>
        </w:rPr>
        <w:t>gjitha raporte</w:t>
      </w:r>
      <w:r w:rsidR="005803BD">
        <w:rPr>
          <w:rFonts w:ascii="Garamond" w:eastAsiaTheme="minorHAnsi" w:hAnsi="Garamond"/>
        </w:rPr>
        <w:t>ve</w:t>
      </w:r>
      <w:r w:rsidRPr="00830F4C">
        <w:rPr>
          <w:rFonts w:ascii="Garamond" w:eastAsiaTheme="minorHAnsi" w:hAnsi="Garamond"/>
        </w:rPr>
        <w:t xml:space="preserve"> </w:t>
      </w:r>
      <w:r w:rsidR="005803BD" w:rsidRPr="00830F4C">
        <w:rPr>
          <w:rFonts w:ascii="Garamond" w:hAnsi="Garamond"/>
        </w:rPr>
        <w:t>të</w:t>
      </w:r>
      <w:r w:rsidRPr="00830F4C">
        <w:rPr>
          <w:rFonts w:ascii="Garamond" w:eastAsiaTheme="minorHAnsi" w:hAnsi="Garamond"/>
        </w:rPr>
        <w:t xml:space="preserve"> monitorimit për të garantuar transparencë dhe për të nxitur besimin.</w:t>
      </w:r>
    </w:p>
    <w:p w14:paraId="38C8E38A" w14:textId="77777777" w:rsidR="00DD658A" w:rsidRPr="00830F4C" w:rsidRDefault="00DD658A" w:rsidP="00F91D85">
      <w:pPr>
        <w:autoSpaceDE w:val="0"/>
        <w:autoSpaceDN w:val="0"/>
        <w:adjustRightInd w:val="0"/>
        <w:ind w:firstLine="284"/>
        <w:jc w:val="both"/>
        <w:rPr>
          <w:rFonts w:ascii="Garamond" w:eastAsia="MS Mincho" w:hAnsi="Garamond"/>
        </w:rPr>
      </w:pPr>
      <w:r w:rsidRPr="00830F4C">
        <w:rPr>
          <w:rFonts w:ascii="Garamond" w:eastAsia="MS Mincho" w:hAnsi="Garamond"/>
        </w:rPr>
        <w:t xml:space="preserve">Tabela e mëposhtme thekson risqet e mundshme të parashikuara në fazën e përgatitjes së Strategjisë dhe do të përbëjë bazën për monitorimin e risqeve. </w:t>
      </w:r>
    </w:p>
    <w:p w14:paraId="381890C6" w14:textId="77777777" w:rsidR="001E32AC" w:rsidRDefault="001E32AC" w:rsidP="00F91D85">
      <w:pPr>
        <w:autoSpaceDE w:val="0"/>
        <w:autoSpaceDN w:val="0"/>
        <w:adjustRightInd w:val="0"/>
        <w:ind w:firstLine="284"/>
        <w:jc w:val="both"/>
        <w:rPr>
          <w:rFonts w:ascii="Garamond" w:eastAsiaTheme="minorHAnsi" w:hAnsi="Garamond"/>
          <w:i/>
        </w:rPr>
      </w:pPr>
    </w:p>
    <w:p w14:paraId="2176D71F" w14:textId="77777777" w:rsidR="001E32AC" w:rsidRDefault="001E32AC" w:rsidP="00F91D85">
      <w:pPr>
        <w:autoSpaceDE w:val="0"/>
        <w:autoSpaceDN w:val="0"/>
        <w:adjustRightInd w:val="0"/>
        <w:ind w:firstLine="284"/>
        <w:jc w:val="both"/>
        <w:rPr>
          <w:rFonts w:ascii="Garamond" w:eastAsiaTheme="minorHAnsi" w:hAnsi="Garamond"/>
          <w:i/>
        </w:rPr>
      </w:pPr>
    </w:p>
    <w:p w14:paraId="672775E9" w14:textId="77777777" w:rsidR="001E32AC" w:rsidRDefault="001E32AC" w:rsidP="00F91D85">
      <w:pPr>
        <w:autoSpaceDE w:val="0"/>
        <w:autoSpaceDN w:val="0"/>
        <w:adjustRightInd w:val="0"/>
        <w:ind w:firstLine="284"/>
        <w:jc w:val="both"/>
        <w:rPr>
          <w:rFonts w:ascii="Garamond" w:eastAsiaTheme="minorHAnsi" w:hAnsi="Garamond"/>
          <w:i/>
        </w:rPr>
      </w:pPr>
    </w:p>
    <w:p w14:paraId="6FE34794" w14:textId="77777777" w:rsidR="001E32AC" w:rsidRDefault="001E32AC" w:rsidP="00F91D85">
      <w:pPr>
        <w:autoSpaceDE w:val="0"/>
        <w:autoSpaceDN w:val="0"/>
        <w:adjustRightInd w:val="0"/>
        <w:ind w:firstLine="284"/>
        <w:jc w:val="both"/>
        <w:rPr>
          <w:rFonts w:ascii="Garamond" w:eastAsiaTheme="minorHAnsi" w:hAnsi="Garamond"/>
          <w:i/>
        </w:rPr>
      </w:pPr>
    </w:p>
    <w:p w14:paraId="0DCDEF2A" w14:textId="77777777" w:rsidR="00DD658A" w:rsidRPr="00830F4C" w:rsidRDefault="00DD658A" w:rsidP="00F91D85">
      <w:pPr>
        <w:autoSpaceDE w:val="0"/>
        <w:autoSpaceDN w:val="0"/>
        <w:adjustRightInd w:val="0"/>
        <w:ind w:firstLine="284"/>
        <w:jc w:val="both"/>
        <w:rPr>
          <w:rFonts w:ascii="Garamond" w:eastAsia="MS Mincho" w:hAnsi="Garamond"/>
          <w:i/>
        </w:rPr>
      </w:pPr>
      <w:r w:rsidRPr="00830F4C">
        <w:rPr>
          <w:rFonts w:ascii="Garamond" w:eastAsiaTheme="minorHAnsi" w:hAnsi="Garamond"/>
          <w:i/>
        </w:rPr>
        <w:t>Tabela 19: Risqet kryesore të mundshme</w:t>
      </w:r>
    </w:p>
    <w:tbl>
      <w:tblPr>
        <w:tblStyle w:val="TableGrid"/>
        <w:tblW w:w="5000" w:type="pct"/>
        <w:jc w:val="center"/>
        <w:tblLayout w:type="fixed"/>
        <w:tblCellMar>
          <w:top w:w="28" w:type="dxa"/>
          <w:left w:w="85" w:type="dxa"/>
          <w:bottom w:w="28" w:type="dxa"/>
          <w:right w:w="85" w:type="dxa"/>
        </w:tblCellMar>
        <w:tblLook w:val="04A0" w:firstRow="1" w:lastRow="0" w:firstColumn="1" w:lastColumn="0" w:noHBand="0" w:noVBand="1"/>
      </w:tblPr>
      <w:tblGrid>
        <w:gridCol w:w="4846"/>
        <w:gridCol w:w="643"/>
        <w:gridCol w:w="643"/>
        <w:gridCol w:w="769"/>
        <w:gridCol w:w="747"/>
        <w:gridCol w:w="560"/>
        <w:gridCol w:w="560"/>
        <w:gridCol w:w="582"/>
      </w:tblGrid>
      <w:tr w:rsidR="00723888" w:rsidRPr="00830F4C" w14:paraId="1065B843" w14:textId="77777777" w:rsidTr="00DD658A">
        <w:trPr>
          <w:cantSplit/>
          <w:trHeight w:val="53"/>
          <w:tblHeader/>
          <w:jc w:val="center"/>
        </w:trPr>
        <w:tc>
          <w:tcPr>
            <w:tcW w:w="4673" w:type="dxa"/>
            <w:vMerge w:val="restart"/>
            <w:tcBorders>
              <w:top w:val="single" w:sz="4" w:space="0" w:color="auto"/>
              <w:left w:val="single" w:sz="4" w:space="0" w:color="auto"/>
              <w:bottom w:val="single" w:sz="4" w:space="0" w:color="auto"/>
              <w:right w:val="single" w:sz="4" w:space="0" w:color="auto"/>
            </w:tcBorders>
          </w:tcPr>
          <w:p w14:paraId="305CE36B"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Vlerësimi i riskut (probabiliteti dhe ndikimi):</w:t>
            </w:r>
          </w:p>
          <w:p w14:paraId="768D4C72" w14:textId="77777777" w:rsidR="00DD658A" w:rsidRPr="00830F4C" w:rsidRDefault="00DD658A" w:rsidP="00DD658A">
            <w:pPr>
              <w:pStyle w:val="T-normal"/>
              <w:rPr>
                <w:rFonts w:ascii="Garamond" w:hAnsi="Garamond"/>
                <w:sz w:val="12"/>
                <w:szCs w:val="12"/>
                <w:lang w:val="sq-AL"/>
              </w:rPr>
            </w:pPr>
          </w:p>
          <w:p w14:paraId="25BAA3AF"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 = Lartë</w:t>
            </w:r>
          </w:p>
          <w:p w14:paraId="04262434"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 = Moderuar</w:t>
            </w:r>
          </w:p>
          <w:p w14:paraId="46479823"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U = Ulët</w:t>
            </w:r>
          </w:p>
        </w:tc>
        <w:tc>
          <w:tcPr>
            <w:tcW w:w="4343" w:type="dxa"/>
            <w:gridSpan w:val="7"/>
            <w:tcBorders>
              <w:top w:val="single" w:sz="4" w:space="0" w:color="auto"/>
              <w:left w:val="single" w:sz="4" w:space="0" w:color="auto"/>
              <w:bottom w:val="single" w:sz="4" w:space="0" w:color="auto"/>
              <w:right w:val="single" w:sz="4" w:space="0" w:color="auto"/>
            </w:tcBorders>
          </w:tcPr>
          <w:p w14:paraId="43A447DD"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Faktorët kryesorë të riskut</w:t>
            </w:r>
          </w:p>
        </w:tc>
      </w:tr>
      <w:tr w:rsidR="00723888" w:rsidRPr="00830F4C" w14:paraId="268ACA5E" w14:textId="77777777" w:rsidTr="00CC11D5">
        <w:trPr>
          <w:cantSplit/>
          <w:trHeight w:val="1348"/>
          <w:tblHeader/>
          <w:jc w:val="center"/>
        </w:trPr>
        <w:tc>
          <w:tcPr>
            <w:tcW w:w="4673" w:type="dxa"/>
            <w:vMerge/>
            <w:tcBorders>
              <w:top w:val="single" w:sz="4" w:space="0" w:color="auto"/>
              <w:left w:val="single" w:sz="4" w:space="0" w:color="auto"/>
              <w:bottom w:val="single" w:sz="4" w:space="0" w:color="auto"/>
              <w:right w:val="single" w:sz="4" w:space="0" w:color="auto"/>
            </w:tcBorders>
            <w:hideMark/>
          </w:tcPr>
          <w:p w14:paraId="295AA70D" w14:textId="77777777" w:rsidR="00DD658A" w:rsidRPr="00830F4C" w:rsidRDefault="00DD658A" w:rsidP="00DD658A">
            <w:pPr>
              <w:pStyle w:val="T-normal"/>
              <w:rPr>
                <w:rFonts w:ascii="Garamond" w:hAnsi="Garamond"/>
                <w:sz w:val="12"/>
                <w:szCs w:val="12"/>
                <w:lang w:val="sq-AL"/>
              </w:rPr>
            </w:pPr>
          </w:p>
        </w:tc>
        <w:tc>
          <w:tcPr>
            <w:tcW w:w="620" w:type="dxa"/>
            <w:tcBorders>
              <w:top w:val="single" w:sz="4" w:space="0" w:color="auto"/>
              <w:left w:val="single" w:sz="4" w:space="0" w:color="auto"/>
              <w:bottom w:val="single" w:sz="4" w:space="0" w:color="auto"/>
              <w:right w:val="single" w:sz="4" w:space="0" w:color="auto"/>
            </w:tcBorders>
            <w:hideMark/>
          </w:tcPr>
          <w:p w14:paraId="15C766DB"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Ndryshime të vonuara ligjore/rregullative</w:t>
            </w:r>
          </w:p>
        </w:tc>
        <w:tc>
          <w:tcPr>
            <w:tcW w:w="620" w:type="dxa"/>
            <w:tcBorders>
              <w:top w:val="single" w:sz="4" w:space="0" w:color="auto"/>
              <w:left w:val="single" w:sz="4" w:space="0" w:color="auto"/>
              <w:bottom w:val="single" w:sz="4" w:space="0" w:color="auto"/>
              <w:right w:val="single" w:sz="4" w:space="0" w:color="auto"/>
            </w:tcBorders>
            <w:hideMark/>
          </w:tcPr>
          <w:p w14:paraId="1DC19DD4"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Sigurimi i pamjaftueshëm financiar</w:t>
            </w:r>
          </w:p>
        </w:tc>
        <w:tc>
          <w:tcPr>
            <w:tcW w:w="742" w:type="dxa"/>
            <w:tcBorders>
              <w:top w:val="single" w:sz="4" w:space="0" w:color="auto"/>
              <w:left w:val="single" w:sz="4" w:space="0" w:color="auto"/>
              <w:bottom w:val="single" w:sz="4" w:space="0" w:color="auto"/>
              <w:right w:val="single" w:sz="4" w:space="0" w:color="auto"/>
            </w:tcBorders>
            <w:hideMark/>
          </w:tcPr>
          <w:p w14:paraId="27D07F52"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Zhvillimi jo i qëndrueshëm i kapaciteteve të burimeve njerëzore</w:t>
            </w:r>
          </w:p>
        </w:tc>
        <w:tc>
          <w:tcPr>
            <w:tcW w:w="720" w:type="dxa"/>
            <w:tcBorders>
              <w:top w:val="single" w:sz="4" w:space="0" w:color="auto"/>
              <w:left w:val="single" w:sz="4" w:space="0" w:color="auto"/>
              <w:bottom w:val="single" w:sz="4" w:space="0" w:color="auto"/>
              <w:right w:val="single" w:sz="4" w:space="0" w:color="auto"/>
            </w:tcBorders>
            <w:hideMark/>
          </w:tcPr>
          <w:p w14:paraId="04B13433"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Disponueshmëria e pamjaftueshme e Burimeve Njerëzore</w:t>
            </w:r>
          </w:p>
        </w:tc>
        <w:tc>
          <w:tcPr>
            <w:tcW w:w="540" w:type="dxa"/>
            <w:tcBorders>
              <w:top w:val="single" w:sz="4" w:space="0" w:color="auto"/>
              <w:left w:val="single" w:sz="4" w:space="0" w:color="auto"/>
              <w:bottom w:val="single" w:sz="4" w:space="0" w:color="auto"/>
              <w:right w:val="single" w:sz="4" w:space="0" w:color="auto"/>
            </w:tcBorders>
            <w:hideMark/>
          </w:tcPr>
          <w:p w14:paraId="1D2C3FFA"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Sfidat e zhvillimit të TI-së ose prokurimit</w:t>
            </w:r>
          </w:p>
        </w:tc>
        <w:tc>
          <w:tcPr>
            <w:tcW w:w="540" w:type="dxa"/>
            <w:tcBorders>
              <w:top w:val="single" w:sz="4" w:space="0" w:color="auto"/>
              <w:left w:val="single" w:sz="4" w:space="0" w:color="auto"/>
              <w:bottom w:val="single" w:sz="4" w:space="0" w:color="auto"/>
              <w:right w:val="single" w:sz="4" w:space="0" w:color="auto"/>
            </w:tcBorders>
            <w:hideMark/>
          </w:tcPr>
          <w:p w14:paraId="459F1D2E"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Disponueshmëria në kohë e AT / mbështetjes</w:t>
            </w:r>
          </w:p>
        </w:tc>
        <w:tc>
          <w:tcPr>
            <w:tcW w:w="561" w:type="dxa"/>
            <w:tcBorders>
              <w:top w:val="single" w:sz="4" w:space="0" w:color="auto"/>
              <w:left w:val="single" w:sz="4" w:space="0" w:color="auto"/>
              <w:bottom w:val="single" w:sz="4" w:space="0" w:color="auto"/>
              <w:right w:val="single" w:sz="4" w:space="0" w:color="auto"/>
            </w:tcBorders>
            <w:hideMark/>
          </w:tcPr>
          <w:p w14:paraId="042F52DE"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Koordinim i papërshtatshëm</w:t>
            </w:r>
          </w:p>
        </w:tc>
      </w:tr>
      <w:tr w:rsidR="00723888" w:rsidRPr="00830F4C" w14:paraId="623A17F8" w14:textId="77777777" w:rsidTr="00DD658A">
        <w:trPr>
          <w:jc w:val="center"/>
        </w:trPr>
        <w:tc>
          <w:tcPr>
            <w:tcW w:w="9016" w:type="dxa"/>
            <w:gridSpan w:val="8"/>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5824912" w14:textId="7289AF6D" w:rsidR="00DD658A" w:rsidRPr="00830F4C" w:rsidRDefault="00DD658A" w:rsidP="00DD658A">
            <w:pPr>
              <w:pStyle w:val="T-normal"/>
              <w:rPr>
                <w:rFonts w:ascii="Garamond" w:hAnsi="Garamond"/>
                <w:b/>
                <w:sz w:val="12"/>
                <w:szCs w:val="12"/>
                <w:lang w:val="sq-AL"/>
              </w:rPr>
            </w:pPr>
            <w:r w:rsidRPr="00830F4C">
              <w:rPr>
                <w:rFonts w:ascii="Garamond" w:hAnsi="Garamond"/>
                <w:b/>
                <w:sz w:val="12"/>
                <w:szCs w:val="12"/>
                <w:lang w:val="sq-AL"/>
              </w:rPr>
              <w:t>Shtylla 1: Rishikimi i politikës tatimore</w:t>
            </w:r>
          </w:p>
        </w:tc>
      </w:tr>
      <w:tr w:rsidR="00723888" w:rsidRPr="00830F4C" w14:paraId="5343B2E0" w14:textId="77777777" w:rsidTr="00DD658A">
        <w:trPr>
          <w:jc w:val="center"/>
        </w:trPr>
        <w:tc>
          <w:tcPr>
            <w:tcW w:w="4673" w:type="dxa"/>
            <w:tcBorders>
              <w:top w:val="single" w:sz="4" w:space="0" w:color="auto"/>
              <w:left w:val="single" w:sz="4" w:space="0" w:color="auto"/>
              <w:bottom w:val="single" w:sz="4" w:space="0" w:color="auto"/>
              <w:right w:val="single" w:sz="4" w:space="0" w:color="auto"/>
            </w:tcBorders>
            <w:hideMark/>
          </w:tcPr>
          <w:p w14:paraId="69B67C87"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Rishikimi i politikës tatimore të taksave mbi konsumin</w:t>
            </w:r>
          </w:p>
        </w:tc>
        <w:tc>
          <w:tcPr>
            <w:tcW w:w="620" w:type="dxa"/>
            <w:tcBorders>
              <w:top w:val="single" w:sz="4" w:space="0" w:color="auto"/>
              <w:left w:val="single" w:sz="4" w:space="0" w:color="auto"/>
              <w:bottom w:val="single" w:sz="4" w:space="0" w:color="auto"/>
              <w:right w:val="single" w:sz="4" w:space="0" w:color="auto"/>
            </w:tcBorders>
          </w:tcPr>
          <w:p w14:paraId="18D4356A"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620" w:type="dxa"/>
            <w:tcBorders>
              <w:top w:val="single" w:sz="4" w:space="0" w:color="auto"/>
              <w:left w:val="single" w:sz="4" w:space="0" w:color="auto"/>
              <w:bottom w:val="single" w:sz="4" w:space="0" w:color="auto"/>
              <w:right w:val="single" w:sz="4" w:space="0" w:color="auto"/>
            </w:tcBorders>
          </w:tcPr>
          <w:p w14:paraId="2011EC57"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U</w:t>
            </w:r>
          </w:p>
        </w:tc>
        <w:tc>
          <w:tcPr>
            <w:tcW w:w="742" w:type="dxa"/>
            <w:tcBorders>
              <w:top w:val="single" w:sz="4" w:space="0" w:color="auto"/>
              <w:left w:val="single" w:sz="4" w:space="0" w:color="auto"/>
              <w:bottom w:val="single" w:sz="4" w:space="0" w:color="auto"/>
              <w:right w:val="single" w:sz="4" w:space="0" w:color="auto"/>
            </w:tcBorders>
          </w:tcPr>
          <w:p w14:paraId="6AA48E5C"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720" w:type="dxa"/>
            <w:tcBorders>
              <w:top w:val="single" w:sz="4" w:space="0" w:color="auto"/>
              <w:left w:val="single" w:sz="4" w:space="0" w:color="auto"/>
              <w:bottom w:val="single" w:sz="4" w:space="0" w:color="auto"/>
              <w:right w:val="single" w:sz="4" w:space="0" w:color="auto"/>
            </w:tcBorders>
            <w:hideMark/>
          </w:tcPr>
          <w:p w14:paraId="45F64792"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540" w:type="dxa"/>
            <w:tcBorders>
              <w:top w:val="single" w:sz="4" w:space="0" w:color="auto"/>
              <w:left w:val="single" w:sz="4" w:space="0" w:color="auto"/>
              <w:bottom w:val="single" w:sz="4" w:space="0" w:color="auto"/>
              <w:right w:val="single" w:sz="4" w:space="0" w:color="auto"/>
            </w:tcBorders>
            <w:hideMark/>
          </w:tcPr>
          <w:p w14:paraId="14249850"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U</w:t>
            </w:r>
          </w:p>
        </w:tc>
        <w:tc>
          <w:tcPr>
            <w:tcW w:w="540" w:type="dxa"/>
            <w:tcBorders>
              <w:top w:val="single" w:sz="4" w:space="0" w:color="auto"/>
              <w:left w:val="single" w:sz="4" w:space="0" w:color="auto"/>
              <w:bottom w:val="single" w:sz="4" w:space="0" w:color="auto"/>
              <w:right w:val="single" w:sz="4" w:space="0" w:color="auto"/>
            </w:tcBorders>
          </w:tcPr>
          <w:p w14:paraId="5AF3FA98"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561" w:type="dxa"/>
            <w:tcBorders>
              <w:top w:val="single" w:sz="4" w:space="0" w:color="auto"/>
              <w:left w:val="single" w:sz="4" w:space="0" w:color="auto"/>
              <w:bottom w:val="single" w:sz="4" w:space="0" w:color="auto"/>
              <w:right w:val="single" w:sz="4" w:space="0" w:color="auto"/>
            </w:tcBorders>
          </w:tcPr>
          <w:p w14:paraId="5CE188A3"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U</w:t>
            </w:r>
          </w:p>
        </w:tc>
      </w:tr>
      <w:tr w:rsidR="00723888" w:rsidRPr="00830F4C" w14:paraId="2643695E" w14:textId="77777777" w:rsidTr="00DD658A">
        <w:trPr>
          <w:jc w:val="center"/>
        </w:trPr>
        <w:tc>
          <w:tcPr>
            <w:tcW w:w="4673" w:type="dxa"/>
            <w:tcBorders>
              <w:top w:val="single" w:sz="4" w:space="0" w:color="auto"/>
              <w:left w:val="single" w:sz="4" w:space="0" w:color="auto"/>
              <w:bottom w:val="single" w:sz="4" w:space="0" w:color="auto"/>
              <w:right w:val="single" w:sz="4" w:space="0" w:color="auto"/>
            </w:tcBorders>
          </w:tcPr>
          <w:p w14:paraId="67321729"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Rishikimi i politikës tatimore të taksave direkte</w:t>
            </w:r>
          </w:p>
        </w:tc>
        <w:tc>
          <w:tcPr>
            <w:tcW w:w="620" w:type="dxa"/>
            <w:tcBorders>
              <w:top w:val="single" w:sz="4" w:space="0" w:color="auto"/>
              <w:left w:val="single" w:sz="4" w:space="0" w:color="auto"/>
              <w:bottom w:val="single" w:sz="4" w:space="0" w:color="auto"/>
              <w:right w:val="single" w:sz="4" w:space="0" w:color="auto"/>
            </w:tcBorders>
          </w:tcPr>
          <w:p w14:paraId="07AF6D4B"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620" w:type="dxa"/>
            <w:tcBorders>
              <w:top w:val="single" w:sz="4" w:space="0" w:color="auto"/>
              <w:left w:val="single" w:sz="4" w:space="0" w:color="auto"/>
              <w:bottom w:val="single" w:sz="4" w:space="0" w:color="auto"/>
              <w:right w:val="single" w:sz="4" w:space="0" w:color="auto"/>
            </w:tcBorders>
          </w:tcPr>
          <w:p w14:paraId="70009136"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742" w:type="dxa"/>
            <w:tcBorders>
              <w:top w:val="single" w:sz="4" w:space="0" w:color="auto"/>
              <w:left w:val="single" w:sz="4" w:space="0" w:color="auto"/>
              <w:bottom w:val="single" w:sz="4" w:space="0" w:color="auto"/>
              <w:right w:val="single" w:sz="4" w:space="0" w:color="auto"/>
            </w:tcBorders>
          </w:tcPr>
          <w:p w14:paraId="60CFC2F2"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720" w:type="dxa"/>
            <w:tcBorders>
              <w:top w:val="single" w:sz="4" w:space="0" w:color="auto"/>
              <w:left w:val="single" w:sz="4" w:space="0" w:color="auto"/>
              <w:bottom w:val="single" w:sz="4" w:space="0" w:color="auto"/>
              <w:right w:val="single" w:sz="4" w:space="0" w:color="auto"/>
            </w:tcBorders>
          </w:tcPr>
          <w:p w14:paraId="1D76A159"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540" w:type="dxa"/>
            <w:tcBorders>
              <w:top w:val="single" w:sz="4" w:space="0" w:color="auto"/>
              <w:left w:val="single" w:sz="4" w:space="0" w:color="auto"/>
              <w:bottom w:val="single" w:sz="4" w:space="0" w:color="auto"/>
              <w:right w:val="single" w:sz="4" w:space="0" w:color="auto"/>
            </w:tcBorders>
          </w:tcPr>
          <w:p w14:paraId="6B18883B"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U</w:t>
            </w:r>
          </w:p>
        </w:tc>
        <w:tc>
          <w:tcPr>
            <w:tcW w:w="540" w:type="dxa"/>
            <w:tcBorders>
              <w:top w:val="single" w:sz="4" w:space="0" w:color="auto"/>
              <w:left w:val="single" w:sz="4" w:space="0" w:color="auto"/>
              <w:bottom w:val="single" w:sz="4" w:space="0" w:color="auto"/>
              <w:right w:val="single" w:sz="4" w:space="0" w:color="auto"/>
            </w:tcBorders>
          </w:tcPr>
          <w:p w14:paraId="272F226A"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U</w:t>
            </w:r>
          </w:p>
        </w:tc>
        <w:tc>
          <w:tcPr>
            <w:tcW w:w="561" w:type="dxa"/>
            <w:tcBorders>
              <w:top w:val="single" w:sz="4" w:space="0" w:color="auto"/>
              <w:left w:val="single" w:sz="4" w:space="0" w:color="auto"/>
              <w:bottom w:val="single" w:sz="4" w:space="0" w:color="auto"/>
              <w:right w:val="single" w:sz="4" w:space="0" w:color="auto"/>
            </w:tcBorders>
          </w:tcPr>
          <w:p w14:paraId="56481466"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U</w:t>
            </w:r>
          </w:p>
        </w:tc>
      </w:tr>
      <w:tr w:rsidR="00723888" w:rsidRPr="00830F4C" w14:paraId="68AE2275" w14:textId="77777777" w:rsidTr="00DD658A">
        <w:trPr>
          <w:jc w:val="center"/>
        </w:trPr>
        <w:tc>
          <w:tcPr>
            <w:tcW w:w="4673" w:type="dxa"/>
            <w:tcBorders>
              <w:top w:val="single" w:sz="4" w:space="0" w:color="auto"/>
              <w:left w:val="single" w:sz="4" w:space="0" w:color="auto"/>
              <w:bottom w:val="single" w:sz="4" w:space="0" w:color="auto"/>
              <w:right w:val="single" w:sz="4" w:space="0" w:color="auto"/>
            </w:tcBorders>
          </w:tcPr>
          <w:p w14:paraId="032E0C99" w14:textId="77777777" w:rsidR="00DD658A" w:rsidRPr="00830F4C" w:rsidRDefault="00DD658A" w:rsidP="00DD658A">
            <w:pPr>
              <w:pStyle w:val="T-normal"/>
              <w:rPr>
                <w:rFonts w:ascii="Garamond" w:hAnsi="Garamond" w:cs="Times New Roman"/>
                <w:sz w:val="12"/>
                <w:szCs w:val="12"/>
                <w:lang w:val="sq-AL"/>
              </w:rPr>
            </w:pPr>
            <w:r w:rsidRPr="00830F4C">
              <w:rPr>
                <w:rFonts w:ascii="Garamond" w:hAnsi="Garamond" w:cs="Times New Roman"/>
                <w:sz w:val="12"/>
                <w:szCs w:val="12"/>
                <w:lang w:val="sq-AL"/>
              </w:rPr>
              <w:t>Rishikimi i politikës tatimore të taksës mbi pasuritë e paluajtshme</w:t>
            </w:r>
          </w:p>
        </w:tc>
        <w:tc>
          <w:tcPr>
            <w:tcW w:w="620" w:type="dxa"/>
            <w:tcBorders>
              <w:top w:val="single" w:sz="4" w:space="0" w:color="auto"/>
              <w:left w:val="single" w:sz="4" w:space="0" w:color="auto"/>
              <w:bottom w:val="single" w:sz="4" w:space="0" w:color="auto"/>
              <w:right w:val="single" w:sz="4" w:space="0" w:color="auto"/>
            </w:tcBorders>
          </w:tcPr>
          <w:p w14:paraId="18A60E12"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620" w:type="dxa"/>
            <w:tcBorders>
              <w:top w:val="single" w:sz="4" w:space="0" w:color="auto"/>
              <w:left w:val="single" w:sz="4" w:space="0" w:color="auto"/>
              <w:bottom w:val="single" w:sz="4" w:space="0" w:color="auto"/>
              <w:right w:val="single" w:sz="4" w:space="0" w:color="auto"/>
            </w:tcBorders>
          </w:tcPr>
          <w:p w14:paraId="35767CC4"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742" w:type="dxa"/>
            <w:tcBorders>
              <w:top w:val="single" w:sz="4" w:space="0" w:color="auto"/>
              <w:left w:val="single" w:sz="4" w:space="0" w:color="auto"/>
              <w:bottom w:val="single" w:sz="4" w:space="0" w:color="auto"/>
              <w:right w:val="single" w:sz="4" w:space="0" w:color="auto"/>
            </w:tcBorders>
          </w:tcPr>
          <w:p w14:paraId="1D9D4CD6"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720" w:type="dxa"/>
            <w:tcBorders>
              <w:top w:val="single" w:sz="4" w:space="0" w:color="auto"/>
              <w:left w:val="single" w:sz="4" w:space="0" w:color="auto"/>
              <w:bottom w:val="single" w:sz="4" w:space="0" w:color="auto"/>
              <w:right w:val="single" w:sz="4" w:space="0" w:color="auto"/>
            </w:tcBorders>
          </w:tcPr>
          <w:p w14:paraId="36997B38"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tcPr>
          <w:p w14:paraId="3918E624"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tcPr>
          <w:p w14:paraId="0B41C1E8"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561" w:type="dxa"/>
            <w:tcBorders>
              <w:top w:val="single" w:sz="4" w:space="0" w:color="auto"/>
              <w:left w:val="single" w:sz="4" w:space="0" w:color="auto"/>
              <w:bottom w:val="single" w:sz="4" w:space="0" w:color="auto"/>
              <w:right w:val="single" w:sz="4" w:space="0" w:color="auto"/>
            </w:tcBorders>
          </w:tcPr>
          <w:p w14:paraId="74B8980D"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r>
      <w:tr w:rsidR="00723888" w:rsidRPr="00830F4C" w14:paraId="17093C0E" w14:textId="77777777" w:rsidTr="00DD658A">
        <w:trPr>
          <w:jc w:val="center"/>
        </w:trPr>
        <w:tc>
          <w:tcPr>
            <w:tcW w:w="9016" w:type="dxa"/>
            <w:gridSpan w:val="8"/>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B6CC688" w14:textId="77777777" w:rsidR="00DD658A" w:rsidRPr="00830F4C" w:rsidRDefault="00DD658A" w:rsidP="00DD658A">
            <w:pPr>
              <w:pStyle w:val="T-normal"/>
              <w:rPr>
                <w:rFonts w:ascii="Garamond" w:hAnsi="Garamond"/>
                <w:b/>
                <w:sz w:val="12"/>
                <w:szCs w:val="12"/>
                <w:lang w:val="sq-AL"/>
              </w:rPr>
            </w:pPr>
            <w:r w:rsidRPr="00830F4C">
              <w:rPr>
                <w:rFonts w:ascii="Garamond" w:hAnsi="Garamond"/>
                <w:b/>
                <w:sz w:val="12"/>
                <w:szCs w:val="12"/>
                <w:lang w:val="sq-AL"/>
              </w:rPr>
              <w:t>Shtylla 2: Mirëadministrimi tatimor</w:t>
            </w:r>
          </w:p>
        </w:tc>
      </w:tr>
      <w:tr w:rsidR="00723888" w:rsidRPr="00830F4C" w14:paraId="4FD1FB24" w14:textId="77777777" w:rsidTr="00DD658A">
        <w:trPr>
          <w:jc w:val="center"/>
        </w:trPr>
        <w:tc>
          <w:tcPr>
            <w:tcW w:w="4673" w:type="dxa"/>
            <w:tcBorders>
              <w:top w:val="single" w:sz="4" w:space="0" w:color="auto"/>
              <w:left w:val="single" w:sz="4" w:space="0" w:color="auto"/>
              <w:bottom w:val="single" w:sz="4" w:space="0" w:color="auto"/>
              <w:right w:val="single" w:sz="4" w:space="0" w:color="auto"/>
            </w:tcBorders>
          </w:tcPr>
          <w:p w14:paraId="5851A73F" w14:textId="271BE9A0" w:rsidR="00DD658A" w:rsidRPr="00830F4C" w:rsidRDefault="00DD658A" w:rsidP="00DD658A">
            <w:pPr>
              <w:pStyle w:val="T-normal"/>
              <w:rPr>
                <w:rFonts w:ascii="Garamond" w:hAnsi="Garamond" w:cs="Times New Roman"/>
                <w:sz w:val="12"/>
                <w:szCs w:val="12"/>
                <w:lang w:val="sq-AL"/>
              </w:rPr>
            </w:pPr>
            <w:r w:rsidRPr="00830F4C">
              <w:rPr>
                <w:rFonts w:ascii="Garamond" w:hAnsi="Garamond" w:cs="Times New Roman"/>
                <w:sz w:val="12"/>
                <w:szCs w:val="12"/>
                <w:lang w:val="sq-AL"/>
              </w:rPr>
              <w:t>Zvogëlimi i hendekut të pajtueshmërisë në lidhje me</w:t>
            </w:r>
            <w:r w:rsidR="00DE65FB">
              <w:rPr>
                <w:rFonts w:ascii="Garamond" w:hAnsi="Garamond" w:cs="Times New Roman"/>
                <w:sz w:val="12"/>
                <w:szCs w:val="12"/>
                <w:lang w:val="sq-AL"/>
              </w:rPr>
              <w:t xml:space="preserve"> TVSh</w:t>
            </w:r>
            <w:r w:rsidRPr="00830F4C">
              <w:rPr>
                <w:rFonts w:ascii="Garamond" w:hAnsi="Garamond" w:cs="Times New Roman"/>
                <w:sz w:val="12"/>
                <w:szCs w:val="12"/>
                <w:lang w:val="sq-AL"/>
              </w:rPr>
              <w:t>-në</w:t>
            </w:r>
          </w:p>
        </w:tc>
        <w:tc>
          <w:tcPr>
            <w:tcW w:w="620" w:type="dxa"/>
            <w:tcBorders>
              <w:top w:val="single" w:sz="4" w:space="0" w:color="auto"/>
              <w:left w:val="single" w:sz="4" w:space="0" w:color="auto"/>
              <w:bottom w:val="single" w:sz="4" w:space="0" w:color="auto"/>
              <w:right w:val="single" w:sz="4" w:space="0" w:color="auto"/>
            </w:tcBorders>
            <w:hideMark/>
          </w:tcPr>
          <w:p w14:paraId="4F8A04A3"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620" w:type="dxa"/>
            <w:tcBorders>
              <w:top w:val="single" w:sz="4" w:space="0" w:color="auto"/>
              <w:left w:val="single" w:sz="4" w:space="0" w:color="auto"/>
              <w:bottom w:val="single" w:sz="4" w:space="0" w:color="auto"/>
              <w:right w:val="single" w:sz="4" w:space="0" w:color="auto"/>
            </w:tcBorders>
          </w:tcPr>
          <w:p w14:paraId="7CE0B881"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742" w:type="dxa"/>
            <w:tcBorders>
              <w:top w:val="single" w:sz="4" w:space="0" w:color="auto"/>
              <w:left w:val="single" w:sz="4" w:space="0" w:color="auto"/>
              <w:bottom w:val="single" w:sz="4" w:space="0" w:color="auto"/>
              <w:right w:val="single" w:sz="4" w:space="0" w:color="auto"/>
            </w:tcBorders>
          </w:tcPr>
          <w:p w14:paraId="54131E27"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720" w:type="dxa"/>
            <w:tcBorders>
              <w:top w:val="single" w:sz="4" w:space="0" w:color="auto"/>
              <w:left w:val="single" w:sz="4" w:space="0" w:color="auto"/>
              <w:bottom w:val="single" w:sz="4" w:space="0" w:color="auto"/>
              <w:right w:val="single" w:sz="4" w:space="0" w:color="auto"/>
            </w:tcBorders>
          </w:tcPr>
          <w:p w14:paraId="7C78B095"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hideMark/>
          </w:tcPr>
          <w:p w14:paraId="3D1B2BFB"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tcPr>
          <w:p w14:paraId="56730CBB"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561" w:type="dxa"/>
            <w:tcBorders>
              <w:top w:val="single" w:sz="4" w:space="0" w:color="auto"/>
              <w:left w:val="single" w:sz="4" w:space="0" w:color="auto"/>
              <w:bottom w:val="single" w:sz="4" w:space="0" w:color="auto"/>
              <w:right w:val="single" w:sz="4" w:space="0" w:color="auto"/>
            </w:tcBorders>
            <w:hideMark/>
          </w:tcPr>
          <w:p w14:paraId="16BC45E4"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r>
      <w:tr w:rsidR="00723888" w:rsidRPr="00830F4C" w14:paraId="103E709F" w14:textId="77777777" w:rsidTr="00DD658A">
        <w:trPr>
          <w:jc w:val="center"/>
        </w:trPr>
        <w:tc>
          <w:tcPr>
            <w:tcW w:w="4673" w:type="dxa"/>
            <w:tcBorders>
              <w:top w:val="single" w:sz="4" w:space="0" w:color="auto"/>
              <w:left w:val="single" w:sz="4" w:space="0" w:color="auto"/>
              <w:bottom w:val="single" w:sz="4" w:space="0" w:color="auto"/>
              <w:right w:val="single" w:sz="4" w:space="0" w:color="auto"/>
            </w:tcBorders>
          </w:tcPr>
          <w:p w14:paraId="459C8093"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Ulja e pagesave me para në dorë në ekonomi</w:t>
            </w:r>
          </w:p>
        </w:tc>
        <w:tc>
          <w:tcPr>
            <w:tcW w:w="620" w:type="dxa"/>
            <w:tcBorders>
              <w:top w:val="single" w:sz="4" w:space="0" w:color="auto"/>
              <w:left w:val="single" w:sz="4" w:space="0" w:color="auto"/>
              <w:bottom w:val="single" w:sz="4" w:space="0" w:color="auto"/>
              <w:right w:val="single" w:sz="4" w:space="0" w:color="auto"/>
            </w:tcBorders>
          </w:tcPr>
          <w:p w14:paraId="1FFD61D8"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620" w:type="dxa"/>
            <w:tcBorders>
              <w:top w:val="single" w:sz="4" w:space="0" w:color="auto"/>
              <w:left w:val="single" w:sz="4" w:space="0" w:color="auto"/>
              <w:bottom w:val="single" w:sz="4" w:space="0" w:color="auto"/>
              <w:right w:val="single" w:sz="4" w:space="0" w:color="auto"/>
            </w:tcBorders>
          </w:tcPr>
          <w:p w14:paraId="569F5829"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742" w:type="dxa"/>
            <w:tcBorders>
              <w:top w:val="single" w:sz="4" w:space="0" w:color="auto"/>
              <w:left w:val="single" w:sz="4" w:space="0" w:color="auto"/>
              <w:bottom w:val="single" w:sz="4" w:space="0" w:color="auto"/>
              <w:right w:val="single" w:sz="4" w:space="0" w:color="auto"/>
            </w:tcBorders>
          </w:tcPr>
          <w:p w14:paraId="3A05FBAE"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720" w:type="dxa"/>
            <w:tcBorders>
              <w:top w:val="single" w:sz="4" w:space="0" w:color="auto"/>
              <w:left w:val="single" w:sz="4" w:space="0" w:color="auto"/>
              <w:bottom w:val="single" w:sz="4" w:space="0" w:color="auto"/>
              <w:right w:val="single" w:sz="4" w:space="0" w:color="auto"/>
            </w:tcBorders>
          </w:tcPr>
          <w:p w14:paraId="12951370"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hideMark/>
          </w:tcPr>
          <w:p w14:paraId="7C175F43"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hideMark/>
          </w:tcPr>
          <w:p w14:paraId="27AE9AA8"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561" w:type="dxa"/>
            <w:tcBorders>
              <w:top w:val="single" w:sz="4" w:space="0" w:color="auto"/>
              <w:left w:val="single" w:sz="4" w:space="0" w:color="auto"/>
              <w:bottom w:val="single" w:sz="4" w:space="0" w:color="auto"/>
              <w:right w:val="single" w:sz="4" w:space="0" w:color="auto"/>
            </w:tcBorders>
          </w:tcPr>
          <w:p w14:paraId="706FE8AF"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r>
      <w:tr w:rsidR="00723888" w:rsidRPr="00830F4C" w14:paraId="0E9AD491" w14:textId="77777777" w:rsidTr="00DD658A">
        <w:trPr>
          <w:jc w:val="center"/>
        </w:trPr>
        <w:tc>
          <w:tcPr>
            <w:tcW w:w="4673" w:type="dxa"/>
            <w:tcBorders>
              <w:top w:val="single" w:sz="4" w:space="0" w:color="auto"/>
              <w:left w:val="single" w:sz="4" w:space="0" w:color="auto"/>
              <w:bottom w:val="single" w:sz="4" w:space="0" w:color="auto"/>
              <w:right w:val="single" w:sz="4" w:space="0" w:color="auto"/>
            </w:tcBorders>
          </w:tcPr>
          <w:p w14:paraId="46733EBB" w14:textId="5FB2694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Verifikimi i të ardhurave dhe kontrolli i</w:t>
            </w:r>
            <w:r w:rsidR="00D22EA5" w:rsidRPr="00830F4C">
              <w:rPr>
                <w:rFonts w:ascii="Garamond" w:hAnsi="Garamond"/>
                <w:sz w:val="12"/>
                <w:szCs w:val="12"/>
                <w:lang w:val="sq-AL"/>
              </w:rPr>
              <w:t xml:space="preserve"> </w:t>
            </w:r>
            <w:r w:rsidRPr="00830F4C">
              <w:rPr>
                <w:rFonts w:ascii="Garamond" w:hAnsi="Garamond"/>
                <w:sz w:val="12"/>
                <w:szCs w:val="12"/>
                <w:lang w:val="sq-AL"/>
              </w:rPr>
              <w:t>pasurive të pajustifikuara</w:t>
            </w:r>
          </w:p>
        </w:tc>
        <w:tc>
          <w:tcPr>
            <w:tcW w:w="620" w:type="dxa"/>
            <w:tcBorders>
              <w:top w:val="single" w:sz="4" w:space="0" w:color="auto"/>
              <w:left w:val="single" w:sz="4" w:space="0" w:color="auto"/>
              <w:bottom w:val="single" w:sz="4" w:space="0" w:color="auto"/>
              <w:right w:val="single" w:sz="4" w:space="0" w:color="auto"/>
            </w:tcBorders>
            <w:hideMark/>
          </w:tcPr>
          <w:p w14:paraId="4E3A63E6"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620" w:type="dxa"/>
            <w:tcBorders>
              <w:top w:val="single" w:sz="4" w:space="0" w:color="auto"/>
              <w:left w:val="single" w:sz="4" w:space="0" w:color="auto"/>
              <w:bottom w:val="single" w:sz="4" w:space="0" w:color="auto"/>
              <w:right w:val="single" w:sz="4" w:space="0" w:color="auto"/>
            </w:tcBorders>
          </w:tcPr>
          <w:p w14:paraId="311751D6"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742" w:type="dxa"/>
            <w:tcBorders>
              <w:top w:val="single" w:sz="4" w:space="0" w:color="auto"/>
              <w:left w:val="single" w:sz="4" w:space="0" w:color="auto"/>
              <w:bottom w:val="single" w:sz="4" w:space="0" w:color="auto"/>
              <w:right w:val="single" w:sz="4" w:space="0" w:color="auto"/>
            </w:tcBorders>
          </w:tcPr>
          <w:p w14:paraId="66AB4C11"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720" w:type="dxa"/>
            <w:tcBorders>
              <w:top w:val="single" w:sz="4" w:space="0" w:color="auto"/>
              <w:left w:val="single" w:sz="4" w:space="0" w:color="auto"/>
              <w:bottom w:val="single" w:sz="4" w:space="0" w:color="auto"/>
              <w:right w:val="single" w:sz="4" w:space="0" w:color="auto"/>
            </w:tcBorders>
          </w:tcPr>
          <w:p w14:paraId="54921366"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tcPr>
          <w:p w14:paraId="02FF0720"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tcPr>
          <w:p w14:paraId="0CC10CA7"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561" w:type="dxa"/>
            <w:tcBorders>
              <w:top w:val="single" w:sz="4" w:space="0" w:color="auto"/>
              <w:left w:val="single" w:sz="4" w:space="0" w:color="auto"/>
              <w:bottom w:val="single" w:sz="4" w:space="0" w:color="auto"/>
              <w:right w:val="single" w:sz="4" w:space="0" w:color="auto"/>
            </w:tcBorders>
          </w:tcPr>
          <w:p w14:paraId="650F14B8"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r>
      <w:tr w:rsidR="00723888" w:rsidRPr="00830F4C" w14:paraId="023A78DB" w14:textId="77777777" w:rsidTr="00DD658A">
        <w:trPr>
          <w:jc w:val="center"/>
        </w:trPr>
        <w:tc>
          <w:tcPr>
            <w:tcW w:w="4673" w:type="dxa"/>
            <w:tcBorders>
              <w:top w:val="single" w:sz="4" w:space="0" w:color="auto"/>
              <w:left w:val="single" w:sz="4" w:space="0" w:color="auto"/>
              <w:bottom w:val="single" w:sz="4" w:space="0" w:color="auto"/>
              <w:right w:val="single" w:sz="4" w:space="0" w:color="auto"/>
            </w:tcBorders>
          </w:tcPr>
          <w:p w14:paraId="64D98149"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Zvogëlimi i shmangies tatimore</w:t>
            </w:r>
          </w:p>
        </w:tc>
        <w:tc>
          <w:tcPr>
            <w:tcW w:w="620" w:type="dxa"/>
            <w:tcBorders>
              <w:top w:val="single" w:sz="4" w:space="0" w:color="auto"/>
              <w:left w:val="single" w:sz="4" w:space="0" w:color="auto"/>
              <w:bottom w:val="single" w:sz="4" w:space="0" w:color="auto"/>
              <w:right w:val="single" w:sz="4" w:space="0" w:color="auto"/>
            </w:tcBorders>
          </w:tcPr>
          <w:p w14:paraId="0741B9B8"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620" w:type="dxa"/>
            <w:tcBorders>
              <w:top w:val="single" w:sz="4" w:space="0" w:color="auto"/>
              <w:left w:val="single" w:sz="4" w:space="0" w:color="auto"/>
              <w:bottom w:val="single" w:sz="4" w:space="0" w:color="auto"/>
              <w:right w:val="single" w:sz="4" w:space="0" w:color="auto"/>
            </w:tcBorders>
          </w:tcPr>
          <w:p w14:paraId="7F7E8668"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742" w:type="dxa"/>
            <w:tcBorders>
              <w:top w:val="single" w:sz="4" w:space="0" w:color="auto"/>
              <w:left w:val="single" w:sz="4" w:space="0" w:color="auto"/>
              <w:bottom w:val="single" w:sz="4" w:space="0" w:color="auto"/>
              <w:right w:val="single" w:sz="4" w:space="0" w:color="auto"/>
            </w:tcBorders>
          </w:tcPr>
          <w:p w14:paraId="33F73752"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720" w:type="dxa"/>
            <w:tcBorders>
              <w:top w:val="single" w:sz="4" w:space="0" w:color="auto"/>
              <w:left w:val="single" w:sz="4" w:space="0" w:color="auto"/>
              <w:bottom w:val="single" w:sz="4" w:space="0" w:color="auto"/>
              <w:right w:val="single" w:sz="4" w:space="0" w:color="auto"/>
            </w:tcBorders>
          </w:tcPr>
          <w:p w14:paraId="2E12223A"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hideMark/>
          </w:tcPr>
          <w:p w14:paraId="08B7D1F5"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tcPr>
          <w:p w14:paraId="0EFE510A"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561" w:type="dxa"/>
            <w:tcBorders>
              <w:top w:val="single" w:sz="4" w:space="0" w:color="auto"/>
              <w:left w:val="single" w:sz="4" w:space="0" w:color="auto"/>
              <w:bottom w:val="single" w:sz="4" w:space="0" w:color="auto"/>
              <w:right w:val="single" w:sz="4" w:space="0" w:color="auto"/>
            </w:tcBorders>
          </w:tcPr>
          <w:p w14:paraId="4D77A67A"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r>
      <w:tr w:rsidR="00723888" w:rsidRPr="00830F4C" w14:paraId="6589D776" w14:textId="77777777" w:rsidTr="00DD658A">
        <w:trPr>
          <w:jc w:val="center"/>
        </w:trPr>
        <w:tc>
          <w:tcPr>
            <w:tcW w:w="4673" w:type="dxa"/>
            <w:tcBorders>
              <w:top w:val="single" w:sz="4" w:space="0" w:color="auto"/>
              <w:left w:val="single" w:sz="4" w:space="0" w:color="auto"/>
              <w:bottom w:val="single" w:sz="4" w:space="0" w:color="auto"/>
              <w:right w:val="single" w:sz="4" w:space="0" w:color="auto"/>
            </w:tcBorders>
          </w:tcPr>
          <w:p w14:paraId="183B1791" w14:textId="77777777" w:rsidR="00DD658A" w:rsidRPr="00830F4C" w:rsidRDefault="00DD658A" w:rsidP="00DD658A">
            <w:pPr>
              <w:pStyle w:val="T-normal"/>
              <w:rPr>
                <w:rFonts w:ascii="Garamond" w:hAnsi="Garamond" w:cs="Times New Roman"/>
                <w:sz w:val="12"/>
                <w:szCs w:val="12"/>
                <w:lang w:val="sq-AL"/>
              </w:rPr>
            </w:pPr>
            <w:r w:rsidRPr="00830F4C">
              <w:rPr>
                <w:rFonts w:ascii="Garamond" w:hAnsi="Garamond" w:cs="Times New Roman"/>
                <w:sz w:val="12"/>
                <w:szCs w:val="12"/>
                <w:lang w:val="sq-AL"/>
              </w:rPr>
              <w:t>Reduktimi i punës së padeklaruar dhe të nëndeklarimit të pagës reale</w:t>
            </w:r>
          </w:p>
        </w:tc>
        <w:tc>
          <w:tcPr>
            <w:tcW w:w="620" w:type="dxa"/>
            <w:tcBorders>
              <w:top w:val="single" w:sz="4" w:space="0" w:color="auto"/>
              <w:left w:val="single" w:sz="4" w:space="0" w:color="auto"/>
              <w:bottom w:val="single" w:sz="4" w:space="0" w:color="auto"/>
              <w:right w:val="single" w:sz="4" w:space="0" w:color="auto"/>
            </w:tcBorders>
          </w:tcPr>
          <w:p w14:paraId="2E03DD63"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620" w:type="dxa"/>
            <w:tcBorders>
              <w:top w:val="single" w:sz="4" w:space="0" w:color="auto"/>
              <w:left w:val="single" w:sz="4" w:space="0" w:color="auto"/>
              <w:bottom w:val="single" w:sz="4" w:space="0" w:color="auto"/>
              <w:right w:val="single" w:sz="4" w:space="0" w:color="auto"/>
            </w:tcBorders>
          </w:tcPr>
          <w:p w14:paraId="6550E2EC"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742" w:type="dxa"/>
            <w:tcBorders>
              <w:top w:val="single" w:sz="4" w:space="0" w:color="auto"/>
              <w:left w:val="single" w:sz="4" w:space="0" w:color="auto"/>
              <w:bottom w:val="single" w:sz="4" w:space="0" w:color="auto"/>
              <w:right w:val="single" w:sz="4" w:space="0" w:color="auto"/>
            </w:tcBorders>
          </w:tcPr>
          <w:p w14:paraId="6B1E6E45"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720" w:type="dxa"/>
            <w:tcBorders>
              <w:top w:val="single" w:sz="4" w:space="0" w:color="auto"/>
              <w:left w:val="single" w:sz="4" w:space="0" w:color="auto"/>
              <w:bottom w:val="single" w:sz="4" w:space="0" w:color="auto"/>
              <w:right w:val="single" w:sz="4" w:space="0" w:color="auto"/>
            </w:tcBorders>
          </w:tcPr>
          <w:p w14:paraId="0979348C"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tcPr>
          <w:p w14:paraId="09E18C7F"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tcPr>
          <w:p w14:paraId="2CD78901"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561" w:type="dxa"/>
            <w:tcBorders>
              <w:top w:val="single" w:sz="4" w:space="0" w:color="auto"/>
              <w:left w:val="single" w:sz="4" w:space="0" w:color="auto"/>
              <w:bottom w:val="single" w:sz="4" w:space="0" w:color="auto"/>
              <w:right w:val="single" w:sz="4" w:space="0" w:color="auto"/>
            </w:tcBorders>
          </w:tcPr>
          <w:p w14:paraId="63AFACEC"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r>
      <w:tr w:rsidR="00723888" w:rsidRPr="00830F4C" w14:paraId="4B1091EA" w14:textId="77777777" w:rsidTr="00DD658A">
        <w:trPr>
          <w:jc w:val="center"/>
        </w:trPr>
        <w:tc>
          <w:tcPr>
            <w:tcW w:w="4673" w:type="dxa"/>
            <w:tcBorders>
              <w:top w:val="single" w:sz="4" w:space="0" w:color="auto"/>
              <w:left w:val="single" w:sz="4" w:space="0" w:color="auto"/>
              <w:bottom w:val="single" w:sz="4" w:space="0" w:color="auto"/>
              <w:right w:val="single" w:sz="4" w:space="0" w:color="auto"/>
            </w:tcBorders>
          </w:tcPr>
          <w:p w14:paraId="741BC220" w14:textId="5A7DBC2E" w:rsidR="00DD658A" w:rsidRPr="00830F4C" w:rsidRDefault="00DD658A" w:rsidP="00DD658A">
            <w:pPr>
              <w:pStyle w:val="T-normal"/>
              <w:rPr>
                <w:rFonts w:ascii="Garamond" w:hAnsi="Garamond" w:cs="Times New Roman"/>
                <w:sz w:val="12"/>
                <w:szCs w:val="12"/>
                <w:lang w:val="sq-AL"/>
              </w:rPr>
            </w:pPr>
            <w:r w:rsidRPr="00830F4C">
              <w:rPr>
                <w:rFonts w:ascii="Garamond" w:hAnsi="Garamond" w:cs="Times New Roman"/>
                <w:sz w:val="12"/>
                <w:szCs w:val="12"/>
                <w:lang w:val="sq-AL"/>
              </w:rPr>
              <w:t>Reduktimi i kostove të pajtueshmërisë dhe rritja e sigurisë tatimore dhe besimit tek administrata tatimore</w:t>
            </w:r>
          </w:p>
        </w:tc>
        <w:tc>
          <w:tcPr>
            <w:tcW w:w="620" w:type="dxa"/>
            <w:tcBorders>
              <w:top w:val="single" w:sz="4" w:space="0" w:color="auto"/>
              <w:left w:val="single" w:sz="4" w:space="0" w:color="auto"/>
              <w:bottom w:val="single" w:sz="4" w:space="0" w:color="auto"/>
              <w:right w:val="single" w:sz="4" w:space="0" w:color="auto"/>
            </w:tcBorders>
          </w:tcPr>
          <w:p w14:paraId="67F333EB"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620" w:type="dxa"/>
            <w:tcBorders>
              <w:top w:val="single" w:sz="4" w:space="0" w:color="auto"/>
              <w:left w:val="single" w:sz="4" w:space="0" w:color="auto"/>
              <w:bottom w:val="single" w:sz="4" w:space="0" w:color="auto"/>
              <w:right w:val="single" w:sz="4" w:space="0" w:color="auto"/>
            </w:tcBorders>
          </w:tcPr>
          <w:p w14:paraId="781BA698"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742" w:type="dxa"/>
            <w:tcBorders>
              <w:top w:val="single" w:sz="4" w:space="0" w:color="auto"/>
              <w:left w:val="single" w:sz="4" w:space="0" w:color="auto"/>
              <w:bottom w:val="single" w:sz="4" w:space="0" w:color="auto"/>
              <w:right w:val="single" w:sz="4" w:space="0" w:color="auto"/>
            </w:tcBorders>
          </w:tcPr>
          <w:p w14:paraId="57D30875"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720" w:type="dxa"/>
            <w:tcBorders>
              <w:top w:val="single" w:sz="4" w:space="0" w:color="auto"/>
              <w:left w:val="single" w:sz="4" w:space="0" w:color="auto"/>
              <w:bottom w:val="single" w:sz="4" w:space="0" w:color="auto"/>
              <w:right w:val="single" w:sz="4" w:space="0" w:color="auto"/>
            </w:tcBorders>
          </w:tcPr>
          <w:p w14:paraId="55F8586E"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tcPr>
          <w:p w14:paraId="33654B54"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tcPr>
          <w:p w14:paraId="5007A769"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561" w:type="dxa"/>
            <w:tcBorders>
              <w:top w:val="single" w:sz="4" w:space="0" w:color="auto"/>
              <w:left w:val="single" w:sz="4" w:space="0" w:color="auto"/>
              <w:bottom w:val="single" w:sz="4" w:space="0" w:color="auto"/>
              <w:right w:val="single" w:sz="4" w:space="0" w:color="auto"/>
            </w:tcBorders>
          </w:tcPr>
          <w:p w14:paraId="50AE5570"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r>
      <w:tr w:rsidR="00723888" w:rsidRPr="00830F4C" w14:paraId="51737AC3" w14:textId="77777777" w:rsidTr="00DD658A">
        <w:trPr>
          <w:jc w:val="center"/>
        </w:trPr>
        <w:tc>
          <w:tcPr>
            <w:tcW w:w="4673" w:type="dxa"/>
            <w:tcBorders>
              <w:top w:val="single" w:sz="4" w:space="0" w:color="auto"/>
              <w:left w:val="single" w:sz="4" w:space="0" w:color="auto"/>
              <w:bottom w:val="single" w:sz="4" w:space="0" w:color="auto"/>
              <w:right w:val="single" w:sz="4" w:space="0" w:color="auto"/>
            </w:tcBorders>
          </w:tcPr>
          <w:p w14:paraId="55BA8AE2" w14:textId="24A9266D" w:rsidR="00DD658A" w:rsidRPr="00830F4C" w:rsidRDefault="00DD658A" w:rsidP="00DD658A">
            <w:pPr>
              <w:pStyle w:val="T-normal"/>
              <w:rPr>
                <w:rFonts w:ascii="Garamond" w:hAnsi="Garamond" w:cs="Times New Roman"/>
                <w:sz w:val="12"/>
                <w:szCs w:val="12"/>
                <w:lang w:val="sq-AL"/>
              </w:rPr>
            </w:pPr>
            <w:r w:rsidRPr="00830F4C">
              <w:rPr>
                <w:rFonts w:ascii="Garamond" w:hAnsi="Garamond" w:cs="Times New Roman"/>
                <w:sz w:val="12"/>
                <w:szCs w:val="12"/>
                <w:lang w:val="sq-AL"/>
              </w:rPr>
              <w:t>Përmirësimi i cilësisë së shërbimit të ofruar nga Administrata Tatimore (AT) nëpërmjet zhvillimit të kapaciteteve institucionale të administratës tatimore</w:t>
            </w:r>
          </w:p>
        </w:tc>
        <w:tc>
          <w:tcPr>
            <w:tcW w:w="620" w:type="dxa"/>
            <w:tcBorders>
              <w:top w:val="single" w:sz="4" w:space="0" w:color="auto"/>
              <w:left w:val="single" w:sz="4" w:space="0" w:color="auto"/>
              <w:bottom w:val="single" w:sz="4" w:space="0" w:color="auto"/>
              <w:right w:val="single" w:sz="4" w:space="0" w:color="auto"/>
            </w:tcBorders>
          </w:tcPr>
          <w:p w14:paraId="706EE7E0"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620" w:type="dxa"/>
            <w:tcBorders>
              <w:top w:val="single" w:sz="4" w:space="0" w:color="auto"/>
              <w:left w:val="single" w:sz="4" w:space="0" w:color="auto"/>
              <w:bottom w:val="single" w:sz="4" w:space="0" w:color="auto"/>
              <w:right w:val="single" w:sz="4" w:space="0" w:color="auto"/>
            </w:tcBorders>
          </w:tcPr>
          <w:p w14:paraId="69C26C2A"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742" w:type="dxa"/>
            <w:tcBorders>
              <w:top w:val="single" w:sz="4" w:space="0" w:color="auto"/>
              <w:left w:val="single" w:sz="4" w:space="0" w:color="auto"/>
              <w:bottom w:val="single" w:sz="4" w:space="0" w:color="auto"/>
              <w:right w:val="single" w:sz="4" w:space="0" w:color="auto"/>
            </w:tcBorders>
          </w:tcPr>
          <w:p w14:paraId="62BC87C2"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720" w:type="dxa"/>
            <w:tcBorders>
              <w:top w:val="single" w:sz="4" w:space="0" w:color="auto"/>
              <w:left w:val="single" w:sz="4" w:space="0" w:color="auto"/>
              <w:bottom w:val="single" w:sz="4" w:space="0" w:color="auto"/>
              <w:right w:val="single" w:sz="4" w:space="0" w:color="auto"/>
            </w:tcBorders>
          </w:tcPr>
          <w:p w14:paraId="75B10B05"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tcPr>
          <w:p w14:paraId="2400AE16"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tcPr>
          <w:p w14:paraId="492351CA"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561" w:type="dxa"/>
            <w:tcBorders>
              <w:top w:val="single" w:sz="4" w:space="0" w:color="auto"/>
              <w:left w:val="single" w:sz="4" w:space="0" w:color="auto"/>
              <w:bottom w:val="single" w:sz="4" w:space="0" w:color="auto"/>
              <w:right w:val="single" w:sz="4" w:space="0" w:color="auto"/>
            </w:tcBorders>
          </w:tcPr>
          <w:p w14:paraId="6B059D61"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r>
      <w:tr w:rsidR="00723888" w:rsidRPr="00830F4C" w14:paraId="75171F04" w14:textId="77777777" w:rsidTr="00DD658A">
        <w:trPr>
          <w:jc w:val="center"/>
        </w:trPr>
        <w:tc>
          <w:tcPr>
            <w:tcW w:w="9016" w:type="dxa"/>
            <w:gridSpan w:val="8"/>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63973AA" w14:textId="77777777" w:rsidR="00DD658A" w:rsidRPr="005803BD" w:rsidRDefault="00DD658A" w:rsidP="00DD658A">
            <w:pPr>
              <w:pStyle w:val="T-normal"/>
              <w:rPr>
                <w:rFonts w:ascii="Garamond" w:hAnsi="Garamond"/>
                <w:b/>
                <w:sz w:val="12"/>
                <w:szCs w:val="12"/>
                <w:lang w:val="sq-AL"/>
              </w:rPr>
            </w:pPr>
            <w:r w:rsidRPr="005803BD">
              <w:rPr>
                <w:rFonts w:ascii="Garamond" w:hAnsi="Garamond"/>
                <w:b/>
                <w:sz w:val="12"/>
                <w:szCs w:val="12"/>
                <w:lang w:val="sq-AL"/>
              </w:rPr>
              <w:t>Shtylla 3: Mirëadministrimi doganor</w:t>
            </w:r>
          </w:p>
        </w:tc>
      </w:tr>
      <w:tr w:rsidR="00723888" w:rsidRPr="00830F4C" w14:paraId="4FD4ADC3" w14:textId="77777777" w:rsidTr="00DD658A">
        <w:trPr>
          <w:jc w:val="center"/>
        </w:trPr>
        <w:tc>
          <w:tcPr>
            <w:tcW w:w="4673" w:type="dxa"/>
            <w:tcBorders>
              <w:top w:val="single" w:sz="4" w:space="0" w:color="auto"/>
              <w:left w:val="single" w:sz="4" w:space="0" w:color="auto"/>
              <w:bottom w:val="single" w:sz="4" w:space="0" w:color="auto"/>
              <w:right w:val="single" w:sz="4" w:space="0" w:color="auto"/>
            </w:tcBorders>
          </w:tcPr>
          <w:p w14:paraId="130DC9A0"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Modernizimi i proceseve të biznesit, duke përfshirë centralizimin e funksionit të profilizimit të riskut</w:t>
            </w:r>
          </w:p>
        </w:tc>
        <w:tc>
          <w:tcPr>
            <w:tcW w:w="620" w:type="dxa"/>
            <w:tcBorders>
              <w:top w:val="single" w:sz="4" w:space="0" w:color="auto"/>
              <w:left w:val="single" w:sz="4" w:space="0" w:color="auto"/>
              <w:bottom w:val="single" w:sz="4" w:space="0" w:color="auto"/>
              <w:right w:val="single" w:sz="4" w:space="0" w:color="auto"/>
            </w:tcBorders>
          </w:tcPr>
          <w:p w14:paraId="12FCCBA1"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620" w:type="dxa"/>
            <w:tcBorders>
              <w:top w:val="single" w:sz="4" w:space="0" w:color="auto"/>
              <w:left w:val="single" w:sz="4" w:space="0" w:color="auto"/>
              <w:bottom w:val="single" w:sz="4" w:space="0" w:color="auto"/>
              <w:right w:val="single" w:sz="4" w:space="0" w:color="auto"/>
            </w:tcBorders>
          </w:tcPr>
          <w:p w14:paraId="071CA46D"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742" w:type="dxa"/>
            <w:tcBorders>
              <w:top w:val="single" w:sz="4" w:space="0" w:color="auto"/>
              <w:left w:val="single" w:sz="4" w:space="0" w:color="auto"/>
              <w:bottom w:val="single" w:sz="4" w:space="0" w:color="auto"/>
              <w:right w:val="single" w:sz="4" w:space="0" w:color="auto"/>
            </w:tcBorders>
          </w:tcPr>
          <w:p w14:paraId="70DCA144"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720" w:type="dxa"/>
            <w:tcBorders>
              <w:top w:val="single" w:sz="4" w:space="0" w:color="auto"/>
              <w:left w:val="single" w:sz="4" w:space="0" w:color="auto"/>
              <w:bottom w:val="single" w:sz="4" w:space="0" w:color="auto"/>
              <w:right w:val="single" w:sz="4" w:space="0" w:color="auto"/>
            </w:tcBorders>
          </w:tcPr>
          <w:p w14:paraId="5B23AC55"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tcPr>
          <w:p w14:paraId="029711D3"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tcPr>
          <w:p w14:paraId="78937010"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561" w:type="dxa"/>
            <w:tcBorders>
              <w:top w:val="single" w:sz="4" w:space="0" w:color="auto"/>
              <w:left w:val="single" w:sz="4" w:space="0" w:color="auto"/>
              <w:bottom w:val="single" w:sz="4" w:space="0" w:color="auto"/>
              <w:right w:val="single" w:sz="4" w:space="0" w:color="auto"/>
            </w:tcBorders>
          </w:tcPr>
          <w:p w14:paraId="4B3F20A8"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r>
      <w:tr w:rsidR="00723888" w:rsidRPr="00830F4C" w14:paraId="3DB9BD99" w14:textId="77777777" w:rsidTr="00DD658A">
        <w:trPr>
          <w:jc w:val="center"/>
        </w:trPr>
        <w:tc>
          <w:tcPr>
            <w:tcW w:w="4673" w:type="dxa"/>
            <w:tcBorders>
              <w:top w:val="single" w:sz="4" w:space="0" w:color="auto"/>
              <w:left w:val="single" w:sz="4" w:space="0" w:color="auto"/>
              <w:bottom w:val="single" w:sz="4" w:space="0" w:color="auto"/>
              <w:right w:val="single" w:sz="4" w:space="0" w:color="auto"/>
            </w:tcBorders>
          </w:tcPr>
          <w:p w14:paraId="2D1AFEC9" w14:textId="77777777" w:rsidR="00DD658A" w:rsidRPr="00830F4C" w:rsidRDefault="00DD658A" w:rsidP="00DD658A">
            <w:pPr>
              <w:pStyle w:val="T-normal"/>
              <w:rPr>
                <w:rFonts w:ascii="Garamond" w:hAnsi="Garamond" w:cs="Times New Roman"/>
                <w:sz w:val="12"/>
                <w:szCs w:val="12"/>
                <w:lang w:val="sq-AL"/>
              </w:rPr>
            </w:pPr>
            <w:r w:rsidRPr="00830F4C">
              <w:rPr>
                <w:rFonts w:ascii="Garamond" w:hAnsi="Garamond" w:cs="Times New Roman"/>
                <w:sz w:val="12"/>
                <w:szCs w:val="12"/>
                <w:lang w:val="sq-AL"/>
              </w:rPr>
              <w:t>Zhvillimi i aftësive të zgjeruara analitike të të dhënave</w:t>
            </w:r>
          </w:p>
        </w:tc>
        <w:tc>
          <w:tcPr>
            <w:tcW w:w="620" w:type="dxa"/>
            <w:tcBorders>
              <w:top w:val="single" w:sz="4" w:space="0" w:color="auto"/>
              <w:left w:val="single" w:sz="4" w:space="0" w:color="auto"/>
              <w:bottom w:val="single" w:sz="4" w:space="0" w:color="auto"/>
              <w:right w:val="single" w:sz="4" w:space="0" w:color="auto"/>
            </w:tcBorders>
          </w:tcPr>
          <w:p w14:paraId="7FAD42E7"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620" w:type="dxa"/>
            <w:tcBorders>
              <w:top w:val="single" w:sz="4" w:space="0" w:color="auto"/>
              <w:left w:val="single" w:sz="4" w:space="0" w:color="auto"/>
              <w:bottom w:val="single" w:sz="4" w:space="0" w:color="auto"/>
              <w:right w:val="single" w:sz="4" w:space="0" w:color="auto"/>
            </w:tcBorders>
          </w:tcPr>
          <w:p w14:paraId="34EC889C"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742" w:type="dxa"/>
            <w:tcBorders>
              <w:top w:val="single" w:sz="4" w:space="0" w:color="auto"/>
              <w:left w:val="single" w:sz="4" w:space="0" w:color="auto"/>
              <w:bottom w:val="single" w:sz="4" w:space="0" w:color="auto"/>
              <w:right w:val="single" w:sz="4" w:space="0" w:color="auto"/>
            </w:tcBorders>
          </w:tcPr>
          <w:p w14:paraId="7141A9B4"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720" w:type="dxa"/>
            <w:tcBorders>
              <w:top w:val="single" w:sz="4" w:space="0" w:color="auto"/>
              <w:left w:val="single" w:sz="4" w:space="0" w:color="auto"/>
              <w:bottom w:val="single" w:sz="4" w:space="0" w:color="auto"/>
              <w:right w:val="single" w:sz="4" w:space="0" w:color="auto"/>
            </w:tcBorders>
          </w:tcPr>
          <w:p w14:paraId="7F1840D8"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tcPr>
          <w:p w14:paraId="607C9262"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tcPr>
          <w:p w14:paraId="26089371"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561" w:type="dxa"/>
            <w:tcBorders>
              <w:top w:val="single" w:sz="4" w:space="0" w:color="auto"/>
              <w:left w:val="single" w:sz="4" w:space="0" w:color="auto"/>
              <w:bottom w:val="single" w:sz="4" w:space="0" w:color="auto"/>
              <w:right w:val="single" w:sz="4" w:space="0" w:color="auto"/>
            </w:tcBorders>
          </w:tcPr>
          <w:p w14:paraId="320D27B9"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r>
      <w:tr w:rsidR="00723888" w:rsidRPr="00830F4C" w14:paraId="79B1C2AB" w14:textId="77777777" w:rsidTr="00DD658A">
        <w:trPr>
          <w:jc w:val="center"/>
        </w:trPr>
        <w:tc>
          <w:tcPr>
            <w:tcW w:w="4673" w:type="dxa"/>
            <w:tcBorders>
              <w:top w:val="single" w:sz="4" w:space="0" w:color="auto"/>
              <w:left w:val="single" w:sz="4" w:space="0" w:color="auto"/>
              <w:bottom w:val="single" w:sz="4" w:space="0" w:color="auto"/>
              <w:right w:val="single" w:sz="4" w:space="0" w:color="auto"/>
            </w:tcBorders>
          </w:tcPr>
          <w:p w14:paraId="19AB64CF" w14:textId="77777777" w:rsidR="00DD658A" w:rsidRPr="00830F4C" w:rsidRDefault="00DD658A" w:rsidP="00DD658A">
            <w:pPr>
              <w:rPr>
                <w:rFonts w:ascii="Garamond" w:hAnsi="Garamond"/>
                <w:sz w:val="12"/>
                <w:szCs w:val="12"/>
              </w:rPr>
            </w:pPr>
            <w:r w:rsidRPr="00830F4C">
              <w:rPr>
                <w:rFonts w:ascii="Garamond" w:hAnsi="Garamond"/>
                <w:sz w:val="12"/>
                <w:szCs w:val="12"/>
              </w:rPr>
              <w:t>Rritja e investimeve në zhvillimin e sistemeve të Teknologjisë së Informacionit</w:t>
            </w:r>
          </w:p>
          <w:p w14:paraId="5F4724F3" w14:textId="77777777" w:rsidR="00DD658A" w:rsidRPr="00830F4C" w:rsidRDefault="00DD658A" w:rsidP="00DD658A">
            <w:pPr>
              <w:pStyle w:val="T-normal"/>
              <w:rPr>
                <w:rFonts w:ascii="Garamond" w:hAnsi="Garamond"/>
                <w:sz w:val="12"/>
                <w:szCs w:val="12"/>
                <w:lang w:val="sq-AL"/>
              </w:rPr>
            </w:pPr>
          </w:p>
        </w:tc>
        <w:tc>
          <w:tcPr>
            <w:tcW w:w="620" w:type="dxa"/>
            <w:tcBorders>
              <w:top w:val="single" w:sz="4" w:space="0" w:color="auto"/>
              <w:left w:val="single" w:sz="4" w:space="0" w:color="auto"/>
              <w:bottom w:val="single" w:sz="4" w:space="0" w:color="auto"/>
              <w:right w:val="single" w:sz="4" w:space="0" w:color="auto"/>
            </w:tcBorders>
          </w:tcPr>
          <w:p w14:paraId="4761709E"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620" w:type="dxa"/>
            <w:tcBorders>
              <w:top w:val="single" w:sz="4" w:space="0" w:color="auto"/>
              <w:left w:val="single" w:sz="4" w:space="0" w:color="auto"/>
              <w:bottom w:val="single" w:sz="4" w:space="0" w:color="auto"/>
              <w:right w:val="single" w:sz="4" w:space="0" w:color="auto"/>
            </w:tcBorders>
          </w:tcPr>
          <w:p w14:paraId="002A3E49"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742" w:type="dxa"/>
            <w:tcBorders>
              <w:top w:val="single" w:sz="4" w:space="0" w:color="auto"/>
              <w:left w:val="single" w:sz="4" w:space="0" w:color="auto"/>
              <w:bottom w:val="single" w:sz="4" w:space="0" w:color="auto"/>
              <w:right w:val="single" w:sz="4" w:space="0" w:color="auto"/>
            </w:tcBorders>
          </w:tcPr>
          <w:p w14:paraId="6FA424AC"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720" w:type="dxa"/>
            <w:tcBorders>
              <w:top w:val="single" w:sz="4" w:space="0" w:color="auto"/>
              <w:left w:val="single" w:sz="4" w:space="0" w:color="auto"/>
              <w:bottom w:val="single" w:sz="4" w:space="0" w:color="auto"/>
              <w:right w:val="single" w:sz="4" w:space="0" w:color="auto"/>
            </w:tcBorders>
          </w:tcPr>
          <w:p w14:paraId="071FD67F"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tcPr>
          <w:p w14:paraId="6B74794F"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tcPr>
          <w:p w14:paraId="6E5ECE39"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561" w:type="dxa"/>
            <w:tcBorders>
              <w:top w:val="single" w:sz="4" w:space="0" w:color="auto"/>
              <w:left w:val="single" w:sz="4" w:space="0" w:color="auto"/>
              <w:bottom w:val="single" w:sz="4" w:space="0" w:color="auto"/>
              <w:right w:val="single" w:sz="4" w:space="0" w:color="auto"/>
            </w:tcBorders>
          </w:tcPr>
          <w:p w14:paraId="461A4ABB"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r>
      <w:tr w:rsidR="00723888" w:rsidRPr="00830F4C" w14:paraId="2378FEEC" w14:textId="77777777" w:rsidTr="00DD658A">
        <w:trPr>
          <w:jc w:val="center"/>
        </w:trPr>
        <w:tc>
          <w:tcPr>
            <w:tcW w:w="4673" w:type="dxa"/>
            <w:tcBorders>
              <w:top w:val="single" w:sz="4" w:space="0" w:color="auto"/>
              <w:left w:val="single" w:sz="4" w:space="0" w:color="auto"/>
              <w:bottom w:val="single" w:sz="4" w:space="0" w:color="auto"/>
              <w:right w:val="single" w:sz="4" w:space="0" w:color="auto"/>
            </w:tcBorders>
          </w:tcPr>
          <w:p w14:paraId="3386190D" w14:textId="49DCCDE8" w:rsidR="00DD658A" w:rsidRPr="00830F4C" w:rsidRDefault="00DD658A" w:rsidP="00DD658A">
            <w:pPr>
              <w:rPr>
                <w:rFonts w:ascii="Garamond" w:hAnsi="Garamond"/>
                <w:bCs/>
                <w:sz w:val="12"/>
                <w:szCs w:val="12"/>
              </w:rPr>
            </w:pPr>
            <w:r w:rsidRPr="00830F4C">
              <w:rPr>
                <w:rFonts w:ascii="Garamond" w:hAnsi="Garamond"/>
                <w:bCs/>
                <w:sz w:val="12"/>
                <w:szCs w:val="12"/>
              </w:rPr>
              <w:t>Zhvillimi dhe zbatimi plotësisht i një korniz</w:t>
            </w:r>
            <w:r w:rsidR="005803BD">
              <w:rPr>
                <w:rFonts w:ascii="Garamond" w:hAnsi="Garamond"/>
                <w:bCs/>
                <w:sz w:val="12"/>
                <w:szCs w:val="12"/>
              </w:rPr>
              <w:t>e</w:t>
            </w:r>
            <w:r w:rsidRPr="00830F4C">
              <w:rPr>
                <w:rFonts w:ascii="Garamond" w:hAnsi="Garamond"/>
                <w:bCs/>
                <w:sz w:val="12"/>
                <w:szCs w:val="12"/>
              </w:rPr>
              <w:t xml:space="preserve"> integriteti për të ndihmuar në ndërtimin e besimit të komunitetit</w:t>
            </w:r>
          </w:p>
          <w:p w14:paraId="3A7BD62C" w14:textId="77777777" w:rsidR="00DD658A" w:rsidRPr="00830F4C" w:rsidRDefault="00DD658A" w:rsidP="00DD658A">
            <w:pPr>
              <w:pStyle w:val="T-normal"/>
              <w:rPr>
                <w:rFonts w:ascii="Garamond" w:hAnsi="Garamond" w:cs="Times New Roman"/>
                <w:sz w:val="12"/>
                <w:szCs w:val="12"/>
                <w:lang w:val="sq-AL"/>
              </w:rPr>
            </w:pPr>
          </w:p>
        </w:tc>
        <w:tc>
          <w:tcPr>
            <w:tcW w:w="620" w:type="dxa"/>
            <w:tcBorders>
              <w:top w:val="single" w:sz="4" w:space="0" w:color="auto"/>
              <w:left w:val="single" w:sz="4" w:space="0" w:color="auto"/>
              <w:bottom w:val="single" w:sz="4" w:space="0" w:color="auto"/>
              <w:right w:val="single" w:sz="4" w:space="0" w:color="auto"/>
            </w:tcBorders>
          </w:tcPr>
          <w:p w14:paraId="3BD436A4"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620" w:type="dxa"/>
            <w:tcBorders>
              <w:top w:val="single" w:sz="4" w:space="0" w:color="auto"/>
              <w:left w:val="single" w:sz="4" w:space="0" w:color="auto"/>
              <w:bottom w:val="single" w:sz="4" w:space="0" w:color="auto"/>
              <w:right w:val="single" w:sz="4" w:space="0" w:color="auto"/>
            </w:tcBorders>
          </w:tcPr>
          <w:p w14:paraId="5741178E"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742" w:type="dxa"/>
            <w:tcBorders>
              <w:top w:val="single" w:sz="4" w:space="0" w:color="auto"/>
              <w:left w:val="single" w:sz="4" w:space="0" w:color="auto"/>
              <w:bottom w:val="single" w:sz="4" w:space="0" w:color="auto"/>
              <w:right w:val="single" w:sz="4" w:space="0" w:color="auto"/>
            </w:tcBorders>
          </w:tcPr>
          <w:p w14:paraId="77318497"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720" w:type="dxa"/>
            <w:tcBorders>
              <w:top w:val="single" w:sz="4" w:space="0" w:color="auto"/>
              <w:left w:val="single" w:sz="4" w:space="0" w:color="auto"/>
              <w:bottom w:val="single" w:sz="4" w:space="0" w:color="auto"/>
              <w:right w:val="single" w:sz="4" w:space="0" w:color="auto"/>
            </w:tcBorders>
          </w:tcPr>
          <w:p w14:paraId="41B8852C"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tcPr>
          <w:p w14:paraId="5ED9CD9D"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tcPr>
          <w:p w14:paraId="64B1D7B3"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561" w:type="dxa"/>
            <w:tcBorders>
              <w:top w:val="single" w:sz="4" w:space="0" w:color="auto"/>
              <w:left w:val="single" w:sz="4" w:space="0" w:color="auto"/>
              <w:bottom w:val="single" w:sz="4" w:space="0" w:color="auto"/>
              <w:right w:val="single" w:sz="4" w:space="0" w:color="auto"/>
            </w:tcBorders>
          </w:tcPr>
          <w:p w14:paraId="15ACDBCD"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r>
      <w:tr w:rsidR="00723888" w:rsidRPr="00830F4C" w14:paraId="5ED18984" w14:textId="77777777" w:rsidTr="00DD658A">
        <w:trPr>
          <w:jc w:val="center"/>
        </w:trPr>
        <w:tc>
          <w:tcPr>
            <w:tcW w:w="4673" w:type="dxa"/>
            <w:tcBorders>
              <w:top w:val="single" w:sz="4" w:space="0" w:color="auto"/>
              <w:left w:val="single" w:sz="4" w:space="0" w:color="auto"/>
              <w:bottom w:val="single" w:sz="4" w:space="0" w:color="auto"/>
              <w:right w:val="single" w:sz="4" w:space="0" w:color="auto"/>
            </w:tcBorders>
          </w:tcPr>
          <w:p w14:paraId="73D86718"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Rritja e numrit të operatorëve ekonomikë të autorizuar</w:t>
            </w:r>
          </w:p>
        </w:tc>
        <w:tc>
          <w:tcPr>
            <w:tcW w:w="620" w:type="dxa"/>
            <w:tcBorders>
              <w:top w:val="single" w:sz="4" w:space="0" w:color="auto"/>
              <w:left w:val="single" w:sz="4" w:space="0" w:color="auto"/>
              <w:bottom w:val="single" w:sz="4" w:space="0" w:color="auto"/>
              <w:right w:val="single" w:sz="4" w:space="0" w:color="auto"/>
            </w:tcBorders>
          </w:tcPr>
          <w:p w14:paraId="4FF7E8DF"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620" w:type="dxa"/>
            <w:tcBorders>
              <w:top w:val="single" w:sz="4" w:space="0" w:color="auto"/>
              <w:left w:val="single" w:sz="4" w:space="0" w:color="auto"/>
              <w:bottom w:val="single" w:sz="4" w:space="0" w:color="auto"/>
              <w:right w:val="single" w:sz="4" w:space="0" w:color="auto"/>
            </w:tcBorders>
          </w:tcPr>
          <w:p w14:paraId="74AD953D"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742" w:type="dxa"/>
            <w:tcBorders>
              <w:top w:val="single" w:sz="4" w:space="0" w:color="auto"/>
              <w:left w:val="single" w:sz="4" w:space="0" w:color="auto"/>
              <w:bottom w:val="single" w:sz="4" w:space="0" w:color="auto"/>
              <w:right w:val="single" w:sz="4" w:space="0" w:color="auto"/>
            </w:tcBorders>
          </w:tcPr>
          <w:p w14:paraId="42434A62"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720" w:type="dxa"/>
            <w:tcBorders>
              <w:top w:val="single" w:sz="4" w:space="0" w:color="auto"/>
              <w:left w:val="single" w:sz="4" w:space="0" w:color="auto"/>
              <w:bottom w:val="single" w:sz="4" w:space="0" w:color="auto"/>
              <w:right w:val="single" w:sz="4" w:space="0" w:color="auto"/>
            </w:tcBorders>
          </w:tcPr>
          <w:p w14:paraId="2A8969F2"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tcPr>
          <w:p w14:paraId="74B2224E"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tcPr>
          <w:p w14:paraId="70DB0FC8"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561" w:type="dxa"/>
            <w:tcBorders>
              <w:top w:val="single" w:sz="4" w:space="0" w:color="auto"/>
              <w:left w:val="single" w:sz="4" w:space="0" w:color="auto"/>
              <w:bottom w:val="single" w:sz="4" w:space="0" w:color="auto"/>
              <w:right w:val="single" w:sz="4" w:space="0" w:color="auto"/>
            </w:tcBorders>
          </w:tcPr>
          <w:p w14:paraId="1EF958D4"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r>
      <w:tr w:rsidR="00723888" w:rsidRPr="00830F4C" w14:paraId="10202892" w14:textId="77777777" w:rsidTr="00DD658A">
        <w:trPr>
          <w:jc w:val="center"/>
        </w:trPr>
        <w:tc>
          <w:tcPr>
            <w:tcW w:w="4673" w:type="dxa"/>
            <w:tcBorders>
              <w:top w:val="single" w:sz="4" w:space="0" w:color="auto"/>
              <w:left w:val="single" w:sz="4" w:space="0" w:color="auto"/>
              <w:bottom w:val="single" w:sz="4" w:space="0" w:color="auto"/>
              <w:right w:val="single" w:sz="4" w:space="0" w:color="auto"/>
            </w:tcBorders>
          </w:tcPr>
          <w:p w14:paraId="27957841" w14:textId="77777777" w:rsidR="00DD658A" w:rsidRPr="00830F4C" w:rsidRDefault="00DD658A" w:rsidP="00DD658A">
            <w:pPr>
              <w:rPr>
                <w:rFonts w:ascii="Garamond" w:hAnsi="Garamond"/>
                <w:bCs/>
                <w:sz w:val="12"/>
                <w:szCs w:val="12"/>
              </w:rPr>
            </w:pPr>
            <w:r w:rsidRPr="00830F4C">
              <w:rPr>
                <w:rFonts w:ascii="Garamond" w:hAnsi="Garamond"/>
                <w:bCs/>
                <w:sz w:val="12"/>
                <w:szCs w:val="12"/>
              </w:rPr>
              <w:t>Zbatimi i Dritares së Vetme Kombëtare (</w:t>
            </w:r>
            <w:r w:rsidRPr="00830F4C">
              <w:rPr>
                <w:rFonts w:ascii="Garamond" w:hAnsi="Garamond"/>
                <w:bCs/>
                <w:i/>
                <w:sz w:val="12"/>
                <w:szCs w:val="12"/>
              </w:rPr>
              <w:t>National National Single Window</w:t>
            </w:r>
            <w:r w:rsidRPr="00830F4C">
              <w:rPr>
                <w:rFonts w:ascii="Garamond" w:hAnsi="Garamond"/>
                <w:bCs/>
                <w:sz w:val="12"/>
                <w:szCs w:val="12"/>
              </w:rPr>
              <w:t>)</w:t>
            </w:r>
          </w:p>
          <w:p w14:paraId="2C330D49" w14:textId="77777777" w:rsidR="00DD658A" w:rsidRPr="00830F4C" w:rsidRDefault="00DD658A" w:rsidP="00DD658A">
            <w:pPr>
              <w:pStyle w:val="T-normal"/>
              <w:rPr>
                <w:rFonts w:ascii="Garamond" w:hAnsi="Garamond"/>
                <w:sz w:val="12"/>
                <w:szCs w:val="12"/>
                <w:lang w:val="sq-AL"/>
              </w:rPr>
            </w:pPr>
          </w:p>
        </w:tc>
        <w:tc>
          <w:tcPr>
            <w:tcW w:w="620" w:type="dxa"/>
            <w:tcBorders>
              <w:top w:val="single" w:sz="4" w:space="0" w:color="auto"/>
              <w:left w:val="single" w:sz="4" w:space="0" w:color="auto"/>
              <w:bottom w:val="single" w:sz="4" w:space="0" w:color="auto"/>
              <w:right w:val="single" w:sz="4" w:space="0" w:color="auto"/>
            </w:tcBorders>
          </w:tcPr>
          <w:p w14:paraId="3D9181C9"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620" w:type="dxa"/>
            <w:tcBorders>
              <w:top w:val="single" w:sz="4" w:space="0" w:color="auto"/>
              <w:left w:val="single" w:sz="4" w:space="0" w:color="auto"/>
              <w:bottom w:val="single" w:sz="4" w:space="0" w:color="auto"/>
              <w:right w:val="single" w:sz="4" w:space="0" w:color="auto"/>
            </w:tcBorders>
          </w:tcPr>
          <w:p w14:paraId="122CD4D0"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742" w:type="dxa"/>
            <w:tcBorders>
              <w:top w:val="single" w:sz="4" w:space="0" w:color="auto"/>
              <w:left w:val="single" w:sz="4" w:space="0" w:color="auto"/>
              <w:bottom w:val="single" w:sz="4" w:space="0" w:color="auto"/>
              <w:right w:val="single" w:sz="4" w:space="0" w:color="auto"/>
            </w:tcBorders>
          </w:tcPr>
          <w:p w14:paraId="5CECEC67"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720" w:type="dxa"/>
            <w:tcBorders>
              <w:top w:val="single" w:sz="4" w:space="0" w:color="auto"/>
              <w:left w:val="single" w:sz="4" w:space="0" w:color="auto"/>
              <w:bottom w:val="single" w:sz="4" w:space="0" w:color="auto"/>
              <w:right w:val="single" w:sz="4" w:space="0" w:color="auto"/>
            </w:tcBorders>
          </w:tcPr>
          <w:p w14:paraId="08361825"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tcPr>
          <w:p w14:paraId="1E48E610"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tcPr>
          <w:p w14:paraId="6DAEA424"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561" w:type="dxa"/>
            <w:tcBorders>
              <w:top w:val="single" w:sz="4" w:space="0" w:color="auto"/>
              <w:left w:val="single" w:sz="4" w:space="0" w:color="auto"/>
              <w:bottom w:val="single" w:sz="4" w:space="0" w:color="auto"/>
              <w:right w:val="single" w:sz="4" w:space="0" w:color="auto"/>
            </w:tcBorders>
          </w:tcPr>
          <w:p w14:paraId="5FDBD8FC"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r>
      <w:tr w:rsidR="00723888" w:rsidRPr="00830F4C" w14:paraId="6BA81204" w14:textId="77777777" w:rsidTr="00DD658A">
        <w:trPr>
          <w:jc w:val="center"/>
        </w:trPr>
        <w:tc>
          <w:tcPr>
            <w:tcW w:w="4673" w:type="dxa"/>
            <w:tcBorders>
              <w:top w:val="single" w:sz="4" w:space="0" w:color="auto"/>
              <w:left w:val="single" w:sz="4" w:space="0" w:color="auto"/>
              <w:bottom w:val="single" w:sz="4" w:space="0" w:color="auto"/>
              <w:right w:val="single" w:sz="4" w:space="0" w:color="auto"/>
            </w:tcBorders>
          </w:tcPr>
          <w:p w14:paraId="3CC12788" w14:textId="77777777" w:rsidR="00DD658A" w:rsidRPr="00830F4C" w:rsidRDefault="00DD658A" w:rsidP="00DD658A">
            <w:pPr>
              <w:pStyle w:val="T-normal"/>
              <w:rPr>
                <w:rFonts w:ascii="Garamond" w:hAnsi="Garamond" w:cs="Times New Roman"/>
                <w:sz w:val="12"/>
                <w:szCs w:val="12"/>
                <w:lang w:val="sq-AL"/>
              </w:rPr>
            </w:pPr>
            <w:r w:rsidRPr="00830F4C">
              <w:rPr>
                <w:rFonts w:ascii="Garamond" w:hAnsi="Garamond" w:cs="Times New Roman"/>
                <w:bCs/>
                <w:sz w:val="12"/>
                <w:szCs w:val="12"/>
                <w:lang w:val="sq-AL"/>
              </w:rPr>
              <w:t>Përmirësimi i përdorimit të Sistemit të Ri të Kompjuterizuar të Transitit (NCTS)</w:t>
            </w:r>
          </w:p>
        </w:tc>
        <w:tc>
          <w:tcPr>
            <w:tcW w:w="620" w:type="dxa"/>
            <w:tcBorders>
              <w:top w:val="single" w:sz="4" w:space="0" w:color="auto"/>
              <w:left w:val="single" w:sz="4" w:space="0" w:color="auto"/>
              <w:bottom w:val="single" w:sz="4" w:space="0" w:color="auto"/>
              <w:right w:val="single" w:sz="4" w:space="0" w:color="auto"/>
            </w:tcBorders>
          </w:tcPr>
          <w:p w14:paraId="5916529D"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620" w:type="dxa"/>
            <w:tcBorders>
              <w:top w:val="single" w:sz="4" w:space="0" w:color="auto"/>
              <w:left w:val="single" w:sz="4" w:space="0" w:color="auto"/>
              <w:bottom w:val="single" w:sz="4" w:space="0" w:color="auto"/>
              <w:right w:val="single" w:sz="4" w:space="0" w:color="auto"/>
            </w:tcBorders>
          </w:tcPr>
          <w:p w14:paraId="486C3271"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742" w:type="dxa"/>
            <w:tcBorders>
              <w:top w:val="single" w:sz="4" w:space="0" w:color="auto"/>
              <w:left w:val="single" w:sz="4" w:space="0" w:color="auto"/>
              <w:bottom w:val="single" w:sz="4" w:space="0" w:color="auto"/>
              <w:right w:val="single" w:sz="4" w:space="0" w:color="auto"/>
            </w:tcBorders>
          </w:tcPr>
          <w:p w14:paraId="79D7F7FB"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720" w:type="dxa"/>
            <w:tcBorders>
              <w:top w:val="single" w:sz="4" w:space="0" w:color="auto"/>
              <w:left w:val="single" w:sz="4" w:space="0" w:color="auto"/>
              <w:bottom w:val="single" w:sz="4" w:space="0" w:color="auto"/>
              <w:right w:val="single" w:sz="4" w:space="0" w:color="auto"/>
            </w:tcBorders>
          </w:tcPr>
          <w:p w14:paraId="6D515DB4"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tcPr>
          <w:p w14:paraId="6584B69A"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tcPr>
          <w:p w14:paraId="2F5E27A9"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561" w:type="dxa"/>
            <w:tcBorders>
              <w:top w:val="single" w:sz="4" w:space="0" w:color="auto"/>
              <w:left w:val="single" w:sz="4" w:space="0" w:color="auto"/>
              <w:bottom w:val="single" w:sz="4" w:space="0" w:color="auto"/>
              <w:right w:val="single" w:sz="4" w:space="0" w:color="auto"/>
            </w:tcBorders>
          </w:tcPr>
          <w:p w14:paraId="4A243F95"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r>
      <w:tr w:rsidR="00723888" w:rsidRPr="00830F4C" w14:paraId="3CBB923D" w14:textId="77777777" w:rsidTr="00DD658A">
        <w:trPr>
          <w:jc w:val="center"/>
        </w:trPr>
        <w:tc>
          <w:tcPr>
            <w:tcW w:w="4673" w:type="dxa"/>
            <w:tcBorders>
              <w:top w:val="single" w:sz="4" w:space="0" w:color="auto"/>
              <w:left w:val="single" w:sz="4" w:space="0" w:color="auto"/>
              <w:bottom w:val="single" w:sz="4" w:space="0" w:color="auto"/>
              <w:right w:val="single" w:sz="4" w:space="0" w:color="auto"/>
            </w:tcBorders>
          </w:tcPr>
          <w:p w14:paraId="29C809F5" w14:textId="77777777" w:rsidR="00DD658A" w:rsidRPr="00830F4C" w:rsidRDefault="00DD658A" w:rsidP="00DD658A">
            <w:pPr>
              <w:pStyle w:val="T-normal"/>
              <w:rPr>
                <w:rFonts w:ascii="Garamond" w:hAnsi="Garamond" w:cs="Times New Roman"/>
                <w:sz w:val="12"/>
                <w:szCs w:val="12"/>
                <w:lang w:val="sq-AL"/>
              </w:rPr>
            </w:pPr>
            <w:r w:rsidRPr="00830F4C">
              <w:rPr>
                <w:rFonts w:ascii="Garamond" w:hAnsi="Garamond" w:cs="Times New Roman"/>
                <w:sz w:val="12"/>
                <w:szCs w:val="12"/>
                <w:lang w:val="sq-AL"/>
              </w:rPr>
              <w:t>Rritja e bashkëpunimit në luftën kundër informalitetit, kontrabandës, korrupsionit dhe importit të mallrave të falsifikuara</w:t>
            </w:r>
          </w:p>
        </w:tc>
        <w:tc>
          <w:tcPr>
            <w:tcW w:w="620" w:type="dxa"/>
            <w:tcBorders>
              <w:top w:val="single" w:sz="4" w:space="0" w:color="auto"/>
              <w:left w:val="single" w:sz="4" w:space="0" w:color="auto"/>
              <w:bottom w:val="single" w:sz="4" w:space="0" w:color="auto"/>
              <w:right w:val="single" w:sz="4" w:space="0" w:color="auto"/>
            </w:tcBorders>
          </w:tcPr>
          <w:p w14:paraId="7A32C20F"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620" w:type="dxa"/>
            <w:tcBorders>
              <w:top w:val="single" w:sz="4" w:space="0" w:color="auto"/>
              <w:left w:val="single" w:sz="4" w:space="0" w:color="auto"/>
              <w:bottom w:val="single" w:sz="4" w:space="0" w:color="auto"/>
              <w:right w:val="single" w:sz="4" w:space="0" w:color="auto"/>
            </w:tcBorders>
          </w:tcPr>
          <w:p w14:paraId="084BB349"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742" w:type="dxa"/>
            <w:tcBorders>
              <w:top w:val="single" w:sz="4" w:space="0" w:color="auto"/>
              <w:left w:val="single" w:sz="4" w:space="0" w:color="auto"/>
              <w:bottom w:val="single" w:sz="4" w:space="0" w:color="auto"/>
              <w:right w:val="single" w:sz="4" w:space="0" w:color="auto"/>
            </w:tcBorders>
          </w:tcPr>
          <w:p w14:paraId="5B29B87B"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720" w:type="dxa"/>
            <w:tcBorders>
              <w:top w:val="single" w:sz="4" w:space="0" w:color="auto"/>
              <w:left w:val="single" w:sz="4" w:space="0" w:color="auto"/>
              <w:bottom w:val="single" w:sz="4" w:space="0" w:color="auto"/>
              <w:right w:val="single" w:sz="4" w:space="0" w:color="auto"/>
            </w:tcBorders>
          </w:tcPr>
          <w:p w14:paraId="6A973307"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tcPr>
          <w:p w14:paraId="458D8668"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L</w:t>
            </w:r>
          </w:p>
        </w:tc>
        <w:tc>
          <w:tcPr>
            <w:tcW w:w="540" w:type="dxa"/>
            <w:tcBorders>
              <w:top w:val="single" w:sz="4" w:space="0" w:color="auto"/>
              <w:left w:val="single" w:sz="4" w:space="0" w:color="auto"/>
              <w:bottom w:val="single" w:sz="4" w:space="0" w:color="auto"/>
              <w:right w:val="single" w:sz="4" w:space="0" w:color="auto"/>
            </w:tcBorders>
          </w:tcPr>
          <w:p w14:paraId="616A2F14"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c>
          <w:tcPr>
            <w:tcW w:w="561" w:type="dxa"/>
            <w:tcBorders>
              <w:top w:val="single" w:sz="4" w:space="0" w:color="auto"/>
              <w:left w:val="single" w:sz="4" w:space="0" w:color="auto"/>
              <w:bottom w:val="single" w:sz="4" w:space="0" w:color="auto"/>
              <w:right w:val="single" w:sz="4" w:space="0" w:color="auto"/>
            </w:tcBorders>
          </w:tcPr>
          <w:p w14:paraId="419CF04D" w14:textId="77777777" w:rsidR="00DD658A" w:rsidRPr="00830F4C" w:rsidRDefault="00DD658A" w:rsidP="00DD658A">
            <w:pPr>
              <w:pStyle w:val="T-normal"/>
              <w:rPr>
                <w:rFonts w:ascii="Garamond" w:hAnsi="Garamond"/>
                <w:sz w:val="12"/>
                <w:szCs w:val="12"/>
                <w:lang w:val="sq-AL"/>
              </w:rPr>
            </w:pPr>
            <w:r w:rsidRPr="00830F4C">
              <w:rPr>
                <w:rFonts w:ascii="Garamond" w:hAnsi="Garamond"/>
                <w:sz w:val="12"/>
                <w:szCs w:val="12"/>
                <w:lang w:val="sq-AL"/>
              </w:rPr>
              <w:t>M</w:t>
            </w:r>
          </w:p>
        </w:tc>
      </w:tr>
      <w:tr w:rsidR="00723888" w:rsidRPr="00830F4C" w14:paraId="1D037789" w14:textId="77777777" w:rsidTr="00DD658A">
        <w:trPr>
          <w:jc w:val="center"/>
        </w:trPr>
        <w:tc>
          <w:tcPr>
            <w:tcW w:w="4673" w:type="dxa"/>
            <w:tcBorders>
              <w:top w:val="single" w:sz="4" w:space="0" w:color="auto"/>
              <w:left w:val="single" w:sz="4" w:space="0" w:color="auto"/>
              <w:bottom w:val="single" w:sz="4" w:space="0" w:color="auto"/>
              <w:right w:val="single" w:sz="4" w:space="0" w:color="auto"/>
            </w:tcBorders>
          </w:tcPr>
          <w:p w14:paraId="02E606F4" w14:textId="36D423C9" w:rsidR="00DD658A" w:rsidRPr="00830F4C" w:rsidRDefault="00DD658A" w:rsidP="00DD658A">
            <w:pPr>
              <w:pStyle w:val="T-normal"/>
              <w:rPr>
                <w:rFonts w:ascii="Garamond" w:hAnsi="Garamond" w:cs="Times New Roman"/>
                <w:sz w:val="12"/>
                <w:szCs w:val="12"/>
                <w:lang w:val="sq-AL"/>
              </w:rPr>
            </w:pPr>
            <w:r w:rsidRPr="00830F4C">
              <w:rPr>
                <w:rFonts w:ascii="Garamond" w:hAnsi="Garamond" w:cs="Times New Roman"/>
                <w:sz w:val="12"/>
                <w:szCs w:val="12"/>
                <w:lang w:val="sq-AL"/>
              </w:rPr>
              <w:t>Zgjerimi i shkëmbimit të informacionit me partnerët vendas dhe ndërkombëtarë për të përmirësuar profilin e riskut</w:t>
            </w:r>
          </w:p>
        </w:tc>
        <w:tc>
          <w:tcPr>
            <w:tcW w:w="620" w:type="dxa"/>
            <w:tcBorders>
              <w:top w:val="single" w:sz="4" w:space="0" w:color="auto"/>
              <w:left w:val="single" w:sz="4" w:space="0" w:color="auto"/>
              <w:bottom w:val="single" w:sz="4" w:space="0" w:color="auto"/>
              <w:right w:val="single" w:sz="4" w:space="0" w:color="auto"/>
            </w:tcBorders>
          </w:tcPr>
          <w:p w14:paraId="4DA57B7B" w14:textId="77777777" w:rsidR="00DD658A" w:rsidRPr="00830F4C" w:rsidRDefault="00DD658A" w:rsidP="00DD658A">
            <w:pPr>
              <w:pStyle w:val="T-normal"/>
              <w:rPr>
                <w:rFonts w:ascii="Garamond" w:hAnsi="Garamond" w:cs="Times New Roman"/>
                <w:sz w:val="12"/>
                <w:szCs w:val="12"/>
                <w:lang w:val="sq-AL"/>
              </w:rPr>
            </w:pPr>
          </w:p>
        </w:tc>
        <w:tc>
          <w:tcPr>
            <w:tcW w:w="620" w:type="dxa"/>
            <w:tcBorders>
              <w:top w:val="single" w:sz="4" w:space="0" w:color="auto"/>
              <w:left w:val="single" w:sz="4" w:space="0" w:color="auto"/>
              <w:bottom w:val="single" w:sz="4" w:space="0" w:color="auto"/>
              <w:right w:val="single" w:sz="4" w:space="0" w:color="auto"/>
            </w:tcBorders>
          </w:tcPr>
          <w:p w14:paraId="607F0A68" w14:textId="77777777" w:rsidR="00DD658A" w:rsidRPr="00830F4C" w:rsidRDefault="00DD658A" w:rsidP="00DD658A">
            <w:pPr>
              <w:pStyle w:val="T-normal"/>
              <w:rPr>
                <w:rFonts w:ascii="Garamond" w:hAnsi="Garamond" w:cs="Times New Roman"/>
                <w:sz w:val="12"/>
                <w:szCs w:val="12"/>
                <w:lang w:val="sq-AL"/>
              </w:rPr>
            </w:pPr>
          </w:p>
        </w:tc>
        <w:tc>
          <w:tcPr>
            <w:tcW w:w="742" w:type="dxa"/>
            <w:tcBorders>
              <w:top w:val="single" w:sz="4" w:space="0" w:color="auto"/>
              <w:left w:val="single" w:sz="4" w:space="0" w:color="auto"/>
              <w:bottom w:val="single" w:sz="4" w:space="0" w:color="auto"/>
              <w:right w:val="single" w:sz="4" w:space="0" w:color="auto"/>
            </w:tcBorders>
          </w:tcPr>
          <w:p w14:paraId="04BF17C5" w14:textId="77777777" w:rsidR="00DD658A" w:rsidRPr="00830F4C" w:rsidRDefault="00DD658A" w:rsidP="00DD658A">
            <w:pPr>
              <w:pStyle w:val="T-normal"/>
              <w:rPr>
                <w:rFonts w:ascii="Garamond" w:hAnsi="Garamond" w:cs="Times New Roman"/>
                <w:sz w:val="12"/>
                <w:szCs w:val="12"/>
                <w:lang w:val="sq-AL"/>
              </w:rPr>
            </w:pPr>
          </w:p>
        </w:tc>
        <w:tc>
          <w:tcPr>
            <w:tcW w:w="720" w:type="dxa"/>
            <w:tcBorders>
              <w:top w:val="single" w:sz="4" w:space="0" w:color="auto"/>
              <w:left w:val="single" w:sz="4" w:space="0" w:color="auto"/>
              <w:bottom w:val="single" w:sz="4" w:space="0" w:color="auto"/>
              <w:right w:val="single" w:sz="4" w:space="0" w:color="auto"/>
            </w:tcBorders>
          </w:tcPr>
          <w:p w14:paraId="31FF87D4" w14:textId="77777777" w:rsidR="00DD658A" w:rsidRPr="00830F4C" w:rsidRDefault="00DD658A" w:rsidP="00DD658A">
            <w:pPr>
              <w:pStyle w:val="T-normal"/>
              <w:rPr>
                <w:rFonts w:ascii="Garamond" w:hAnsi="Garamond" w:cs="Times New Roman"/>
                <w:sz w:val="12"/>
                <w:szCs w:val="12"/>
                <w:lang w:val="sq-AL"/>
              </w:rPr>
            </w:pPr>
          </w:p>
        </w:tc>
        <w:tc>
          <w:tcPr>
            <w:tcW w:w="540" w:type="dxa"/>
            <w:tcBorders>
              <w:top w:val="single" w:sz="4" w:space="0" w:color="auto"/>
              <w:left w:val="single" w:sz="4" w:space="0" w:color="auto"/>
              <w:bottom w:val="single" w:sz="4" w:space="0" w:color="auto"/>
              <w:right w:val="single" w:sz="4" w:space="0" w:color="auto"/>
            </w:tcBorders>
          </w:tcPr>
          <w:p w14:paraId="330AB0C0" w14:textId="77777777" w:rsidR="00DD658A" w:rsidRPr="00830F4C" w:rsidRDefault="00DD658A" w:rsidP="00DD658A">
            <w:pPr>
              <w:pStyle w:val="T-normal"/>
              <w:rPr>
                <w:rFonts w:ascii="Garamond" w:hAnsi="Garamond" w:cs="Times New Roman"/>
                <w:sz w:val="12"/>
                <w:szCs w:val="12"/>
                <w:lang w:val="sq-AL"/>
              </w:rPr>
            </w:pPr>
          </w:p>
        </w:tc>
        <w:tc>
          <w:tcPr>
            <w:tcW w:w="540" w:type="dxa"/>
            <w:tcBorders>
              <w:top w:val="single" w:sz="4" w:space="0" w:color="auto"/>
              <w:left w:val="single" w:sz="4" w:space="0" w:color="auto"/>
              <w:bottom w:val="single" w:sz="4" w:space="0" w:color="auto"/>
              <w:right w:val="single" w:sz="4" w:space="0" w:color="auto"/>
            </w:tcBorders>
          </w:tcPr>
          <w:p w14:paraId="3C2B7C55" w14:textId="77777777" w:rsidR="00DD658A" w:rsidRPr="00830F4C" w:rsidRDefault="00DD658A" w:rsidP="00DD658A">
            <w:pPr>
              <w:pStyle w:val="T-normal"/>
              <w:rPr>
                <w:rFonts w:ascii="Garamond" w:hAnsi="Garamond" w:cs="Times New Roman"/>
                <w:sz w:val="12"/>
                <w:szCs w:val="12"/>
                <w:lang w:val="sq-AL"/>
              </w:rPr>
            </w:pPr>
          </w:p>
        </w:tc>
        <w:tc>
          <w:tcPr>
            <w:tcW w:w="561" w:type="dxa"/>
            <w:tcBorders>
              <w:top w:val="single" w:sz="4" w:space="0" w:color="auto"/>
              <w:left w:val="single" w:sz="4" w:space="0" w:color="auto"/>
              <w:bottom w:val="single" w:sz="4" w:space="0" w:color="auto"/>
              <w:right w:val="single" w:sz="4" w:space="0" w:color="auto"/>
            </w:tcBorders>
          </w:tcPr>
          <w:p w14:paraId="6B4DA6C3" w14:textId="77777777" w:rsidR="00DD658A" w:rsidRPr="00830F4C" w:rsidRDefault="00DD658A" w:rsidP="00DD658A">
            <w:pPr>
              <w:pStyle w:val="T-normal"/>
              <w:rPr>
                <w:rFonts w:ascii="Garamond" w:hAnsi="Garamond" w:cs="Times New Roman"/>
                <w:sz w:val="12"/>
                <w:szCs w:val="12"/>
                <w:lang w:val="sq-AL"/>
              </w:rPr>
            </w:pPr>
          </w:p>
        </w:tc>
      </w:tr>
    </w:tbl>
    <w:p w14:paraId="290D7D71" w14:textId="77777777" w:rsidR="005D2226" w:rsidRPr="00830F4C" w:rsidRDefault="005D2226" w:rsidP="00DD658A">
      <w:pPr>
        <w:ind w:firstLine="284"/>
        <w:jc w:val="both"/>
        <w:rPr>
          <w:rFonts w:ascii="Garamond" w:hAnsi="Garamond"/>
          <w:b/>
          <w:bCs/>
        </w:rPr>
      </w:pPr>
    </w:p>
    <w:p w14:paraId="05921426" w14:textId="77777777" w:rsidR="00DD658A" w:rsidRPr="00830F4C" w:rsidRDefault="00DD658A" w:rsidP="00DD658A">
      <w:pPr>
        <w:pStyle w:val="Heading1"/>
        <w:spacing w:before="0" w:line="240" w:lineRule="auto"/>
        <w:ind w:firstLine="284"/>
        <w:rPr>
          <w:rFonts w:ascii="Garamond" w:hAnsi="Garamond" w:cs="Times New Roman"/>
          <w:b/>
          <w:bCs/>
          <w:color w:val="auto"/>
          <w:sz w:val="24"/>
          <w:szCs w:val="24"/>
        </w:rPr>
      </w:pPr>
      <w:bookmarkStart w:id="82" w:name="_Toc185235112"/>
      <w:r w:rsidRPr="00830F4C">
        <w:rPr>
          <w:rFonts w:ascii="Garamond" w:hAnsi="Garamond" w:cs="Times New Roman"/>
          <w:b/>
          <w:bCs/>
          <w:color w:val="auto"/>
          <w:sz w:val="24"/>
          <w:szCs w:val="24"/>
        </w:rPr>
        <w:t>VIII. Monitorimi i Strategjisë</w:t>
      </w:r>
      <w:bookmarkEnd w:id="82"/>
    </w:p>
    <w:p w14:paraId="501B9CD7" w14:textId="7456D55D" w:rsidR="00DD658A" w:rsidRPr="00830F4C" w:rsidRDefault="00DD658A" w:rsidP="00DD658A">
      <w:pPr>
        <w:ind w:firstLine="284"/>
        <w:jc w:val="both"/>
        <w:rPr>
          <w:rFonts w:ascii="Garamond" w:hAnsi="Garamond"/>
        </w:rPr>
      </w:pPr>
      <w:r w:rsidRPr="00830F4C">
        <w:rPr>
          <w:rFonts w:ascii="Garamond" w:hAnsi="Garamond"/>
        </w:rPr>
        <w:t>Raportimi, monitorimi dhe analiza e vlerësimit të Strategjisë janë thelbësore për një zbatim efikas dhe në kohë të saj. Monitorimi i tr</w:t>
      </w:r>
      <w:r w:rsidR="005803BD">
        <w:rPr>
          <w:rFonts w:ascii="Garamond" w:hAnsi="Garamond"/>
        </w:rPr>
        <w:t>i</w:t>
      </w:r>
      <w:r w:rsidRPr="00830F4C">
        <w:rPr>
          <w:rFonts w:ascii="Garamond" w:hAnsi="Garamond"/>
        </w:rPr>
        <w:t xml:space="preserve"> </w:t>
      </w:r>
      <w:r w:rsidR="005803BD">
        <w:rPr>
          <w:rFonts w:ascii="Garamond" w:hAnsi="Garamond"/>
        </w:rPr>
        <w:t>s</w:t>
      </w:r>
      <w:r w:rsidRPr="00830F4C">
        <w:rPr>
          <w:rFonts w:ascii="Garamond" w:hAnsi="Garamond"/>
        </w:rPr>
        <w:t>htyllave kryesore me disa komponentë në secilën shtyllë, kundrejt treguesve të përcaktuar qartësisht ofron një bazë solide për monitorimin e zbatimit të SAA,</w:t>
      </w:r>
      <w:r w:rsidR="00800B00" w:rsidRPr="00830F4C">
        <w:rPr>
          <w:rFonts w:ascii="Garamond" w:hAnsi="Garamond"/>
        </w:rPr>
        <w:t xml:space="preserve"> </w:t>
      </w:r>
      <w:r w:rsidR="00D22EA5" w:rsidRPr="00830F4C">
        <w:rPr>
          <w:rFonts w:ascii="Garamond" w:hAnsi="Garamond"/>
        </w:rPr>
        <w:t>2024–2027</w:t>
      </w:r>
      <w:r w:rsidRPr="00830F4C">
        <w:rPr>
          <w:rFonts w:ascii="Garamond" w:hAnsi="Garamond"/>
        </w:rPr>
        <w:t>, duke verifikuar progresin e objektivit dhe rezultateve.</w:t>
      </w:r>
    </w:p>
    <w:p w14:paraId="4E5CD64C" w14:textId="77777777" w:rsidR="00DD658A" w:rsidRPr="00830F4C" w:rsidRDefault="00DD658A" w:rsidP="00DD658A">
      <w:pPr>
        <w:ind w:firstLine="284"/>
        <w:jc w:val="both"/>
        <w:rPr>
          <w:rFonts w:ascii="Garamond" w:hAnsi="Garamond"/>
        </w:rPr>
      </w:pPr>
      <w:r w:rsidRPr="00830F4C">
        <w:rPr>
          <w:rFonts w:ascii="Garamond" w:hAnsi="Garamond"/>
        </w:rPr>
        <w:t>Mjeti kryesor monitorues do të jetë krijimi i një Matrice për Vlerësimin e Performancës, që informon për progresin e arritur, të matur përmes masave dhe aktiviteteve të përcaktuara.</w:t>
      </w:r>
    </w:p>
    <w:p w14:paraId="5A95F48E" w14:textId="77777777" w:rsidR="00DD658A" w:rsidRPr="00830F4C" w:rsidRDefault="00DD658A" w:rsidP="00DD658A">
      <w:pPr>
        <w:ind w:firstLine="284"/>
        <w:jc w:val="both"/>
        <w:rPr>
          <w:rFonts w:ascii="Garamond" w:hAnsi="Garamond"/>
        </w:rPr>
      </w:pPr>
      <w:r w:rsidRPr="00830F4C">
        <w:rPr>
          <w:rFonts w:ascii="Garamond" w:hAnsi="Garamond"/>
        </w:rPr>
        <w:t xml:space="preserve">Matrica përfshin një vlerë bazë, etapa afatmesme (2024), etapa të synuara (2027), dhe mënyrat e verifikimit. </w:t>
      </w:r>
    </w:p>
    <w:p w14:paraId="45D3C859" w14:textId="77777777" w:rsidR="00DD658A" w:rsidRPr="00830F4C" w:rsidRDefault="00DD658A" w:rsidP="00DD658A">
      <w:pPr>
        <w:ind w:firstLine="284"/>
        <w:jc w:val="center"/>
        <w:rPr>
          <w:rFonts w:ascii="Garamond" w:hAnsi="Garamond"/>
          <w:u w:val="single"/>
        </w:rPr>
      </w:pPr>
      <w:r w:rsidRPr="00830F4C">
        <w:rPr>
          <w:rFonts w:ascii="Garamond" w:hAnsi="Garamond"/>
          <w:u w:val="single"/>
        </w:rPr>
        <w:t>Matrica e Vlerësimit të Performancës</w:t>
      </w:r>
    </w:p>
    <w:p w14:paraId="68B9D339" w14:textId="77777777" w:rsidR="00DD658A" w:rsidRPr="00830F4C" w:rsidRDefault="00DD658A" w:rsidP="00DD658A">
      <w:pPr>
        <w:ind w:firstLine="284"/>
        <w:jc w:val="both"/>
        <w:rPr>
          <w:rFonts w:ascii="Garamond" w:hAnsi="Garamond"/>
          <w:b/>
          <w:bCs/>
        </w:rPr>
      </w:pPr>
    </w:p>
    <w:p w14:paraId="3BE92A31" w14:textId="77777777" w:rsidR="00472A4B" w:rsidRPr="00830F4C" w:rsidRDefault="00472A4B" w:rsidP="00DD658A">
      <w:pPr>
        <w:ind w:firstLine="284"/>
        <w:jc w:val="both"/>
        <w:rPr>
          <w:rFonts w:ascii="Garamond" w:hAnsi="Garamond"/>
          <w:b/>
          <w:bCs/>
        </w:rPr>
      </w:pPr>
    </w:p>
    <w:p w14:paraId="31226110" w14:textId="77777777" w:rsidR="00472A4B" w:rsidRPr="00830F4C" w:rsidRDefault="00472A4B" w:rsidP="0052377F">
      <w:pPr>
        <w:jc w:val="both"/>
        <w:rPr>
          <w:rFonts w:ascii="Garamond" w:hAnsi="Garamond"/>
          <w:b/>
          <w:bCs/>
        </w:rPr>
      </w:pPr>
    </w:p>
    <w:p w14:paraId="0EF27BAE" w14:textId="77777777" w:rsidR="00472A4B" w:rsidRPr="00830F4C" w:rsidRDefault="00472A4B" w:rsidP="00DD658A">
      <w:pPr>
        <w:ind w:firstLine="284"/>
        <w:jc w:val="both"/>
        <w:rPr>
          <w:rFonts w:ascii="Garamond" w:hAnsi="Garamond"/>
          <w:b/>
          <w:bCs/>
        </w:rPr>
      </w:pPr>
    </w:p>
    <w:p w14:paraId="077F8606" w14:textId="77777777" w:rsidR="00472A4B" w:rsidRPr="00830F4C" w:rsidRDefault="00472A4B" w:rsidP="00DD658A">
      <w:pPr>
        <w:ind w:firstLine="284"/>
        <w:jc w:val="both"/>
        <w:rPr>
          <w:rFonts w:ascii="Garamond" w:hAnsi="Garamond"/>
          <w:b/>
          <w:bCs/>
        </w:rPr>
      </w:pPr>
    </w:p>
    <w:p w14:paraId="4245566B" w14:textId="77777777" w:rsidR="00472A4B" w:rsidRPr="00830F4C" w:rsidRDefault="00472A4B" w:rsidP="00DD658A">
      <w:pPr>
        <w:ind w:firstLine="284"/>
        <w:jc w:val="both"/>
        <w:rPr>
          <w:rFonts w:ascii="Garamond" w:hAnsi="Garamond"/>
          <w:b/>
          <w:bCs/>
        </w:rPr>
      </w:pPr>
    </w:p>
    <w:p w14:paraId="79111039" w14:textId="77777777" w:rsidR="00472A4B" w:rsidRPr="00830F4C" w:rsidRDefault="00472A4B" w:rsidP="00DD658A">
      <w:pPr>
        <w:ind w:firstLine="284"/>
        <w:jc w:val="both"/>
        <w:rPr>
          <w:rFonts w:ascii="Garamond" w:hAnsi="Garamond"/>
          <w:b/>
          <w:bCs/>
        </w:rPr>
      </w:pPr>
      <w:r w:rsidRPr="00830F4C">
        <w:rPr>
          <w:noProof/>
          <w:lang w:val="en-US"/>
        </w:rPr>
        <w:drawing>
          <wp:inline distT="0" distB="0" distL="0" distR="0" wp14:anchorId="6C26A68C" wp14:editId="47983805">
            <wp:extent cx="5943170" cy="321442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6983" cy="3216487"/>
                    </a:xfrm>
                    <a:prstGeom prst="rect">
                      <a:avLst/>
                    </a:prstGeom>
                    <a:noFill/>
                    <a:ln>
                      <a:noFill/>
                    </a:ln>
                  </pic:spPr>
                </pic:pic>
              </a:graphicData>
            </a:graphic>
          </wp:inline>
        </w:drawing>
      </w:r>
    </w:p>
    <w:p w14:paraId="1EA8543E" w14:textId="77777777" w:rsidR="00472A4B" w:rsidRPr="00830F4C" w:rsidRDefault="00472A4B" w:rsidP="00DD658A">
      <w:pPr>
        <w:ind w:firstLine="284"/>
        <w:jc w:val="both"/>
        <w:rPr>
          <w:rFonts w:ascii="Garamond" w:hAnsi="Garamond"/>
          <w:b/>
          <w:bCs/>
        </w:rPr>
      </w:pPr>
    </w:p>
    <w:p w14:paraId="3AB499FA" w14:textId="77777777" w:rsidR="00472A4B" w:rsidRPr="00830F4C" w:rsidRDefault="00472A4B" w:rsidP="00DD658A">
      <w:pPr>
        <w:ind w:firstLine="284"/>
        <w:jc w:val="both"/>
        <w:rPr>
          <w:rFonts w:ascii="Garamond" w:hAnsi="Garamond"/>
          <w:b/>
          <w:bCs/>
        </w:rPr>
      </w:pPr>
    </w:p>
    <w:p w14:paraId="3D83E24A" w14:textId="1038533D" w:rsidR="00472A4B" w:rsidRPr="00830F4C" w:rsidRDefault="00472A4B" w:rsidP="00472A4B">
      <w:pPr>
        <w:ind w:firstLine="284"/>
        <w:jc w:val="both"/>
        <w:rPr>
          <w:rFonts w:ascii="Garamond" w:hAnsi="Garamond"/>
        </w:rPr>
      </w:pPr>
      <w:r w:rsidRPr="00830F4C">
        <w:rPr>
          <w:rFonts w:ascii="Garamond" w:hAnsi="Garamond"/>
        </w:rPr>
        <w:t xml:space="preserve">Në nivel institucional, strategjia do të monitorohet nga Ministria e Financave. I gjithë </w:t>
      </w:r>
      <w:r w:rsidR="008C0C0F" w:rsidRPr="00830F4C">
        <w:rPr>
          <w:rFonts w:ascii="Garamond" w:hAnsi="Garamond"/>
        </w:rPr>
        <w:t>procesi</w:t>
      </w:r>
      <w:r w:rsidRPr="00830F4C">
        <w:rPr>
          <w:rFonts w:ascii="Garamond" w:hAnsi="Garamond"/>
        </w:rPr>
        <w:t xml:space="preserve"> do të menaxhohet dhe monitorohet në nivel teknik nga Sekretariati Teknik dhe në nivel menaxherial nga Komiteti Drejtues, me përfaqësues të Ministrisë së Financave, administratës tatimore dhe administratës doganore.</w:t>
      </w:r>
    </w:p>
    <w:p w14:paraId="078CFBE4" w14:textId="51205473" w:rsidR="00472A4B" w:rsidRPr="00830F4C" w:rsidRDefault="00472A4B" w:rsidP="00472A4B">
      <w:pPr>
        <w:ind w:firstLine="284"/>
        <w:jc w:val="both"/>
        <w:rPr>
          <w:rFonts w:ascii="Garamond" w:hAnsi="Garamond"/>
        </w:rPr>
      </w:pPr>
      <w:r w:rsidRPr="00830F4C">
        <w:rPr>
          <w:rFonts w:ascii="Garamond" w:hAnsi="Garamond"/>
        </w:rPr>
        <w:t xml:space="preserve">Të dyja këto struktura do të ngrihen me </w:t>
      </w:r>
      <w:r w:rsidR="005803BD">
        <w:rPr>
          <w:rFonts w:ascii="Garamond" w:hAnsi="Garamond"/>
        </w:rPr>
        <w:t>u</w:t>
      </w:r>
      <w:r w:rsidRPr="00830F4C">
        <w:rPr>
          <w:rFonts w:ascii="Garamond" w:hAnsi="Garamond"/>
        </w:rPr>
        <w:t xml:space="preserve">rdhër të ministrit përgjegjës për financat. </w:t>
      </w:r>
    </w:p>
    <w:p w14:paraId="46A8067C" w14:textId="4D63535C" w:rsidR="00472A4B" w:rsidRPr="00830F4C" w:rsidRDefault="00472A4B" w:rsidP="00472A4B">
      <w:pPr>
        <w:ind w:firstLine="284"/>
        <w:jc w:val="both"/>
        <w:rPr>
          <w:rFonts w:ascii="Garamond" w:hAnsi="Garamond"/>
        </w:rPr>
      </w:pPr>
      <w:r w:rsidRPr="00830F4C">
        <w:rPr>
          <w:rFonts w:ascii="Garamond" w:hAnsi="Garamond"/>
        </w:rPr>
        <w:t>Monitorimi i zbatimit të strategjisë do të bëhet në periudha 6</w:t>
      </w:r>
      <w:r w:rsidR="008C0C0F" w:rsidRPr="00830F4C">
        <w:rPr>
          <w:rFonts w:ascii="Garamond" w:hAnsi="Garamond"/>
        </w:rPr>
        <w:t>-</w:t>
      </w:r>
      <w:r w:rsidRPr="00830F4C">
        <w:rPr>
          <w:rFonts w:ascii="Garamond" w:hAnsi="Garamond"/>
        </w:rPr>
        <w:t xml:space="preserve">mujore, nëpërmjet hartimit dhe miratimit të një </w:t>
      </w:r>
      <w:r w:rsidR="005803BD">
        <w:rPr>
          <w:rFonts w:ascii="Garamond" w:hAnsi="Garamond"/>
        </w:rPr>
        <w:t>r</w:t>
      </w:r>
      <w:r w:rsidRPr="00830F4C">
        <w:rPr>
          <w:rFonts w:ascii="Garamond" w:hAnsi="Garamond"/>
        </w:rPr>
        <w:t>aporti 6</w:t>
      </w:r>
      <w:r w:rsidR="008C0C0F" w:rsidRPr="00830F4C">
        <w:rPr>
          <w:rFonts w:ascii="Garamond" w:hAnsi="Garamond"/>
        </w:rPr>
        <w:t>-m</w:t>
      </w:r>
      <w:r w:rsidRPr="00830F4C">
        <w:rPr>
          <w:rFonts w:ascii="Garamond" w:hAnsi="Garamond"/>
        </w:rPr>
        <w:t>ujor, formati i të cilit, gjithashtu, do të miratohet me urdhër të ministrit përgjegjës për financat. Raporti 6</w:t>
      </w:r>
      <w:r w:rsidR="008C0C0F" w:rsidRPr="00830F4C">
        <w:rPr>
          <w:rFonts w:ascii="Garamond" w:hAnsi="Garamond"/>
        </w:rPr>
        <w:t>-</w:t>
      </w:r>
      <w:r w:rsidRPr="00830F4C">
        <w:rPr>
          <w:rFonts w:ascii="Garamond" w:hAnsi="Garamond"/>
        </w:rPr>
        <w:t>mujor i monitorimit duhet të fokusohet ndër të tjera në rezultate, tregues, tendencat aktuale dhe të perspektivës, pengesave të shfaqura gjatë kohës së raportimit, mësimeve të nxjerra dhe arritjeve, rezultateve të arritura gjatë periudhës së raportimit.</w:t>
      </w:r>
    </w:p>
    <w:p w14:paraId="370DA6C7" w14:textId="7681CCF5" w:rsidR="00472A4B" w:rsidRPr="00830F4C" w:rsidRDefault="00472A4B" w:rsidP="00472A4B">
      <w:pPr>
        <w:ind w:firstLine="284"/>
        <w:jc w:val="both"/>
        <w:rPr>
          <w:rFonts w:ascii="Garamond" w:hAnsi="Garamond"/>
        </w:rPr>
      </w:pPr>
      <w:r w:rsidRPr="00830F4C">
        <w:rPr>
          <w:rFonts w:ascii="Garamond" w:hAnsi="Garamond"/>
        </w:rPr>
        <w:t xml:space="preserve">Koordinimi i përgjithshëm i </w:t>
      </w:r>
      <w:r w:rsidR="008C0C0F" w:rsidRPr="00830F4C">
        <w:rPr>
          <w:rFonts w:ascii="Garamond" w:hAnsi="Garamond"/>
        </w:rPr>
        <w:t>procesit</w:t>
      </w:r>
      <w:r w:rsidRPr="00830F4C">
        <w:rPr>
          <w:rFonts w:ascii="Garamond" w:hAnsi="Garamond"/>
        </w:rPr>
        <w:t xml:space="preserve"> të monitorimit, si dhe vlerësimi dhe dhënia e rekomandimeve do të kryhet nga Sekretariati Teknik SAA-së. Do të mblidhen informacione për masat dhe aktivitetet përkatëse në varësi të llojit të ndërhyrjes.</w:t>
      </w:r>
    </w:p>
    <w:p w14:paraId="21C3F111" w14:textId="6CF3B6B1" w:rsidR="00472A4B" w:rsidRPr="00830F4C" w:rsidRDefault="00472A4B" w:rsidP="00472A4B">
      <w:pPr>
        <w:ind w:firstLine="284"/>
        <w:jc w:val="both"/>
        <w:rPr>
          <w:rFonts w:ascii="Garamond" w:hAnsi="Garamond"/>
        </w:rPr>
      </w:pPr>
      <w:r w:rsidRPr="00830F4C">
        <w:rPr>
          <w:rFonts w:ascii="Garamond" w:hAnsi="Garamond"/>
        </w:rPr>
        <w:t>Të dhënat që i shërbejnë monitorimit 6</w:t>
      </w:r>
      <w:r w:rsidR="005803BD">
        <w:rPr>
          <w:rFonts w:ascii="Garamond" w:hAnsi="Garamond"/>
        </w:rPr>
        <w:t>-</w:t>
      </w:r>
      <w:r w:rsidRPr="00830F4C">
        <w:rPr>
          <w:rFonts w:ascii="Garamond" w:hAnsi="Garamond"/>
        </w:rPr>
        <w:t xml:space="preserve">mujor do të futen në një bazë të dhënash që do të përditësohet nga Sekretariati Teknik. Gjithashtu do të monitorohet </w:t>
      </w:r>
      <w:r w:rsidR="00D22EA5" w:rsidRPr="00830F4C">
        <w:rPr>
          <w:rFonts w:ascii="Garamond" w:hAnsi="Garamond"/>
        </w:rPr>
        <w:t>“</w:t>
      </w:r>
      <w:r w:rsidRPr="00830F4C">
        <w:rPr>
          <w:rFonts w:ascii="Garamond" w:hAnsi="Garamond"/>
        </w:rPr>
        <w:t>Pasaporta e Treguesve</w:t>
      </w:r>
      <w:r w:rsidR="00D22EA5" w:rsidRPr="00830F4C">
        <w:rPr>
          <w:rFonts w:ascii="Garamond" w:hAnsi="Garamond"/>
        </w:rPr>
        <w:t>”</w:t>
      </w:r>
      <w:r w:rsidRPr="00830F4C">
        <w:rPr>
          <w:rFonts w:ascii="Garamond" w:hAnsi="Garamond"/>
        </w:rPr>
        <w:t>, e cila do të shoqërojë raportin e monitorimit.</w:t>
      </w:r>
    </w:p>
    <w:p w14:paraId="7503EBAB" w14:textId="15B96169" w:rsidR="00472A4B" w:rsidRPr="00830F4C" w:rsidRDefault="00472A4B" w:rsidP="00472A4B">
      <w:pPr>
        <w:ind w:firstLine="284"/>
        <w:jc w:val="both"/>
        <w:rPr>
          <w:rFonts w:ascii="Garamond" w:hAnsi="Garamond"/>
        </w:rPr>
      </w:pPr>
      <w:r w:rsidRPr="00830F4C">
        <w:rPr>
          <w:rFonts w:ascii="Garamond" w:hAnsi="Garamond"/>
        </w:rPr>
        <w:t xml:space="preserve">Më pas, </w:t>
      </w:r>
      <w:r w:rsidR="005803BD">
        <w:rPr>
          <w:rFonts w:ascii="Garamond" w:hAnsi="Garamond"/>
        </w:rPr>
        <w:t>r</w:t>
      </w:r>
      <w:r w:rsidRPr="00830F4C">
        <w:rPr>
          <w:rFonts w:ascii="Garamond" w:hAnsi="Garamond"/>
        </w:rPr>
        <w:t>aporti do të paraqitet për shqyrtim dhe miratim te Komiteti Drejtues i Strategjisë. Pas miratimit nga Komiteti Drejtues, Raportet e Monitorimit i përcillen ministrit përgjegjës për financat.</w:t>
      </w:r>
    </w:p>
    <w:p w14:paraId="3274FECD" w14:textId="18DF6BDF" w:rsidR="00472A4B" w:rsidRPr="00830F4C" w:rsidRDefault="00472A4B" w:rsidP="00472A4B">
      <w:pPr>
        <w:ind w:firstLine="284"/>
        <w:jc w:val="both"/>
        <w:rPr>
          <w:rFonts w:ascii="Garamond" w:hAnsi="Garamond"/>
        </w:rPr>
      </w:pPr>
      <w:r w:rsidRPr="00830F4C">
        <w:rPr>
          <w:rFonts w:ascii="Garamond" w:hAnsi="Garamond"/>
        </w:rPr>
        <w:t xml:space="preserve">Plani i veprimit dhe </w:t>
      </w:r>
      <w:r w:rsidR="005803BD">
        <w:rPr>
          <w:rFonts w:ascii="Garamond" w:hAnsi="Garamond"/>
        </w:rPr>
        <w:t>p</w:t>
      </w:r>
      <w:r w:rsidRPr="00830F4C">
        <w:rPr>
          <w:rFonts w:ascii="Garamond" w:hAnsi="Garamond"/>
        </w:rPr>
        <w:t xml:space="preserve">asaporta e treguesve të performancës sipas tre shtyllave të strategjisë, së bashku me përshkrimin e metodologjisë së tyre dhe vlerat e synuara janë paraqitur në </w:t>
      </w:r>
      <w:r w:rsidR="005803BD">
        <w:rPr>
          <w:rFonts w:ascii="Garamond" w:hAnsi="Garamond"/>
        </w:rPr>
        <w:t>s</w:t>
      </w:r>
      <w:r w:rsidRPr="00830F4C">
        <w:rPr>
          <w:rFonts w:ascii="Garamond" w:hAnsi="Garamond"/>
        </w:rPr>
        <w:t>htojcën 1 dhe 2, bashkëlidhur.</w:t>
      </w:r>
    </w:p>
    <w:p w14:paraId="4D5FC5BB" w14:textId="77777777" w:rsidR="00472A4B" w:rsidRPr="00830F4C" w:rsidRDefault="00472A4B" w:rsidP="00472A4B">
      <w:pPr>
        <w:pStyle w:val="Heading1"/>
        <w:spacing w:before="0" w:line="240" w:lineRule="auto"/>
        <w:ind w:firstLine="284"/>
        <w:rPr>
          <w:rFonts w:ascii="Garamond" w:hAnsi="Garamond" w:cs="Times New Roman"/>
          <w:b/>
          <w:bCs/>
          <w:color w:val="auto"/>
          <w:sz w:val="24"/>
          <w:szCs w:val="24"/>
        </w:rPr>
      </w:pPr>
      <w:bookmarkStart w:id="83" w:name="_Toc185235113"/>
      <w:r w:rsidRPr="00830F4C">
        <w:rPr>
          <w:rFonts w:ascii="Garamond" w:hAnsi="Garamond" w:cs="Times New Roman"/>
          <w:b/>
          <w:bCs/>
          <w:color w:val="auto"/>
          <w:sz w:val="24"/>
          <w:szCs w:val="24"/>
        </w:rPr>
        <w:t>IX. Vlerësimi i kostove dhe financimi</w:t>
      </w:r>
      <w:bookmarkEnd w:id="83"/>
    </w:p>
    <w:p w14:paraId="6E3166CE" w14:textId="77777777" w:rsidR="00472A4B" w:rsidRPr="00830F4C" w:rsidRDefault="00472A4B" w:rsidP="00472A4B">
      <w:pPr>
        <w:ind w:firstLine="284"/>
        <w:jc w:val="both"/>
        <w:rPr>
          <w:rFonts w:ascii="Garamond" w:hAnsi="Garamond"/>
        </w:rPr>
      </w:pPr>
      <w:r w:rsidRPr="00830F4C">
        <w:rPr>
          <w:rFonts w:ascii="Garamond" w:hAnsi="Garamond"/>
        </w:rPr>
        <w:t>Një pjesë e konsiderueshme e masave të përcaktuar në këtë strategji lidhen me reformat e mirëadministrimit tatimor dhe doganor, realizimi i të cilave nuk do të kërkojë burime financimi shtesë.</w:t>
      </w:r>
    </w:p>
    <w:p w14:paraId="7841DECC" w14:textId="77777777" w:rsidR="00472A4B" w:rsidRPr="00830F4C" w:rsidRDefault="00472A4B" w:rsidP="00472A4B">
      <w:pPr>
        <w:ind w:firstLine="284"/>
        <w:jc w:val="both"/>
        <w:rPr>
          <w:rFonts w:ascii="Garamond" w:hAnsi="Garamond"/>
        </w:rPr>
      </w:pPr>
      <w:r w:rsidRPr="00830F4C">
        <w:rPr>
          <w:rFonts w:ascii="Garamond" w:hAnsi="Garamond"/>
        </w:rPr>
        <w:t>Stafi ekzistues i Ministrisë së Financave, administratës tatimore dhe doganore të përfshira në zbatimin e reformave do të jetë përgjegjës për marrjen e masave të nevojshme për realizimin e aktiviteteve të nevojshme të parashikuara në këtë dokument.</w:t>
      </w:r>
    </w:p>
    <w:p w14:paraId="120D42F4" w14:textId="77777777" w:rsidR="00472A4B" w:rsidRPr="00830F4C" w:rsidRDefault="00472A4B" w:rsidP="00472A4B">
      <w:pPr>
        <w:ind w:firstLine="284"/>
        <w:jc w:val="both"/>
        <w:rPr>
          <w:rFonts w:ascii="Garamond" w:hAnsi="Garamond"/>
        </w:rPr>
      </w:pPr>
      <w:r w:rsidRPr="00830F4C">
        <w:rPr>
          <w:rFonts w:ascii="Garamond" w:hAnsi="Garamond"/>
        </w:rPr>
        <w:t>Qasja e përdorur për të matur fushëveprimin e burimeve të përdorura për zbatimin e strategjisë është vetëm kostot shtesë, duke mos përfshirë kostot administrative në tabelën e kostimit.</w:t>
      </w:r>
    </w:p>
    <w:p w14:paraId="21CE5472" w14:textId="77777777" w:rsidR="00472A4B" w:rsidRPr="00830F4C" w:rsidRDefault="00472A4B" w:rsidP="00472A4B">
      <w:pPr>
        <w:ind w:firstLine="284"/>
        <w:jc w:val="both"/>
        <w:rPr>
          <w:rFonts w:ascii="Garamond" w:hAnsi="Garamond"/>
        </w:rPr>
      </w:pPr>
      <w:r w:rsidRPr="00830F4C">
        <w:rPr>
          <w:rFonts w:ascii="Garamond" w:hAnsi="Garamond"/>
        </w:rPr>
        <w:t>Masat kryesore që përfshijnë burime financiare janë masat e mirëadministrimit doganor të cilat lidhen me zhvillimin dhe krijimin e sistemeve, për të cilat burimet financiare janë siguruar nga Partnerët e Jashtëm për Zhvillim dhe Integrim.</w:t>
      </w:r>
    </w:p>
    <w:p w14:paraId="038A7009" w14:textId="77777777" w:rsidR="00472A4B" w:rsidRPr="00830F4C" w:rsidRDefault="00472A4B" w:rsidP="00472A4B">
      <w:pPr>
        <w:ind w:firstLine="284"/>
        <w:jc w:val="both"/>
        <w:rPr>
          <w:rFonts w:ascii="Garamond" w:hAnsi="Garamond"/>
        </w:rPr>
      </w:pPr>
      <w:r w:rsidRPr="00830F4C">
        <w:rPr>
          <w:rFonts w:ascii="Garamond" w:hAnsi="Garamond"/>
        </w:rPr>
        <w:t>Në tabelën e mëposhtme është paraqitur informacioni mbi koston indikative të strategjisë në nivel shtyllash. Detaje të mëtejshme mbi kostimin sipas objektivave specifik (komponentëve) gjenden në shtojcën 3.</w:t>
      </w:r>
    </w:p>
    <w:p w14:paraId="70F8BBD8" w14:textId="77777777" w:rsidR="00472A4B" w:rsidRPr="00830F4C" w:rsidRDefault="00472A4B" w:rsidP="00472A4B">
      <w:pPr>
        <w:ind w:firstLine="284"/>
        <w:rPr>
          <w:rFonts w:ascii="Garamond" w:hAnsi="Garamond"/>
          <w:i/>
        </w:rPr>
      </w:pPr>
      <w:r w:rsidRPr="00830F4C">
        <w:rPr>
          <w:rFonts w:ascii="Garamond" w:hAnsi="Garamond"/>
          <w:i/>
        </w:rPr>
        <w:t>Tabela 20: Kostimi i Strategjisë</w:t>
      </w:r>
    </w:p>
    <w:p w14:paraId="114B3E9D" w14:textId="401F5740" w:rsidR="00472A4B" w:rsidRPr="00830F4C" w:rsidRDefault="00821568" w:rsidP="00472A4B">
      <w:pPr>
        <w:ind w:firstLine="284"/>
        <w:jc w:val="right"/>
        <w:rPr>
          <w:rFonts w:ascii="Garamond" w:hAnsi="Garamond"/>
          <w:i/>
        </w:rPr>
      </w:pPr>
      <w:r>
        <w:rPr>
          <w:rFonts w:ascii="Garamond" w:hAnsi="Garamond"/>
          <w:i/>
        </w:rPr>
        <w:t>s</w:t>
      </w:r>
      <w:r w:rsidR="00472A4B" w:rsidRPr="00830F4C">
        <w:rPr>
          <w:rFonts w:ascii="Garamond" w:hAnsi="Garamond"/>
          <w:i/>
        </w:rPr>
        <w:t xml:space="preserve">huma në </w:t>
      </w:r>
      <w:r w:rsidR="008C0C0F" w:rsidRPr="00830F4C">
        <w:rPr>
          <w:rFonts w:ascii="Garamond" w:hAnsi="Garamond"/>
          <w:i/>
        </w:rPr>
        <w:t>euro</w:t>
      </w:r>
    </w:p>
    <w:tbl>
      <w:tblPr>
        <w:tblW w:w="8911" w:type="dxa"/>
        <w:tblLook w:val="04A0" w:firstRow="1" w:lastRow="0" w:firstColumn="1" w:lastColumn="0" w:noHBand="0" w:noVBand="1"/>
      </w:tblPr>
      <w:tblGrid>
        <w:gridCol w:w="556"/>
        <w:gridCol w:w="4158"/>
        <w:gridCol w:w="836"/>
        <w:gridCol w:w="2060"/>
        <w:gridCol w:w="1301"/>
      </w:tblGrid>
      <w:tr w:rsidR="00723888" w:rsidRPr="00821568" w14:paraId="3C5D20A4" w14:textId="77777777" w:rsidTr="0052377F">
        <w:trPr>
          <w:trHeight w:val="170"/>
        </w:trPr>
        <w:tc>
          <w:tcPr>
            <w:tcW w:w="0" w:type="auto"/>
            <w:gridSpan w:val="5"/>
            <w:tcBorders>
              <w:top w:val="single" w:sz="4" w:space="0" w:color="auto"/>
              <w:left w:val="single" w:sz="4" w:space="0" w:color="auto"/>
              <w:bottom w:val="single" w:sz="4" w:space="0" w:color="auto"/>
              <w:right w:val="single" w:sz="4" w:space="0" w:color="auto"/>
            </w:tcBorders>
            <w:shd w:val="clear" w:color="auto" w:fill="auto"/>
            <w:hideMark/>
          </w:tcPr>
          <w:p w14:paraId="0EADCB4E" w14:textId="5231F879" w:rsidR="00472A4B" w:rsidRPr="00821568" w:rsidRDefault="00472A4B" w:rsidP="00472A4B">
            <w:pPr>
              <w:jc w:val="center"/>
              <w:rPr>
                <w:rFonts w:ascii="Garamond" w:hAnsi="Garamond"/>
                <w:b/>
                <w:sz w:val="12"/>
                <w:szCs w:val="12"/>
              </w:rPr>
            </w:pPr>
            <w:bookmarkStart w:id="84" w:name="RANGE!A1:F5"/>
            <w:r w:rsidRPr="00821568">
              <w:rPr>
                <w:rFonts w:ascii="Garamond" w:hAnsi="Garamond"/>
                <w:b/>
                <w:sz w:val="12"/>
                <w:szCs w:val="12"/>
              </w:rPr>
              <w:t>Kostimi i Strategjisë Afatmesme të të Ardhurave</w:t>
            </w:r>
            <w:r w:rsidR="00800B00" w:rsidRPr="00821568">
              <w:rPr>
                <w:rFonts w:ascii="Garamond" w:hAnsi="Garamond"/>
                <w:b/>
                <w:sz w:val="12"/>
                <w:szCs w:val="12"/>
              </w:rPr>
              <w:t xml:space="preserve"> </w:t>
            </w:r>
            <w:r w:rsidR="00D22EA5" w:rsidRPr="00821568">
              <w:rPr>
                <w:rFonts w:ascii="Garamond" w:hAnsi="Garamond"/>
                <w:b/>
                <w:sz w:val="12"/>
                <w:szCs w:val="12"/>
              </w:rPr>
              <w:t>2024–2027</w:t>
            </w:r>
            <w:bookmarkEnd w:id="84"/>
          </w:p>
        </w:tc>
      </w:tr>
      <w:tr w:rsidR="00723888" w:rsidRPr="00821568" w14:paraId="632704CF" w14:textId="77777777" w:rsidTr="008C0C0F">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5BB9FAFC" w14:textId="77777777" w:rsidR="00472A4B" w:rsidRPr="00821568" w:rsidRDefault="00472A4B" w:rsidP="008C0C0F">
            <w:pPr>
              <w:jc w:val="center"/>
              <w:rPr>
                <w:rFonts w:ascii="Garamond" w:hAnsi="Garamond"/>
                <w:b/>
                <w:sz w:val="12"/>
                <w:szCs w:val="12"/>
              </w:rPr>
            </w:pPr>
            <w:r w:rsidRPr="00821568">
              <w:rPr>
                <w:rFonts w:ascii="Garamond" w:hAnsi="Garamond"/>
                <w:b/>
                <w:sz w:val="12"/>
                <w:szCs w:val="12"/>
              </w:rPr>
              <w:t>Nr.</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08DE735C" w14:textId="77777777" w:rsidR="00472A4B" w:rsidRPr="00821568" w:rsidRDefault="00472A4B" w:rsidP="008C0C0F">
            <w:pPr>
              <w:jc w:val="center"/>
              <w:rPr>
                <w:rFonts w:ascii="Garamond" w:hAnsi="Garamond"/>
                <w:b/>
                <w:sz w:val="12"/>
                <w:szCs w:val="12"/>
              </w:rPr>
            </w:pPr>
            <w:r w:rsidRPr="00821568">
              <w:rPr>
                <w:rFonts w:ascii="Garamond" w:hAnsi="Garamond"/>
                <w:b/>
                <w:sz w:val="12"/>
                <w:szCs w:val="12"/>
              </w:rPr>
              <w:t>Titulli</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14:paraId="58FC53C8" w14:textId="1EC32AF9" w:rsidR="00472A4B" w:rsidRPr="00821568" w:rsidRDefault="00472A4B" w:rsidP="008C0C0F">
            <w:pPr>
              <w:jc w:val="center"/>
              <w:rPr>
                <w:rFonts w:ascii="Garamond" w:hAnsi="Garamond"/>
                <w:b/>
                <w:sz w:val="12"/>
                <w:szCs w:val="12"/>
              </w:rPr>
            </w:pPr>
            <w:r w:rsidRPr="00821568">
              <w:rPr>
                <w:rFonts w:ascii="Garamond" w:hAnsi="Garamond"/>
                <w:b/>
                <w:sz w:val="12"/>
                <w:szCs w:val="12"/>
              </w:rPr>
              <w:t>Kosto</w:t>
            </w:r>
            <w:r w:rsidR="005803BD" w:rsidRPr="00821568">
              <w:rPr>
                <w:rFonts w:ascii="Garamond" w:hAnsi="Garamond"/>
                <w:b/>
                <w:sz w:val="12"/>
                <w:szCs w:val="12"/>
              </w:rPr>
              <w:t>ja</w:t>
            </w:r>
            <w:r w:rsidRPr="00821568">
              <w:rPr>
                <w:rFonts w:ascii="Garamond" w:hAnsi="Garamond"/>
                <w:b/>
                <w:sz w:val="12"/>
                <w:szCs w:val="12"/>
              </w:rPr>
              <w:t xml:space="preserve"> </w:t>
            </w:r>
            <w:r w:rsidR="005803BD" w:rsidRPr="00821568">
              <w:rPr>
                <w:rFonts w:ascii="Garamond" w:hAnsi="Garamond"/>
                <w:b/>
                <w:sz w:val="12"/>
                <w:szCs w:val="12"/>
              </w:rPr>
              <w:t>t</w:t>
            </w:r>
            <w:r w:rsidRPr="00821568">
              <w:rPr>
                <w:rFonts w:ascii="Garamond" w:hAnsi="Garamond"/>
                <w:b/>
                <w:sz w:val="12"/>
                <w:szCs w:val="12"/>
              </w:rPr>
              <w:t xml:space="preserve">otale </w:t>
            </w:r>
            <w:r w:rsidR="005803BD" w:rsidRPr="00821568">
              <w:rPr>
                <w:rFonts w:ascii="Garamond" w:hAnsi="Garamond"/>
                <w:b/>
                <w:sz w:val="12"/>
                <w:szCs w:val="12"/>
              </w:rPr>
              <w:t>i</w:t>
            </w:r>
            <w:r w:rsidRPr="00821568">
              <w:rPr>
                <w:rFonts w:ascii="Garamond" w:hAnsi="Garamond"/>
                <w:b/>
                <w:sz w:val="12"/>
                <w:szCs w:val="12"/>
              </w:rPr>
              <w:t>ndikative</w:t>
            </w:r>
          </w:p>
        </w:tc>
      </w:tr>
      <w:tr w:rsidR="00723888" w:rsidRPr="00821568" w14:paraId="7190ECF8" w14:textId="77777777" w:rsidTr="008C0C0F">
        <w:trPr>
          <w:trHeight w:val="517"/>
        </w:trPr>
        <w:tc>
          <w:tcPr>
            <w:tcW w:w="0" w:type="auto"/>
            <w:vMerge/>
            <w:tcBorders>
              <w:top w:val="nil"/>
              <w:left w:val="single" w:sz="4" w:space="0" w:color="auto"/>
              <w:bottom w:val="single" w:sz="4" w:space="0" w:color="auto"/>
              <w:right w:val="single" w:sz="4" w:space="0" w:color="auto"/>
            </w:tcBorders>
            <w:vAlign w:val="center"/>
            <w:hideMark/>
          </w:tcPr>
          <w:p w14:paraId="6AF05B47" w14:textId="77777777" w:rsidR="00472A4B" w:rsidRPr="00821568" w:rsidRDefault="00472A4B" w:rsidP="008C0C0F">
            <w:pPr>
              <w:jc w:val="cente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vAlign w:val="center"/>
            <w:hideMark/>
          </w:tcPr>
          <w:p w14:paraId="21EAAA15" w14:textId="77777777" w:rsidR="00472A4B" w:rsidRPr="00821568" w:rsidRDefault="00472A4B" w:rsidP="008C0C0F">
            <w:pPr>
              <w:jc w:val="center"/>
              <w:rPr>
                <w:rFonts w:ascii="Garamond" w:hAnsi="Garamond"/>
                <w:b/>
                <w:sz w:val="12"/>
                <w:szCs w:val="12"/>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28BA1B3" w14:textId="77777777" w:rsidR="00472A4B" w:rsidRPr="00821568" w:rsidRDefault="00472A4B" w:rsidP="008C0C0F">
            <w:pPr>
              <w:jc w:val="center"/>
              <w:rPr>
                <w:rFonts w:ascii="Garamond" w:hAnsi="Garamond"/>
                <w:b/>
                <w:sz w:val="12"/>
                <w:szCs w:val="12"/>
              </w:rPr>
            </w:pPr>
            <w:r w:rsidRPr="00821568">
              <w:rPr>
                <w:rFonts w:ascii="Garamond" w:hAnsi="Garamond"/>
                <w:b/>
                <w:sz w:val="12"/>
                <w:szCs w:val="12"/>
              </w:rPr>
              <w:t>PBA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1C7211B" w14:textId="4403498A" w:rsidR="00472A4B" w:rsidRPr="00821568" w:rsidRDefault="00472A4B" w:rsidP="008C0C0F">
            <w:pPr>
              <w:jc w:val="center"/>
              <w:rPr>
                <w:rFonts w:ascii="Garamond" w:hAnsi="Garamond"/>
                <w:b/>
                <w:sz w:val="12"/>
                <w:szCs w:val="12"/>
              </w:rPr>
            </w:pPr>
            <w:r w:rsidRPr="00821568">
              <w:rPr>
                <w:rFonts w:ascii="Garamond" w:hAnsi="Garamond"/>
                <w:b/>
                <w:sz w:val="12"/>
                <w:szCs w:val="12"/>
              </w:rPr>
              <w:t xml:space="preserve">Financim nga </w:t>
            </w:r>
            <w:r w:rsidR="005309EE" w:rsidRPr="00821568">
              <w:rPr>
                <w:rFonts w:ascii="Garamond" w:hAnsi="Garamond"/>
                <w:b/>
                <w:sz w:val="12"/>
                <w:szCs w:val="12"/>
              </w:rPr>
              <w:t>d</w:t>
            </w:r>
            <w:r w:rsidRPr="00821568">
              <w:rPr>
                <w:rFonts w:ascii="Garamond" w:hAnsi="Garamond"/>
                <w:b/>
                <w:sz w:val="12"/>
                <w:szCs w:val="12"/>
              </w:rPr>
              <w:t>onatorët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F4DAA73" w14:textId="12C28541" w:rsidR="00472A4B" w:rsidRPr="00821568" w:rsidRDefault="00472A4B" w:rsidP="008C0C0F">
            <w:pPr>
              <w:jc w:val="center"/>
              <w:rPr>
                <w:rFonts w:ascii="Garamond" w:hAnsi="Garamond"/>
                <w:b/>
                <w:sz w:val="12"/>
                <w:szCs w:val="12"/>
              </w:rPr>
            </w:pPr>
            <w:r w:rsidRPr="00821568">
              <w:rPr>
                <w:rFonts w:ascii="Garamond" w:hAnsi="Garamond"/>
                <w:b/>
                <w:sz w:val="12"/>
                <w:szCs w:val="12"/>
              </w:rPr>
              <w:t>Kosto</w:t>
            </w:r>
            <w:r w:rsidR="005803BD" w:rsidRPr="00821568">
              <w:rPr>
                <w:rFonts w:ascii="Garamond" w:hAnsi="Garamond"/>
                <w:b/>
                <w:sz w:val="12"/>
                <w:szCs w:val="12"/>
              </w:rPr>
              <w:t>ja</w:t>
            </w:r>
            <w:r w:rsidRPr="00821568">
              <w:rPr>
                <w:rFonts w:ascii="Garamond" w:hAnsi="Garamond"/>
                <w:b/>
                <w:sz w:val="12"/>
                <w:szCs w:val="12"/>
              </w:rPr>
              <w:t xml:space="preserve"> totale</w:t>
            </w:r>
          </w:p>
        </w:tc>
      </w:tr>
      <w:tr w:rsidR="00723888" w:rsidRPr="00821568" w14:paraId="453C4DB6" w14:textId="77777777" w:rsidTr="00821568">
        <w:trPr>
          <w:trHeight w:val="517"/>
        </w:trPr>
        <w:tc>
          <w:tcPr>
            <w:tcW w:w="0" w:type="auto"/>
            <w:vMerge/>
            <w:tcBorders>
              <w:top w:val="nil"/>
              <w:left w:val="single" w:sz="4" w:space="0" w:color="auto"/>
              <w:bottom w:val="single" w:sz="4" w:space="0" w:color="auto"/>
              <w:right w:val="single" w:sz="4" w:space="0" w:color="auto"/>
            </w:tcBorders>
            <w:hideMark/>
          </w:tcPr>
          <w:p w14:paraId="5FDFEC37" w14:textId="77777777" w:rsidR="00472A4B" w:rsidRPr="00821568" w:rsidRDefault="00472A4B" w:rsidP="00472A4B">
            <w:pPr>
              <w:jc w:val="cente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hideMark/>
          </w:tcPr>
          <w:p w14:paraId="2C75D937" w14:textId="77777777" w:rsidR="00472A4B" w:rsidRPr="00821568" w:rsidRDefault="00472A4B" w:rsidP="00472A4B">
            <w:pPr>
              <w:jc w:val="cente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hideMark/>
          </w:tcPr>
          <w:p w14:paraId="401AE7A6" w14:textId="77777777" w:rsidR="00472A4B" w:rsidRPr="00821568" w:rsidRDefault="00472A4B" w:rsidP="00472A4B">
            <w:pPr>
              <w:jc w:val="cente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hideMark/>
          </w:tcPr>
          <w:p w14:paraId="6335AEE2" w14:textId="77777777" w:rsidR="00472A4B" w:rsidRPr="00821568" w:rsidRDefault="00472A4B" w:rsidP="00472A4B">
            <w:pPr>
              <w:jc w:val="cente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hideMark/>
          </w:tcPr>
          <w:p w14:paraId="1D82FD4E" w14:textId="77777777" w:rsidR="00472A4B" w:rsidRPr="00821568" w:rsidRDefault="00472A4B" w:rsidP="00472A4B">
            <w:pPr>
              <w:jc w:val="center"/>
              <w:rPr>
                <w:rFonts w:ascii="Garamond" w:hAnsi="Garamond"/>
                <w:b/>
                <w:sz w:val="12"/>
                <w:szCs w:val="12"/>
              </w:rPr>
            </w:pPr>
          </w:p>
        </w:tc>
      </w:tr>
      <w:tr w:rsidR="00723888" w:rsidRPr="00821568" w14:paraId="5A288A69" w14:textId="77777777" w:rsidTr="00472A4B">
        <w:trPr>
          <w:trHeight w:val="20"/>
        </w:trPr>
        <w:tc>
          <w:tcPr>
            <w:tcW w:w="0" w:type="auto"/>
            <w:tcBorders>
              <w:top w:val="nil"/>
              <w:left w:val="single" w:sz="4" w:space="0" w:color="auto"/>
              <w:bottom w:val="single" w:sz="4" w:space="0" w:color="auto"/>
              <w:right w:val="single" w:sz="4" w:space="0" w:color="auto"/>
            </w:tcBorders>
            <w:shd w:val="clear" w:color="auto" w:fill="auto"/>
            <w:hideMark/>
          </w:tcPr>
          <w:p w14:paraId="357E17AF" w14:textId="77777777" w:rsidR="00472A4B" w:rsidRPr="00821568" w:rsidRDefault="00472A4B" w:rsidP="00472A4B">
            <w:pPr>
              <w:jc w:val="center"/>
              <w:rPr>
                <w:rFonts w:ascii="Garamond" w:hAnsi="Garamond"/>
                <w:sz w:val="12"/>
                <w:szCs w:val="12"/>
              </w:rPr>
            </w:pPr>
            <w:r w:rsidRPr="00821568">
              <w:rPr>
                <w:rFonts w:ascii="Garamond" w:hAnsi="Garamond"/>
                <w:sz w:val="12"/>
                <w:szCs w:val="12"/>
              </w:rPr>
              <w:t>1</w:t>
            </w:r>
          </w:p>
        </w:tc>
        <w:tc>
          <w:tcPr>
            <w:tcW w:w="0" w:type="auto"/>
            <w:tcBorders>
              <w:top w:val="nil"/>
              <w:left w:val="nil"/>
              <w:bottom w:val="single" w:sz="4" w:space="0" w:color="auto"/>
              <w:right w:val="single" w:sz="4" w:space="0" w:color="auto"/>
            </w:tcBorders>
            <w:shd w:val="clear" w:color="auto" w:fill="auto"/>
            <w:hideMark/>
          </w:tcPr>
          <w:p w14:paraId="415F62E0" w14:textId="0B9D3520" w:rsidR="00472A4B" w:rsidRPr="00821568" w:rsidRDefault="00472A4B" w:rsidP="005803BD">
            <w:pPr>
              <w:rPr>
                <w:rFonts w:ascii="Garamond" w:hAnsi="Garamond"/>
                <w:sz w:val="12"/>
                <w:szCs w:val="12"/>
              </w:rPr>
            </w:pPr>
            <w:r w:rsidRPr="00821568">
              <w:rPr>
                <w:rFonts w:ascii="Garamond" w:hAnsi="Garamond"/>
                <w:sz w:val="12"/>
                <w:szCs w:val="12"/>
              </w:rPr>
              <w:t xml:space="preserve">Qëllimi i </w:t>
            </w:r>
            <w:r w:rsidR="005309EE" w:rsidRPr="00821568">
              <w:rPr>
                <w:rFonts w:ascii="Garamond" w:hAnsi="Garamond"/>
                <w:sz w:val="12"/>
                <w:szCs w:val="12"/>
              </w:rPr>
              <w:t xml:space="preserve">politikës </w:t>
            </w:r>
            <w:r w:rsidRPr="00821568">
              <w:rPr>
                <w:rFonts w:ascii="Garamond" w:hAnsi="Garamond"/>
                <w:sz w:val="12"/>
                <w:szCs w:val="12"/>
              </w:rPr>
              <w:t>(</w:t>
            </w:r>
            <w:r w:rsidR="008C0C0F" w:rsidRPr="00821568">
              <w:rPr>
                <w:rFonts w:ascii="Garamond" w:hAnsi="Garamond"/>
                <w:sz w:val="12"/>
                <w:szCs w:val="12"/>
              </w:rPr>
              <w:t>shtylla</w:t>
            </w:r>
            <w:r w:rsidRPr="00821568">
              <w:rPr>
                <w:rFonts w:ascii="Garamond" w:hAnsi="Garamond"/>
                <w:sz w:val="12"/>
                <w:szCs w:val="12"/>
              </w:rPr>
              <w:t>) 1: Rishikimi i politikës tatimore</w:t>
            </w:r>
          </w:p>
        </w:tc>
        <w:tc>
          <w:tcPr>
            <w:tcW w:w="0" w:type="auto"/>
            <w:tcBorders>
              <w:top w:val="nil"/>
              <w:left w:val="nil"/>
              <w:bottom w:val="single" w:sz="4" w:space="0" w:color="auto"/>
              <w:right w:val="single" w:sz="4" w:space="0" w:color="auto"/>
            </w:tcBorders>
            <w:shd w:val="clear" w:color="auto" w:fill="auto"/>
            <w:hideMark/>
          </w:tcPr>
          <w:p w14:paraId="0360FE1A" w14:textId="77777777" w:rsidR="00472A4B" w:rsidRPr="00821568" w:rsidRDefault="00472A4B" w:rsidP="00472A4B">
            <w:pPr>
              <w:jc w:val="center"/>
              <w:rPr>
                <w:rFonts w:ascii="Garamond" w:hAnsi="Garamond"/>
                <w:sz w:val="12"/>
                <w:szCs w:val="12"/>
              </w:rPr>
            </w:pPr>
            <w:r w:rsidRPr="00821568">
              <w:rPr>
                <w:rFonts w:ascii="Garamond" w:hAnsi="Garamond"/>
                <w:sz w:val="12"/>
                <w:szCs w:val="12"/>
              </w:rPr>
              <w:t>-</w:t>
            </w:r>
          </w:p>
        </w:tc>
        <w:tc>
          <w:tcPr>
            <w:tcW w:w="0" w:type="auto"/>
            <w:tcBorders>
              <w:top w:val="nil"/>
              <w:left w:val="nil"/>
              <w:bottom w:val="single" w:sz="4" w:space="0" w:color="auto"/>
              <w:right w:val="single" w:sz="4" w:space="0" w:color="auto"/>
            </w:tcBorders>
            <w:shd w:val="clear" w:color="auto" w:fill="auto"/>
            <w:hideMark/>
          </w:tcPr>
          <w:p w14:paraId="3B00CCF0" w14:textId="77777777" w:rsidR="00472A4B" w:rsidRPr="00821568" w:rsidRDefault="00472A4B" w:rsidP="00472A4B">
            <w:pPr>
              <w:jc w:val="center"/>
              <w:rPr>
                <w:rFonts w:ascii="Garamond" w:hAnsi="Garamond"/>
                <w:sz w:val="12"/>
                <w:szCs w:val="12"/>
              </w:rPr>
            </w:pPr>
            <w:r w:rsidRPr="00821568">
              <w:rPr>
                <w:rFonts w:ascii="Garamond" w:hAnsi="Garamond"/>
                <w:sz w:val="12"/>
                <w:szCs w:val="12"/>
              </w:rPr>
              <w:t>14,500</w:t>
            </w:r>
          </w:p>
        </w:tc>
        <w:tc>
          <w:tcPr>
            <w:tcW w:w="0" w:type="auto"/>
            <w:tcBorders>
              <w:top w:val="nil"/>
              <w:left w:val="nil"/>
              <w:bottom w:val="single" w:sz="4" w:space="0" w:color="auto"/>
              <w:right w:val="single" w:sz="4" w:space="0" w:color="auto"/>
            </w:tcBorders>
            <w:shd w:val="clear" w:color="auto" w:fill="auto"/>
            <w:hideMark/>
          </w:tcPr>
          <w:p w14:paraId="28C2F472" w14:textId="77777777" w:rsidR="00472A4B" w:rsidRPr="00821568" w:rsidRDefault="00472A4B" w:rsidP="00472A4B">
            <w:pPr>
              <w:jc w:val="center"/>
              <w:rPr>
                <w:rFonts w:ascii="Garamond" w:hAnsi="Garamond"/>
                <w:sz w:val="12"/>
                <w:szCs w:val="12"/>
              </w:rPr>
            </w:pPr>
            <w:r w:rsidRPr="00821568">
              <w:rPr>
                <w:rFonts w:ascii="Garamond" w:hAnsi="Garamond"/>
                <w:sz w:val="12"/>
                <w:szCs w:val="12"/>
              </w:rPr>
              <w:t>14,500</w:t>
            </w:r>
          </w:p>
        </w:tc>
      </w:tr>
      <w:tr w:rsidR="00723888" w:rsidRPr="00821568" w14:paraId="02A2A75F" w14:textId="77777777" w:rsidTr="00472A4B">
        <w:trPr>
          <w:trHeight w:val="20"/>
        </w:trPr>
        <w:tc>
          <w:tcPr>
            <w:tcW w:w="0" w:type="auto"/>
            <w:tcBorders>
              <w:top w:val="nil"/>
              <w:left w:val="single" w:sz="4" w:space="0" w:color="auto"/>
              <w:bottom w:val="single" w:sz="4" w:space="0" w:color="auto"/>
              <w:right w:val="single" w:sz="4" w:space="0" w:color="auto"/>
            </w:tcBorders>
            <w:shd w:val="clear" w:color="auto" w:fill="auto"/>
            <w:hideMark/>
          </w:tcPr>
          <w:p w14:paraId="6052C58B" w14:textId="77777777" w:rsidR="00472A4B" w:rsidRPr="00821568" w:rsidRDefault="00472A4B" w:rsidP="00472A4B">
            <w:pPr>
              <w:jc w:val="center"/>
              <w:rPr>
                <w:rFonts w:ascii="Garamond" w:hAnsi="Garamond"/>
                <w:sz w:val="12"/>
                <w:szCs w:val="12"/>
              </w:rPr>
            </w:pPr>
            <w:r w:rsidRPr="00821568">
              <w:rPr>
                <w:rFonts w:ascii="Garamond" w:hAnsi="Garamond"/>
                <w:sz w:val="12"/>
                <w:szCs w:val="12"/>
              </w:rPr>
              <w:t>2</w:t>
            </w:r>
          </w:p>
        </w:tc>
        <w:tc>
          <w:tcPr>
            <w:tcW w:w="0" w:type="auto"/>
            <w:tcBorders>
              <w:top w:val="nil"/>
              <w:left w:val="nil"/>
              <w:bottom w:val="single" w:sz="4" w:space="0" w:color="auto"/>
              <w:right w:val="single" w:sz="4" w:space="0" w:color="auto"/>
            </w:tcBorders>
            <w:shd w:val="clear" w:color="auto" w:fill="auto"/>
            <w:hideMark/>
          </w:tcPr>
          <w:p w14:paraId="627158CF" w14:textId="3B7345DC" w:rsidR="00472A4B" w:rsidRPr="00821568" w:rsidRDefault="00472A4B" w:rsidP="005803BD">
            <w:pPr>
              <w:rPr>
                <w:rFonts w:ascii="Garamond" w:hAnsi="Garamond"/>
                <w:sz w:val="12"/>
                <w:szCs w:val="12"/>
              </w:rPr>
            </w:pPr>
            <w:r w:rsidRPr="00821568">
              <w:rPr>
                <w:rFonts w:ascii="Garamond" w:hAnsi="Garamond"/>
                <w:sz w:val="12"/>
                <w:szCs w:val="12"/>
              </w:rPr>
              <w:t xml:space="preserve">Qëllimi i </w:t>
            </w:r>
            <w:r w:rsidR="005309EE" w:rsidRPr="00821568">
              <w:rPr>
                <w:rFonts w:ascii="Garamond" w:hAnsi="Garamond"/>
                <w:sz w:val="12"/>
                <w:szCs w:val="12"/>
              </w:rPr>
              <w:t xml:space="preserve">politikës </w:t>
            </w:r>
            <w:r w:rsidRPr="00821568">
              <w:rPr>
                <w:rFonts w:ascii="Garamond" w:hAnsi="Garamond"/>
                <w:sz w:val="12"/>
                <w:szCs w:val="12"/>
              </w:rPr>
              <w:t>(</w:t>
            </w:r>
            <w:r w:rsidR="008C0C0F" w:rsidRPr="00821568">
              <w:rPr>
                <w:rFonts w:ascii="Garamond" w:hAnsi="Garamond"/>
                <w:sz w:val="12"/>
                <w:szCs w:val="12"/>
              </w:rPr>
              <w:t>shtylla</w:t>
            </w:r>
            <w:r w:rsidRPr="00821568">
              <w:rPr>
                <w:rFonts w:ascii="Garamond" w:hAnsi="Garamond"/>
                <w:sz w:val="12"/>
                <w:szCs w:val="12"/>
              </w:rPr>
              <w:t>) 2: Mirëadministrimi tatimor</w:t>
            </w:r>
          </w:p>
        </w:tc>
        <w:tc>
          <w:tcPr>
            <w:tcW w:w="0" w:type="auto"/>
            <w:tcBorders>
              <w:top w:val="nil"/>
              <w:left w:val="nil"/>
              <w:bottom w:val="single" w:sz="4" w:space="0" w:color="auto"/>
              <w:right w:val="single" w:sz="4" w:space="0" w:color="auto"/>
            </w:tcBorders>
            <w:shd w:val="clear" w:color="auto" w:fill="auto"/>
            <w:hideMark/>
          </w:tcPr>
          <w:p w14:paraId="3168EBF2" w14:textId="77777777" w:rsidR="00472A4B" w:rsidRPr="00821568" w:rsidRDefault="00472A4B" w:rsidP="00472A4B">
            <w:pPr>
              <w:jc w:val="center"/>
              <w:rPr>
                <w:rFonts w:ascii="Garamond" w:hAnsi="Garamond"/>
                <w:sz w:val="12"/>
                <w:szCs w:val="12"/>
              </w:rPr>
            </w:pPr>
            <w:r w:rsidRPr="00821568">
              <w:rPr>
                <w:rFonts w:ascii="Garamond" w:hAnsi="Garamond"/>
                <w:sz w:val="12"/>
                <w:szCs w:val="12"/>
              </w:rPr>
              <w:t>-</w:t>
            </w:r>
          </w:p>
        </w:tc>
        <w:tc>
          <w:tcPr>
            <w:tcW w:w="0" w:type="auto"/>
            <w:tcBorders>
              <w:top w:val="nil"/>
              <w:left w:val="nil"/>
              <w:bottom w:val="single" w:sz="4" w:space="0" w:color="auto"/>
              <w:right w:val="single" w:sz="4" w:space="0" w:color="auto"/>
            </w:tcBorders>
            <w:shd w:val="clear" w:color="auto" w:fill="auto"/>
            <w:hideMark/>
          </w:tcPr>
          <w:p w14:paraId="2130683A" w14:textId="77777777" w:rsidR="00472A4B" w:rsidRPr="00821568" w:rsidRDefault="00472A4B" w:rsidP="00472A4B">
            <w:pPr>
              <w:jc w:val="center"/>
              <w:rPr>
                <w:rFonts w:ascii="Garamond" w:hAnsi="Garamond"/>
                <w:sz w:val="12"/>
                <w:szCs w:val="12"/>
              </w:rPr>
            </w:pPr>
            <w:r w:rsidRPr="00821568">
              <w:rPr>
                <w:rFonts w:ascii="Garamond" w:hAnsi="Garamond"/>
                <w:sz w:val="12"/>
                <w:szCs w:val="12"/>
              </w:rPr>
              <w:t>100,000</w:t>
            </w:r>
          </w:p>
        </w:tc>
        <w:tc>
          <w:tcPr>
            <w:tcW w:w="0" w:type="auto"/>
            <w:tcBorders>
              <w:top w:val="nil"/>
              <w:left w:val="nil"/>
              <w:bottom w:val="single" w:sz="4" w:space="0" w:color="auto"/>
              <w:right w:val="single" w:sz="4" w:space="0" w:color="auto"/>
            </w:tcBorders>
            <w:shd w:val="clear" w:color="auto" w:fill="auto"/>
            <w:hideMark/>
          </w:tcPr>
          <w:p w14:paraId="591B2D38" w14:textId="77777777" w:rsidR="00472A4B" w:rsidRPr="00821568" w:rsidRDefault="00472A4B" w:rsidP="00472A4B">
            <w:pPr>
              <w:jc w:val="center"/>
              <w:rPr>
                <w:rFonts w:ascii="Garamond" w:hAnsi="Garamond"/>
                <w:sz w:val="12"/>
                <w:szCs w:val="12"/>
              </w:rPr>
            </w:pPr>
            <w:r w:rsidRPr="00821568">
              <w:rPr>
                <w:rFonts w:ascii="Garamond" w:hAnsi="Garamond"/>
                <w:sz w:val="12"/>
                <w:szCs w:val="12"/>
              </w:rPr>
              <w:t>100,000</w:t>
            </w:r>
          </w:p>
        </w:tc>
      </w:tr>
      <w:tr w:rsidR="00723888" w:rsidRPr="00821568" w14:paraId="55FB56F3" w14:textId="77777777" w:rsidTr="00472A4B">
        <w:trPr>
          <w:trHeight w:val="20"/>
        </w:trPr>
        <w:tc>
          <w:tcPr>
            <w:tcW w:w="0" w:type="auto"/>
            <w:tcBorders>
              <w:top w:val="nil"/>
              <w:left w:val="single" w:sz="4" w:space="0" w:color="auto"/>
              <w:bottom w:val="single" w:sz="4" w:space="0" w:color="auto"/>
              <w:right w:val="single" w:sz="4" w:space="0" w:color="auto"/>
            </w:tcBorders>
            <w:shd w:val="clear" w:color="auto" w:fill="auto"/>
            <w:hideMark/>
          </w:tcPr>
          <w:p w14:paraId="34FB9BD0" w14:textId="77777777" w:rsidR="00472A4B" w:rsidRPr="00821568" w:rsidRDefault="00472A4B" w:rsidP="00472A4B">
            <w:pPr>
              <w:jc w:val="center"/>
              <w:rPr>
                <w:rFonts w:ascii="Garamond" w:hAnsi="Garamond"/>
                <w:sz w:val="12"/>
                <w:szCs w:val="12"/>
              </w:rPr>
            </w:pPr>
            <w:r w:rsidRPr="00821568">
              <w:rPr>
                <w:rFonts w:ascii="Garamond" w:hAnsi="Garamond"/>
                <w:sz w:val="12"/>
                <w:szCs w:val="12"/>
              </w:rPr>
              <w:t>3</w:t>
            </w:r>
          </w:p>
        </w:tc>
        <w:tc>
          <w:tcPr>
            <w:tcW w:w="0" w:type="auto"/>
            <w:tcBorders>
              <w:top w:val="nil"/>
              <w:left w:val="nil"/>
              <w:bottom w:val="single" w:sz="4" w:space="0" w:color="auto"/>
              <w:right w:val="single" w:sz="4" w:space="0" w:color="auto"/>
            </w:tcBorders>
            <w:shd w:val="clear" w:color="auto" w:fill="auto"/>
            <w:hideMark/>
          </w:tcPr>
          <w:p w14:paraId="33954C2A" w14:textId="7F8936B9" w:rsidR="00472A4B" w:rsidRPr="00821568" w:rsidRDefault="00472A4B" w:rsidP="005803BD">
            <w:pPr>
              <w:rPr>
                <w:rFonts w:ascii="Garamond" w:hAnsi="Garamond"/>
                <w:sz w:val="12"/>
                <w:szCs w:val="12"/>
              </w:rPr>
            </w:pPr>
            <w:r w:rsidRPr="00821568">
              <w:rPr>
                <w:rFonts w:ascii="Garamond" w:hAnsi="Garamond"/>
                <w:sz w:val="12"/>
                <w:szCs w:val="12"/>
              </w:rPr>
              <w:t xml:space="preserve">Qëllimi i </w:t>
            </w:r>
            <w:r w:rsidR="005309EE" w:rsidRPr="00821568">
              <w:rPr>
                <w:rFonts w:ascii="Garamond" w:hAnsi="Garamond"/>
                <w:sz w:val="12"/>
                <w:szCs w:val="12"/>
              </w:rPr>
              <w:t xml:space="preserve">politikës </w:t>
            </w:r>
            <w:r w:rsidRPr="00821568">
              <w:rPr>
                <w:rFonts w:ascii="Garamond" w:hAnsi="Garamond"/>
                <w:sz w:val="12"/>
                <w:szCs w:val="12"/>
              </w:rPr>
              <w:t>(</w:t>
            </w:r>
            <w:r w:rsidR="008C0C0F" w:rsidRPr="00821568">
              <w:rPr>
                <w:rFonts w:ascii="Garamond" w:hAnsi="Garamond"/>
                <w:sz w:val="12"/>
                <w:szCs w:val="12"/>
              </w:rPr>
              <w:t>shtylla</w:t>
            </w:r>
            <w:r w:rsidRPr="00821568">
              <w:rPr>
                <w:rFonts w:ascii="Garamond" w:hAnsi="Garamond"/>
                <w:sz w:val="12"/>
                <w:szCs w:val="12"/>
              </w:rPr>
              <w:t>) 3: Mirëadministrimi doganor</w:t>
            </w:r>
          </w:p>
        </w:tc>
        <w:tc>
          <w:tcPr>
            <w:tcW w:w="0" w:type="auto"/>
            <w:tcBorders>
              <w:top w:val="nil"/>
              <w:left w:val="nil"/>
              <w:bottom w:val="single" w:sz="4" w:space="0" w:color="auto"/>
              <w:right w:val="single" w:sz="4" w:space="0" w:color="auto"/>
            </w:tcBorders>
            <w:shd w:val="clear" w:color="auto" w:fill="auto"/>
            <w:hideMark/>
          </w:tcPr>
          <w:p w14:paraId="0197AA53" w14:textId="77777777" w:rsidR="00472A4B" w:rsidRPr="00821568" w:rsidRDefault="00472A4B" w:rsidP="00472A4B">
            <w:pPr>
              <w:jc w:val="center"/>
              <w:rPr>
                <w:rFonts w:ascii="Garamond" w:hAnsi="Garamond"/>
                <w:sz w:val="12"/>
                <w:szCs w:val="12"/>
              </w:rPr>
            </w:pPr>
            <w:r w:rsidRPr="00821568">
              <w:rPr>
                <w:rFonts w:ascii="Garamond" w:hAnsi="Garamond"/>
                <w:sz w:val="12"/>
                <w:szCs w:val="12"/>
              </w:rPr>
              <w:t>409,747</w:t>
            </w:r>
          </w:p>
        </w:tc>
        <w:tc>
          <w:tcPr>
            <w:tcW w:w="0" w:type="auto"/>
            <w:tcBorders>
              <w:top w:val="nil"/>
              <w:left w:val="nil"/>
              <w:bottom w:val="single" w:sz="4" w:space="0" w:color="auto"/>
              <w:right w:val="single" w:sz="4" w:space="0" w:color="auto"/>
            </w:tcBorders>
            <w:shd w:val="clear" w:color="auto" w:fill="auto"/>
            <w:hideMark/>
          </w:tcPr>
          <w:p w14:paraId="326DD512" w14:textId="77777777" w:rsidR="00472A4B" w:rsidRPr="00821568" w:rsidRDefault="00472A4B" w:rsidP="00472A4B">
            <w:pPr>
              <w:jc w:val="center"/>
              <w:rPr>
                <w:rFonts w:ascii="Garamond" w:hAnsi="Garamond"/>
                <w:sz w:val="12"/>
                <w:szCs w:val="12"/>
              </w:rPr>
            </w:pPr>
            <w:r w:rsidRPr="00821568">
              <w:rPr>
                <w:rFonts w:ascii="Garamond" w:hAnsi="Garamond"/>
                <w:sz w:val="12"/>
                <w:szCs w:val="12"/>
              </w:rPr>
              <w:t>7,173,807</w:t>
            </w:r>
          </w:p>
        </w:tc>
        <w:tc>
          <w:tcPr>
            <w:tcW w:w="0" w:type="auto"/>
            <w:tcBorders>
              <w:top w:val="nil"/>
              <w:left w:val="nil"/>
              <w:bottom w:val="single" w:sz="4" w:space="0" w:color="auto"/>
              <w:right w:val="single" w:sz="4" w:space="0" w:color="auto"/>
            </w:tcBorders>
            <w:shd w:val="clear" w:color="auto" w:fill="auto"/>
            <w:hideMark/>
          </w:tcPr>
          <w:p w14:paraId="3A93DFBE" w14:textId="77777777" w:rsidR="00472A4B" w:rsidRPr="00821568" w:rsidRDefault="00472A4B" w:rsidP="00472A4B">
            <w:pPr>
              <w:jc w:val="center"/>
              <w:rPr>
                <w:rFonts w:ascii="Garamond" w:hAnsi="Garamond"/>
                <w:sz w:val="12"/>
                <w:szCs w:val="12"/>
              </w:rPr>
            </w:pPr>
            <w:r w:rsidRPr="00821568">
              <w:rPr>
                <w:rFonts w:ascii="Garamond" w:hAnsi="Garamond"/>
                <w:sz w:val="12"/>
                <w:szCs w:val="12"/>
              </w:rPr>
              <w:t>7,583,554</w:t>
            </w:r>
          </w:p>
        </w:tc>
      </w:tr>
      <w:tr w:rsidR="00723888" w:rsidRPr="00821568" w14:paraId="536CBBC3" w14:textId="77777777" w:rsidTr="00472A4B">
        <w:trPr>
          <w:trHeight w:val="20"/>
        </w:trPr>
        <w:tc>
          <w:tcPr>
            <w:tcW w:w="0" w:type="auto"/>
            <w:tcBorders>
              <w:top w:val="nil"/>
              <w:left w:val="single" w:sz="4" w:space="0" w:color="auto"/>
              <w:bottom w:val="single" w:sz="4" w:space="0" w:color="auto"/>
              <w:right w:val="single" w:sz="4" w:space="0" w:color="auto"/>
            </w:tcBorders>
            <w:shd w:val="clear" w:color="auto" w:fill="auto"/>
            <w:hideMark/>
          </w:tcPr>
          <w:p w14:paraId="26437F0C" w14:textId="77777777" w:rsidR="00472A4B" w:rsidRPr="00821568" w:rsidRDefault="00472A4B" w:rsidP="00472A4B">
            <w:pPr>
              <w:jc w:val="center"/>
              <w:rPr>
                <w:rFonts w:ascii="Garamond" w:hAnsi="Garamond"/>
                <w:sz w:val="12"/>
                <w:szCs w:val="12"/>
              </w:rPr>
            </w:pPr>
          </w:p>
        </w:tc>
        <w:tc>
          <w:tcPr>
            <w:tcW w:w="0" w:type="auto"/>
            <w:tcBorders>
              <w:top w:val="nil"/>
              <w:left w:val="nil"/>
              <w:bottom w:val="single" w:sz="4" w:space="0" w:color="auto"/>
              <w:right w:val="single" w:sz="4" w:space="0" w:color="auto"/>
            </w:tcBorders>
            <w:shd w:val="clear" w:color="auto" w:fill="auto"/>
            <w:hideMark/>
          </w:tcPr>
          <w:p w14:paraId="066DAFE0" w14:textId="7EEB9263" w:rsidR="00472A4B" w:rsidRPr="00821568" w:rsidRDefault="00472A4B" w:rsidP="00472A4B">
            <w:pPr>
              <w:jc w:val="center"/>
              <w:rPr>
                <w:rFonts w:ascii="Garamond" w:hAnsi="Garamond"/>
                <w:b/>
                <w:sz w:val="12"/>
                <w:szCs w:val="12"/>
              </w:rPr>
            </w:pPr>
            <w:r w:rsidRPr="00821568">
              <w:rPr>
                <w:rFonts w:ascii="Garamond" w:hAnsi="Garamond"/>
                <w:b/>
                <w:sz w:val="12"/>
                <w:szCs w:val="12"/>
              </w:rPr>
              <w:t xml:space="preserve">Kostoja </w:t>
            </w:r>
            <w:r w:rsidR="005803BD" w:rsidRPr="00821568">
              <w:rPr>
                <w:rFonts w:ascii="Garamond" w:hAnsi="Garamond"/>
                <w:b/>
                <w:sz w:val="12"/>
                <w:szCs w:val="12"/>
              </w:rPr>
              <w:t>indikative e strategjisë</w:t>
            </w:r>
          </w:p>
        </w:tc>
        <w:tc>
          <w:tcPr>
            <w:tcW w:w="0" w:type="auto"/>
            <w:tcBorders>
              <w:top w:val="nil"/>
              <w:left w:val="nil"/>
              <w:bottom w:val="single" w:sz="4" w:space="0" w:color="auto"/>
              <w:right w:val="single" w:sz="4" w:space="0" w:color="auto"/>
            </w:tcBorders>
            <w:shd w:val="clear" w:color="auto" w:fill="auto"/>
            <w:hideMark/>
          </w:tcPr>
          <w:p w14:paraId="3900E6E9" w14:textId="77777777" w:rsidR="00472A4B" w:rsidRPr="00821568" w:rsidRDefault="00472A4B" w:rsidP="00472A4B">
            <w:pPr>
              <w:jc w:val="center"/>
              <w:rPr>
                <w:rFonts w:ascii="Garamond" w:hAnsi="Garamond"/>
                <w:b/>
                <w:sz w:val="12"/>
                <w:szCs w:val="12"/>
              </w:rPr>
            </w:pPr>
            <w:r w:rsidRPr="00821568">
              <w:rPr>
                <w:rFonts w:ascii="Garamond" w:hAnsi="Garamond"/>
                <w:b/>
                <w:sz w:val="12"/>
                <w:szCs w:val="12"/>
              </w:rPr>
              <w:t>409,747</w:t>
            </w:r>
          </w:p>
        </w:tc>
        <w:tc>
          <w:tcPr>
            <w:tcW w:w="0" w:type="auto"/>
            <w:tcBorders>
              <w:top w:val="nil"/>
              <w:left w:val="nil"/>
              <w:bottom w:val="single" w:sz="4" w:space="0" w:color="auto"/>
              <w:right w:val="single" w:sz="4" w:space="0" w:color="auto"/>
            </w:tcBorders>
            <w:shd w:val="clear" w:color="auto" w:fill="auto"/>
            <w:hideMark/>
          </w:tcPr>
          <w:p w14:paraId="72A75DDF" w14:textId="77777777" w:rsidR="00472A4B" w:rsidRPr="00821568" w:rsidRDefault="00472A4B" w:rsidP="00472A4B">
            <w:pPr>
              <w:jc w:val="center"/>
              <w:rPr>
                <w:rFonts w:ascii="Garamond" w:hAnsi="Garamond"/>
                <w:b/>
                <w:sz w:val="12"/>
                <w:szCs w:val="12"/>
              </w:rPr>
            </w:pPr>
            <w:r w:rsidRPr="00821568">
              <w:rPr>
                <w:rFonts w:ascii="Garamond" w:hAnsi="Garamond"/>
                <w:b/>
                <w:sz w:val="12"/>
                <w:szCs w:val="12"/>
              </w:rPr>
              <w:t>7,288,307</w:t>
            </w:r>
          </w:p>
        </w:tc>
        <w:tc>
          <w:tcPr>
            <w:tcW w:w="0" w:type="auto"/>
            <w:tcBorders>
              <w:top w:val="nil"/>
              <w:left w:val="nil"/>
              <w:bottom w:val="single" w:sz="4" w:space="0" w:color="auto"/>
              <w:right w:val="single" w:sz="4" w:space="0" w:color="auto"/>
            </w:tcBorders>
            <w:shd w:val="clear" w:color="auto" w:fill="auto"/>
            <w:hideMark/>
          </w:tcPr>
          <w:p w14:paraId="19C91D10" w14:textId="77777777" w:rsidR="00472A4B" w:rsidRPr="00821568" w:rsidRDefault="00472A4B" w:rsidP="00472A4B">
            <w:pPr>
              <w:jc w:val="center"/>
              <w:rPr>
                <w:rFonts w:ascii="Garamond" w:hAnsi="Garamond"/>
                <w:b/>
                <w:sz w:val="12"/>
                <w:szCs w:val="12"/>
              </w:rPr>
            </w:pPr>
            <w:r w:rsidRPr="00821568">
              <w:rPr>
                <w:rFonts w:ascii="Garamond" w:hAnsi="Garamond"/>
                <w:b/>
                <w:sz w:val="12"/>
                <w:szCs w:val="12"/>
              </w:rPr>
              <w:t>7,698,054</w:t>
            </w:r>
          </w:p>
        </w:tc>
      </w:tr>
    </w:tbl>
    <w:p w14:paraId="0D6C1696" w14:textId="77777777" w:rsidR="00472A4B" w:rsidRPr="00830F4C" w:rsidRDefault="00472A4B" w:rsidP="00472A4B">
      <w:pPr>
        <w:ind w:firstLine="284"/>
        <w:jc w:val="both"/>
        <w:rPr>
          <w:rFonts w:ascii="Garamond" w:hAnsi="Garamond"/>
          <w:b/>
          <w:bCs/>
        </w:rPr>
      </w:pPr>
    </w:p>
    <w:p w14:paraId="516D48C3" w14:textId="688D4132" w:rsidR="00821568" w:rsidRDefault="00472A4B" w:rsidP="00821568">
      <w:pPr>
        <w:pStyle w:val="Heading1"/>
        <w:spacing w:before="0" w:line="240" w:lineRule="auto"/>
        <w:jc w:val="right"/>
        <w:rPr>
          <w:rFonts w:ascii="Garamond" w:hAnsi="Garamond"/>
          <w:b/>
          <w:color w:val="auto"/>
          <w:sz w:val="24"/>
        </w:rPr>
      </w:pPr>
      <w:bookmarkStart w:id="85" w:name="_Toc185235114"/>
      <w:r w:rsidRPr="00830F4C">
        <w:rPr>
          <w:rFonts w:ascii="Garamond" w:hAnsi="Garamond"/>
          <w:b/>
          <w:color w:val="auto"/>
          <w:sz w:val="24"/>
        </w:rPr>
        <w:t xml:space="preserve">Shtojca 1 </w:t>
      </w:r>
    </w:p>
    <w:p w14:paraId="06AB3DCE" w14:textId="37945AD4" w:rsidR="00472A4B" w:rsidRPr="005803BD" w:rsidRDefault="00472A4B" w:rsidP="00821568">
      <w:pPr>
        <w:pStyle w:val="Heading1"/>
        <w:spacing w:before="0" w:line="240" w:lineRule="auto"/>
        <w:jc w:val="center"/>
        <w:rPr>
          <w:rFonts w:ascii="Garamond" w:hAnsi="Garamond"/>
          <w:b/>
          <w:color w:val="auto"/>
          <w:sz w:val="20"/>
          <w:szCs w:val="20"/>
        </w:rPr>
      </w:pPr>
      <w:r w:rsidRPr="005803BD">
        <w:rPr>
          <w:rFonts w:ascii="Garamond" w:hAnsi="Garamond"/>
          <w:b/>
          <w:color w:val="auto"/>
          <w:sz w:val="20"/>
          <w:szCs w:val="20"/>
        </w:rPr>
        <w:t xml:space="preserve">Plani i Veprimit </w:t>
      </w:r>
      <w:r w:rsidR="005803BD" w:rsidRPr="005803BD">
        <w:rPr>
          <w:rFonts w:ascii="Garamond" w:hAnsi="Garamond"/>
          <w:b/>
          <w:color w:val="auto"/>
          <w:sz w:val="20"/>
          <w:szCs w:val="20"/>
        </w:rPr>
        <w:t>të</w:t>
      </w:r>
      <w:r w:rsidRPr="005803BD">
        <w:rPr>
          <w:rFonts w:ascii="Garamond" w:hAnsi="Garamond"/>
          <w:b/>
          <w:color w:val="auto"/>
          <w:sz w:val="20"/>
          <w:szCs w:val="20"/>
        </w:rPr>
        <w:t xml:space="preserve"> Strategjisë Afatmesme të të Ardhurave 2024–2027</w:t>
      </w:r>
      <w:bookmarkEnd w:id="85"/>
    </w:p>
    <w:tbl>
      <w:tblPr>
        <w:tblW w:w="0" w:type="auto"/>
        <w:tblLook w:val="04A0" w:firstRow="1" w:lastRow="0" w:firstColumn="1" w:lastColumn="0" w:noHBand="0" w:noVBand="1"/>
      </w:tblPr>
      <w:tblGrid>
        <w:gridCol w:w="438"/>
        <w:gridCol w:w="3003"/>
        <w:gridCol w:w="2579"/>
        <w:gridCol w:w="658"/>
        <w:gridCol w:w="761"/>
        <w:gridCol w:w="923"/>
        <w:gridCol w:w="978"/>
      </w:tblGrid>
      <w:tr w:rsidR="00723888" w:rsidRPr="00821568" w14:paraId="1D2E9C93" w14:textId="77777777" w:rsidTr="00472A4B">
        <w:trPr>
          <w:trHeight w:val="20"/>
        </w:trPr>
        <w:tc>
          <w:tcPr>
            <w:tcW w:w="0" w:type="auto"/>
            <w:gridSpan w:val="7"/>
            <w:tcBorders>
              <w:top w:val="single" w:sz="8" w:space="0" w:color="auto"/>
              <w:left w:val="single" w:sz="8" w:space="0" w:color="auto"/>
              <w:bottom w:val="single" w:sz="4" w:space="0" w:color="auto"/>
              <w:right w:val="single" w:sz="8" w:space="0" w:color="000000"/>
            </w:tcBorders>
            <w:shd w:val="clear" w:color="auto" w:fill="auto"/>
            <w:hideMark/>
          </w:tcPr>
          <w:p w14:paraId="726EBBFC" w14:textId="77777777" w:rsidR="00472A4B" w:rsidRPr="00821568" w:rsidRDefault="00472A4B" w:rsidP="00472A4B">
            <w:pPr>
              <w:rPr>
                <w:rFonts w:ascii="Garamond" w:hAnsi="Garamond"/>
                <w:b/>
                <w:sz w:val="12"/>
                <w:szCs w:val="12"/>
              </w:rPr>
            </w:pPr>
            <w:r w:rsidRPr="00821568">
              <w:rPr>
                <w:rFonts w:ascii="Garamond" w:hAnsi="Garamond"/>
                <w:b/>
                <w:sz w:val="12"/>
                <w:szCs w:val="12"/>
              </w:rPr>
              <w:t>Qëllimi i Politikës (Shtylla) 1: Rishikimi i politikës tatimore</w:t>
            </w:r>
          </w:p>
        </w:tc>
      </w:tr>
      <w:tr w:rsidR="00723888" w:rsidRPr="00821568" w14:paraId="554F15DB" w14:textId="77777777" w:rsidTr="00472A4B">
        <w:trPr>
          <w:trHeight w:val="20"/>
        </w:trPr>
        <w:tc>
          <w:tcPr>
            <w:tcW w:w="0" w:type="auto"/>
            <w:gridSpan w:val="7"/>
            <w:tcBorders>
              <w:top w:val="single" w:sz="4" w:space="0" w:color="auto"/>
              <w:left w:val="single" w:sz="8" w:space="0" w:color="auto"/>
              <w:bottom w:val="single" w:sz="4" w:space="0" w:color="auto"/>
              <w:right w:val="single" w:sz="8" w:space="0" w:color="000000"/>
            </w:tcBorders>
            <w:shd w:val="clear" w:color="auto" w:fill="auto"/>
            <w:hideMark/>
          </w:tcPr>
          <w:p w14:paraId="203967C8" w14:textId="77777777" w:rsidR="00472A4B" w:rsidRPr="00821568" w:rsidRDefault="00472A4B" w:rsidP="00472A4B">
            <w:pPr>
              <w:rPr>
                <w:rFonts w:ascii="Garamond" w:hAnsi="Garamond"/>
                <w:b/>
                <w:sz w:val="12"/>
                <w:szCs w:val="12"/>
              </w:rPr>
            </w:pPr>
            <w:r w:rsidRPr="00821568">
              <w:rPr>
                <w:rFonts w:ascii="Garamond" w:hAnsi="Garamond"/>
                <w:b/>
                <w:bCs/>
                <w:sz w:val="12"/>
                <w:szCs w:val="12"/>
              </w:rPr>
              <w:t>Objektivi Specifik (Komponenti) 1.1: Rishikimi i politikës tatimore të taksave mbi konsumin</w:t>
            </w:r>
          </w:p>
        </w:tc>
      </w:tr>
      <w:tr w:rsidR="00723888" w:rsidRPr="00821568" w14:paraId="48861580" w14:textId="77777777" w:rsidTr="005803BD">
        <w:trPr>
          <w:trHeight w:val="20"/>
        </w:trPr>
        <w:tc>
          <w:tcPr>
            <w:tcW w:w="0" w:type="auto"/>
            <w:vMerge w:val="restart"/>
            <w:tcBorders>
              <w:top w:val="nil"/>
              <w:left w:val="single" w:sz="8" w:space="0" w:color="auto"/>
              <w:bottom w:val="single" w:sz="4" w:space="0" w:color="auto"/>
              <w:right w:val="single" w:sz="4" w:space="0" w:color="auto"/>
            </w:tcBorders>
            <w:shd w:val="clear" w:color="auto" w:fill="auto"/>
            <w:vAlign w:val="center"/>
            <w:hideMark/>
          </w:tcPr>
          <w:p w14:paraId="56066739" w14:textId="1FE81572" w:rsidR="00472A4B" w:rsidRPr="00821568" w:rsidRDefault="00472A4B" w:rsidP="005803BD">
            <w:pPr>
              <w:jc w:val="center"/>
              <w:rPr>
                <w:rFonts w:ascii="Garamond" w:hAnsi="Garamond"/>
                <w:b/>
                <w:sz w:val="12"/>
                <w:szCs w:val="12"/>
              </w:rPr>
            </w:pPr>
            <w:r w:rsidRPr="00821568">
              <w:rPr>
                <w:rFonts w:ascii="Garamond" w:hAnsi="Garamond"/>
                <w:b/>
                <w:bCs/>
                <w:sz w:val="12"/>
                <w:szCs w:val="12"/>
              </w:rPr>
              <w:t>Nr</w:t>
            </w:r>
            <w:r w:rsidR="008C0C0F" w:rsidRPr="00821568">
              <w:rPr>
                <w:rFonts w:ascii="Garamond" w:hAnsi="Garamond"/>
                <w:b/>
                <w:bCs/>
                <w:sz w:val="12"/>
                <w:szCs w:val="12"/>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EB2C86D" w14:textId="77777777" w:rsidR="00472A4B" w:rsidRPr="00821568" w:rsidRDefault="00472A4B" w:rsidP="005803BD">
            <w:pPr>
              <w:jc w:val="center"/>
              <w:rPr>
                <w:rFonts w:ascii="Garamond" w:hAnsi="Garamond"/>
                <w:b/>
                <w:sz w:val="12"/>
                <w:szCs w:val="12"/>
              </w:rPr>
            </w:pPr>
            <w:r w:rsidRPr="00821568">
              <w:rPr>
                <w:rFonts w:ascii="Garamond" w:hAnsi="Garamond"/>
                <w:b/>
                <w:bCs/>
                <w:sz w:val="12"/>
                <w:szCs w:val="12"/>
              </w:rPr>
              <w:t>Masa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BBFEBD1" w14:textId="77777777" w:rsidR="00472A4B" w:rsidRPr="00821568" w:rsidRDefault="00472A4B" w:rsidP="005803BD">
            <w:pPr>
              <w:jc w:val="center"/>
              <w:rPr>
                <w:rFonts w:ascii="Garamond" w:hAnsi="Garamond"/>
                <w:b/>
                <w:sz w:val="12"/>
                <w:szCs w:val="12"/>
              </w:rPr>
            </w:pPr>
            <w:r w:rsidRPr="00821568">
              <w:rPr>
                <w:rFonts w:ascii="Garamond" w:hAnsi="Garamond"/>
                <w:b/>
                <w:bCs/>
                <w:sz w:val="12"/>
                <w:szCs w:val="12"/>
              </w:rPr>
              <w:t>Aktiviteti</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CC6922F" w14:textId="77777777" w:rsidR="00472A4B" w:rsidRPr="00821568" w:rsidRDefault="00472A4B" w:rsidP="005803BD">
            <w:pPr>
              <w:jc w:val="center"/>
              <w:rPr>
                <w:rFonts w:ascii="Garamond" w:hAnsi="Garamond"/>
                <w:b/>
                <w:sz w:val="12"/>
                <w:szCs w:val="12"/>
              </w:rPr>
            </w:pPr>
            <w:r w:rsidRPr="00821568">
              <w:rPr>
                <w:rFonts w:ascii="Garamond" w:hAnsi="Garamond"/>
                <w:b/>
                <w:bCs/>
                <w:sz w:val="12"/>
                <w:szCs w:val="12"/>
              </w:rPr>
              <w:t>Fillimi</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78E2E612" w14:textId="77777777" w:rsidR="00472A4B" w:rsidRPr="00821568" w:rsidRDefault="00472A4B" w:rsidP="005803BD">
            <w:pPr>
              <w:jc w:val="center"/>
              <w:rPr>
                <w:rFonts w:ascii="Garamond" w:hAnsi="Garamond"/>
                <w:b/>
                <w:sz w:val="12"/>
                <w:szCs w:val="12"/>
              </w:rPr>
            </w:pPr>
            <w:r w:rsidRPr="00821568">
              <w:rPr>
                <w:rFonts w:ascii="Garamond" w:hAnsi="Garamond"/>
                <w:b/>
                <w:bCs/>
                <w:sz w:val="12"/>
                <w:szCs w:val="12"/>
              </w:rPr>
              <w:t>Mbarimi</w:t>
            </w:r>
          </w:p>
        </w:tc>
        <w:tc>
          <w:tcPr>
            <w:tcW w:w="0" w:type="auto"/>
            <w:gridSpan w:val="2"/>
            <w:tcBorders>
              <w:top w:val="single" w:sz="4" w:space="0" w:color="auto"/>
              <w:left w:val="nil"/>
              <w:bottom w:val="single" w:sz="4" w:space="0" w:color="auto"/>
              <w:right w:val="single" w:sz="8" w:space="0" w:color="000000"/>
            </w:tcBorders>
            <w:shd w:val="clear" w:color="auto" w:fill="auto"/>
            <w:vAlign w:val="center"/>
            <w:hideMark/>
          </w:tcPr>
          <w:p w14:paraId="33A127F1" w14:textId="6A6C69A0" w:rsidR="00472A4B" w:rsidRPr="00821568" w:rsidRDefault="00472A4B" w:rsidP="005803BD">
            <w:pPr>
              <w:jc w:val="center"/>
              <w:rPr>
                <w:rFonts w:ascii="Garamond" w:hAnsi="Garamond"/>
                <w:b/>
                <w:sz w:val="12"/>
                <w:szCs w:val="12"/>
              </w:rPr>
            </w:pPr>
            <w:r w:rsidRPr="00821568">
              <w:rPr>
                <w:rFonts w:ascii="Garamond" w:hAnsi="Garamond"/>
                <w:b/>
                <w:bCs/>
                <w:sz w:val="12"/>
                <w:szCs w:val="12"/>
              </w:rPr>
              <w:t xml:space="preserve">Grupet e </w:t>
            </w:r>
            <w:r w:rsidR="005803BD" w:rsidRPr="00821568">
              <w:rPr>
                <w:rFonts w:ascii="Garamond" w:hAnsi="Garamond"/>
                <w:b/>
                <w:bCs/>
                <w:sz w:val="12"/>
                <w:szCs w:val="12"/>
              </w:rPr>
              <w:t>i</w:t>
            </w:r>
            <w:r w:rsidRPr="00821568">
              <w:rPr>
                <w:rFonts w:ascii="Garamond" w:hAnsi="Garamond"/>
                <w:b/>
                <w:bCs/>
                <w:sz w:val="12"/>
                <w:szCs w:val="12"/>
              </w:rPr>
              <w:t>nteresit</w:t>
            </w:r>
          </w:p>
        </w:tc>
      </w:tr>
      <w:tr w:rsidR="00723888" w:rsidRPr="00821568" w14:paraId="69C46016" w14:textId="77777777" w:rsidTr="005803BD">
        <w:trPr>
          <w:trHeight w:val="20"/>
        </w:trPr>
        <w:tc>
          <w:tcPr>
            <w:tcW w:w="0" w:type="auto"/>
            <w:vMerge/>
            <w:tcBorders>
              <w:top w:val="nil"/>
              <w:left w:val="single" w:sz="8" w:space="0" w:color="auto"/>
              <w:bottom w:val="single" w:sz="4" w:space="0" w:color="auto"/>
              <w:right w:val="single" w:sz="4" w:space="0" w:color="auto"/>
            </w:tcBorders>
            <w:vAlign w:val="center"/>
            <w:hideMark/>
          </w:tcPr>
          <w:p w14:paraId="5AF3BE3E" w14:textId="77777777" w:rsidR="00472A4B" w:rsidRPr="00821568" w:rsidRDefault="00472A4B" w:rsidP="005803BD">
            <w:pPr>
              <w:jc w:val="cente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vAlign w:val="center"/>
            <w:hideMark/>
          </w:tcPr>
          <w:p w14:paraId="53D63C32" w14:textId="77777777" w:rsidR="00472A4B" w:rsidRPr="00821568" w:rsidRDefault="00472A4B" w:rsidP="005803BD">
            <w:pPr>
              <w:jc w:val="cente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vAlign w:val="center"/>
            <w:hideMark/>
          </w:tcPr>
          <w:p w14:paraId="5CD024AD" w14:textId="77777777" w:rsidR="00472A4B" w:rsidRPr="00821568" w:rsidRDefault="00472A4B" w:rsidP="005803BD">
            <w:pPr>
              <w:jc w:val="cente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vAlign w:val="center"/>
            <w:hideMark/>
          </w:tcPr>
          <w:p w14:paraId="381BEADF" w14:textId="77777777" w:rsidR="00472A4B" w:rsidRPr="00821568" w:rsidRDefault="00472A4B" w:rsidP="005803BD">
            <w:pPr>
              <w:jc w:val="cente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vAlign w:val="center"/>
            <w:hideMark/>
          </w:tcPr>
          <w:p w14:paraId="220E47AD" w14:textId="77777777" w:rsidR="00472A4B" w:rsidRPr="00821568" w:rsidRDefault="00472A4B" w:rsidP="005803BD">
            <w:pPr>
              <w:jc w:val="center"/>
              <w:rPr>
                <w:rFonts w:ascii="Garamond" w:hAnsi="Garamond"/>
                <w:b/>
                <w:sz w:val="12"/>
                <w:szCs w:val="12"/>
              </w:rPr>
            </w:pPr>
          </w:p>
        </w:tc>
        <w:tc>
          <w:tcPr>
            <w:tcW w:w="0" w:type="auto"/>
            <w:tcBorders>
              <w:top w:val="nil"/>
              <w:left w:val="nil"/>
              <w:bottom w:val="single" w:sz="4" w:space="0" w:color="auto"/>
              <w:right w:val="single" w:sz="4" w:space="0" w:color="auto"/>
            </w:tcBorders>
            <w:shd w:val="clear" w:color="auto" w:fill="auto"/>
            <w:vAlign w:val="center"/>
            <w:hideMark/>
          </w:tcPr>
          <w:p w14:paraId="18E08973" w14:textId="77777777" w:rsidR="00472A4B" w:rsidRPr="00821568" w:rsidRDefault="00472A4B" w:rsidP="005803BD">
            <w:pPr>
              <w:jc w:val="center"/>
              <w:rPr>
                <w:rFonts w:ascii="Garamond" w:hAnsi="Garamond"/>
                <w:b/>
                <w:sz w:val="12"/>
                <w:szCs w:val="12"/>
              </w:rPr>
            </w:pPr>
            <w:r w:rsidRPr="00821568">
              <w:rPr>
                <w:rFonts w:ascii="Garamond" w:hAnsi="Garamond"/>
                <w:b/>
                <w:bCs/>
                <w:sz w:val="12"/>
                <w:szCs w:val="12"/>
              </w:rPr>
              <w:t>Njësitë përgjegjëse</w:t>
            </w:r>
          </w:p>
        </w:tc>
        <w:tc>
          <w:tcPr>
            <w:tcW w:w="0" w:type="auto"/>
            <w:tcBorders>
              <w:top w:val="nil"/>
              <w:left w:val="nil"/>
              <w:bottom w:val="single" w:sz="4" w:space="0" w:color="auto"/>
              <w:right w:val="single" w:sz="8" w:space="0" w:color="auto"/>
            </w:tcBorders>
            <w:shd w:val="clear" w:color="auto" w:fill="auto"/>
            <w:vAlign w:val="center"/>
            <w:hideMark/>
          </w:tcPr>
          <w:p w14:paraId="7905ACD5" w14:textId="77777777" w:rsidR="00472A4B" w:rsidRPr="00821568" w:rsidRDefault="00472A4B" w:rsidP="005803BD">
            <w:pPr>
              <w:jc w:val="center"/>
              <w:rPr>
                <w:rFonts w:ascii="Garamond" w:hAnsi="Garamond"/>
                <w:b/>
                <w:sz w:val="12"/>
                <w:szCs w:val="12"/>
              </w:rPr>
            </w:pPr>
            <w:r w:rsidRPr="00821568">
              <w:rPr>
                <w:rFonts w:ascii="Garamond" w:hAnsi="Garamond"/>
                <w:b/>
                <w:bCs/>
                <w:sz w:val="12"/>
                <w:szCs w:val="12"/>
              </w:rPr>
              <w:t>Partnerët</w:t>
            </w:r>
          </w:p>
        </w:tc>
      </w:tr>
      <w:tr w:rsidR="00723888" w:rsidRPr="00821568" w14:paraId="052C4184" w14:textId="77777777" w:rsidTr="00472A4B">
        <w:trPr>
          <w:trHeight w:val="20"/>
        </w:trPr>
        <w:tc>
          <w:tcPr>
            <w:tcW w:w="0" w:type="auto"/>
            <w:tcBorders>
              <w:top w:val="nil"/>
              <w:left w:val="single" w:sz="8" w:space="0" w:color="auto"/>
              <w:bottom w:val="single" w:sz="4" w:space="0" w:color="auto"/>
              <w:right w:val="single" w:sz="4" w:space="0" w:color="auto"/>
            </w:tcBorders>
            <w:shd w:val="clear" w:color="auto" w:fill="auto"/>
            <w:noWrap/>
            <w:hideMark/>
          </w:tcPr>
          <w:p w14:paraId="2DA71DCF" w14:textId="77777777" w:rsidR="00472A4B" w:rsidRPr="00821568" w:rsidRDefault="00472A4B" w:rsidP="00472A4B">
            <w:pPr>
              <w:rPr>
                <w:rFonts w:ascii="Garamond" w:hAnsi="Garamond"/>
                <w:sz w:val="12"/>
                <w:szCs w:val="12"/>
              </w:rPr>
            </w:pPr>
            <w:r w:rsidRPr="00821568">
              <w:rPr>
                <w:rFonts w:ascii="Garamond" w:hAnsi="Garamond"/>
                <w:sz w:val="12"/>
                <w:szCs w:val="12"/>
              </w:rPr>
              <w:t>1.1.1</w:t>
            </w:r>
          </w:p>
        </w:tc>
        <w:tc>
          <w:tcPr>
            <w:tcW w:w="0" w:type="auto"/>
            <w:tcBorders>
              <w:top w:val="nil"/>
              <w:left w:val="nil"/>
              <w:bottom w:val="single" w:sz="4" w:space="0" w:color="auto"/>
              <w:right w:val="single" w:sz="4" w:space="0" w:color="auto"/>
            </w:tcBorders>
            <w:shd w:val="clear" w:color="auto" w:fill="auto"/>
            <w:hideMark/>
          </w:tcPr>
          <w:p w14:paraId="7F2F64AA" w14:textId="134D4526" w:rsidR="00472A4B" w:rsidRPr="00821568" w:rsidRDefault="00472A4B" w:rsidP="00472A4B">
            <w:pPr>
              <w:rPr>
                <w:rFonts w:ascii="Garamond" w:hAnsi="Garamond"/>
                <w:sz w:val="12"/>
                <w:szCs w:val="12"/>
              </w:rPr>
            </w:pPr>
            <w:r w:rsidRPr="00821568">
              <w:rPr>
                <w:rFonts w:ascii="Garamond" w:hAnsi="Garamond"/>
                <w:sz w:val="12"/>
                <w:szCs w:val="12"/>
              </w:rPr>
              <w:t>Analizë e përjashtimeve/normave të reduktuara në</w:t>
            </w:r>
            <w:r w:rsidR="00DE65FB" w:rsidRPr="00821568">
              <w:rPr>
                <w:rFonts w:ascii="Garamond" w:hAnsi="Garamond"/>
                <w:sz w:val="12"/>
                <w:szCs w:val="12"/>
              </w:rPr>
              <w:t xml:space="preserve"> TVSh</w:t>
            </w:r>
            <w:r w:rsidR="005309EE" w:rsidRPr="00821568">
              <w:rPr>
                <w:rFonts w:ascii="Garamond" w:hAnsi="Garamond"/>
                <w:sz w:val="12"/>
                <w:szCs w:val="12"/>
              </w:rPr>
              <w:t>.</w:t>
            </w:r>
          </w:p>
        </w:tc>
        <w:tc>
          <w:tcPr>
            <w:tcW w:w="0" w:type="auto"/>
            <w:tcBorders>
              <w:top w:val="nil"/>
              <w:left w:val="nil"/>
              <w:bottom w:val="single" w:sz="4" w:space="0" w:color="auto"/>
              <w:right w:val="single" w:sz="4" w:space="0" w:color="auto"/>
            </w:tcBorders>
            <w:shd w:val="clear" w:color="auto" w:fill="auto"/>
            <w:hideMark/>
          </w:tcPr>
          <w:p w14:paraId="5835BF20" w14:textId="16627F6D" w:rsidR="00472A4B" w:rsidRPr="00821568" w:rsidRDefault="00472A4B" w:rsidP="00472A4B">
            <w:pPr>
              <w:rPr>
                <w:rFonts w:ascii="Garamond" w:hAnsi="Garamond"/>
                <w:sz w:val="12"/>
                <w:szCs w:val="12"/>
              </w:rPr>
            </w:pPr>
            <w:r w:rsidRPr="00821568">
              <w:rPr>
                <w:rFonts w:ascii="Garamond" w:hAnsi="Garamond"/>
                <w:sz w:val="12"/>
                <w:szCs w:val="12"/>
              </w:rPr>
              <w:t>Kryerja e një analize lidhur me efektivitetin e përjashtimeve/</w:t>
            </w:r>
            <w:r w:rsidR="005309EE" w:rsidRPr="00821568">
              <w:rPr>
                <w:rFonts w:ascii="Garamond" w:hAnsi="Garamond"/>
                <w:sz w:val="12"/>
                <w:szCs w:val="12"/>
              </w:rPr>
              <w:t xml:space="preserve"> </w:t>
            </w:r>
            <w:r w:rsidRPr="00821568">
              <w:rPr>
                <w:rFonts w:ascii="Garamond" w:hAnsi="Garamond"/>
                <w:sz w:val="12"/>
                <w:szCs w:val="12"/>
              </w:rPr>
              <w:t>normave të reduktuara në</w:t>
            </w:r>
            <w:r w:rsidR="00DE65FB" w:rsidRPr="00821568">
              <w:rPr>
                <w:rFonts w:ascii="Garamond" w:hAnsi="Garamond"/>
                <w:sz w:val="12"/>
                <w:szCs w:val="12"/>
              </w:rPr>
              <w:t xml:space="preserve"> TVSh</w:t>
            </w:r>
            <w:r w:rsidRPr="00821568">
              <w:rPr>
                <w:rFonts w:ascii="Garamond" w:hAnsi="Garamond"/>
                <w:sz w:val="12"/>
                <w:szCs w:val="12"/>
              </w:rPr>
              <w:t>, me synimin për të përcaktuar nëse ndonjë mund të hiqet gradualisht</w:t>
            </w:r>
            <w:r w:rsidR="005309EE" w:rsidRPr="00821568">
              <w:rPr>
                <w:rFonts w:ascii="Garamond" w:hAnsi="Garamond"/>
                <w:sz w:val="12"/>
                <w:szCs w:val="12"/>
              </w:rPr>
              <w:t>.</w:t>
            </w:r>
          </w:p>
        </w:tc>
        <w:tc>
          <w:tcPr>
            <w:tcW w:w="0" w:type="auto"/>
            <w:tcBorders>
              <w:top w:val="nil"/>
              <w:left w:val="nil"/>
              <w:bottom w:val="single" w:sz="4" w:space="0" w:color="auto"/>
              <w:right w:val="single" w:sz="4" w:space="0" w:color="auto"/>
            </w:tcBorders>
            <w:shd w:val="clear" w:color="auto" w:fill="auto"/>
            <w:hideMark/>
          </w:tcPr>
          <w:p w14:paraId="20F201B9" w14:textId="77777777" w:rsidR="00472A4B" w:rsidRPr="00821568" w:rsidRDefault="00472A4B" w:rsidP="00472A4B">
            <w:pPr>
              <w:rPr>
                <w:rFonts w:ascii="Garamond" w:hAnsi="Garamond"/>
                <w:sz w:val="12"/>
                <w:szCs w:val="12"/>
              </w:rPr>
            </w:pPr>
            <w:r w:rsidRPr="00821568">
              <w:rPr>
                <w:rFonts w:ascii="Garamond" w:hAnsi="Garamond"/>
                <w:sz w:val="12"/>
                <w:szCs w:val="12"/>
              </w:rPr>
              <w:t>2024</w:t>
            </w:r>
          </w:p>
        </w:tc>
        <w:tc>
          <w:tcPr>
            <w:tcW w:w="0" w:type="auto"/>
            <w:tcBorders>
              <w:top w:val="nil"/>
              <w:left w:val="nil"/>
              <w:bottom w:val="single" w:sz="4" w:space="0" w:color="auto"/>
              <w:right w:val="single" w:sz="4" w:space="0" w:color="auto"/>
            </w:tcBorders>
            <w:shd w:val="clear" w:color="auto" w:fill="auto"/>
            <w:hideMark/>
          </w:tcPr>
          <w:p w14:paraId="7F38DA8A" w14:textId="77777777" w:rsidR="00472A4B" w:rsidRPr="00821568" w:rsidRDefault="00472A4B" w:rsidP="00472A4B">
            <w:pPr>
              <w:rPr>
                <w:rFonts w:ascii="Garamond" w:hAnsi="Garamond"/>
                <w:sz w:val="12"/>
                <w:szCs w:val="12"/>
              </w:rPr>
            </w:pPr>
            <w:r w:rsidRPr="00821568">
              <w:rPr>
                <w:rFonts w:ascii="Garamond" w:hAnsi="Garamond"/>
                <w:sz w:val="12"/>
                <w:szCs w:val="12"/>
              </w:rPr>
              <w:t>Qershor 2025</w:t>
            </w:r>
          </w:p>
        </w:tc>
        <w:tc>
          <w:tcPr>
            <w:tcW w:w="0" w:type="auto"/>
            <w:tcBorders>
              <w:top w:val="nil"/>
              <w:left w:val="nil"/>
              <w:bottom w:val="single" w:sz="4" w:space="0" w:color="auto"/>
              <w:right w:val="single" w:sz="4" w:space="0" w:color="auto"/>
            </w:tcBorders>
            <w:shd w:val="clear" w:color="auto" w:fill="auto"/>
            <w:hideMark/>
          </w:tcPr>
          <w:p w14:paraId="4324D326" w14:textId="77777777" w:rsidR="00472A4B" w:rsidRPr="00821568" w:rsidRDefault="00472A4B" w:rsidP="00472A4B">
            <w:pPr>
              <w:rPr>
                <w:rFonts w:ascii="Garamond" w:hAnsi="Garamond"/>
                <w:sz w:val="12"/>
                <w:szCs w:val="12"/>
              </w:rPr>
            </w:pPr>
            <w:r w:rsidRPr="00821568">
              <w:rPr>
                <w:rFonts w:ascii="Garamond" w:hAnsi="Garamond"/>
                <w:sz w:val="12"/>
                <w:szCs w:val="12"/>
              </w:rPr>
              <w:t>MF, DPT, DPD</w:t>
            </w:r>
          </w:p>
        </w:tc>
        <w:tc>
          <w:tcPr>
            <w:tcW w:w="0" w:type="auto"/>
            <w:tcBorders>
              <w:top w:val="nil"/>
              <w:left w:val="nil"/>
              <w:bottom w:val="single" w:sz="4" w:space="0" w:color="auto"/>
              <w:right w:val="single" w:sz="8" w:space="0" w:color="auto"/>
            </w:tcBorders>
            <w:shd w:val="clear" w:color="auto" w:fill="auto"/>
            <w:hideMark/>
          </w:tcPr>
          <w:p w14:paraId="76C52BBF" w14:textId="772342DB" w:rsidR="00472A4B" w:rsidRPr="00821568" w:rsidRDefault="005803BD" w:rsidP="00472A4B">
            <w:pPr>
              <w:rPr>
                <w:rFonts w:ascii="Garamond" w:hAnsi="Garamond"/>
                <w:sz w:val="12"/>
                <w:szCs w:val="12"/>
              </w:rPr>
            </w:pPr>
            <w:r w:rsidRPr="00821568">
              <w:rPr>
                <w:rFonts w:ascii="Garamond" w:hAnsi="Garamond"/>
                <w:sz w:val="12"/>
                <w:szCs w:val="12"/>
              </w:rPr>
              <w:t xml:space="preserve">Me </w:t>
            </w:r>
            <w:r w:rsidR="00472A4B" w:rsidRPr="00821568">
              <w:rPr>
                <w:rFonts w:ascii="Garamond" w:hAnsi="Garamond"/>
                <w:sz w:val="12"/>
                <w:szCs w:val="12"/>
              </w:rPr>
              <w:t>asistencën e FMN</w:t>
            </w:r>
            <w:r w:rsidRPr="00821568">
              <w:rPr>
                <w:rFonts w:ascii="Garamond" w:hAnsi="Garamond"/>
                <w:sz w:val="12"/>
                <w:szCs w:val="12"/>
              </w:rPr>
              <w:t>-së</w:t>
            </w:r>
          </w:p>
        </w:tc>
      </w:tr>
      <w:tr w:rsidR="00723888" w:rsidRPr="00821568" w14:paraId="32BFF5A6" w14:textId="77777777" w:rsidTr="00472A4B">
        <w:trPr>
          <w:trHeight w:val="20"/>
        </w:trPr>
        <w:tc>
          <w:tcPr>
            <w:tcW w:w="0" w:type="auto"/>
            <w:tcBorders>
              <w:top w:val="nil"/>
              <w:left w:val="single" w:sz="8" w:space="0" w:color="auto"/>
              <w:bottom w:val="single" w:sz="4" w:space="0" w:color="auto"/>
              <w:right w:val="single" w:sz="4" w:space="0" w:color="auto"/>
            </w:tcBorders>
            <w:shd w:val="clear" w:color="auto" w:fill="auto"/>
            <w:noWrap/>
            <w:hideMark/>
          </w:tcPr>
          <w:p w14:paraId="0DDA13A3" w14:textId="77777777" w:rsidR="00472A4B" w:rsidRPr="00821568" w:rsidRDefault="00472A4B" w:rsidP="00472A4B">
            <w:pPr>
              <w:rPr>
                <w:rFonts w:ascii="Garamond" w:hAnsi="Garamond"/>
                <w:sz w:val="12"/>
                <w:szCs w:val="12"/>
              </w:rPr>
            </w:pPr>
            <w:r w:rsidRPr="00821568">
              <w:rPr>
                <w:rFonts w:ascii="Garamond" w:hAnsi="Garamond"/>
                <w:sz w:val="12"/>
                <w:szCs w:val="12"/>
              </w:rPr>
              <w:t>1.1.2</w:t>
            </w:r>
          </w:p>
        </w:tc>
        <w:tc>
          <w:tcPr>
            <w:tcW w:w="0" w:type="auto"/>
            <w:tcBorders>
              <w:top w:val="nil"/>
              <w:left w:val="nil"/>
              <w:bottom w:val="single" w:sz="4" w:space="0" w:color="auto"/>
              <w:right w:val="single" w:sz="4" w:space="0" w:color="auto"/>
            </w:tcBorders>
            <w:shd w:val="clear" w:color="auto" w:fill="auto"/>
            <w:hideMark/>
          </w:tcPr>
          <w:p w14:paraId="02300DEA" w14:textId="7A9F5897" w:rsidR="00472A4B" w:rsidRPr="00821568" w:rsidRDefault="00472A4B" w:rsidP="00472A4B">
            <w:pPr>
              <w:rPr>
                <w:rFonts w:ascii="Garamond" w:hAnsi="Garamond"/>
                <w:sz w:val="12"/>
                <w:szCs w:val="12"/>
              </w:rPr>
            </w:pPr>
            <w:r w:rsidRPr="00821568">
              <w:rPr>
                <w:rFonts w:ascii="Garamond" w:hAnsi="Garamond"/>
                <w:sz w:val="12"/>
                <w:szCs w:val="12"/>
              </w:rPr>
              <w:t>Analiza e pragut të regjistrimit për</w:t>
            </w:r>
            <w:r w:rsidR="00DE65FB" w:rsidRPr="00821568">
              <w:rPr>
                <w:rFonts w:ascii="Garamond" w:hAnsi="Garamond"/>
                <w:sz w:val="12"/>
                <w:szCs w:val="12"/>
              </w:rPr>
              <w:t xml:space="preserve"> TVSh</w:t>
            </w:r>
            <w:r w:rsidRPr="00821568">
              <w:rPr>
                <w:rFonts w:ascii="Garamond" w:hAnsi="Garamond"/>
                <w:sz w:val="12"/>
                <w:szCs w:val="12"/>
              </w:rPr>
              <w:t>-në</w:t>
            </w:r>
          </w:p>
        </w:tc>
        <w:tc>
          <w:tcPr>
            <w:tcW w:w="0" w:type="auto"/>
            <w:tcBorders>
              <w:top w:val="nil"/>
              <w:left w:val="nil"/>
              <w:bottom w:val="single" w:sz="4" w:space="0" w:color="auto"/>
              <w:right w:val="single" w:sz="4" w:space="0" w:color="auto"/>
            </w:tcBorders>
            <w:shd w:val="clear" w:color="auto" w:fill="auto"/>
            <w:hideMark/>
          </w:tcPr>
          <w:p w14:paraId="0892783E" w14:textId="156EEFAC" w:rsidR="00472A4B" w:rsidRPr="00821568" w:rsidRDefault="00472A4B" w:rsidP="00472A4B">
            <w:pPr>
              <w:rPr>
                <w:rFonts w:ascii="Garamond" w:hAnsi="Garamond"/>
                <w:sz w:val="12"/>
                <w:szCs w:val="12"/>
              </w:rPr>
            </w:pPr>
            <w:r w:rsidRPr="00821568">
              <w:rPr>
                <w:rFonts w:ascii="Garamond" w:hAnsi="Garamond"/>
                <w:sz w:val="12"/>
                <w:szCs w:val="12"/>
              </w:rPr>
              <w:t>Kryerja e një analize në lidhje me pragun e regjistrimit të</w:t>
            </w:r>
            <w:r w:rsidR="00DE65FB" w:rsidRPr="00821568">
              <w:rPr>
                <w:rFonts w:ascii="Garamond" w:hAnsi="Garamond"/>
                <w:sz w:val="12"/>
                <w:szCs w:val="12"/>
              </w:rPr>
              <w:t xml:space="preserve"> TVSh</w:t>
            </w:r>
            <w:r w:rsidRPr="00821568">
              <w:rPr>
                <w:rFonts w:ascii="Garamond" w:hAnsi="Garamond"/>
                <w:sz w:val="12"/>
                <w:szCs w:val="12"/>
              </w:rPr>
              <w:t>-së</w:t>
            </w:r>
            <w:r w:rsidR="005309EE" w:rsidRPr="00821568">
              <w:rPr>
                <w:rFonts w:ascii="Garamond" w:hAnsi="Garamond"/>
                <w:sz w:val="12"/>
                <w:szCs w:val="12"/>
              </w:rPr>
              <w:t>.</w:t>
            </w:r>
          </w:p>
        </w:tc>
        <w:tc>
          <w:tcPr>
            <w:tcW w:w="0" w:type="auto"/>
            <w:tcBorders>
              <w:top w:val="nil"/>
              <w:left w:val="nil"/>
              <w:bottom w:val="single" w:sz="4" w:space="0" w:color="auto"/>
              <w:right w:val="single" w:sz="4" w:space="0" w:color="auto"/>
            </w:tcBorders>
            <w:shd w:val="clear" w:color="auto" w:fill="auto"/>
            <w:hideMark/>
          </w:tcPr>
          <w:p w14:paraId="761B98C5" w14:textId="77777777" w:rsidR="00472A4B" w:rsidRPr="00821568" w:rsidRDefault="00472A4B" w:rsidP="00472A4B">
            <w:pPr>
              <w:rPr>
                <w:rFonts w:ascii="Garamond" w:hAnsi="Garamond"/>
                <w:sz w:val="12"/>
                <w:szCs w:val="12"/>
              </w:rPr>
            </w:pPr>
            <w:r w:rsidRPr="00821568">
              <w:rPr>
                <w:rFonts w:ascii="Garamond" w:hAnsi="Garamond"/>
                <w:sz w:val="12"/>
                <w:szCs w:val="12"/>
              </w:rPr>
              <w:t>2024</w:t>
            </w:r>
          </w:p>
        </w:tc>
        <w:tc>
          <w:tcPr>
            <w:tcW w:w="0" w:type="auto"/>
            <w:tcBorders>
              <w:top w:val="nil"/>
              <w:left w:val="nil"/>
              <w:bottom w:val="single" w:sz="4" w:space="0" w:color="auto"/>
              <w:right w:val="single" w:sz="4" w:space="0" w:color="auto"/>
            </w:tcBorders>
            <w:shd w:val="clear" w:color="auto" w:fill="auto"/>
            <w:hideMark/>
          </w:tcPr>
          <w:p w14:paraId="1BC0C1E2" w14:textId="77777777" w:rsidR="00472A4B" w:rsidRPr="00821568" w:rsidRDefault="00472A4B" w:rsidP="00472A4B">
            <w:pPr>
              <w:rPr>
                <w:rFonts w:ascii="Garamond" w:hAnsi="Garamond"/>
                <w:sz w:val="12"/>
                <w:szCs w:val="12"/>
              </w:rPr>
            </w:pPr>
            <w:r w:rsidRPr="00821568">
              <w:rPr>
                <w:rFonts w:ascii="Garamond" w:hAnsi="Garamond"/>
                <w:sz w:val="12"/>
                <w:szCs w:val="12"/>
              </w:rPr>
              <w:t>Qershor 2025</w:t>
            </w:r>
          </w:p>
        </w:tc>
        <w:tc>
          <w:tcPr>
            <w:tcW w:w="0" w:type="auto"/>
            <w:tcBorders>
              <w:top w:val="nil"/>
              <w:left w:val="nil"/>
              <w:bottom w:val="single" w:sz="4" w:space="0" w:color="auto"/>
              <w:right w:val="single" w:sz="4" w:space="0" w:color="auto"/>
            </w:tcBorders>
            <w:shd w:val="clear" w:color="auto" w:fill="auto"/>
            <w:hideMark/>
          </w:tcPr>
          <w:p w14:paraId="4CDABD43" w14:textId="77777777" w:rsidR="00472A4B" w:rsidRPr="00821568" w:rsidRDefault="00472A4B" w:rsidP="00472A4B">
            <w:pPr>
              <w:rPr>
                <w:rFonts w:ascii="Garamond" w:hAnsi="Garamond"/>
                <w:sz w:val="12"/>
                <w:szCs w:val="12"/>
              </w:rPr>
            </w:pPr>
            <w:r w:rsidRPr="00821568">
              <w:rPr>
                <w:rFonts w:ascii="Garamond" w:hAnsi="Garamond"/>
                <w:sz w:val="12"/>
                <w:szCs w:val="12"/>
              </w:rPr>
              <w:t>MF, DPT, DPD</w:t>
            </w:r>
          </w:p>
        </w:tc>
        <w:tc>
          <w:tcPr>
            <w:tcW w:w="0" w:type="auto"/>
            <w:tcBorders>
              <w:top w:val="nil"/>
              <w:left w:val="nil"/>
              <w:bottom w:val="single" w:sz="4" w:space="0" w:color="auto"/>
              <w:right w:val="single" w:sz="8" w:space="0" w:color="auto"/>
            </w:tcBorders>
            <w:shd w:val="clear" w:color="auto" w:fill="auto"/>
            <w:hideMark/>
          </w:tcPr>
          <w:p w14:paraId="7E9B9C16" w14:textId="5419BE1E" w:rsidR="00472A4B" w:rsidRPr="00821568" w:rsidRDefault="005803BD" w:rsidP="00472A4B">
            <w:pPr>
              <w:rPr>
                <w:rFonts w:ascii="Garamond" w:hAnsi="Garamond"/>
                <w:sz w:val="12"/>
                <w:szCs w:val="12"/>
              </w:rPr>
            </w:pPr>
            <w:r w:rsidRPr="00821568">
              <w:rPr>
                <w:rFonts w:ascii="Garamond" w:hAnsi="Garamond"/>
                <w:sz w:val="12"/>
                <w:szCs w:val="12"/>
              </w:rPr>
              <w:t xml:space="preserve">Me </w:t>
            </w:r>
            <w:r w:rsidR="00472A4B" w:rsidRPr="00821568">
              <w:rPr>
                <w:rFonts w:ascii="Garamond" w:hAnsi="Garamond"/>
                <w:sz w:val="12"/>
                <w:szCs w:val="12"/>
              </w:rPr>
              <w:t>asistencën e FMN</w:t>
            </w:r>
            <w:r w:rsidRPr="00821568">
              <w:rPr>
                <w:rFonts w:ascii="Garamond" w:hAnsi="Garamond"/>
                <w:sz w:val="12"/>
                <w:szCs w:val="12"/>
              </w:rPr>
              <w:t>-së</w:t>
            </w:r>
          </w:p>
        </w:tc>
      </w:tr>
      <w:tr w:rsidR="00723888" w:rsidRPr="00821568" w14:paraId="384B33AB" w14:textId="77777777" w:rsidTr="00472A4B">
        <w:trPr>
          <w:trHeight w:val="20"/>
        </w:trPr>
        <w:tc>
          <w:tcPr>
            <w:tcW w:w="0" w:type="auto"/>
            <w:tcBorders>
              <w:top w:val="nil"/>
              <w:left w:val="single" w:sz="8" w:space="0" w:color="auto"/>
              <w:bottom w:val="single" w:sz="4" w:space="0" w:color="auto"/>
              <w:right w:val="single" w:sz="4" w:space="0" w:color="auto"/>
            </w:tcBorders>
            <w:shd w:val="clear" w:color="auto" w:fill="auto"/>
            <w:noWrap/>
            <w:hideMark/>
          </w:tcPr>
          <w:p w14:paraId="093FAC50" w14:textId="77777777" w:rsidR="00472A4B" w:rsidRPr="00821568" w:rsidRDefault="00472A4B" w:rsidP="00472A4B">
            <w:pPr>
              <w:rPr>
                <w:rFonts w:ascii="Garamond" w:hAnsi="Garamond"/>
                <w:sz w:val="12"/>
                <w:szCs w:val="12"/>
              </w:rPr>
            </w:pPr>
            <w:r w:rsidRPr="00821568">
              <w:rPr>
                <w:rFonts w:ascii="Garamond" w:hAnsi="Garamond"/>
                <w:sz w:val="12"/>
                <w:szCs w:val="12"/>
              </w:rPr>
              <w:t>1.1.3</w:t>
            </w:r>
          </w:p>
        </w:tc>
        <w:tc>
          <w:tcPr>
            <w:tcW w:w="0" w:type="auto"/>
            <w:tcBorders>
              <w:top w:val="nil"/>
              <w:left w:val="nil"/>
              <w:bottom w:val="single" w:sz="4" w:space="0" w:color="auto"/>
              <w:right w:val="single" w:sz="4" w:space="0" w:color="auto"/>
            </w:tcBorders>
            <w:shd w:val="clear" w:color="auto" w:fill="auto"/>
            <w:hideMark/>
          </w:tcPr>
          <w:p w14:paraId="6AC225B8" w14:textId="4E1694F0" w:rsidR="00472A4B" w:rsidRPr="00821568" w:rsidRDefault="00472A4B" w:rsidP="00472A4B">
            <w:pPr>
              <w:rPr>
                <w:rFonts w:ascii="Garamond" w:hAnsi="Garamond"/>
                <w:sz w:val="12"/>
                <w:szCs w:val="12"/>
              </w:rPr>
            </w:pPr>
            <w:r w:rsidRPr="00821568">
              <w:rPr>
                <w:rFonts w:ascii="Garamond" w:hAnsi="Garamond"/>
                <w:sz w:val="12"/>
                <w:szCs w:val="12"/>
              </w:rPr>
              <w:t>Hartimi i akteve konkrete ligjore për</w:t>
            </w:r>
            <w:r w:rsidR="00DE65FB" w:rsidRPr="00821568">
              <w:rPr>
                <w:rFonts w:ascii="Garamond" w:hAnsi="Garamond"/>
                <w:sz w:val="12"/>
                <w:szCs w:val="12"/>
              </w:rPr>
              <w:t xml:space="preserve"> TVSh</w:t>
            </w:r>
            <w:r w:rsidRPr="00821568">
              <w:rPr>
                <w:rFonts w:ascii="Garamond" w:hAnsi="Garamond"/>
                <w:sz w:val="12"/>
                <w:szCs w:val="12"/>
              </w:rPr>
              <w:t>-në bazuar në rezultatet dhe vendimet e marra pas analizave</w:t>
            </w:r>
          </w:p>
        </w:tc>
        <w:tc>
          <w:tcPr>
            <w:tcW w:w="0" w:type="auto"/>
            <w:tcBorders>
              <w:top w:val="nil"/>
              <w:left w:val="nil"/>
              <w:bottom w:val="single" w:sz="4" w:space="0" w:color="auto"/>
              <w:right w:val="single" w:sz="4" w:space="0" w:color="auto"/>
            </w:tcBorders>
            <w:shd w:val="clear" w:color="auto" w:fill="auto"/>
            <w:hideMark/>
          </w:tcPr>
          <w:p w14:paraId="352DE793" w14:textId="77777777" w:rsidR="00472A4B" w:rsidRPr="00821568" w:rsidRDefault="00472A4B" w:rsidP="00472A4B">
            <w:pPr>
              <w:rPr>
                <w:rFonts w:ascii="Garamond" w:hAnsi="Garamond"/>
                <w:sz w:val="12"/>
                <w:szCs w:val="12"/>
              </w:rPr>
            </w:pPr>
            <w:r w:rsidRPr="00821568">
              <w:rPr>
                <w:rFonts w:ascii="Garamond" w:hAnsi="Garamond"/>
                <w:sz w:val="12"/>
                <w:szCs w:val="12"/>
              </w:rPr>
              <w:t xml:space="preserve">Përgatitja e projekt ndryshimeve ligjore bazuar në vendimin e marrë pas analizës dhe në përputhje me </w:t>
            </w:r>
            <w:r w:rsidRPr="00821568">
              <w:rPr>
                <w:rFonts w:ascii="Garamond" w:hAnsi="Garamond"/>
                <w:i/>
                <w:sz w:val="12"/>
                <w:szCs w:val="12"/>
              </w:rPr>
              <w:t>acquis</w:t>
            </w:r>
            <w:r w:rsidRPr="00821568">
              <w:rPr>
                <w:rFonts w:ascii="Garamond" w:hAnsi="Garamond"/>
                <w:sz w:val="12"/>
                <w:szCs w:val="12"/>
              </w:rPr>
              <w:t xml:space="preserve"> të BE-së.</w:t>
            </w:r>
          </w:p>
        </w:tc>
        <w:tc>
          <w:tcPr>
            <w:tcW w:w="0" w:type="auto"/>
            <w:tcBorders>
              <w:top w:val="nil"/>
              <w:left w:val="nil"/>
              <w:bottom w:val="single" w:sz="4" w:space="0" w:color="auto"/>
              <w:right w:val="single" w:sz="4" w:space="0" w:color="auto"/>
            </w:tcBorders>
            <w:shd w:val="clear" w:color="auto" w:fill="auto"/>
            <w:hideMark/>
          </w:tcPr>
          <w:p w14:paraId="3D19C32D" w14:textId="77777777" w:rsidR="00472A4B" w:rsidRPr="00821568" w:rsidRDefault="00472A4B" w:rsidP="00472A4B">
            <w:pPr>
              <w:rPr>
                <w:rFonts w:ascii="Garamond" w:hAnsi="Garamond"/>
                <w:sz w:val="12"/>
                <w:szCs w:val="12"/>
              </w:rPr>
            </w:pPr>
            <w:r w:rsidRPr="00821568">
              <w:rPr>
                <w:rFonts w:ascii="Garamond" w:hAnsi="Garamond"/>
                <w:sz w:val="12"/>
                <w:szCs w:val="12"/>
              </w:rPr>
              <w:t>2024</w:t>
            </w:r>
          </w:p>
        </w:tc>
        <w:tc>
          <w:tcPr>
            <w:tcW w:w="0" w:type="auto"/>
            <w:tcBorders>
              <w:top w:val="nil"/>
              <w:left w:val="nil"/>
              <w:bottom w:val="single" w:sz="4" w:space="0" w:color="auto"/>
              <w:right w:val="single" w:sz="4" w:space="0" w:color="auto"/>
            </w:tcBorders>
            <w:shd w:val="clear" w:color="auto" w:fill="auto"/>
            <w:hideMark/>
          </w:tcPr>
          <w:p w14:paraId="206167D9" w14:textId="77777777" w:rsidR="00472A4B" w:rsidRPr="00821568" w:rsidRDefault="00472A4B" w:rsidP="00472A4B">
            <w:pPr>
              <w:rPr>
                <w:rFonts w:ascii="Garamond" w:hAnsi="Garamond"/>
                <w:sz w:val="12"/>
                <w:szCs w:val="12"/>
              </w:rPr>
            </w:pPr>
            <w:r w:rsidRPr="00821568">
              <w:rPr>
                <w:rFonts w:ascii="Garamond" w:hAnsi="Garamond"/>
                <w:sz w:val="12"/>
                <w:szCs w:val="12"/>
              </w:rPr>
              <w:t>Në varësi të raportit</w:t>
            </w:r>
          </w:p>
        </w:tc>
        <w:tc>
          <w:tcPr>
            <w:tcW w:w="0" w:type="auto"/>
            <w:tcBorders>
              <w:top w:val="nil"/>
              <w:left w:val="nil"/>
              <w:bottom w:val="single" w:sz="4" w:space="0" w:color="auto"/>
              <w:right w:val="single" w:sz="4" w:space="0" w:color="auto"/>
            </w:tcBorders>
            <w:shd w:val="clear" w:color="auto" w:fill="auto"/>
            <w:hideMark/>
          </w:tcPr>
          <w:p w14:paraId="53D9A2C8" w14:textId="77777777" w:rsidR="00472A4B" w:rsidRPr="00821568" w:rsidRDefault="00472A4B" w:rsidP="00472A4B">
            <w:pPr>
              <w:rPr>
                <w:rFonts w:ascii="Garamond" w:hAnsi="Garamond"/>
                <w:sz w:val="12"/>
                <w:szCs w:val="12"/>
              </w:rPr>
            </w:pPr>
            <w:r w:rsidRPr="00821568">
              <w:rPr>
                <w:rFonts w:ascii="Garamond" w:hAnsi="Garamond"/>
                <w:sz w:val="12"/>
                <w:szCs w:val="12"/>
              </w:rPr>
              <w:t>MF,</w:t>
            </w:r>
          </w:p>
        </w:tc>
        <w:tc>
          <w:tcPr>
            <w:tcW w:w="0" w:type="auto"/>
            <w:tcBorders>
              <w:top w:val="nil"/>
              <w:left w:val="nil"/>
              <w:bottom w:val="single" w:sz="4" w:space="0" w:color="auto"/>
              <w:right w:val="single" w:sz="8" w:space="0" w:color="auto"/>
            </w:tcBorders>
            <w:shd w:val="clear" w:color="auto" w:fill="auto"/>
            <w:hideMark/>
          </w:tcPr>
          <w:p w14:paraId="5F46C046" w14:textId="437103F1" w:rsidR="00472A4B" w:rsidRPr="00821568" w:rsidRDefault="005803BD" w:rsidP="00472A4B">
            <w:pPr>
              <w:rPr>
                <w:rFonts w:ascii="Garamond" w:hAnsi="Garamond"/>
                <w:sz w:val="12"/>
                <w:szCs w:val="12"/>
              </w:rPr>
            </w:pPr>
            <w:r w:rsidRPr="00821568">
              <w:rPr>
                <w:rFonts w:ascii="Garamond" w:hAnsi="Garamond"/>
                <w:sz w:val="12"/>
                <w:szCs w:val="12"/>
              </w:rPr>
              <w:t xml:space="preserve">Me </w:t>
            </w:r>
            <w:r w:rsidR="00472A4B" w:rsidRPr="00821568">
              <w:rPr>
                <w:rFonts w:ascii="Garamond" w:hAnsi="Garamond"/>
                <w:sz w:val="12"/>
                <w:szCs w:val="12"/>
              </w:rPr>
              <w:t>asistencë nga TAIEX</w:t>
            </w:r>
          </w:p>
        </w:tc>
      </w:tr>
      <w:tr w:rsidR="00723888" w:rsidRPr="00821568" w14:paraId="3B0CAB91" w14:textId="77777777" w:rsidTr="00472A4B">
        <w:trPr>
          <w:trHeight w:val="20"/>
        </w:trPr>
        <w:tc>
          <w:tcPr>
            <w:tcW w:w="0" w:type="auto"/>
            <w:tcBorders>
              <w:top w:val="nil"/>
              <w:left w:val="single" w:sz="8" w:space="0" w:color="auto"/>
              <w:bottom w:val="single" w:sz="4" w:space="0" w:color="auto"/>
              <w:right w:val="single" w:sz="4" w:space="0" w:color="auto"/>
            </w:tcBorders>
            <w:shd w:val="clear" w:color="auto" w:fill="auto"/>
            <w:noWrap/>
            <w:hideMark/>
          </w:tcPr>
          <w:p w14:paraId="3809F2B9" w14:textId="77777777" w:rsidR="00472A4B" w:rsidRPr="00821568" w:rsidRDefault="00472A4B" w:rsidP="00472A4B">
            <w:pPr>
              <w:rPr>
                <w:rFonts w:ascii="Garamond" w:hAnsi="Garamond"/>
                <w:sz w:val="12"/>
                <w:szCs w:val="12"/>
              </w:rPr>
            </w:pPr>
            <w:r w:rsidRPr="00821568">
              <w:rPr>
                <w:rFonts w:ascii="Garamond" w:hAnsi="Garamond"/>
                <w:sz w:val="12"/>
                <w:szCs w:val="12"/>
              </w:rPr>
              <w:t>1.1.4</w:t>
            </w:r>
          </w:p>
        </w:tc>
        <w:tc>
          <w:tcPr>
            <w:tcW w:w="0" w:type="auto"/>
            <w:tcBorders>
              <w:top w:val="nil"/>
              <w:left w:val="nil"/>
              <w:bottom w:val="single" w:sz="4" w:space="0" w:color="auto"/>
              <w:right w:val="single" w:sz="4" w:space="0" w:color="auto"/>
            </w:tcBorders>
            <w:shd w:val="clear" w:color="auto" w:fill="auto"/>
            <w:hideMark/>
          </w:tcPr>
          <w:p w14:paraId="70B1879C" w14:textId="77777777" w:rsidR="00472A4B" w:rsidRPr="00821568" w:rsidRDefault="00472A4B" w:rsidP="00472A4B">
            <w:pPr>
              <w:rPr>
                <w:rFonts w:ascii="Garamond" w:hAnsi="Garamond"/>
                <w:sz w:val="12"/>
                <w:szCs w:val="12"/>
              </w:rPr>
            </w:pPr>
            <w:r w:rsidRPr="00821568">
              <w:rPr>
                <w:rFonts w:ascii="Garamond" w:hAnsi="Garamond"/>
                <w:sz w:val="12"/>
                <w:szCs w:val="12"/>
              </w:rPr>
              <w:t>Analiza e niveleve të akcizës me synim harmonizimin me BE-në</w:t>
            </w:r>
          </w:p>
        </w:tc>
        <w:tc>
          <w:tcPr>
            <w:tcW w:w="0" w:type="auto"/>
            <w:tcBorders>
              <w:top w:val="nil"/>
              <w:left w:val="nil"/>
              <w:bottom w:val="single" w:sz="4" w:space="0" w:color="auto"/>
              <w:right w:val="single" w:sz="4" w:space="0" w:color="auto"/>
            </w:tcBorders>
            <w:shd w:val="clear" w:color="auto" w:fill="auto"/>
            <w:hideMark/>
          </w:tcPr>
          <w:p w14:paraId="65AC54CB" w14:textId="5BED5640" w:rsidR="00472A4B" w:rsidRPr="00821568" w:rsidRDefault="00472A4B" w:rsidP="00472A4B">
            <w:pPr>
              <w:rPr>
                <w:rFonts w:ascii="Garamond" w:hAnsi="Garamond"/>
                <w:sz w:val="12"/>
                <w:szCs w:val="12"/>
              </w:rPr>
            </w:pPr>
            <w:r w:rsidRPr="00821568">
              <w:rPr>
                <w:rFonts w:ascii="Garamond" w:hAnsi="Garamond"/>
                <w:sz w:val="12"/>
                <w:szCs w:val="12"/>
              </w:rPr>
              <w:t>Kryerja e një analize në lidhje me nivelet e akcizës dhe nivelet minimale të BE-së</w:t>
            </w:r>
            <w:r w:rsidR="005309EE" w:rsidRPr="00821568">
              <w:rPr>
                <w:rFonts w:ascii="Garamond" w:hAnsi="Garamond"/>
                <w:sz w:val="12"/>
                <w:szCs w:val="12"/>
              </w:rPr>
              <w:t>.</w:t>
            </w:r>
          </w:p>
        </w:tc>
        <w:tc>
          <w:tcPr>
            <w:tcW w:w="0" w:type="auto"/>
            <w:tcBorders>
              <w:top w:val="nil"/>
              <w:left w:val="nil"/>
              <w:bottom w:val="single" w:sz="4" w:space="0" w:color="auto"/>
              <w:right w:val="single" w:sz="4" w:space="0" w:color="auto"/>
            </w:tcBorders>
            <w:shd w:val="clear" w:color="auto" w:fill="auto"/>
            <w:hideMark/>
          </w:tcPr>
          <w:p w14:paraId="1F3DE9F5" w14:textId="77777777" w:rsidR="00472A4B" w:rsidRPr="00821568" w:rsidRDefault="00472A4B" w:rsidP="00472A4B">
            <w:pPr>
              <w:rPr>
                <w:rFonts w:ascii="Garamond" w:hAnsi="Garamond"/>
                <w:sz w:val="12"/>
                <w:szCs w:val="12"/>
              </w:rPr>
            </w:pPr>
            <w:r w:rsidRPr="00821568">
              <w:rPr>
                <w:rFonts w:ascii="Garamond" w:hAnsi="Garamond"/>
                <w:sz w:val="12"/>
                <w:szCs w:val="12"/>
              </w:rPr>
              <w:t>2024</w:t>
            </w:r>
          </w:p>
        </w:tc>
        <w:tc>
          <w:tcPr>
            <w:tcW w:w="0" w:type="auto"/>
            <w:tcBorders>
              <w:top w:val="nil"/>
              <w:left w:val="nil"/>
              <w:bottom w:val="single" w:sz="4" w:space="0" w:color="auto"/>
              <w:right w:val="single" w:sz="4" w:space="0" w:color="auto"/>
            </w:tcBorders>
            <w:shd w:val="clear" w:color="auto" w:fill="auto"/>
            <w:hideMark/>
          </w:tcPr>
          <w:p w14:paraId="2545194C" w14:textId="77777777" w:rsidR="00472A4B" w:rsidRPr="00821568" w:rsidRDefault="00472A4B" w:rsidP="00472A4B">
            <w:pPr>
              <w:rPr>
                <w:rFonts w:ascii="Garamond" w:hAnsi="Garamond"/>
                <w:sz w:val="12"/>
                <w:szCs w:val="12"/>
              </w:rPr>
            </w:pPr>
            <w:r w:rsidRPr="00821568">
              <w:rPr>
                <w:rFonts w:ascii="Garamond" w:hAnsi="Garamond"/>
                <w:sz w:val="12"/>
                <w:szCs w:val="12"/>
              </w:rPr>
              <w:t>Qershor 2025</w:t>
            </w:r>
          </w:p>
        </w:tc>
        <w:tc>
          <w:tcPr>
            <w:tcW w:w="0" w:type="auto"/>
            <w:tcBorders>
              <w:top w:val="nil"/>
              <w:left w:val="nil"/>
              <w:bottom w:val="single" w:sz="4" w:space="0" w:color="auto"/>
              <w:right w:val="single" w:sz="4" w:space="0" w:color="auto"/>
            </w:tcBorders>
            <w:shd w:val="clear" w:color="auto" w:fill="auto"/>
            <w:hideMark/>
          </w:tcPr>
          <w:p w14:paraId="66E84269" w14:textId="77777777" w:rsidR="00472A4B" w:rsidRPr="00821568" w:rsidRDefault="00472A4B" w:rsidP="00472A4B">
            <w:pPr>
              <w:rPr>
                <w:rFonts w:ascii="Garamond" w:hAnsi="Garamond"/>
                <w:sz w:val="12"/>
                <w:szCs w:val="12"/>
              </w:rPr>
            </w:pPr>
            <w:r w:rsidRPr="00821568">
              <w:rPr>
                <w:rFonts w:ascii="Garamond" w:hAnsi="Garamond"/>
                <w:sz w:val="12"/>
                <w:szCs w:val="12"/>
              </w:rPr>
              <w:t>MF, DPD</w:t>
            </w:r>
          </w:p>
        </w:tc>
        <w:tc>
          <w:tcPr>
            <w:tcW w:w="0" w:type="auto"/>
            <w:tcBorders>
              <w:top w:val="nil"/>
              <w:left w:val="nil"/>
              <w:bottom w:val="single" w:sz="4" w:space="0" w:color="auto"/>
              <w:right w:val="single" w:sz="8" w:space="0" w:color="auto"/>
            </w:tcBorders>
            <w:shd w:val="clear" w:color="auto" w:fill="auto"/>
            <w:hideMark/>
          </w:tcPr>
          <w:p w14:paraId="7748B31F" w14:textId="77777777" w:rsidR="00472A4B" w:rsidRPr="00821568" w:rsidRDefault="00472A4B" w:rsidP="00472A4B">
            <w:pPr>
              <w:rPr>
                <w:rFonts w:ascii="Garamond" w:hAnsi="Garamond"/>
                <w:sz w:val="12"/>
                <w:szCs w:val="12"/>
              </w:rPr>
            </w:pPr>
          </w:p>
        </w:tc>
      </w:tr>
      <w:tr w:rsidR="00723888" w:rsidRPr="00821568" w14:paraId="5868106D" w14:textId="77777777" w:rsidTr="00472A4B">
        <w:trPr>
          <w:trHeight w:val="20"/>
        </w:trPr>
        <w:tc>
          <w:tcPr>
            <w:tcW w:w="0" w:type="auto"/>
            <w:tcBorders>
              <w:top w:val="nil"/>
              <w:left w:val="single" w:sz="8" w:space="0" w:color="auto"/>
              <w:bottom w:val="single" w:sz="4" w:space="0" w:color="auto"/>
              <w:right w:val="single" w:sz="4" w:space="0" w:color="auto"/>
            </w:tcBorders>
            <w:shd w:val="clear" w:color="auto" w:fill="auto"/>
            <w:noWrap/>
            <w:hideMark/>
          </w:tcPr>
          <w:p w14:paraId="701EA487" w14:textId="77777777" w:rsidR="00472A4B" w:rsidRPr="00821568" w:rsidRDefault="00472A4B" w:rsidP="00472A4B">
            <w:pPr>
              <w:rPr>
                <w:rFonts w:ascii="Garamond" w:hAnsi="Garamond"/>
                <w:sz w:val="12"/>
                <w:szCs w:val="12"/>
              </w:rPr>
            </w:pPr>
            <w:r w:rsidRPr="00821568">
              <w:rPr>
                <w:rFonts w:ascii="Garamond" w:hAnsi="Garamond"/>
                <w:sz w:val="12"/>
                <w:szCs w:val="12"/>
              </w:rPr>
              <w:t>1.1.5</w:t>
            </w:r>
          </w:p>
        </w:tc>
        <w:tc>
          <w:tcPr>
            <w:tcW w:w="0" w:type="auto"/>
            <w:tcBorders>
              <w:top w:val="nil"/>
              <w:left w:val="nil"/>
              <w:bottom w:val="single" w:sz="4" w:space="0" w:color="auto"/>
              <w:right w:val="single" w:sz="4" w:space="0" w:color="auto"/>
            </w:tcBorders>
            <w:shd w:val="clear" w:color="auto" w:fill="auto"/>
            <w:hideMark/>
          </w:tcPr>
          <w:p w14:paraId="629ABA7D" w14:textId="535C8D3C" w:rsidR="00472A4B" w:rsidRPr="00821568" w:rsidRDefault="00472A4B" w:rsidP="00472A4B">
            <w:pPr>
              <w:rPr>
                <w:rFonts w:ascii="Garamond" w:hAnsi="Garamond"/>
                <w:sz w:val="12"/>
                <w:szCs w:val="12"/>
              </w:rPr>
            </w:pPr>
            <w:r w:rsidRPr="00821568">
              <w:rPr>
                <w:rFonts w:ascii="Garamond" w:hAnsi="Garamond"/>
                <w:sz w:val="12"/>
                <w:szCs w:val="12"/>
              </w:rPr>
              <w:t>Hartimi i akteve konkrete ligjore për akcizën, bazuar në rezultatet dhe vendimet e marra pas analizave</w:t>
            </w:r>
          </w:p>
        </w:tc>
        <w:tc>
          <w:tcPr>
            <w:tcW w:w="0" w:type="auto"/>
            <w:tcBorders>
              <w:top w:val="nil"/>
              <w:left w:val="nil"/>
              <w:bottom w:val="single" w:sz="4" w:space="0" w:color="auto"/>
              <w:right w:val="single" w:sz="4" w:space="0" w:color="auto"/>
            </w:tcBorders>
            <w:shd w:val="clear" w:color="auto" w:fill="auto"/>
            <w:hideMark/>
          </w:tcPr>
          <w:p w14:paraId="64F13988" w14:textId="77777777" w:rsidR="00472A4B" w:rsidRPr="00821568" w:rsidRDefault="00472A4B" w:rsidP="00472A4B">
            <w:pPr>
              <w:rPr>
                <w:rFonts w:ascii="Garamond" w:hAnsi="Garamond"/>
                <w:sz w:val="12"/>
                <w:szCs w:val="12"/>
              </w:rPr>
            </w:pPr>
            <w:r w:rsidRPr="00821568">
              <w:rPr>
                <w:rFonts w:ascii="Garamond" w:hAnsi="Garamond"/>
                <w:sz w:val="12"/>
                <w:szCs w:val="12"/>
              </w:rPr>
              <w:t xml:space="preserve">Përgatitja e projekt ndryshimeve ligjore bazuar në vendimin e marrë pas analizës dhe në përputhje me </w:t>
            </w:r>
            <w:r w:rsidRPr="00821568">
              <w:rPr>
                <w:rFonts w:ascii="Garamond" w:hAnsi="Garamond"/>
                <w:i/>
                <w:sz w:val="12"/>
                <w:szCs w:val="12"/>
              </w:rPr>
              <w:t>acquis</w:t>
            </w:r>
            <w:r w:rsidRPr="00821568">
              <w:rPr>
                <w:rFonts w:ascii="Garamond" w:hAnsi="Garamond"/>
                <w:sz w:val="12"/>
                <w:szCs w:val="12"/>
              </w:rPr>
              <w:t xml:space="preserve"> të BE-së.</w:t>
            </w:r>
          </w:p>
        </w:tc>
        <w:tc>
          <w:tcPr>
            <w:tcW w:w="0" w:type="auto"/>
            <w:tcBorders>
              <w:top w:val="nil"/>
              <w:left w:val="nil"/>
              <w:bottom w:val="single" w:sz="4" w:space="0" w:color="auto"/>
              <w:right w:val="single" w:sz="4" w:space="0" w:color="auto"/>
            </w:tcBorders>
            <w:shd w:val="clear" w:color="auto" w:fill="auto"/>
            <w:hideMark/>
          </w:tcPr>
          <w:p w14:paraId="1538F45F" w14:textId="77777777" w:rsidR="00472A4B" w:rsidRPr="00821568" w:rsidRDefault="00472A4B" w:rsidP="00472A4B">
            <w:pPr>
              <w:rPr>
                <w:rFonts w:ascii="Garamond" w:hAnsi="Garamond"/>
                <w:sz w:val="12"/>
                <w:szCs w:val="12"/>
              </w:rPr>
            </w:pPr>
            <w:r w:rsidRPr="00821568">
              <w:rPr>
                <w:rFonts w:ascii="Garamond" w:hAnsi="Garamond"/>
                <w:sz w:val="12"/>
                <w:szCs w:val="12"/>
              </w:rPr>
              <w:t>2024</w:t>
            </w:r>
          </w:p>
        </w:tc>
        <w:tc>
          <w:tcPr>
            <w:tcW w:w="0" w:type="auto"/>
            <w:tcBorders>
              <w:top w:val="nil"/>
              <w:left w:val="nil"/>
              <w:bottom w:val="single" w:sz="4" w:space="0" w:color="auto"/>
              <w:right w:val="single" w:sz="4" w:space="0" w:color="auto"/>
            </w:tcBorders>
            <w:shd w:val="clear" w:color="auto" w:fill="auto"/>
            <w:hideMark/>
          </w:tcPr>
          <w:p w14:paraId="45038B72" w14:textId="77777777" w:rsidR="00472A4B" w:rsidRPr="00821568" w:rsidRDefault="00472A4B" w:rsidP="00472A4B">
            <w:pPr>
              <w:rPr>
                <w:rFonts w:ascii="Garamond" w:hAnsi="Garamond"/>
                <w:sz w:val="12"/>
                <w:szCs w:val="12"/>
              </w:rPr>
            </w:pPr>
            <w:r w:rsidRPr="00821568">
              <w:rPr>
                <w:rFonts w:ascii="Garamond" w:hAnsi="Garamond"/>
                <w:sz w:val="12"/>
                <w:szCs w:val="12"/>
              </w:rPr>
              <w:t>Në varësi të raportit</w:t>
            </w:r>
          </w:p>
        </w:tc>
        <w:tc>
          <w:tcPr>
            <w:tcW w:w="0" w:type="auto"/>
            <w:tcBorders>
              <w:top w:val="nil"/>
              <w:left w:val="nil"/>
              <w:bottom w:val="single" w:sz="4" w:space="0" w:color="auto"/>
              <w:right w:val="single" w:sz="4" w:space="0" w:color="auto"/>
            </w:tcBorders>
            <w:shd w:val="clear" w:color="auto" w:fill="auto"/>
            <w:hideMark/>
          </w:tcPr>
          <w:p w14:paraId="34097154" w14:textId="77777777" w:rsidR="00472A4B" w:rsidRPr="00821568" w:rsidRDefault="00472A4B" w:rsidP="00472A4B">
            <w:pPr>
              <w:rPr>
                <w:rFonts w:ascii="Garamond" w:hAnsi="Garamond"/>
                <w:sz w:val="12"/>
                <w:szCs w:val="12"/>
              </w:rPr>
            </w:pPr>
            <w:r w:rsidRPr="00821568">
              <w:rPr>
                <w:rFonts w:ascii="Garamond" w:hAnsi="Garamond"/>
                <w:sz w:val="12"/>
                <w:szCs w:val="12"/>
              </w:rPr>
              <w:t>MF</w:t>
            </w:r>
          </w:p>
        </w:tc>
        <w:tc>
          <w:tcPr>
            <w:tcW w:w="0" w:type="auto"/>
            <w:tcBorders>
              <w:top w:val="nil"/>
              <w:left w:val="nil"/>
              <w:bottom w:val="single" w:sz="4" w:space="0" w:color="auto"/>
              <w:right w:val="single" w:sz="8" w:space="0" w:color="auto"/>
            </w:tcBorders>
            <w:shd w:val="clear" w:color="auto" w:fill="auto"/>
            <w:hideMark/>
          </w:tcPr>
          <w:p w14:paraId="694D5FFB" w14:textId="77777777" w:rsidR="00472A4B" w:rsidRPr="00821568" w:rsidRDefault="00472A4B" w:rsidP="00472A4B">
            <w:pPr>
              <w:rPr>
                <w:rFonts w:ascii="Garamond" w:hAnsi="Garamond"/>
                <w:sz w:val="12"/>
                <w:szCs w:val="12"/>
              </w:rPr>
            </w:pPr>
          </w:p>
        </w:tc>
      </w:tr>
      <w:tr w:rsidR="00723888" w:rsidRPr="00821568" w14:paraId="02D3CD57" w14:textId="77777777" w:rsidTr="00472A4B">
        <w:trPr>
          <w:trHeight w:val="20"/>
        </w:trPr>
        <w:tc>
          <w:tcPr>
            <w:tcW w:w="0" w:type="auto"/>
            <w:tcBorders>
              <w:top w:val="nil"/>
              <w:left w:val="single" w:sz="8" w:space="0" w:color="auto"/>
              <w:bottom w:val="single" w:sz="4" w:space="0" w:color="auto"/>
              <w:right w:val="single" w:sz="4" w:space="0" w:color="auto"/>
            </w:tcBorders>
            <w:shd w:val="clear" w:color="auto" w:fill="auto"/>
            <w:noWrap/>
            <w:hideMark/>
          </w:tcPr>
          <w:p w14:paraId="2B4B032F" w14:textId="77777777" w:rsidR="00472A4B" w:rsidRPr="00821568" w:rsidRDefault="00472A4B" w:rsidP="00472A4B">
            <w:pPr>
              <w:rPr>
                <w:rFonts w:ascii="Garamond" w:hAnsi="Garamond"/>
                <w:sz w:val="12"/>
                <w:szCs w:val="12"/>
              </w:rPr>
            </w:pPr>
            <w:r w:rsidRPr="00821568">
              <w:rPr>
                <w:rFonts w:ascii="Garamond" w:hAnsi="Garamond"/>
                <w:sz w:val="12"/>
                <w:szCs w:val="12"/>
              </w:rPr>
              <w:t>1.1.6</w:t>
            </w:r>
          </w:p>
        </w:tc>
        <w:tc>
          <w:tcPr>
            <w:tcW w:w="0" w:type="auto"/>
            <w:tcBorders>
              <w:top w:val="nil"/>
              <w:left w:val="nil"/>
              <w:bottom w:val="single" w:sz="4" w:space="0" w:color="auto"/>
              <w:right w:val="single" w:sz="4" w:space="0" w:color="auto"/>
            </w:tcBorders>
            <w:shd w:val="clear" w:color="auto" w:fill="auto"/>
            <w:hideMark/>
          </w:tcPr>
          <w:p w14:paraId="77C5F6E4" w14:textId="77777777" w:rsidR="00472A4B" w:rsidRPr="00821568" w:rsidRDefault="00472A4B" w:rsidP="00472A4B">
            <w:pPr>
              <w:rPr>
                <w:rFonts w:ascii="Garamond" w:hAnsi="Garamond"/>
                <w:sz w:val="12"/>
                <w:szCs w:val="12"/>
              </w:rPr>
            </w:pPr>
            <w:r w:rsidRPr="00821568">
              <w:rPr>
                <w:rFonts w:ascii="Garamond" w:hAnsi="Garamond"/>
                <w:sz w:val="12"/>
                <w:szCs w:val="12"/>
              </w:rPr>
              <w:t>Hartimi i kalendarit të ri të nivelit të akcizës së duhanit</w:t>
            </w:r>
          </w:p>
        </w:tc>
        <w:tc>
          <w:tcPr>
            <w:tcW w:w="0" w:type="auto"/>
            <w:tcBorders>
              <w:top w:val="nil"/>
              <w:left w:val="nil"/>
              <w:bottom w:val="single" w:sz="4" w:space="0" w:color="auto"/>
              <w:right w:val="single" w:sz="4" w:space="0" w:color="auto"/>
            </w:tcBorders>
            <w:shd w:val="clear" w:color="auto" w:fill="auto"/>
            <w:hideMark/>
          </w:tcPr>
          <w:p w14:paraId="009D7A59" w14:textId="77777777" w:rsidR="00472A4B" w:rsidRPr="00821568" w:rsidRDefault="00472A4B" w:rsidP="00472A4B">
            <w:pPr>
              <w:rPr>
                <w:rFonts w:ascii="Garamond" w:hAnsi="Garamond"/>
                <w:sz w:val="12"/>
                <w:szCs w:val="12"/>
              </w:rPr>
            </w:pPr>
            <w:r w:rsidRPr="00821568">
              <w:rPr>
                <w:rFonts w:ascii="Garamond" w:hAnsi="Garamond"/>
                <w:sz w:val="12"/>
                <w:szCs w:val="12"/>
              </w:rPr>
              <w:t>Hartimi dhe miratimi i amendamentit në ligjin e akcizës lidhur me kalendarin e ri të tarifave të duhanit.</w:t>
            </w:r>
          </w:p>
        </w:tc>
        <w:tc>
          <w:tcPr>
            <w:tcW w:w="0" w:type="auto"/>
            <w:tcBorders>
              <w:top w:val="nil"/>
              <w:left w:val="nil"/>
              <w:bottom w:val="single" w:sz="4" w:space="0" w:color="auto"/>
              <w:right w:val="single" w:sz="4" w:space="0" w:color="auto"/>
            </w:tcBorders>
            <w:shd w:val="clear" w:color="auto" w:fill="auto"/>
            <w:hideMark/>
          </w:tcPr>
          <w:p w14:paraId="346B6300" w14:textId="77777777" w:rsidR="00472A4B" w:rsidRPr="00821568" w:rsidRDefault="00472A4B" w:rsidP="00472A4B">
            <w:pPr>
              <w:rPr>
                <w:rFonts w:ascii="Garamond" w:hAnsi="Garamond"/>
                <w:sz w:val="12"/>
                <w:szCs w:val="12"/>
              </w:rPr>
            </w:pPr>
            <w:r w:rsidRPr="00821568">
              <w:rPr>
                <w:rFonts w:ascii="Garamond" w:hAnsi="Garamond"/>
                <w:sz w:val="12"/>
                <w:szCs w:val="12"/>
              </w:rPr>
              <w:t>2026</w:t>
            </w:r>
          </w:p>
        </w:tc>
        <w:tc>
          <w:tcPr>
            <w:tcW w:w="0" w:type="auto"/>
            <w:tcBorders>
              <w:top w:val="nil"/>
              <w:left w:val="nil"/>
              <w:bottom w:val="single" w:sz="4" w:space="0" w:color="auto"/>
              <w:right w:val="single" w:sz="4" w:space="0" w:color="auto"/>
            </w:tcBorders>
            <w:shd w:val="clear" w:color="auto" w:fill="auto"/>
            <w:hideMark/>
          </w:tcPr>
          <w:p w14:paraId="16C1D976" w14:textId="77777777" w:rsidR="00472A4B" w:rsidRPr="00821568" w:rsidRDefault="00472A4B" w:rsidP="00472A4B">
            <w:pPr>
              <w:rPr>
                <w:rFonts w:ascii="Garamond" w:hAnsi="Garamond"/>
                <w:sz w:val="12"/>
                <w:szCs w:val="12"/>
              </w:rPr>
            </w:pPr>
            <w:r w:rsidRPr="00821568">
              <w:rPr>
                <w:rFonts w:ascii="Garamond" w:hAnsi="Garamond"/>
                <w:sz w:val="12"/>
                <w:szCs w:val="12"/>
              </w:rPr>
              <w:t>2026</w:t>
            </w:r>
          </w:p>
        </w:tc>
        <w:tc>
          <w:tcPr>
            <w:tcW w:w="0" w:type="auto"/>
            <w:tcBorders>
              <w:top w:val="nil"/>
              <w:left w:val="nil"/>
              <w:bottom w:val="single" w:sz="4" w:space="0" w:color="auto"/>
              <w:right w:val="single" w:sz="4" w:space="0" w:color="auto"/>
            </w:tcBorders>
            <w:shd w:val="clear" w:color="auto" w:fill="auto"/>
            <w:hideMark/>
          </w:tcPr>
          <w:p w14:paraId="25C03669" w14:textId="77777777" w:rsidR="00472A4B" w:rsidRPr="00821568" w:rsidRDefault="00472A4B" w:rsidP="00472A4B">
            <w:pPr>
              <w:rPr>
                <w:rFonts w:ascii="Garamond" w:hAnsi="Garamond"/>
                <w:sz w:val="12"/>
                <w:szCs w:val="12"/>
              </w:rPr>
            </w:pPr>
            <w:r w:rsidRPr="00821568">
              <w:rPr>
                <w:rFonts w:ascii="Garamond" w:hAnsi="Garamond"/>
                <w:sz w:val="12"/>
                <w:szCs w:val="12"/>
              </w:rPr>
              <w:t>MF, DPD</w:t>
            </w:r>
          </w:p>
        </w:tc>
        <w:tc>
          <w:tcPr>
            <w:tcW w:w="0" w:type="auto"/>
            <w:tcBorders>
              <w:top w:val="nil"/>
              <w:left w:val="nil"/>
              <w:bottom w:val="single" w:sz="4" w:space="0" w:color="auto"/>
              <w:right w:val="single" w:sz="8" w:space="0" w:color="auto"/>
            </w:tcBorders>
            <w:shd w:val="clear" w:color="auto" w:fill="auto"/>
            <w:hideMark/>
          </w:tcPr>
          <w:p w14:paraId="59F40E42" w14:textId="77777777" w:rsidR="00472A4B" w:rsidRPr="00821568" w:rsidRDefault="00472A4B" w:rsidP="00472A4B">
            <w:pPr>
              <w:rPr>
                <w:rFonts w:ascii="Garamond" w:hAnsi="Garamond"/>
                <w:sz w:val="12"/>
                <w:szCs w:val="12"/>
              </w:rPr>
            </w:pPr>
            <w:r w:rsidRPr="00821568">
              <w:rPr>
                <w:rFonts w:ascii="Garamond" w:hAnsi="Garamond"/>
                <w:sz w:val="12"/>
                <w:szCs w:val="12"/>
              </w:rPr>
              <w:t>me asistencën e FMN dhe DG TAXUD</w:t>
            </w:r>
          </w:p>
        </w:tc>
      </w:tr>
      <w:tr w:rsidR="00723888" w:rsidRPr="00821568" w14:paraId="1D5824EC" w14:textId="77777777" w:rsidTr="00472A4B">
        <w:trPr>
          <w:trHeight w:val="20"/>
        </w:trPr>
        <w:tc>
          <w:tcPr>
            <w:tcW w:w="0" w:type="auto"/>
            <w:vMerge w:val="restart"/>
            <w:tcBorders>
              <w:top w:val="nil"/>
              <w:left w:val="single" w:sz="8" w:space="0" w:color="auto"/>
              <w:right w:val="single" w:sz="4" w:space="0" w:color="auto"/>
            </w:tcBorders>
            <w:shd w:val="clear" w:color="auto" w:fill="auto"/>
            <w:noWrap/>
          </w:tcPr>
          <w:p w14:paraId="127925D3" w14:textId="77777777" w:rsidR="00472A4B" w:rsidRPr="00821568" w:rsidRDefault="00472A4B" w:rsidP="00472A4B">
            <w:pPr>
              <w:rPr>
                <w:rFonts w:ascii="Garamond" w:hAnsi="Garamond"/>
                <w:sz w:val="12"/>
                <w:szCs w:val="12"/>
              </w:rPr>
            </w:pPr>
            <w:r w:rsidRPr="00821568">
              <w:rPr>
                <w:rFonts w:ascii="Garamond" w:hAnsi="Garamond"/>
                <w:sz w:val="12"/>
                <w:szCs w:val="12"/>
              </w:rPr>
              <w:t>1.1.7</w:t>
            </w:r>
          </w:p>
        </w:tc>
        <w:tc>
          <w:tcPr>
            <w:tcW w:w="0" w:type="auto"/>
            <w:vMerge w:val="restart"/>
            <w:tcBorders>
              <w:top w:val="nil"/>
              <w:left w:val="nil"/>
              <w:right w:val="single" w:sz="4" w:space="0" w:color="auto"/>
            </w:tcBorders>
            <w:shd w:val="clear" w:color="auto" w:fill="auto"/>
          </w:tcPr>
          <w:p w14:paraId="4CACD15E" w14:textId="59B48DBC" w:rsidR="00472A4B" w:rsidRPr="00821568" w:rsidRDefault="00472A4B" w:rsidP="00472A4B">
            <w:pPr>
              <w:rPr>
                <w:rFonts w:ascii="Garamond" w:hAnsi="Garamond"/>
                <w:sz w:val="12"/>
                <w:szCs w:val="12"/>
              </w:rPr>
            </w:pPr>
            <w:r w:rsidRPr="00821568">
              <w:rPr>
                <w:rFonts w:ascii="Garamond" w:hAnsi="Garamond"/>
                <w:sz w:val="12"/>
                <w:szCs w:val="12"/>
              </w:rPr>
              <w:t>Analiza e skemave fiskale incentivuese (direkte dhe indirekte) si pjesë e politikave për nxitjen e përdorimit të energjisë së rinovueshme, efi</w:t>
            </w:r>
            <w:r w:rsidR="008C0C0F" w:rsidRPr="00821568">
              <w:rPr>
                <w:rFonts w:ascii="Garamond" w:hAnsi="Garamond"/>
                <w:sz w:val="12"/>
                <w:szCs w:val="12"/>
              </w:rPr>
              <w:t>ci</w:t>
            </w:r>
            <w:r w:rsidRPr="00821568">
              <w:rPr>
                <w:rFonts w:ascii="Garamond" w:hAnsi="Garamond"/>
                <w:sz w:val="12"/>
                <w:szCs w:val="12"/>
              </w:rPr>
              <w:t xml:space="preserve">encës së energjisë dhe performancës </w:t>
            </w:r>
            <w:r w:rsidR="008C0C0F" w:rsidRPr="00821568">
              <w:rPr>
                <w:rFonts w:ascii="Garamond" w:hAnsi="Garamond"/>
                <w:sz w:val="12"/>
                <w:szCs w:val="12"/>
              </w:rPr>
              <w:t>energjetike</w:t>
            </w:r>
            <w:r w:rsidRPr="00821568">
              <w:rPr>
                <w:rFonts w:ascii="Garamond" w:hAnsi="Garamond"/>
                <w:sz w:val="12"/>
                <w:szCs w:val="12"/>
              </w:rPr>
              <w:t xml:space="preserve"> në ndërtesa</w:t>
            </w:r>
          </w:p>
          <w:p w14:paraId="1CE8D918" w14:textId="77777777" w:rsidR="00472A4B" w:rsidRPr="00821568" w:rsidRDefault="00472A4B" w:rsidP="00472A4B">
            <w:pPr>
              <w:rPr>
                <w:rFonts w:ascii="Garamond" w:hAnsi="Garamond"/>
                <w:sz w:val="12"/>
                <w:szCs w:val="12"/>
              </w:rPr>
            </w:pPr>
          </w:p>
        </w:tc>
        <w:tc>
          <w:tcPr>
            <w:tcW w:w="0" w:type="auto"/>
            <w:tcBorders>
              <w:top w:val="nil"/>
              <w:left w:val="nil"/>
              <w:bottom w:val="single" w:sz="4" w:space="0" w:color="auto"/>
              <w:right w:val="single" w:sz="4" w:space="0" w:color="auto"/>
            </w:tcBorders>
            <w:shd w:val="clear" w:color="auto" w:fill="auto"/>
          </w:tcPr>
          <w:p w14:paraId="2BDD2E4F" w14:textId="4FBD0A11" w:rsidR="00472A4B" w:rsidRPr="00821568" w:rsidRDefault="00472A4B" w:rsidP="00472A4B">
            <w:pPr>
              <w:rPr>
                <w:rFonts w:ascii="Garamond" w:hAnsi="Garamond"/>
                <w:sz w:val="12"/>
                <w:szCs w:val="12"/>
              </w:rPr>
            </w:pPr>
            <w:r w:rsidRPr="00821568">
              <w:rPr>
                <w:rFonts w:ascii="Garamond" w:hAnsi="Garamond"/>
                <w:sz w:val="12"/>
                <w:szCs w:val="12"/>
              </w:rPr>
              <w:t>Kryerja e një analize për incentiva fiskale (direkte dhe indirekte) si pjesë e politikave për nxitjen e përdorimit të energjisë së rinovueshme, efi</w:t>
            </w:r>
            <w:r w:rsidR="008C0C0F" w:rsidRPr="00821568">
              <w:rPr>
                <w:rFonts w:ascii="Garamond" w:hAnsi="Garamond"/>
                <w:sz w:val="12"/>
                <w:szCs w:val="12"/>
              </w:rPr>
              <w:t>c</w:t>
            </w:r>
            <w:r w:rsidRPr="00821568">
              <w:rPr>
                <w:rFonts w:ascii="Garamond" w:hAnsi="Garamond"/>
                <w:sz w:val="12"/>
                <w:szCs w:val="12"/>
              </w:rPr>
              <w:t xml:space="preserve">iencës së energjisë dhe performacës </w:t>
            </w:r>
            <w:r w:rsidR="008C0C0F" w:rsidRPr="00821568">
              <w:rPr>
                <w:rFonts w:ascii="Garamond" w:hAnsi="Garamond"/>
                <w:sz w:val="12"/>
                <w:szCs w:val="12"/>
              </w:rPr>
              <w:t>energjetike</w:t>
            </w:r>
            <w:r w:rsidR="005309EE" w:rsidRPr="00821568">
              <w:rPr>
                <w:rFonts w:ascii="Garamond" w:hAnsi="Garamond"/>
                <w:sz w:val="12"/>
                <w:szCs w:val="12"/>
              </w:rPr>
              <w:t>.</w:t>
            </w:r>
          </w:p>
        </w:tc>
        <w:tc>
          <w:tcPr>
            <w:tcW w:w="0" w:type="auto"/>
            <w:tcBorders>
              <w:top w:val="nil"/>
              <w:left w:val="nil"/>
              <w:bottom w:val="single" w:sz="4" w:space="0" w:color="auto"/>
              <w:right w:val="single" w:sz="4" w:space="0" w:color="auto"/>
            </w:tcBorders>
            <w:shd w:val="clear" w:color="auto" w:fill="auto"/>
          </w:tcPr>
          <w:p w14:paraId="5F465634" w14:textId="77777777" w:rsidR="00472A4B" w:rsidRPr="00821568" w:rsidRDefault="00472A4B" w:rsidP="00472A4B">
            <w:pPr>
              <w:rPr>
                <w:rFonts w:ascii="Garamond" w:hAnsi="Garamond"/>
                <w:sz w:val="12"/>
                <w:szCs w:val="12"/>
              </w:rPr>
            </w:pPr>
            <w:r w:rsidRPr="00821568">
              <w:rPr>
                <w:rFonts w:ascii="Garamond" w:hAnsi="Garamond"/>
                <w:sz w:val="12"/>
                <w:szCs w:val="12"/>
              </w:rPr>
              <w:t>2025</w:t>
            </w:r>
          </w:p>
        </w:tc>
        <w:tc>
          <w:tcPr>
            <w:tcW w:w="0" w:type="auto"/>
            <w:tcBorders>
              <w:top w:val="nil"/>
              <w:left w:val="nil"/>
              <w:bottom w:val="single" w:sz="4" w:space="0" w:color="auto"/>
              <w:right w:val="single" w:sz="4" w:space="0" w:color="auto"/>
            </w:tcBorders>
            <w:shd w:val="clear" w:color="auto" w:fill="auto"/>
          </w:tcPr>
          <w:p w14:paraId="2865EA00" w14:textId="77777777" w:rsidR="00472A4B" w:rsidRPr="00821568" w:rsidRDefault="00472A4B" w:rsidP="00472A4B">
            <w:pPr>
              <w:rPr>
                <w:rFonts w:ascii="Garamond" w:hAnsi="Garamond"/>
                <w:sz w:val="12"/>
                <w:szCs w:val="12"/>
              </w:rPr>
            </w:pPr>
            <w:r w:rsidRPr="00821568">
              <w:rPr>
                <w:rFonts w:ascii="Garamond" w:hAnsi="Garamond"/>
                <w:sz w:val="12"/>
                <w:szCs w:val="12"/>
              </w:rPr>
              <w:t>2026</w:t>
            </w:r>
          </w:p>
        </w:tc>
        <w:tc>
          <w:tcPr>
            <w:tcW w:w="0" w:type="auto"/>
            <w:tcBorders>
              <w:top w:val="nil"/>
              <w:left w:val="nil"/>
              <w:bottom w:val="single" w:sz="4" w:space="0" w:color="auto"/>
              <w:right w:val="single" w:sz="4" w:space="0" w:color="auto"/>
            </w:tcBorders>
            <w:shd w:val="clear" w:color="auto" w:fill="auto"/>
          </w:tcPr>
          <w:p w14:paraId="68CEC50F" w14:textId="77777777" w:rsidR="00472A4B" w:rsidRPr="00821568" w:rsidRDefault="00472A4B" w:rsidP="00472A4B">
            <w:pPr>
              <w:rPr>
                <w:rFonts w:ascii="Garamond" w:hAnsi="Garamond"/>
                <w:sz w:val="12"/>
                <w:szCs w:val="12"/>
              </w:rPr>
            </w:pPr>
            <w:r w:rsidRPr="00821568">
              <w:rPr>
                <w:rFonts w:ascii="Garamond" w:hAnsi="Garamond"/>
                <w:sz w:val="12"/>
                <w:szCs w:val="12"/>
              </w:rPr>
              <w:t>MF dhe MIE</w:t>
            </w:r>
          </w:p>
        </w:tc>
        <w:tc>
          <w:tcPr>
            <w:tcW w:w="0" w:type="auto"/>
            <w:tcBorders>
              <w:top w:val="nil"/>
              <w:left w:val="nil"/>
              <w:bottom w:val="single" w:sz="4" w:space="0" w:color="auto"/>
              <w:right w:val="single" w:sz="8" w:space="0" w:color="auto"/>
            </w:tcBorders>
            <w:shd w:val="clear" w:color="auto" w:fill="auto"/>
          </w:tcPr>
          <w:p w14:paraId="5F6AC017" w14:textId="77777777" w:rsidR="00472A4B" w:rsidRPr="00821568" w:rsidRDefault="00472A4B" w:rsidP="00472A4B">
            <w:pPr>
              <w:rPr>
                <w:rFonts w:ascii="Garamond" w:hAnsi="Garamond"/>
                <w:sz w:val="12"/>
                <w:szCs w:val="12"/>
              </w:rPr>
            </w:pPr>
          </w:p>
        </w:tc>
      </w:tr>
      <w:tr w:rsidR="00723888" w:rsidRPr="00821568" w14:paraId="5FD6E49E" w14:textId="77777777" w:rsidTr="00472A4B">
        <w:trPr>
          <w:trHeight w:val="20"/>
        </w:trPr>
        <w:tc>
          <w:tcPr>
            <w:tcW w:w="0" w:type="auto"/>
            <w:vMerge/>
            <w:tcBorders>
              <w:left w:val="single" w:sz="8" w:space="0" w:color="auto"/>
              <w:bottom w:val="single" w:sz="4" w:space="0" w:color="auto"/>
              <w:right w:val="single" w:sz="4" w:space="0" w:color="auto"/>
            </w:tcBorders>
            <w:shd w:val="clear" w:color="auto" w:fill="auto"/>
            <w:noWrap/>
          </w:tcPr>
          <w:p w14:paraId="598D4128" w14:textId="77777777" w:rsidR="00472A4B" w:rsidRPr="00821568" w:rsidRDefault="00472A4B" w:rsidP="00472A4B">
            <w:pPr>
              <w:rPr>
                <w:rFonts w:ascii="Garamond" w:hAnsi="Garamond"/>
                <w:sz w:val="12"/>
                <w:szCs w:val="12"/>
              </w:rPr>
            </w:pPr>
          </w:p>
        </w:tc>
        <w:tc>
          <w:tcPr>
            <w:tcW w:w="0" w:type="auto"/>
            <w:vMerge/>
            <w:tcBorders>
              <w:left w:val="nil"/>
              <w:bottom w:val="single" w:sz="4" w:space="0" w:color="auto"/>
              <w:right w:val="single" w:sz="4" w:space="0" w:color="auto"/>
            </w:tcBorders>
            <w:shd w:val="clear" w:color="auto" w:fill="auto"/>
          </w:tcPr>
          <w:p w14:paraId="1B098A0E" w14:textId="77777777" w:rsidR="00472A4B" w:rsidRPr="00821568" w:rsidRDefault="00472A4B" w:rsidP="00472A4B">
            <w:pPr>
              <w:rPr>
                <w:rFonts w:ascii="Garamond" w:hAnsi="Garamond"/>
                <w:sz w:val="12"/>
                <w:szCs w:val="12"/>
              </w:rPr>
            </w:pPr>
          </w:p>
        </w:tc>
        <w:tc>
          <w:tcPr>
            <w:tcW w:w="0" w:type="auto"/>
            <w:tcBorders>
              <w:top w:val="nil"/>
              <w:left w:val="nil"/>
              <w:bottom w:val="single" w:sz="4" w:space="0" w:color="auto"/>
              <w:right w:val="single" w:sz="4" w:space="0" w:color="auto"/>
            </w:tcBorders>
            <w:shd w:val="clear" w:color="auto" w:fill="auto"/>
          </w:tcPr>
          <w:p w14:paraId="5801EB7D" w14:textId="5BBF2A0D" w:rsidR="00472A4B" w:rsidRPr="00821568" w:rsidRDefault="00472A4B" w:rsidP="00472A4B">
            <w:pPr>
              <w:rPr>
                <w:rFonts w:ascii="Garamond" w:hAnsi="Garamond"/>
                <w:sz w:val="12"/>
                <w:szCs w:val="12"/>
              </w:rPr>
            </w:pPr>
            <w:r w:rsidRPr="00821568">
              <w:rPr>
                <w:rFonts w:ascii="Garamond" w:hAnsi="Garamond"/>
                <w:sz w:val="12"/>
                <w:szCs w:val="12"/>
              </w:rPr>
              <w:t xml:space="preserve">Përgatitja e projekt ndryshimeve ligjore bazuar në vendimin e marrë pas analizës dhe në përputhje me </w:t>
            </w:r>
            <w:r w:rsidRPr="00821568">
              <w:rPr>
                <w:rFonts w:ascii="Garamond" w:hAnsi="Garamond"/>
                <w:i/>
                <w:sz w:val="12"/>
                <w:szCs w:val="12"/>
              </w:rPr>
              <w:t>acquis</w:t>
            </w:r>
            <w:r w:rsidRPr="00821568">
              <w:rPr>
                <w:rFonts w:ascii="Garamond" w:hAnsi="Garamond"/>
                <w:sz w:val="12"/>
                <w:szCs w:val="12"/>
              </w:rPr>
              <w:t xml:space="preserve"> të BE-së</w:t>
            </w:r>
            <w:r w:rsidR="005309EE" w:rsidRPr="00821568">
              <w:rPr>
                <w:rFonts w:ascii="Garamond" w:hAnsi="Garamond"/>
                <w:sz w:val="12"/>
                <w:szCs w:val="12"/>
              </w:rPr>
              <w:t>.</w:t>
            </w:r>
          </w:p>
        </w:tc>
        <w:tc>
          <w:tcPr>
            <w:tcW w:w="0" w:type="auto"/>
            <w:tcBorders>
              <w:top w:val="nil"/>
              <w:left w:val="nil"/>
              <w:bottom w:val="single" w:sz="4" w:space="0" w:color="auto"/>
              <w:right w:val="single" w:sz="4" w:space="0" w:color="auto"/>
            </w:tcBorders>
            <w:shd w:val="clear" w:color="auto" w:fill="auto"/>
          </w:tcPr>
          <w:p w14:paraId="5CB40149" w14:textId="77777777" w:rsidR="00472A4B" w:rsidRPr="00821568" w:rsidRDefault="00472A4B" w:rsidP="00472A4B">
            <w:pPr>
              <w:rPr>
                <w:rFonts w:ascii="Garamond" w:hAnsi="Garamond"/>
                <w:sz w:val="12"/>
                <w:szCs w:val="12"/>
              </w:rPr>
            </w:pPr>
            <w:r w:rsidRPr="00821568">
              <w:rPr>
                <w:rFonts w:ascii="Garamond" w:hAnsi="Garamond"/>
                <w:sz w:val="12"/>
                <w:szCs w:val="12"/>
              </w:rPr>
              <w:t>2027</w:t>
            </w:r>
          </w:p>
        </w:tc>
        <w:tc>
          <w:tcPr>
            <w:tcW w:w="0" w:type="auto"/>
            <w:tcBorders>
              <w:top w:val="nil"/>
              <w:left w:val="nil"/>
              <w:bottom w:val="single" w:sz="4" w:space="0" w:color="auto"/>
              <w:right w:val="single" w:sz="4" w:space="0" w:color="auto"/>
            </w:tcBorders>
            <w:shd w:val="clear" w:color="auto" w:fill="auto"/>
          </w:tcPr>
          <w:p w14:paraId="00A2366C" w14:textId="77777777" w:rsidR="00472A4B" w:rsidRPr="00821568" w:rsidRDefault="00472A4B" w:rsidP="00472A4B">
            <w:pPr>
              <w:rPr>
                <w:rFonts w:ascii="Garamond" w:hAnsi="Garamond"/>
                <w:sz w:val="12"/>
                <w:szCs w:val="12"/>
              </w:rPr>
            </w:pPr>
            <w:r w:rsidRPr="00821568">
              <w:rPr>
                <w:rFonts w:ascii="Garamond" w:hAnsi="Garamond"/>
                <w:sz w:val="12"/>
                <w:szCs w:val="12"/>
              </w:rPr>
              <w:t>2027</w:t>
            </w:r>
          </w:p>
        </w:tc>
        <w:tc>
          <w:tcPr>
            <w:tcW w:w="0" w:type="auto"/>
            <w:tcBorders>
              <w:top w:val="nil"/>
              <w:left w:val="nil"/>
              <w:bottom w:val="single" w:sz="4" w:space="0" w:color="auto"/>
              <w:right w:val="single" w:sz="4" w:space="0" w:color="auto"/>
            </w:tcBorders>
            <w:shd w:val="clear" w:color="auto" w:fill="auto"/>
          </w:tcPr>
          <w:p w14:paraId="6A0E8C19" w14:textId="77777777" w:rsidR="00472A4B" w:rsidRPr="00821568" w:rsidRDefault="00472A4B" w:rsidP="00472A4B">
            <w:pPr>
              <w:rPr>
                <w:rFonts w:ascii="Garamond" w:hAnsi="Garamond"/>
                <w:sz w:val="12"/>
                <w:szCs w:val="12"/>
              </w:rPr>
            </w:pPr>
            <w:r w:rsidRPr="00821568">
              <w:rPr>
                <w:rFonts w:ascii="Garamond" w:hAnsi="Garamond"/>
                <w:sz w:val="12"/>
                <w:szCs w:val="12"/>
              </w:rPr>
              <w:t>MF dhe MIE</w:t>
            </w:r>
          </w:p>
        </w:tc>
        <w:tc>
          <w:tcPr>
            <w:tcW w:w="0" w:type="auto"/>
            <w:tcBorders>
              <w:top w:val="nil"/>
              <w:left w:val="nil"/>
              <w:bottom w:val="single" w:sz="4" w:space="0" w:color="auto"/>
              <w:right w:val="single" w:sz="8" w:space="0" w:color="auto"/>
            </w:tcBorders>
            <w:shd w:val="clear" w:color="auto" w:fill="auto"/>
          </w:tcPr>
          <w:p w14:paraId="4B218422" w14:textId="77777777" w:rsidR="00472A4B" w:rsidRPr="00821568" w:rsidRDefault="00472A4B" w:rsidP="00472A4B">
            <w:pPr>
              <w:rPr>
                <w:rFonts w:ascii="Garamond" w:hAnsi="Garamond"/>
                <w:sz w:val="12"/>
                <w:szCs w:val="12"/>
              </w:rPr>
            </w:pPr>
          </w:p>
        </w:tc>
      </w:tr>
      <w:tr w:rsidR="00723888" w:rsidRPr="00821568" w14:paraId="6549C6A4" w14:textId="77777777" w:rsidTr="00472A4B">
        <w:trPr>
          <w:trHeight w:val="20"/>
        </w:trPr>
        <w:tc>
          <w:tcPr>
            <w:tcW w:w="0" w:type="auto"/>
            <w:gridSpan w:val="7"/>
            <w:tcBorders>
              <w:top w:val="single" w:sz="4" w:space="0" w:color="auto"/>
              <w:left w:val="single" w:sz="8" w:space="0" w:color="auto"/>
              <w:bottom w:val="single" w:sz="4" w:space="0" w:color="auto"/>
              <w:right w:val="single" w:sz="8" w:space="0" w:color="000000"/>
            </w:tcBorders>
            <w:shd w:val="clear" w:color="auto" w:fill="auto"/>
            <w:noWrap/>
            <w:hideMark/>
          </w:tcPr>
          <w:p w14:paraId="520D5A30" w14:textId="03FC81EF" w:rsidR="00472A4B" w:rsidRPr="00821568" w:rsidRDefault="00472A4B" w:rsidP="00472A4B">
            <w:pPr>
              <w:rPr>
                <w:rFonts w:ascii="Garamond" w:hAnsi="Garamond"/>
                <w:b/>
                <w:sz w:val="12"/>
                <w:szCs w:val="12"/>
              </w:rPr>
            </w:pPr>
            <w:r w:rsidRPr="00821568">
              <w:rPr>
                <w:rFonts w:ascii="Garamond" w:hAnsi="Garamond"/>
                <w:b/>
                <w:bCs/>
                <w:sz w:val="12"/>
                <w:szCs w:val="12"/>
              </w:rPr>
              <w:t xml:space="preserve">Objektivi </w:t>
            </w:r>
            <w:r w:rsidR="005309EE" w:rsidRPr="00821568">
              <w:rPr>
                <w:rFonts w:ascii="Garamond" w:hAnsi="Garamond"/>
                <w:b/>
                <w:bCs/>
                <w:sz w:val="12"/>
                <w:szCs w:val="12"/>
              </w:rPr>
              <w:t>s</w:t>
            </w:r>
            <w:r w:rsidRPr="00821568">
              <w:rPr>
                <w:rFonts w:ascii="Garamond" w:hAnsi="Garamond"/>
                <w:b/>
                <w:bCs/>
                <w:sz w:val="12"/>
                <w:szCs w:val="12"/>
              </w:rPr>
              <w:t>pecifik (</w:t>
            </w:r>
            <w:r w:rsidR="005309EE" w:rsidRPr="00821568">
              <w:rPr>
                <w:rFonts w:ascii="Garamond" w:hAnsi="Garamond"/>
                <w:b/>
                <w:bCs/>
                <w:sz w:val="12"/>
                <w:szCs w:val="12"/>
              </w:rPr>
              <w:t>k</w:t>
            </w:r>
            <w:r w:rsidRPr="00821568">
              <w:rPr>
                <w:rFonts w:ascii="Garamond" w:hAnsi="Garamond"/>
                <w:b/>
                <w:bCs/>
                <w:sz w:val="12"/>
                <w:szCs w:val="12"/>
              </w:rPr>
              <w:t>omponenti) 1.2 Rishikimi i politikës tatimore të taksave direkte</w:t>
            </w:r>
          </w:p>
        </w:tc>
      </w:tr>
      <w:tr w:rsidR="00723888" w:rsidRPr="00821568" w14:paraId="138D0C9F" w14:textId="77777777" w:rsidTr="008C0C0F">
        <w:trPr>
          <w:trHeight w:val="20"/>
        </w:trPr>
        <w:tc>
          <w:tcPr>
            <w:tcW w:w="0" w:type="auto"/>
            <w:vMerge w:val="restart"/>
            <w:tcBorders>
              <w:top w:val="nil"/>
              <w:left w:val="single" w:sz="8" w:space="0" w:color="auto"/>
              <w:bottom w:val="single" w:sz="4" w:space="0" w:color="auto"/>
              <w:right w:val="single" w:sz="4" w:space="0" w:color="auto"/>
            </w:tcBorders>
            <w:shd w:val="clear" w:color="auto" w:fill="auto"/>
            <w:vAlign w:val="center"/>
            <w:hideMark/>
          </w:tcPr>
          <w:p w14:paraId="5A566E4C" w14:textId="0D6F6CF7" w:rsidR="00472A4B" w:rsidRPr="00821568" w:rsidRDefault="00472A4B" w:rsidP="008C0C0F">
            <w:pPr>
              <w:jc w:val="center"/>
              <w:rPr>
                <w:rFonts w:ascii="Garamond" w:hAnsi="Garamond"/>
                <w:b/>
                <w:sz w:val="12"/>
                <w:szCs w:val="12"/>
              </w:rPr>
            </w:pPr>
            <w:r w:rsidRPr="00821568">
              <w:rPr>
                <w:rFonts w:ascii="Garamond" w:hAnsi="Garamond"/>
                <w:b/>
                <w:bCs/>
                <w:sz w:val="12"/>
                <w:szCs w:val="12"/>
              </w:rPr>
              <w:t>Nr</w:t>
            </w:r>
            <w:r w:rsidR="008C0C0F" w:rsidRPr="00821568">
              <w:rPr>
                <w:rFonts w:ascii="Garamond" w:hAnsi="Garamond"/>
                <w:b/>
                <w:bCs/>
                <w:sz w:val="12"/>
                <w:szCs w:val="12"/>
              </w:rPr>
              <w: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0D248F4" w14:textId="77777777" w:rsidR="00472A4B" w:rsidRPr="00821568" w:rsidRDefault="00472A4B" w:rsidP="008C0C0F">
            <w:pPr>
              <w:jc w:val="center"/>
              <w:rPr>
                <w:rFonts w:ascii="Garamond" w:hAnsi="Garamond"/>
                <w:b/>
                <w:sz w:val="12"/>
                <w:szCs w:val="12"/>
              </w:rPr>
            </w:pPr>
            <w:r w:rsidRPr="00821568">
              <w:rPr>
                <w:rFonts w:ascii="Garamond" w:hAnsi="Garamond"/>
                <w:b/>
                <w:bCs/>
                <w:sz w:val="12"/>
                <w:szCs w:val="12"/>
              </w:rPr>
              <w:t>Masa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E458F55" w14:textId="77777777" w:rsidR="00472A4B" w:rsidRPr="00821568" w:rsidRDefault="00472A4B" w:rsidP="008C0C0F">
            <w:pPr>
              <w:jc w:val="center"/>
              <w:rPr>
                <w:rFonts w:ascii="Garamond" w:hAnsi="Garamond"/>
                <w:b/>
                <w:sz w:val="12"/>
                <w:szCs w:val="12"/>
              </w:rPr>
            </w:pPr>
            <w:r w:rsidRPr="00821568">
              <w:rPr>
                <w:rFonts w:ascii="Garamond" w:hAnsi="Garamond"/>
                <w:b/>
                <w:bCs/>
                <w:sz w:val="12"/>
                <w:szCs w:val="12"/>
              </w:rPr>
              <w:t>Aktiviteti</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2D988FCA" w14:textId="77777777" w:rsidR="00472A4B" w:rsidRPr="00821568" w:rsidRDefault="00472A4B" w:rsidP="008C0C0F">
            <w:pPr>
              <w:jc w:val="center"/>
              <w:rPr>
                <w:rFonts w:ascii="Garamond" w:hAnsi="Garamond"/>
                <w:b/>
                <w:sz w:val="12"/>
                <w:szCs w:val="12"/>
              </w:rPr>
            </w:pPr>
            <w:r w:rsidRPr="00821568">
              <w:rPr>
                <w:rFonts w:ascii="Garamond" w:hAnsi="Garamond"/>
                <w:b/>
                <w:bCs/>
                <w:sz w:val="12"/>
                <w:szCs w:val="12"/>
              </w:rPr>
              <w:t>Fillimi</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0D0FF0A" w14:textId="77777777" w:rsidR="00472A4B" w:rsidRPr="00821568" w:rsidRDefault="00472A4B" w:rsidP="008C0C0F">
            <w:pPr>
              <w:jc w:val="center"/>
              <w:rPr>
                <w:rFonts w:ascii="Garamond" w:hAnsi="Garamond"/>
                <w:b/>
                <w:sz w:val="12"/>
                <w:szCs w:val="12"/>
              </w:rPr>
            </w:pPr>
            <w:r w:rsidRPr="00821568">
              <w:rPr>
                <w:rFonts w:ascii="Garamond" w:hAnsi="Garamond"/>
                <w:b/>
                <w:bCs/>
                <w:sz w:val="12"/>
                <w:szCs w:val="12"/>
              </w:rPr>
              <w:t>Mbarimi</w:t>
            </w:r>
          </w:p>
        </w:tc>
        <w:tc>
          <w:tcPr>
            <w:tcW w:w="0" w:type="auto"/>
            <w:gridSpan w:val="2"/>
            <w:tcBorders>
              <w:top w:val="single" w:sz="4" w:space="0" w:color="auto"/>
              <w:left w:val="nil"/>
              <w:bottom w:val="single" w:sz="4" w:space="0" w:color="auto"/>
              <w:right w:val="single" w:sz="8" w:space="0" w:color="000000"/>
            </w:tcBorders>
            <w:shd w:val="clear" w:color="auto" w:fill="auto"/>
            <w:vAlign w:val="center"/>
            <w:hideMark/>
          </w:tcPr>
          <w:p w14:paraId="7CD5077C" w14:textId="01900729" w:rsidR="00472A4B" w:rsidRPr="00821568" w:rsidRDefault="00472A4B" w:rsidP="008C0C0F">
            <w:pPr>
              <w:jc w:val="center"/>
              <w:rPr>
                <w:rFonts w:ascii="Garamond" w:hAnsi="Garamond"/>
                <w:b/>
                <w:sz w:val="12"/>
                <w:szCs w:val="12"/>
              </w:rPr>
            </w:pPr>
            <w:r w:rsidRPr="00821568">
              <w:rPr>
                <w:rFonts w:ascii="Garamond" w:hAnsi="Garamond"/>
                <w:b/>
                <w:bCs/>
                <w:sz w:val="12"/>
                <w:szCs w:val="12"/>
              </w:rPr>
              <w:t xml:space="preserve">Grupet e </w:t>
            </w:r>
            <w:r w:rsidR="008C0C0F" w:rsidRPr="00821568">
              <w:rPr>
                <w:rFonts w:ascii="Garamond" w:hAnsi="Garamond"/>
                <w:b/>
                <w:bCs/>
                <w:sz w:val="12"/>
                <w:szCs w:val="12"/>
              </w:rPr>
              <w:t>i</w:t>
            </w:r>
            <w:r w:rsidRPr="00821568">
              <w:rPr>
                <w:rFonts w:ascii="Garamond" w:hAnsi="Garamond"/>
                <w:b/>
                <w:bCs/>
                <w:sz w:val="12"/>
                <w:szCs w:val="12"/>
              </w:rPr>
              <w:t>nteresit</w:t>
            </w:r>
          </w:p>
        </w:tc>
      </w:tr>
      <w:tr w:rsidR="00723888" w:rsidRPr="00821568" w14:paraId="1F3E8A92" w14:textId="77777777" w:rsidTr="008C0C0F">
        <w:trPr>
          <w:trHeight w:val="20"/>
        </w:trPr>
        <w:tc>
          <w:tcPr>
            <w:tcW w:w="0" w:type="auto"/>
            <w:vMerge/>
            <w:tcBorders>
              <w:top w:val="nil"/>
              <w:left w:val="single" w:sz="8" w:space="0" w:color="auto"/>
              <w:bottom w:val="single" w:sz="4" w:space="0" w:color="auto"/>
              <w:right w:val="single" w:sz="4" w:space="0" w:color="auto"/>
            </w:tcBorders>
            <w:vAlign w:val="center"/>
            <w:hideMark/>
          </w:tcPr>
          <w:p w14:paraId="2529EAE2" w14:textId="77777777" w:rsidR="00472A4B" w:rsidRPr="00821568" w:rsidRDefault="00472A4B" w:rsidP="008C0C0F">
            <w:pPr>
              <w:jc w:val="cente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vAlign w:val="center"/>
            <w:hideMark/>
          </w:tcPr>
          <w:p w14:paraId="54249FA4" w14:textId="77777777" w:rsidR="00472A4B" w:rsidRPr="00821568" w:rsidRDefault="00472A4B" w:rsidP="008C0C0F">
            <w:pPr>
              <w:jc w:val="cente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vAlign w:val="center"/>
            <w:hideMark/>
          </w:tcPr>
          <w:p w14:paraId="1C0D319E" w14:textId="77777777" w:rsidR="00472A4B" w:rsidRPr="00821568" w:rsidRDefault="00472A4B" w:rsidP="008C0C0F">
            <w:pPr>
              <w:jc w:val="cente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vAlign w:val="center"/>
            <w:hideMark/>
          </w:tcPr>
          <w:p w14:paraId="41354879" w14:textId="77777777" w:rsidR="00472A4B" w:rsidRPr="00821568" w:rsidRDefault="00472A4B" w:rsidP="008C0C0F">
            <w:pPr>
              <w:jc w:val="cente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vAlign w:val="center"/>
            <w:hideMark/>
          </w:tcPr>
          <w:p w14:paraId="342A2E23" w14:textId="77777777" w:rsidR="00472A4B" w:rsidRPr="00821568" w:rsidRDefault="00472A4B" w:rsidP="008C0C0F">
            <w:pPr>
              <w:jc w:val="center"/>
              <w:rPr>
                <w:rFonts w:ascii="Garamond" w:hAnsi="Garamond"/>
                <w:b/>
                <w:sz w:val="12"/>
                <w:szCs w:val="12"/>
              </w:rPr>
            </w:pPr>
          </w:p>
        </w:tc>
        <w:tc>
          <w:tcPr>
            <w:tcW w:w="0" w:type="auto"/>
            <w:tcBorders>
              <w:top w:val="nil"/>
              <w:left w:val="nil"/>
              <w:bottom w:val="single" w:sz="4" w:space="0" w:color="auto"/>
              <w:right w:val="single" w:sz="4" w:space="0" w:color="auto"/>
            </w:tcBorders>
            <w:shd w:val="clear" w:color="auto" w:fill="auto"/>
            <w:vAlign w:val="center"/>
            <w:hideMark/>
          </w:tcPr>
          <w:p w14:paraId="5138C8EF" w14:textId="77777777" w:rsidR="00472A4B" w:rsidRPr="00821568" w:rsidRDefault="00472A4B" w:rsidP="008C0C0F">
            <w:pPr>
              <w:jc w:val="center"/>
              <w:rPr>
                <w:rFonts w:ascii="Garamond" w:hAnsi="Garamond"/>
                <w:b/>
                <w:sz w:val="12"/>
                <w:szCs w:val="12"/>
              </w:rPr>
            </w:pPr>
            <w:r w:rsidRPr="00821568">
              <w:rPr>
                <w:rFonts w:ascii="Garamond" w:hAnsi="Garamond"/>
                <w:b/>
                <w:bCs/>
                <w:sz w:val="12"/>
                <w:szCs w:val="12"/>
              </w:rPr>
              <w:t>Njësitë përgjegjëse</w:t>
            </w:r>
          </w:p>
        </w:tc>
        <w:tc>
          <w:tcPr>
            <w:tcW w:w="0" w:type="auto"/>
            <w:tcBorders>
              <w:top w:val="nil"/>
              <w:left w:val="nil"/>
              <w:bottom w:val="single" w:sz="4" w:space="0" w:color="auto"/>
              <w:right w:val="single" w:sz="8" w:space="0" w:color="auto"/>
            </w:tcBorders>
            <w:shd w:val="clear" w:color="auto" w:fill="auto"/>
            <w:vAlign w:val="center"/>
            <w:hideMark/>
          </w:tcPr>
          <w:p w14:paraId="0A8158F6" w14:textId="77777777" w:rsidR="00472A4B" w:rsidRPr="00821568" w:rsidRDefault="00472A4B" w:rsidP="008C0C0F">
            <w:pPr>
              <w:jc w:val="center"/>
              <w:rPr>
                <w:rFonts w:ascii="Garamond" w:hAnsi="Garamond"/>
                <w:b/>
                <w:sz w:val="12"/>
                <w:szCs w:val="12"/>
              </w:rPr>
            </w:pPr>
            <w:r w:rsidRPr="00821568">
              <w:rPr>
                <w:rFonts w:ascii="Garamond" w:hAnsi="Garamond"/>
                <w:b/>
                <w:bCs/>
                <w:sz w:val="12"/>
                <w:szCs w:val="12"/>
              </w:rPr>
              <w:t>Partnerët</w:t>
            </w:r>
          </w:p>
        </w:tc>
      </w:tr>
      <w:tr w:rsidR="00723888" w:rsidRPr="00821568" w14:paraId="01B6B60E" w14:textId="77777777" w:rsidTr="00472A4B">
        <w:trPr>
          <w:trHeight w:val="20"/>
        </w:trPr>
        <w:tc>
          <w:tcPr>
            <w:tcW w:w="0" w:type="auto"/>
            <w:tcBorders>
              <w:top w:val="nil"/>
              <w:left w:val="single" w:sz="8" w:space="0" w:color="auto"/>
              <w:bottom w:val="single" w:sz="4" w:space="0" w:color="auto"/>
              <w:right w:val="single" w:sz="4" w:space="0" w:color="auto"/>
            </w:tcBorders>
            <w:shd w:val="clear" w:color="auto" w:fill="auto"/>
            <w:noWrap/>
            <w:hideMark/>
          </w:tcPr>
          <w:p w14:paraId="3D56B52B" w14:textId="77777777" w:rsidR="00472A4B" w:rsidRPr="00821568" w:rsidRDefault="00472A4B" w:rsidP="00472A4B">
            <w:pPr>
              <w:rPr>
                <w:rFonts w:ascii="Garamond" w:hAnsi="Garamond"/>
                <w:sz w:val="12"/>
                <w:szCs w:val="12"/>
              </w:rPr>
            </w:pPr>
            <w:r w:rsidRPr="00821568">
              <w:rPr>
                <w:rFonts w:ascii="Garamond" w:hAnsi="Garamond"/>
                <w:sz w:val="12"/>
                <w:szCs w:val="12"/>
              </w:rPr>
              <w:t>1.2.1</w:t>
            </w:r>
          </w:p>
        </w:tc>
        <w:tc>
          <w:tcPr>
            <w:tcW w:w="0" w:type="auto"/>
            <w:tcBorders>
              <w:top w:val="nil"/>
              <w:left w:val="nil"/>
              <w:bottom w:val="single" w:sz="4" w:space="0" w:color="auto"/>
              <w:right w:val="single" w:sz="4" w:space="0" w:color="auto"/>
            </w:tcBorders>
            <w:shd w:val="clear" w:color="auto" w:fill="auto"/>
            <w:hideMark/>
          </w:tcPr>
          <w:p w14:paraId="4270F9F4" w14:textId="7C4447D4" w:rsidR="00472A4B" w:rsidRPr="00821568" w:rsidRDefault="00472A4B" w:rsidP="00472A4B">
            <w:pPr>
              <w:rPr>
                <w:rFonts w:ascii="Garamond" w:hAnsi="Garamond"/>
                <w:sz w:val="12"/>
                <w:szCs w:val="12"/>
              </w:rPr>
            </w:pPr>
            <w:r w:rsidRPr="00821568">
              <w:rPr>
                <w:rFonts w:ascii="Garamond" w:hAnsi="Garamond"/>
                <w:sz w:val="12"/>
                <w:szCs w:val="12"/>
              </w:rPr>
              <w:t>Analizimi i skemës së tatimi</w:t>
            </w:r>
            <w:r w:rsidR="005309EE" w:rsidRPr="00821568">
              <w:rPr>
                <w:rFonts w:ascii="Garamond" w:hAnsi="Garamond"/>
                <w:sz w:val="12"/>
                <w:szCs w:val="12"/>
              </w:rPr>
              <w:t>t</w:t>
            </w:r>
            <w:r w:rsidRPr="00821568">
              <w:rPr>
                <w:rFonts w:ascii="Garamond" w:hAnsi="Garamond"/>
                <w:sz w:val="12"/>
                <w:szCs w:val="12"/>
              </w:rPr>
              <w:t xml:space="preserve"> të personave fizikë</w:t>
            </w:r>
          </w:p>
        </w:tc>
        <w:tc>
          <w:tcPr>
            <w:tcW w:w="0" w:type="auto"/>
            <w:tcBorders>
              <w:top w:val="nil"/>
              <w:left w:val="nil"/>
              <w:bottom w:val="single" w:sz="4" w:space="0" w:color="auto"/>
              <w:right w:val="single" w:sz="4" w:space="0" w:color="auto"/>
            </w:tcBorders>
            <w:shd w:val="clear" w:color="auto" w:fill="auto"/>
            <w:hideMark/>
          </w:tcPr>
          <w:p w14:paraId="0331DC7D" w14:textId="6771F904" w:rsidR="00472A4B" w:rsidRPr="00821568" w:rsidRDefault="00472A4B" w:rsidP="00472A4B">
            <w:pPr>
              <w:rPr>
                <w:rFonts w:ascii="Garamond" w:hAnsi="Garamond"/>
                <w:sz w:val="12"/>
                <w:szCs w:val="12"/>
              </w:rPr>
            </w:pPr>
            <w:r w:rsidRPr="00821568">
              <w:rPr>
                <w:rFonts w:ascii="Garamond" w:hAnsi="Garamond"/>
                <w:sz w:val="12"/>
                <w:szCs w:val="12"/>
              </w:rPr>
              <w:t>Kryerja e një analize lidhur me skemë</w:t>
            </w:r>
            <w:r w:rsidR="005309EE" w:rsidRPr="00821568">
              <w:rPr>
                <w:rFonts w:ascii="Garamond" w:hAnsi="Garamond"/>
                <w:sz w:val="12"/>
                <w:szCs w:val="12"/>
              </w:rPr>
              <w:t>n</w:t>
            </w:r>
            <w:r w:rsidRPr="00821568">
              <w:rPr>
                <w:rFonts w:ascii="Garamond" w:hAnsi="Garamond"/>
                <w:sz w:val="12"/>
                <w:szCs w:val="12"/>
              </w:rPr>
              <w:t xml:space="preserve"> </w:t>
            </w:r>
            <w:r w:rsidR="005309EE" w:rsidRPr="00821568">
              <w:rPr>
                <w:rFonts w:ascii="Garamond" w:hAnsi="Garamond"/>
                <w:sz w:val="12"/>
                <w:szCs w:val="12"/>
              </w:rPr>
              <w:t>e</w:t>
            </w:r>
            <w:r w:rsidRPr="00821568">
              <w:rPr>
                <w:rFonts w:ascii="Garamond" w:hAnsi="Garamond"/>
                <w:sz w:val="12"/>
                <w:szCs w:val="12"/>
              </w:rPr>
              <w:t xml:space="preserve"> taksimit të personave fizikë.</w:t>
            </w:r>
          </w:p>
        </w:tc>
        <w:tc>
          <w:tcPr>
            <w:tcW w:w="0" w:type="auto"/>
            <w:tcBorders>
              <w:top w:val="nil"/>
              <w:left w:val="nil"/>
              <w:bottom w:val="single" w:sz="4" w:space="0" w:color="auto"/>
              <w:right w:val="single" w:sz="4" w:space="0" w:color="auto"/>
            </w:tcBorders>
            <w:shd w:val="clear" w:color="auto" w:fill="auto"/>
            <w:hideMark/>
          </w:tcPr>
          <w:p w14:paraId="2AE44888" w14:textId="77777777" w:rsidR="00472A4B" w:rsidRPr="00821568" w:rsidRDefault="00472A4B" w:rsidP="00472A4B">
            <w:pPr>
              <w:rPr>
                <w:rFonts w:ascii="Garamond" w:hAnsi="Garamond"/>
                <w:sz w:val="12"/>
                <w:szCs w:val="12"/>
              </w:rPr>
            </w:pPr>
            <w:r w:rsidRPr="00821568">
              <w:rPr>
                <w:rFonts w:ascii="Garamond" w:hAnsi="Garamond"/>
                <w:sz w:val="12"/>
                <w:szCs w:val="12"/>
              </w:rPr>
              <w:t>2024</w:t>
            </w:r>
          </w:p>
        </w:tc>
        <w:tc>
          <w:tcPr>
            <w:tcW w:w="0" w:type="auto"/>
            <w:tcBorders>
              <w:top w:val="nil"/>
              <w:left w:val="nil"/>
              <w:bottom w:val="single" w:sz="4" w:space="0" w:color="auto"/>
              <w:right w:val="single" w:sz="4" w:space="0" w:color="auto"/>
            </w:tcBorders>
            <w:shd w:val="clear" w:color="auto" w:fill="auto"/>
            <w:hideMark/>
          </w:tcPr>
          <w:p w14:paraId="12BF47D4" w14:textId="258B6DF0" w:rsidR="00472A4B" w:rsidRPr="00821568" w:rsidRDefault="00472A4B" w:rsidP="00472A4B">
            <w:pPr>
              <w:rPr>
                <w:rFonts w:ascii="Garamond" w:hAnsi="Garamond"/>
                <w:sz w:val="12"/>
                <w:szCs w:val="12"/>
              </w:rPr>
            </w:pPr>
            <w:r w:rsidRPr="00821568">
              <w:rPr>
                <w:rFonts w:ascii="Garamond" w:hAnsi="Garamond"/>
                <w:sz w:val="12"/>
                <w:szCs w:val="12"/>
              </w:rPr>
              <w:t>Dhjetor</w:t>
            </w:r>
            <w:r w:rsidR="008C0C0F" w:rsidRPr="00821568">
              <w:rPr>
                <w:rFonts w:ascii="Garamond" w:hAnsi="Garamond"/>
                <w:sz w:val="12"/>
                <w:szCs w:val="12"/>
              </w:rPr>
              <w:t xml:space="preserve"> </w:t>
            </w:r>
            <w:r w:rsidRPr="00821568">
              <w:rPr>
                <w:rFonts w:ascii="Garamond" w:hAnsi="Garamond"/>
                <w:sz w:val="12"/>
                <w:szCs w:val="12"/>
              </w:rPr>
              <w:t>2025</w:t>
            </w:r>
          </w:p>
        </w:tc>
        <w:tc>
          <w:tcPr>
            <w:tcW w:w="0" w:type="auto"/>
            <w:tcBorders>
              <w:top w:val="nil"/>
              <w:left w:val="nil"/>
              <w:bottom w:val="single" w:sz="4" w:space="0" w:color="auto"/>
              <w:right w:val="single" w:sz="4" w:space="0" w:color="auto"/>
            </w:tcBorders>
            <w:shd w:val="clear" w:color="auto" w:fill="auto"/>
            <w:hideMark/>
          </w:tcPr>
          <w:p w14:paraId="4F333FE5" w14:textId="77777777" w:rsidR="00472A4B" w:rsidRPr="00821568" w:rsidRDefault="00472A4B" w:rsidP="00472A4B">
            <w:pPr>
              <w:rPr>
                <w:rFonts w:ascii="Garamond" w:hAnsi="Garamond"/>
                <w:sz w:val="12"/>
                <w:szCs w:val="12"/>
              </w:rPr>
            </w:pPr>
            <w:r w:rsidRPr="00821568">
              <w:rPr>
                <w:rFonts w:ascii="Garamond" w:hAnsi="Garamond"/>
                <w:bCs/>
                <w:sz w:val="12"/>
                <w:szCs w:val="12"/>
              </w:rPr>
              <w:t>MF</w:t>
            </w:r>
          </w:p>
        </w:tc>
        <w:tc>
          <w:tcPr>
            <w:tcW w:w="0" w:type="auto"/>
            <w:tcBorders>
              <w:top w:val="nil"/>
              <w:left w:val="nil"/>
              <w:bottom w:val="single" w:sz="4" w:space="0" w:color="auto"/>
              <w:right w:val="single" w:sz="8" w:space="0" w:color="auto"/>
            </w:tcBorders>
            <w:shd w:val="clear" w:color="auto" w:fill="auto"/>
            <w:noWrap/>
            <w:hideMark/>
          </w:tcPr>
          <w:p w14:paraId="7C2710A6" w14:textId="77777777" w:rsidR="00472A4B" w:rsidRPr="00821568" w:rsidRDefault="00472A4B" w:rsidP="00472A4B">
            <w:pPr>
              <w:rPr>
                <w:rFonts w:ascii="Garamond" w:hAnsi="Garamond"/>
                <w:sz w:val="12"/>
                <w:szCs w:val="12"/>
              </w:rPr>
            </w:pPr>
          </w:p>
        </w:tc>
      </w:tr>
      <w:tr w:rsidR="00723888" w:rsidRPr="00821568" w14:paraId="6A9BCC6B" w14:textId="77777777" w:rsidTr="00472A4B">
        <w:trPr>
          <w:trHeight w:val="20"/>
        </w:trPr>
        <w:tc>
          <w:tcPr>
            <w:tcW w:w="0" w:type="auto"/>
            <w:tcBorders>
              <w:top w:val="nil"/>
              <w:left w:val="single" w:sz="8" w:space="0" w:color="auto"/>
              <w:bottom w:val="single" w:sz="4" w:space="0" w:color="auto"/>
              <w:right w:val="single" w:sz="4" w:space="0" w:color="auto"/>
            </w:tcBorders>
            <w:shd w:val="clear" w:color="auto" w:fill="auto"/>
            <w:noWrap/>
            <w:hideMark/>
          </w:tcPr>
          <w:p w14:paraId="5972F367" w14:textId="77777777" w:rsidR="00472A4B" w:rsidRPr="00821568" w:rsidRDefault="00472A4B" w:rsidP="00472A4B">
            <w:pPr>
              <w:rPr>
                <w:rFonts w:ascii="Garamond" w:hAnsi="Garamond"/>
                <w:sz w:val="12"/>
                <w:szCs w:val="12"/>
              </w:rPr>
            </w:pPr>
            <w:r w:rsidRPr="00821568">
              <w:rPr>
                <w:rFonts w:ascii="Garamond" w:hAnsi="Garamond"/>
                <w:sz w:val="12"/>
                <w:szCs w:val="12"/>
              </w:rPr>
              <w:t>1.2.2</w:t>
            </w:r>
          </w:p>
        </w:tc>
        <w:tc>
          <w:tcPr>
            <w:tcW w:w="0" w:type="auto"/>
            <w:tcBorders>
              <w:top w:val="nil"/>
              <w:left w:val="nil"/>
              <w:bottom w:val="single" w:sz="4" w:space="0" w:color="auto"/>
              <w:right w:val="single" w:sz="4" w:space="0" w:color="auto"/>
            </w:tcBorders>
            <w:shd w:val="clear" w:color="auto" w:fill="auto"/>
            <w:hideMark/>
          </w:tcPr>
          <w:p w14:paraId="29F098BA" w14:textId="77777777" w:rsidR="00472A4B" w:rsidRPr="00821568" w:rsidRDefault="00472A4B" w:rsidP="00472A4B">
            <w:pPr>
              <w:rPr>
                <w:rFonts w:ascii="Garamond" w:hAnsi="Garamond"/>
                <w:sz w:val="12"/>
                <w:szCs w:val="12"/>
              </w:rPr>
            </w:pPr>
            <w:r w:rsidRPr="00821568">
              <w:rPr>
                <w:rFonts w:ascii="Garamond" w:hAnsi="Garamond"/>
                <w:sz w:val="12"/>
                <w:szCs w:val="12"/>
              </w:rPr>
              <w:t>Vlerësimi i të gjitha përjashtimeve/normave tatimore të reduktuara në ligjin për të ardhurat</w:t>
            </w:r>
          </w:p>
        </w:tc>
        <w:tc>
          <w:tcPr>
            <w:tcW w:w="0" w:type="auto"/>
            <w:tcBorders>
              <w:top w:val="nil"/>
              <w:left w:val="nil"/>
              <w:bottom w:val="single" w:sz="4" w:space="0" w:color="auto"/>
              <w:right w:val="single" w:sz="4" w:space="0" w:color="auto"/>
            </w:tcBorders>
            <w:shd w:val="clear" w:color="auto" w:fill="auto"/>
            <w:hideMark/>
          </w:tcPr>
          <w:p w14:paraId="0E1FEE0A" w14:textId="3302B1E3" w:rsidR="00472A4B" w:rsidRPr="00821568" w:rsidRDefault="00472A4B" w:rsidP="00472A4B">
            <w:pPr>
              <w:rPr>
                <w:rFonts w:ascii="Garamond" w:hAnsi="Garamond"/>
                <w:sz w:val="12"/>
                <w:szCs w:val="12"/>
              </w:rPr>
            </w:pPr>
            <w:r w:rsidRPr="00821568">
              <w:rPr>
                <w:rFonts w:ascii="Garamond" w:hAnsi="Garamond"/>
                <w:sz w:val="12"/>
                <w:szCs w:val="12"/>
              </w:rPr>
              <w:t>Kryerja e një vlerësimi në lidhje me përjashtimet, normat e reduktuara në ligjin për tatimin</w:t>
            </w:r>
            <w:r w:rsidR="00D22EA5" w:rsidRPr="00821568">
              <w:rPr>
                <w:rFonts w:ascii="Garamond" w:hAnsi="Garamond"/>
                <w:sz w:val="12"/>
                <w:szCs w:val="12"/>
              </w:rPr>
              <w:t xml:space="preserve"> </w:t>
            </w:r>
            <w:r w:rsidRPr="00821568">
              <w:rPr>
                <w:rFonts w:ascii="Garamond" w:hAnsi="Garamond"/>
                <w:sz w:val="12"/>
                <w:szCs w:val="12"/>
              </w:rPr>
              <w:t>mbi të ardhurat</w:t>
            </w:r>
          </w:p>
        </w:tc>
        <w:tc>
          <w:tcPr>
            <w:tcW w:w="0" w:type="auto"/>
            <w:tcBorders>
              <w:top w:val="nil"/>
              <w:left w:val="nil"/>
              <w:bottom w:val="single" w:sz="4" w:space="0" w:color="auto"/>
              <w:right w:val="single" w:sz="4" w:space="0" w:color="auto"/>
            </w:tcBorders>
            <w:shd w:val="clear" w:color="auto" w:fill="auto"/>
            <w:hideMark/>
          </w:tcPr>
          <w:p w14:paraId="79FBC0A2" w14:textId="77777777" w:rsidR="00472A4B" w:rsidRPr="00821568" w:rsidRDefault="00472A4B" w:rsidP="00472A4B">
            <w:pPr>
              <w:rPr>
                <w:rFonts w:ascii="Garamond" w:hAnsi="Garamond"/>
                <w:sz w:val="12"/>
                <w:szCs w:val="12"/>
              </w:rPr>
            </w:pPr>
            <w:r w:rsidRPr="00821568">
              <w:rPr>
                <w:rFonts w:ascii="Garamond" w:hAnsi="Garamond"/>
                <w:sz w:val="12"/>
                <w:szCs w:val="12"/>
              </w:rPr>
              <w:t>2024</w:t>
            </w:r>
          </w:p>
        </w:tc>
        <w:tc>
          <w:tcPr>
            <w:tcW w:w="0" w:type="auto"/>
            <w:tcBorders>
              <w:top w:val="nil"/>
              <w:left w:val="nil"/>
              <w:bottom w:val="single" w:sz="4" w:space="0" w:color="auto"/>
              <w:right w:val="single" w:sz="4" w:space="0" w:color="auto"/>
            </w:tcBorders>
            <w:shd w:val="clear" w:color="auto" w:fill="auto"/>
            <w:hideMark/>
          </w:tcPr>
          <w:p w14:paraId="4A1A003C" w14:textId="77777777" w:rsidR="00472A4B" w:rsidRPr="00821568" w:rsidRDefault="00472A4B" w:rsidP="00472A4B">
            <w:pPr>
              <w:rPr>
                <w:rFonts w:ascii="Garamond" w:hAnsi="Garamond"/>
                <w:sz w:val="12"/>
                <w:szCs w:val="12"/>
              </w:rPr>
            </w:pPr>
            <w:r w:rsidRPr="00821568">
              <w:rPr>
                <w:rFonts w:ascii="Garamond" w:hAnsi="Garamond"/>
                <w:sz w:val="12"/>
                <w:szCs w:val="12"/>
              </w:rPr>
              <w:t>Qershor 2025</w:t>
            </w:r>
          </w:p>
        </w:tc>
        <w:tc>
          <w:tcPr>
            <w:tcW w:w="0" w:type="auto"/>
            <w:tcBorders>
              <w:top w:val="nil"/>
              <w:left w:val="nil"/>
              <w:bottom w:val="single" w:sz="4" w:space="0" w:color="auto"/>
              <w:right w:val="single" w:sz="4" w:space="0" w:color="auto"/>
            </w:tcBorders>
            <w:shd w:val="clear" w:color="auto" w:fill="auto"/>
            <w:hideMark/>
          </w:tcPr>
          <w:p w14:paraId="6287E186" w14:textId="77777777" w:rsidR="00472A4B" w:rsidRPr="00821568" w:rsidRDefault="00472A4B" w:rsidP="00472A4B">
            <w:pPr>
              <w:rPr>
                <w:rFonts w:ascii="Garamond" w:hAnsi="Garamond"/>
                <w:sz w:val="12"/>
                <w:szCs w:val="12"/>
              </w:rPr>
            </w:pPr>
            <w:r w:rsidRPr="00821568">
              <w:rPr>
                <w:rFonts w:ascii="Garamond" w:hAnsi="Garamond"/>
                <w:bCs/>
                <w:sz w:val="12"/>
                <w:szCs w:val="12"/>
              </w:rPr>
              <w:t>MF me asistencën e FMN</w:t>
            </w:r>
          </w:p>
        </w:tc>
        <w:tc>
          <w:tcPr>
            <w:tcW w:w="0" w:type="auto"/>
            <w:tcBorders>
              <w:top w:val="nil"/>
              <w:left w:val="nil"/>
              <w:bottom w:val="single" w:sz="4" w:space="0" w:color="auto"/>
              <w:right w:val="single" w:sz="8" w:space="0" w:color="auto"/>
            </w:tcBorders>
            <w:shd w:val="clear" w:color="auto" w:fill="auto"/>
            <w:noWrap/>
            <w:hideMark/>
          </w:tcPr>
          <w:p w14:paraId="11E3C8D2" w14:textId="77777777" w:rsidR="00472A4B" w:rsidRPr="00821568" w:rsidRDefault="00472A4B" w:rsidP="00472A4B">
            <w:pPr>
              <w:rPr>
                <w:rFonts w:ascii="Garamond" w:hAnsi="Garamond"/>
                <w:sz w:val="12"/>
                <w:szCs w:val="12"/>
              </w:rPr>
            </w:pPr>
          </w:p>
        </w:tc>
      </w:tr>
      <w:tr w:rsidR="00723888" w:rsidRPr="00821568" w14:paraId="44B29D69" w14:textId="77777777" w:rsidTr="00472A4B">
        <w:trPr>
          <w:trHeight w:val="20"/>
        </w:trPr>
        <w:tc>
          <w:tcPr>
            <w:tcW w:w="0" w:type="auto"/>
            <w:tcBorders>
              <w:top w:val="nil"/>
              <w:left w:val="single" w:sz="8" w:space="0" w:color="auto"/>
              <w:bottom w:val="single" w:sz="4" w:space="0" w:color="auto"/>
              <w:right w:val="single" w:sz="4" w:space="0" w:color="auto"/>
            </w:tcBorders>
            <w:shd w:val="clear" w:color="auto" w:fill="auto"/>
            <w:noWrap/>
            <w:hideMark/>
          </w:tcPr>
          <w:p w14:paraId="75FE248C" w14:textId="77777777" w:rsidR="00472A4B" w:rsidRPr="00821568" w:rsidRDefault="00472A4B" w:rsidP="00472A4B">
            <w:pPr>
              <w:rPr>
                <w:rFonts w:ascii="Garamond" w:hAnsi="Garamond"/>
                <w:sz w:val="12"/>
                <w:szCs w:val="12"/>
              </w:rPr>
            </w:pPr>
            <w:r w:rsidRPr="00821568">
              <w:rPr>
                <w:rFonts w:ascii="Garamond" w:hAnsi="Garamond"/>
                <w:sz w:val="12"/>
                <w:szCs w:val="12"/>
              </w:rPr>
              <w:t>1.2.3</w:t>
            </w:r>
          </w:p>
        </w:tc>
        <w:tc>
          <w:tcPr>
            <w:tcW w:w="0" w:type="auto"/>
            <w:tcBorders>
              <w:top w:val="nil"/>
              <w:left w:val="nil"/>
              <w:bottom w:val="single" w:sz="4" w:space="0" w:color="auto"/>
              <w:right w:val="single" w:sz="4" w:space="0" w:color="auto"/>
            </w:tcBorders>
            <w:shd w:val="clear" w:color="auto" w:fill="auto"/>
            <w:hideMark/>
          </w:tcPr>
          <w:p w14:paraId="31CCFC7B" w14:textId="1A6AFD20" w:rsidR="00472A4B" w:rsidRPr="00821568" w:rsidRDefault="00472A4B" w:rsidP="00472A4B">
            <w:pPr>
              <w:rPr>
                <w:rFonts w:ascii="Garamond" w:hAnsi="Garamond"/>
                <w:sz w:val="12"/>
                <w:szCs w:val="12"/>
              </w:rPr>
            </w:pPr>
            <w:r w:rsidRPr="00821568">
              <w:rPr>
                <w:rFonts w:ascii="Garamond" w:hAnsi="Garamond"/>
                <w:bCs/>
                <w:sz w:val="12"/>
                <w:szCs w:val="12"/>
              </w:rPr>
              <w:t>Hartimi i aktit ligjor bazuar në analizën e përjashtimeve dhe normave të reduktuara dhe skemës tatimore të personave fizikë</w:t>
            </w:r>
          </w:p>
        </w:tc>
        <w:tc>
          <w:tcPr>
            <w:tcW w:w="0" w:type="auto"/>
            <w:tcBorders>
              <w:top w:val="nil"/>
              <w:left w:val="nil"/>
              <w:bottom w:val="single" w:sz="4" w:space="0" w:color="auto"/>
              <w:right w:val="single" w:sz="4" w:space="0" w:color="auto"/>
            </w:tcBorders>
            <w:shd w:val="clear" w:color="auto" w:fill="auto"/>
            <w:hideMark/>
          </w:tcPr>
          <w:p w14:paraId="1FFECAA2" w14:textId="38833261" w:rsidR="00472A4B" w:rsidRPr="00821568" w:rsidRDefault="00472A4B" w:rsidP="00472A4B">
            <w:pPr>
              <w:rPr>
                <w:rFonts w:ascii="Garamond" w:hAnsi="Garamond"/>
                <w:sz w:val="12"/>
                <w:szCs w:val="12"/>
              </w:rPr>
            </w:pPr>
            <w:r w:rsidRPr="00821568">
              <w:rPr>
                <w:rFonts w:ascii="Garamond" w:hAnsi="Garamond"/>
                <w:sz w:val="12"/>
                <w:szCs w:val="12"/>
              </w:rPr>
              <w:t>Përgatitja e ndryshimeve, nëse</w:t>
            </w:r>
            <w:r w:rsidR="005309EE" w:rsidRPr="00821568">
              <w:rPr>
                <w:rFonts w:ascii="Garamond" w:hAnsi="Garamond"/>
                <w:sz w:val="12"/>
                <w:szCs w:val="12"/>
              </w:rPr>
              <w:t xml:space="preserve"> është</w:t>
            </w:r>
            <w:r w:rsidRPr="00821568">
              <w:rPr>
                <w:rFonts w:ascii="Garamond" w:hAnsi="Garamond"/>
                <w:sz w:val="12"/>
                <w:szCs w:val="12"/>
              </w:rPr>
              <w:t xml:space="preserve"> e nevojshme, të ligjit për tatimin mbi të ardhurat bazuar në raportin e vlerësimit.</w:t>
            </w:r>
          </w:p>
        </w:tc>
        <w:tc>
          <w:tcPr>
            <w:tcW w:w="0" w:type="auto"/>
            <w:tcBorders>
              <w:top w:val="nil"/>
              <w:left w:val="nil"/>
              <w:bottom w:val="single" w:sz="4" w:space="0" w:color="auto"/>
              <w:right w:val="single" w:sz="4" w:space="0" w:color="auto"/>
            </w:tcBorders>
            <w:shd w:val="clear" w:color="auto" w:fill="auto"/>
            <w:hideMark/>
          </w:tcPr>
          <w:p w14:paraId="0CB07B6D" w14:textId="77777777" w:rsidR="00472A4B" w:rsidRPr="00821568" w:rsidRDefault="00472A4B" w:rsidP="00472A4B">
            <w:pPr>
              <w:rPr>
                <w:rFonts w:ascii="Garamond" w:hAnsi="Garamond"/>
                <w:sz w:val="12"/>
                <w:szCs w:val="12"/>
              </w:rPr>
            </w:pPr>
            <w:r w:rsidRPr="00821568">
              <w:rPr>
                <w:rFonts w:ascii="Garamond" w:hAnsi="Garamond"/>
                <w:sz w:val="12"/>
                <w:szCs w:val="12"/>
              </w:rPr>
              <w:t>Korrik 2025</w:t>
            </w:r>
          </w:p>
        </w:tc>
        <w:tc>
          <w:tcPr>
            <w:tcW w:w="0" w:type="auto"/>
            <w:tcBorders>
              <w:top w:val="nil"/>
              <w:left w:val="nil"/>
              <w:bottom w:val="single" w:sz="4" w:space="0" w:color="auto"/>
              <w:right w:val="single" w:sz="4" w:space="0" w:color="auto"/>
            </w:tcBorders>
            <w:shd w:val="clear" w:color="auto" w:fill="auto"/>
            <w:hideMark/>
          </w:tcPr>
          <w:p w14:paraId="697BBE84" w14:textId="77777777" w:rsidR="00472A4B" w:rsidRPr="00821568" w:rsidRDefault="00472A4B" w:rsidP="00472A4B">
            <w:pPr>
              <w:rPr>
                <w:rFonts w:ascii="Garamond" w:hAnsi="Garamond"/>
                <w:sz w:val="12"/>
                <w:szCs w:val="12"/>
              </w:rPr>
            </w:pPr>
            <w:r w:rsidRPr="00821568">
              <w:rPr>
                <w:rFonts w:ascii="Garamond" w:hAnsi="Garamond"/>
                <w:sz w:val="12"/>
                <w:szCs w:val="12"/>
              </w:rPr>
              <w:t>2027</w:t>
            </w:r>
          </w:p>
        </w:tc>
        <w:tc>
          <w:tcPr>
            <w:tcW w:w="0" w:type="auto"/>
            <w:tcBorders>
              <w:top w:val="nil"/>
              <w:left w:val="nil"/>
              <w:bottom w:val="single" w:sz="4" w:space="0" w:color="auto"/>
              <w:right w:val="single" w:sz="4" w:space="0" w:color="auto"/>
            </w:tcBorders>
            <w:shd w:val="clear" w:color="auto" w:fill="auto"/>
            <w:hideMark/>
          </w:tcPr>
          <w:p w14:paraId="4B48B774" w14:textId="77777777" w:rsidR="00472A4B" w:rsidRPr="00821568" w:rsidRDefault="00472A4B" w:rsidP="00472A4B">
            <w:pPr>
              <w:rPr>
                <w:rFonts w:ascii="Garamond" w:hAnsi="Garamond"/>
                <w:sz w:val="12"/>
                <w:szCs w:val="12"/>
              </w:rPr>
            </w:pPr>
            <w:r w:rsidRPr="00821568">
              <w:rPr>
                <w:rFonts w:ascii="Garamond" w:hAnsi="Garamond"/>
                <w:bCs/>
                <w:sz w:val="12"/>
                <w:szCs w:val="12"/>
              </w:rPr>
              <w:t>MF</w:t>
            </w:r>
          </w:p>
        </w:tc>
        <w:tc>
          <w:tcPr>
            <w:tcW w:w="0" w:type="auto"/>
            <w:tcBorders>
              <w:top w:val="nil"/>
              <w:left w:val="nil"/>
              <w:bottom w:val="single" w:sz="4" w:space="0" w:color="auto"/>
              <w:right w:val="single" w:sz="8" w:space="0" w:color="auto"/>
            </w:tcBorders>
            <w:shd w:val="clear" w:color="auto" w:fill="auto"/>
            <w:noWrap/>
            <w:hideMark/>
          </w:tcPr>
          <w:p w14:paraId="3FB2AD64" w14:textId="77777777" w:rsidR="00472A4B" w:rsidRPr="00821568" w:rsidRDefault="00472A4B" w:rsidP="00472A4B">
            <w:pPr>
              <w:rPr>
                <w:rFonts w:ascii="Garamond" w:hAnsi="Garamond"/>
                <w:sz w:val="12"/>
                <w:szCs w:val="12"/>
              </w:rPr>
            </w:pPr>
          </w:p>
        </w:tc>
      </w:tr>
      <w:tr w:rsidR="00723888" w:rsidRPr="00821568" w14:paraId="616FE245" w14:textId="77777777" w:rsidTr="00472A4B">
        <w:trPr>
          <w:trHeight w:val="20"/>
        </w:trPr>
        <w:tc>
          <w:tcPr>
            <w:tcW w:w="0" w:type="auto"/>
            <w:vMerge w:val="restart"/>
            <w:tcBorders>
              <w:top w:val="nil"/>
              <w:left w:val="single" w:sz="8" w:space="0" w:color="auto"/>
              <w:bottom w:val="single" w:sz="4" w:space="0" w:color="auto"/>
              <w:right w:val="single" w:sz="4" w:space="0" w:color="auto"/>
            </w:tcBorders>
            <w:shd w:val="clear" w:color="auto" w:fill="auto"/>
            <w:noWrap/>
            <w:hideMark/>
          </w:tcPr>
          <w:p w14:paraId="134D94F2" w14:textId="77777777" w:rsidR="00472A4B" w:rsidRPr="00821568" w:rsidRDefault="00472A4B" w:rsidP="00472A4B">
            <w:pPr>
              <w:rPr>
                <w:rFonts w:ascii="Garamond" w:hAnsi="Garamond"/>
                <w:sz w:val="12"/>
                <w:szCs w:val="12"/>
              </w:rPr>
            </w:pPr>
            <w:r w:rsidRPr="00821568">
              <w:rPr>
                <w:rFonts w:ascii="Garamond" w:hAnsi="Garamond"/>
                <w:sz w:val="12"/>
                <w:szCs w:val="12"/>
              </w:rPr>
              <w:t>1.2.4</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2257CC8D" w14:textId="77777777" w:rsidR="00472A4B" w:rsidRPr="00821568" w:rsidRDefault="00472A4B" w:rsidP="00472A4B">
            <w:pPr>
              <w:rPr>
                <w:rFonts w:ascii="Garamond" w:hAnsi="Garamond"/>
                <w:sz w:val="12"/>
                <w:szCs w:val="12"/>
              </w:rPr>
            </w:pPr>
            <w:r w:rsidRPr="00821568">
              <w:rPr>
                <w:rFonts w:ascii="Garamond" w:hAnsi="Garamond"/>
                <w:bCs/>
                <w:sz w:val="12"/>
                <w:szCs w:val="12"/>
              </w:rPr>
              <w:t>Marrëveshje për shmangien e taksimit të dyfishtë</w:t>
            </w:r>
          </w:p>
        </w:tc>
        <w:tc>
          <w:tcPr>
            <w:tcW w:w="0" w:type="auto"/>
            <w:tcBorders>
              <w:top w:val="nil"/>
              <w:left w:val="nil"/>
              <w:bottom w:val="single" w:sz="4" w:space="0" w:color="auto"/>
              <w:right w:val="single" w:sz="4" w:space="0" w:color="auto"/>
            </w:tcBorders>
            <w:shd w:val="clear" w:color="auto" w:fill="auto"/>
            <w:hideMark/>
          </w:tcPr>
          <w:p w14:paraId="1D4EFF63" w14:textId="1C309313" w:rsidR="00472A4B" w:rsidRPr="00821568" w:rsidRDefault="00472A4B" w:rsidP="00472A4B">
            <w:pPr>
              <w:rPr>
                <w:rFonts w:ascii="Garamond" w:hAnsi="Garamond"/>
                <w:sz w:val="12"/>
                <w:szCs w:val="12"/>
              </w:rPr>
            </w:pPr>
            <w:r w:rsidRPr="00821568">
              <w:rPr>
                <w:rFonts w:ascii="Garamond" w:hAnsi="Garamond"/>
                <w:sz w:val="12"/>
                <w:szCs w:val="12"/>
              </w:rPr>
              <w:t>Negociatat me Lituaninë, Danimarkën, Portugalinë dhe Qipron</w:t>
            </w:r>
            <w:r w:rsidR="005309EE" w:rsidRPr="00821568">
              <w:rPr>
                <w:rFonts w:ascii="Garamond" w:hAnsi="Garamond"/>
                <w:sz w:val="12"/>
                <w:szCs w:val="12"/>
              </w:rPr>
              <w:t>.</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7AA83B59" w14:textId="77777777" w:rsidR="00472A4B" w:rsidRPr="00821568" w:rsidRDefault="00472A4B" w:rsidP="00472A4B">
            <w:pPr>
              <w:rPr>
                <w:rFonts w:ascii="Garamond" w:hAnsi="Garamond"/>
                <w:sz w:val="12"/>
                <w:szCs w:val="12"/>
              </w:rPr>
            </w:pPr>
            <w:r w:rsidRPr="00821568">
              <w:rPr>
                <w:rFonts w:ascii="Garamond" w:hAnsi="Garamond"/>
                <w:sz w:val="12"/>
                <w:szCs w:val="12"/>
              </w:rPr>
              <w:t>2024</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22F9C2FD" w14:textId="77777777" w:rsidR="00472A4B" w:rsidRPr="00821568" w:rsidRDefault="00472A4B" w:rsidP="00472A4B">
            <w:pPr>
              <w:rPr>
                <w:rFonts w:ascii="Garamond" w:hAnsi="Garamond"/>
                <w:sz w:val="12"/>
                <w:szCs w:val="12"/>
              </w:rPr>
            </w:pPr>
            <w:r w:rsidRPr="00821568">
              <w:rPr>
                <w:rFonts w:ascii="Garamond" w:hAnsi="Garamond"/>
                <w:sz w:val="12"/>
                <w:szCs w:val="12"/>
              </w:rPr>
              <w:t>2027</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62BA2EE9" w14:textId="77777777" w:rsidR="00472A4B" w:rsidRPr="00821568" w:rsidRDefault="00472A4B" w:rsidP="00472A4B">
            <w:pPr>
              <w:rPr>
                <w:rFonts w:ascii="Garamond" w:hAnsi="Garamond"/>
                <w:sz w:val="12"/>
                <w:szCs w:val="12"/>
              </w:rPr>
            </w:pPr>
            <w:r w:rsidRPr="00821568">
              <w:rPr>
                <w:rFonts w:ascii="Garamond" w:hAnsi="Garamond"/>
                <w:bCs/>
                <w:sz w:val="12"/>
                <w:szCs w:val="12"/>
              </w:rPr>
              <w:t>MF</w:t>
            </w:r>
          </w:p>
        </w:tc>
        <w:tc>
          <w:tcPr>
            <w:tcW w:w="0" w:type="auto"/>
            <w:vMerge w:val="restart"/>
            <w:tcBorders>
              <w:top w:val="nil"/>
              <w:left w:val="single" w:sz="4" w:space="0" w:color="auto"/>
              <w:bottom w:val="single" w:sz="4" w:space="0" w:color="auto"/>
              <w:right w:val="single" w:sz="8" w:space="0" w:color="auto"/>
            </w:tcBorders>
            <w:shd w:val="clear" w:color="auto" w:fill="auto"/>
            <w:noWrap/>
            <w:hideMark/>
          </w:tcPr>
          <w:p w14:paraId="1BA69A08" w14:textId="77777777" w:rsidR="00472A4B" w:rsidRPr="00821568" w:rsidRDefault="00472A4B" w:rsidP="00472A4B">
            <w:pPr>
              <w:rPr>
                <w:rFonts w:ascii="Garamond" w:hAnsi="Garamond"/>
                <w:sz w:val="12"/>
                <w:szCs w:val="12"/>
              </w:rPr>
            </w:pPr>
          </w:p>
        </w:tc>
      </w:tr>
      <w:tr w:rsidR="00723888" w:rsidRPr="00821568" w14:paraId="3BEFE73E" w14:textId="77777777" w:rsidTr="00472A4B">
        <w:trPr>
          <w:trHeight w:val="20"/>
        </w:trPr>
        <w:tc>
          <w:tcPr>
            <w:tcW w:w="0" w:type="auto"/>
            <w:vMerge/>
            <w:tcBorders>
              <w:top w:val="nil"/>
              <w:left w:val="single" w:sz="8" w:space="0" w:color="auto"/>
              <w:bottom w:val="single" w:sz="4" w:space="0" w:color="auto"/>
              <w:right w:val="single" w:sz="4" w:space="0" w:color="auto"/>
            </w:tcBorders>
            <w:hideMark/>
          </w:tcPr>
          <w:p w14:paraId="1C486834" w14:textId="77777777" w:rsidR="00472A4B" w:rsidRPr="00821568" w:rsidRDefault="00472A4B" w:rsidP="00472A4B">
            <w:pPr>
              <w:rPr>
                <w:rFonts w:ascii="Garamond" w:hAnsi="Garamond"/>
                <w:sz w:val="12"/>
                <w:szCs w:val="12"/>
              </w:rPr>
            </w:pPr>
          </w:p>
        </w:tc>
        <w:tc>
          <w:tcPr>
            <w:tcW w:w="0" w:type="auto"/>
            <w:vMerge/>
            <w:tcBorders>
              <w:top w:val="nil"/>
              <w:left w:val="single" w:sz="4" w:space="0" w:color="auto"/>
              <w:bottom w:val="single" w:sz="4" w:space="0" w:color="auto"/>
              <w:right w:val="single" w:sz="4" w:space="0" w:color="auto"/>
            </w:tcBorders>
            <w:hideMark/>
          </w:tcPr>
          <w:p w14:paraId="20D26564" w14:textId="77777777" w:rsidR="00472A4B" w:rsidRPr="00821568" w:rsidRDefault="00472A4B" w:rsidP="00472A4B">
            <w:pPr>
              <w:rPr>
                <w:rFonts w:ascii="Garamond" w:hAnsi="Garamond"/>
                <w:sz w:val="12"/>
                <w:szCs w:val="12"/>
              </w:rPr>
            </w:pPr>
          </w:p>
        </w:tc>
        <w:tc>
          <w:tcPr>
            <w:tcW w:w="0" w:type="auto"/>
            <w:tcBorders>
              <w:top w:val="nil"/>
              <w:left w:val="nil"/>
              <w:bottom w:val="single" w:sz="4" w:space="0" w:color="auto"/>
              <w:right w:val="single" w:sz="4" w:space="0" w:color="auto"/>
            </w:tcBorders>
            <w:shd w:val="clear" w:color="auto" w:fill="auto"/>
            <w:hideMark/>
          </w:tcPr>
          <w:p w14:paraId="42886048" w14:textId="0E86FF98" w:rsidR="00472A4B" w:rsidRPr="00821568" w:rsidRDefault="00472A4B" w:rsidP="00472A4B">
            <w:pPr>
              <w:rPr>
                <w:rFonts w:ascii="Garamond" w:hAnsi="Garamond"/>
                <w:sz w:val="12"/>
                <w:szCs w:val="12"/>
              </w:rPr>
            </w:pPr>
            <w:r w:rsidRPr="00821568">
              <w:rPr>
                <w:rFonts w:ascii="Garamond" w:hAnsi="Garamond"/>
                <w:sz w:val="12"/>
                <w:szCs w:val="12"/>
              </w:rPr>
              <w:t>Finalizimi i procedurave ligjore të brendshme për miratimin nga parlamenti të marrëveshjeve të nënshkruara për shmangien e taksimit të dyfishtë</w:t>
            </w:r>
            <w:r w:rsidR="005309EE" w:rsidRPr="00821568">
              <w:rPr>
                <w:rFonts w:ascii="Garamond" w:hAnsi="Garamond"/>
                <w:sz w:val="12"/>
                <w:szCs w:val="12"/>
              </w:rPr>
              <w:t>.</w:t>
            </w:r>
          </w:p>
        </w:tc>
        <w:tc>
          <w:tcPr>
            <w:tcW w:w="0" w:type="auto"/>
            <w:vMerge/>
            <w:tcBorders>
              <w:top w:val="nil"/>
              <w:left w:val="single" w:sz="4" w:space="0" w:color="auto"/>
              <w:bottom w:val="single" w:sz="4" w:space="0" w:color="auto"/>
              <w:right w:val="single" w:sz="4" w:space="0" w:color="auto"/>
            </w:tcBorders>
            <w:hideMark/>
          </w:tcPr>
          <w:p w14:paraId="04E2716B" w14:textId="77777777" w:rsidR="00472A4B" w:rsidRPr="00821568" w:rsidRDefault="00472A4B" w:rsidP="00472A4B">
            <w:pPr>
              <w:rPr>
                <w:rFonts w:ascii="Garamond" w:hAnsi="Garamond"/>
                <w:sz w:val="12"/>
                <w:szCs w:val="12"/>
              </w:rPr>
            </w:pPr>
          </w:p>
        </w:tc>
        <w:tc>
          <w:tcPr>
            <w:tcW w:w="0" w:type="auto"/>
            <w:vMerge/>
            <w:tcBorders>
              <w:top w:val="nil"/>
              <w:left w:val="single" w:sz="4" w:space="0" w:color="auto"/>
              <w:bottom w:val="single" w:sz="4" w:space="0" w:color="auto"/>
              <w:right w:val="single" w:sz="4" w:space="0" w:color="auto"/>
            </w:tcBorders>
            <w:hideMark/>
          </w:tcPr>
          <w:p w14:paraId="7E25BF61" w14:textId="77777777" w:rsidR="00472A4B" w:rsidRPr="00821568" w:rsidRDefault="00472A4B" w:rsidP="00472A4B">
            <w:pPr>
              <w:rPr>
                <w:rFonts w:ascii="Garamond" w:hAnsi="Garamond"/>
                <w:sz w:val="12"/>
                <w:szCs w:val="12"/>
              </w:rPr>
            </w:pPr>
          </w:p>
        </w:tc>
        <w:tc>
          <w:tcPr>
            <w:tcW w:w="0" w:type="auto"/>
            <w:vMerge/>
            <w:tcBorders>
              <w:top w:val="nil"/>
              <w:left w:val="single" w:sz="4" w:space="0" w:color="auto"/>
              <w:bottom w:val="single" w:sz="4" w:space="0" w:color="auto"/>
              <w:right w:val="single" w:sz="4" w:space="0" w:color="auto"/>
            </w:tcBorders>
            <w:hideMark/>
          </w:tcPr>
          <w:p w14:paraId="092BDE35" w14:textId="77777777" w:rsidR="00472A4B" w:rsidRPr="00821568" w:rsidRDefault="00472A4B" w:rsidP="00472A4B">
            <w:pPr>
              <w:rPr>
                <w:rFonts w:ascii="Garamond" w:hAnsi="Garamond"/>
                <w:sz w:val="12"/>
                <w:szCs w:val="12"/>
              </w:rPr>
            </w:pPr>
          </w:p>
        </w:tc>
        <w:tc>
          <w:tcPr>
            <w:tcW w:w="0" w:type="auto"/>
            <w:vMerge/>
            <w:tcBorders>
              <w:top w:val="nil"/>
              <w:left w:val="single" w:sz="4" w:space="0" w:color="auto"/>
              <w:bottom w:val="single" w:sz="4" w:space="0" w:color="auto"/>
              <w:right w:val="single" w:sz="8" w:space="0" w:color="auto"/>
            </w:tcBorders>
            <w:hideMark/>
          </w:tcPr>
          <w:p w14:paraId="72F8555E" w14:textId="77777777" w:rsidR="00472A4B" w:rsidRPr="00821568" w:rsidRDefault="00472A4B" w:rsidP="00472A4B">
            <w:pPr>
              <w:rPr>
                <w:rFonts w:ascii="Garamond" w:hAnsi="Garamond"/>
                <w:sz w:val="12"/>
                <w:szCs w:val="12"/>
              </w:rPr>
            </w:pPr>
          </w:p>
        </w:tc>
      </w:tr>
      <w:tr w:rsidR="00723888" w:rsidRPr="00821568" w14:paraId="17BACB4F" w14:textId="77777777" w:rsidTr="00472A4B">
        <w:trPr>
          <w:trHeight w:val="20"/>
        </w:trPr>
        <w:tc>
          <w:tcPr>
            <w:tcW w:w="0" w:type="auto"/>
            <w:vMerge w:val="restart"/>
            <w:tcBorders>
              <w:top w:val="nil"/>
              <w:left w:val="single" w:sz="8" w:space="0" w:color="auto"/>
              <w:bottom w:val="single" w:sz="4" w:space="0" w:color="auto"/>
              <w:right w:val="single" w:sz="4" w:space="0" w:color="auto"/>
            </w:tcBorders>
            <w:shd w:val="clear" w:color="auto" w:fill="auto"/>
            <w:noWrap/>
            <w:hideMark/>
          </w:tcPr>
          <w:p w14:paraId="7D87052B" w14:textId="77777777" w:rsidR="00472A4B" w:rsidRPr="00821568" w:rsidRDefault="00472A4B" w:rsidP="00472A4B">
            <w:pPr>
              <w:rPr>
                <w:rFonts w:ascii="Garamond" w:hAnsi="Garamond"/>
                <w:sz w:val="12"/>
                <w:szCs w:val="12"/>
              </w:rPr>
            </w:pPr>
            <w:r w:rsidRPr="00821568">
              <w:rPr>
                <w:rFonts w:ascii="Garamond" w:hAnsi="Garamond"/>
                <w:sz w:val="12"/>
                <w:szCs w:val="12"/>
              </w:rPr>
              <w:t>1.2.5</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3FDE460C" w14:textId="77777777" w:rsidR="00472A4B" w:rsidRPr="00821568" w:rsidRDefault="00472A4B" w:rsidP="00472A4B">
            <w:pPr>
              <w:rPr>
                <w:rFonts w:ascii="Garamond" w:hAnsi="Garamond"/>
                <w:sz w:val="12"/>
                <w:szCs w:val="12"/>
              </w:rPr>
            </w:pPr>
            <w:r w:rsidRPr="00821568">
              <w:rPr>
                <w:rFonts w:ascii="Garamond" w:hAnsi="Garamond"/>
                <w:bCs/>
                <w:sz w:val="12"/>
                <w:szCs w:val="12"/>
              </w:rPr>
              <w:t>Përmbushja e angazhimeve për tatimet ndërkombëtare, kryesisht ato në kuadër të projektit ndërkombëtar BEPS</w:t>
            </w:r>
          </w:p>
        </w:tc>
        <w:tc>
          <w:tcPr>
            <w:tcW w:w="0" w:type="auto"/>
            <w:tcBorders>
              <w:top w:val="nil"/>
              <w:left w:val="nil"/>
              <w:bottom w:val="single" w:sz="4" w:space="0" w:color="auto"/>
              <w:right w:val="single" w:sz="4" w:space="0" w:color="auto"/>
            </w:tcBorders>
            <w:shd w:val="clear" w:color="auto" w:fill="auto"/>
            <w:hideMark/>
          </w:tcPr>
          <w:p w14:paraId="4D3204EA" w14:textId="10ACAD37" w:rsidR="00472A4B" w:rsidRPr="00821568" w:rsidRDefault="00472A4B" w:rsidP="00472A4B">
            <w:pPr>
              <w:rPr>
                <w:rFonts w:ascii="Garamond" w:hAnsi="Garamond"/>
                <w:sz w:val="12"/>
                <w:szCs w:val="12"/>
              </w:rPr>
            </w:pPr>
            <w:r w:rsidRPr="00821568">
              <w:rPr>
                <w:rFonts w:ascii="Garamond" w:hAnsi="Garamond"/>
                <w:sz w:val="12"/>
                <w:szCs w:val="12"/>
              </w:rPr>
              <w:t>Vazhdimi i zbatimeve bazuar në raportet e rishikuara për BEPS</w:t>
            </w:r>
            <w:r w:rsidR="005309EE" w:rsidRPr="00821568">
              <w:rPr>
                <w:rFonts w:ascii="Garamond" w:hAnsi="Garamond"/>
                <w:sz w:val="12"/>
                <w:szCs w:val="12"/>
              </w:rPr>
              <w:t xml:space="preserve"> </w:t>
            </w:r>
            <w:r w:rsidRPr="00821568">
              <w:rPr>
                <w:rFonts w:ascii="Garamond" w:hAnsi="Garamond"/>
                <w:sz w:val="12"/>
                <w:szCs w:val="12"/>
              </w:rPr>
              <w:t>dhe standardet minimale.</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12F35496" w14:textId="77777777" w:rsidR="00472A4B" w:rsidRPr="00821568" w:rsidRDefault="00472A4B" w:rsidP="00472A4B">
            <w:pPr>
              <w:rPr>
                <w:rFonts w:ascii="Garamond" w:hAnsi="Garamond"/>
                <w:sz w:val="12"/>
                <w:szCs w:val="12"/>
              </w:rPr>
            </w:pPr>
            <w:r w:rsidRPr="00821568">
              <w:rPr>
                <w:rFonts w:ascii="Garamond" w:hAnsi="Garamond"/>
                <w:sz w:val="12"/>
                <w:szCs w:val="12"/>
              </w:rPr>
              <w:t>2024-</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1C00AE39" w14:textId="77777777" w:rsidR="00472A4B" w:rsidRPr="00821568" w:rsidRDefault="00472A4B" w:rsidP="00472A4B">
            <w:pPr>
              <w:rPr>
                <w:rFonts w:ascii="Garamond" w:hAnsi="Garamond"/>
                <w:sz w:val="12"/>
                <w:szCs w:val="12"/>
              </w:rPr>
            </w:pPr>
            <w:r w:rsidRPr="00821568">
              <w:rPr>
                <w:rFonts w:ascii="Garamond" w:hAnsi="Garamond"/>
                <w:sz w:val="12"/>
                <w:szCs w:val="12"/>
              </w:rPr>
              <w:t>2025</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61288F3B" w14:textId="77777777" w:rsidR="00472A4B" w:rsidRPr="00821568" w:rsidRDefault="00472A4B" w:rsidP="00472A4B">
            <w:pPr>
              <w:rPr>
                <w:rFonts w:ascii="Garamond" w:hAnsi="Garamond"/>
                <w:sz w:val="12"/>
                <w:szCs w:val="12"/>
              </w:rPr>
            </w:pPr>
            <w:r w:rsidRPr="00821568">
              <w:rPr>
                <w:rFonts w:ascii="Garamond" w:hAnsi="Garamond"/>
                <w:bCs/>
                <w:sz w:val="12"/>
                <w:szCs w:val="12"/>
              </w:rPr>
              <w:t>MF, DPT</w:t>
            </w:r>
          </w:p>
        </w:tc>
        <w:tc>
          <w:tcPr>
            <w:tcW w:w="0" w:type="auto"/>
            <w:vMerge w:val="restart"/>
            <w:tcBorders>
              <w:top w:val="nil"/>
              <w:left w:val="single" w:sz="4" w:space="0" w:color="auto"/>
              <w:bottom w:val="single" w:sz="4" w:space="0" w:color="auto"/>
              <w:right w:val="single" w:sz="8" w:space="0" w:color="auto"/>
            </w:tcBorders>
            <w:shd w:val="clear" w:color="auto" w:fill="auto"/>
            <w:noWrap/>
            <w:hideMark/>
          </w:tcPr>
          <w:p w14:paraId="6C0BB20F" w14:textId="77777777" w:rsidR="00472A4B" w:rsidRPr="00821568" w:rsidRDefault="00472A4B" w:rsidP="00472A4B">
            <w:pPr>
              <w:rPr>
                <w:rFonts w:ascii="Garamond" w:hAnsi="Garamond"/>
                <w:sz w:val="12"/>
                <w:szCs w:val="12"/>
              </w:rPr>
            </w:pPr>
          </w:p>
        </w:tc>
      </w:tr>
      <w:tr w:rsidR="00723888" w:rsidRPr="00821568" w14:paraId="0E065BE2" w14:textId="77777777" w:rsidTr="00472A4B">
        <w:trPr>
          <w:trHeight w:val="20"/>
        </w:trPr>
        <w:tc>
          <w:tcPr>
            <w:tcW w:w="0" w:type="auto"/>
            <w:vMerge/>
            <w:tcBorders>
              <w:top w:val="nil"/>
              <w:left w:val="single" w:sz="8" w:space="0" w:color="auto"/>
              <w:bottom w:val="single" w:sz="4" w:space="0" w:color="auto"/>
              <w:right w:val="single" w:sz="4" w:space="0" w:color="auto"/>
            </w:tcBorders>
            <w:hideMark/>
          </w:tcPr>
          <w:p w14:paraId="741651DD" w14:textId="77777777" w:rsidR="00472A4B" w:rsidRPr="00821568" w:rsidRDefault="00472A4B" w:rsidP="00472A4B">
            <w:pPr>
              <w:rPr>
                <w:rFonts w:ascii="Garamond" w:hAnsi="Garamond"/>
                <w:sz w:val="12"/>
                <w:szCs w:val="12"/>
              </w:rPr>
            </w:pPr>
          </w:p>
        </w:tc>
        <w:tc>
          <w:tcPr>
            <w:tcW w:w="0" w:type="auto"/>
            <w:vMerge/>
            <w:tcBorders>
              <w:top w:val="nil"/>
              <w:left w:val="single" w:sz="4" w:space="0" w:color="auto"/>
              <w:bottom w:val="single" w:sz="4" w:space="0" w:color="auto"/>
              <w:right w:val="single" w:sz="4" w:space="0" w:color="auto"/>
            </w:tcBorders>
            <w:hideMark/>
          </w:tcPr>
          <w:p w14:paraId="174F8605" w14:textId="77777777" w:rsidR="00472A4B" w:rsidRPr="00821568" w:rsidRDefault="00472A4B" w:rsidP="00472A4B">
            <w:pPr>
              <w:rPr>
                <w:rFonts w:ascii="Garamond" w:hAnsi="Garamond"/>
                <w:sz w:val="12"/>
                <w:szCs w:val="12"/>
              </w:rPr>
            </w:pPr>
          </w:p>
        </w:tc>
        <w:tc>
          <w:tcPr>
            <w:tcW w:w="0" w:type="auto"/>
            <w:tcBorders>
              <w:top w:val="nil"/>
              <w:left w:val="nil"/>
              <w:bottom w:val="single" w:sz="4" w:space="0" w:color="auto"/>
              <w:right w:val="single" w:sz="4" w:space="0" w:color="auto"/>
            </w:tcBorders>
            <w:shd w:val="clear" w:color="auto" w:fill="auto"/>
            <w:hideMark/>
          </w:tcPr>
          <w:p w14:paraId="60D535AC" w14:textId="585AF5E5" w:rsidR="00472A4B" w:rsidRPr="00821568" w:rsidRDefault="00472A4B" w:rsidP="00472A4B">
            <w:pPr>
              <w:rPr>
                <w:rFonts w:ascii="Garamond" w:hAnsi="Garamond"/>
                <w:sz w:val="12"/>
                <w:szCs w:val="12"/>
              </w:rPr>
            </w:pPr>
            <w:r w:rsidRPr="00821568">
              <w:rPr>
                <w:rFonts w:ascii="Garamond" w:hAnsi="Garamond"/>
                <w:sz w:val="12"/>
                <w:szCs w:val="12"/>
              </w:rPr>
              <w:t>Analizimi i efektit të zbatimit të Rregullës Globale, shtylla 2 e BEPS</w:t>
            </w:r>
            <w:r w:rsidR="005309EE" w:rsidRPr="00821568">
              <w:rPr>
                <w:rFonts w:ascii="Garamond" w:hAnsi="Garamond"/>
                <w:sz w:val="12"/>
                <w:szCs w:val="12"/>
              </w:rPr>
              <w:t>-it.</w:t>
            </w:r>
          </w:p>
        </w:tc>
        <w:tc>
          <w:tcPr>
            <w:tcW w:w="0" w:type="auto"/>
            <w:vMerge/>
            <w:tcBorders>
              <w:top w:val="nil"/>
              <w:left w:val="single" w:sz="4" w:space="0" w:color="auto"/>
              <w:bottom w:val="single" w:sz="4" w:space="0" w:color="auto"/>
              <w:right w:val="single" w:sz="4" w:space="0" w:color="auto"/>
            </w:tcBorders>
            <w:hideMark/>
          </w:tcPr>
          <w:p w14:paraId="6E78E8BD" w14:textId="77777777" w:rsidR="00472A4B" w:rsidRPr="00821568" w:rsidRDefault="00472A4B" w:rsidP="00472A4B">
            <w:pPr>
              <w:rPr>
                <w:rFonts w:ascii="Garamond" w:hAnsi="Garamond"/>
                <w:sz w:val="12"/>
                <w:szCs w:val="12"/>
              </w:rPr>
            </w:pPr>
          </w:p>
        </w:tc>
        <w:tc>
          <w:tcPr>
            <w:tcW w:w="0" w:type="auto"/>
            <w:vMerge/>
            <w:tcBorders>
              <w:top w:val="nil"/>
              <w:left w:val="single" w:sz="4" w:space="0" w:color="auto"/>
              <w:bottom w:val="single" w:sz="4" w:space="0" w:color="auto"/>
              <w:right w:val="single" w:sz="4" w:space="0" w:color="auto"/>
            </w:tcBorders>
            <w:hideMark/>
          </w:tcPr>
          <w:p w14:paraId="2F859206" w14:textId="77777777" w:rsidR="00472A4B" w:rsidRPr="00821568" w:rsidRDefault="00472A4B" w:rsidP="00472A4B">
            <w:pPr>
              <w:rPr>
                <w:rFonts w:ascii="Garamond" w:hAnsi="Garamond"/>
                <w:sz w:val="12"/>
                <w:szCs w:val="12"/>
              </w:rPr>
            </w:pPr>
          </w:p>
        </w:tc>
        <w:tc>
          <w:tcPr>
            <w:tcW w:w="0" w:type="auto"/>
            <w:vMerge/>
            <w:tcBorders>
              <w:top w:val="nil"/>
              <w:left w:val="single" w:sz="4" w:space="0" w:color="auto"/>
              <w:bottom w:val="single" w:sz="4" w:space="0" w:color="auto"/>
              <w:right w:val="single" w:sz="4" w:space="0" w:color="auto"/>
            </w:tcBorders>
            <w:hideMark/>
          </w:tcPr>
          <w:p w14:paraId="323FB14B" w14:textId="77777777" w:rsidR="00472A4B" w:rsidRPr="00821568" w:rsidRDefault="00472A4B" w:rsidP="00472A4B">
            <w:pPr>
              <w:rPr>
                <w:rFonts w:ascii="Garamond" w:hAnsi="Garamond"/>
                <w:sz w:val="12"/>
                <w:szCs w:val="12"/>
              </w:rPr>
            </w:pPr>
          </w:p>
        </w:tc>
        <w:tc>
          <w:tcPr>
            <w:tcW w:w="0" w:type="auto"/>
            <w:vMerge/>
            <w:tcBorders>
              <w:top w:val="nil"/>
              <w:left w:val="single" w:sz="4" w:space="0" w:color="auto"/>
              <w:bottom w:val="single" w:sz="4" w:space="0" w:color="auto"/>
              <w:right w:val="single" w:sz="8" w:space="0" w:color="auto"/>
            </w:tcBorders>
            <w:hideMark/>
          </w:tcPr>
          <w:p w14:paraId="50815E2A" w14:textId="77777777" w:rsidR="00472A4B" w:rsidRPr="00821568" w:rsidRDefault="00472A4B" w:rsidP="00472A4B">
            <w:pPr>
              <w:rPr>
                <w:rFonts w:ascii="Garamond" w:hAnsi="Garamond"/>
                <w:sz w:val="12"/>
                <w:szCs w:val="12"/>
              </w:rPr>
            </w:pPr>
          </w:p>
        </w:tc>
      </w:tr>
      <w:tr w:rsidR="00723888" w:rsidRPr="00821568" w14:paraId="028BB94B" w14:textId="77777777" w:rsidTr="00472A4B">
        <w:trPr>
          <w:trHeight w:val="20"/>
        </w:trPr>
        <w:tc>
          <w:tcPr>
            <w:tcW w:w="0" w:type="auto"/>
            <w:vMerge w:val="restart"/>
            <w:tcBorders>
              <w:top w:val="nil"/>
              <w:left w:val="single" w:sz="8" w:space="0" w:color="auto"/>
              <w:bottom w:val="single" w:sz="4" w:space="0" w:color="auto"/>
              <w:right w:val="single" w:sz="4" w:space="0" w:color="auto"/>
            </w:tcBorders>
            <w:shd w:val="clear" w:color="auto" w:fill="auto"/>
            <w:noWrap/>
            <w:hideMark/>
          </w:tcPr>
          <w:p w14:paraId="24FFB2C9" w14:textId="77777777" w:rsidR="00472A4B" w:rsidRPr="00821568" w:rsidRDefault="00472A4B" w:rsidP="00472A4B">
            <w:pPr>
              <w:rPr>
                <w:rFonts w:ascii="Garamond" w:hAnsi="Garamond"/>
                <w:sz w:val="12"/>
                <w:szCs w:val="12"/>
              </w:rPr>
            </w:pPr>
            <w:r w:rsidRPr="00821568">
              <w:rPr>
                <w:rFonts w:ascii="Garamond" w:hAnsi="Garamond"/>
                <w:sz w:val="12"/>
                <w:szCs w:val="12"/>
              </w:rPr>
              <w:t>1.2.6</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007AA004" w14:textId="77777777" w:rsidR="00472A4B" w:rsidRPr="00821568" w:rsidRDefault="00472A4B" w:rsidP="00472A4B">
            <w:pPr>
              <w:rPr>
                <w:rFonts w:ascii="Garamond" w:hAnsi="Garamond"/>
                <w:sz w:val="12"/>
                <w:szCs w:val="12"/>
              </w:rPr>
            </w:pPr>
            <w:r w:rsidRPr="00821568">
              <w:rPr>
                <w:rFonts w:ascii="Garamond" w:hAnsi="Garamond"/>
                <w:bCs/>
                <w:sz w:val="12"/>
                <w:szCs w:val="12"/>
              </w:rPr>
              <w:t xml:space="preserve">Harmonizim i plotë i legjislacionit vendas me </w:t>
            </w:r>
            <w:r w:rsidRPr="00821568">
              <w:rPr>
                <w:rFonts w:ascii="Garamond" w:hAnsi="Garamond"/>
                <w:bCs/>
                <w:i/>
                <w:sz w:val="12"/>
                <w:szCs w:val="12"/>
              </w:rPr>
              <w:t>acquis</w:t>
            </w:r>
            <w:r w:rsidRPr="00821568">
              <w:rPr>
                <w:rFonts w:ascii="Garamond" w:hAnsi="Garamond"/>
                <w:bCs/>
                <w:sz w:val="12"/>
                <w:szCs w:val="12"/>
              </w:rPr>
              <w:t xml:space="preserve"> të BE-së në fushën e tatimeve direkte</w:t>
            </w:r>
          </w:p>
        </w:tc>
        <w:tc>
          <w:tcPr>
            <w:tcW w:w="0" w:type="auto"/>
            <w:tcBorders>
              <w:top w:val="nil"/>
              <w:left w:val="nil"/>
              <w:bottom w:val="single" w:sz="4" w:space="0" w:color="auto"/>
              <w:right w:val="single" w:sz="4" w:space="0" w:color="auto"/>
            </w:tcBorders>
            <w:shd w:val="clear" w:color="auto" w:fill="auto"/>
            <w:hideMark/>
          </w:tcPr>
          <w:p w14:paraId="7B596881" w14:textId="34982DD4" w:rsidR="00472A4B" w:rsidRPr="00821568" w:rsidRDefault="00472A4B" w:rsidP="00472A4B">
            <w:pPr>
              <w:rPr>
                <w:rFonts w:ascii="Garamond" w:hAnsi="Garamond"/>
                <w:sz w:val="12"/>
                <w:szCs w:val="12"/>
              </w:rPr>
            </w:pPr>
            <w:r w:rsidRPr="00821568">
              <w:rPr>
                <w:rFonts w:ascii="Garamond" w:hAnsi="Garamond"/>
                <w:sz w:val="12"/>
                <w:szCs w:val="12"/>
              </w:rPr>
              <w:t xml:space="preserve">Puna përgatitore për transpozim të plotë me </w:t>
            </w:r>
            <w:r w:rsidRPr="00821568">
              <w:rPr>
                <w:rFonts w:ascii="Garamond" w:hAnsi="Garamond"/>
                <w:i/>
                <w:sz w:val="12"/>
                <w:szCs w:val="12"/>
              </w:rPr>
              <w:t>acquis</w:t>
            </w:r>
            <w:r w:rsidRPr="00821568">
              <w:rPr>
                <w:rFonts w:ascii="Garamond" w:hAnsi="Garamond"/>
                <w:sz w:val="12"/>
                <w:szCs w:val="12"/>
              </w:rPr>
              <w:t xml:space="preserve"> të BE-së në tatimet direkte</w:t>
            </w:r>
            <w:r w:rsidR="005309EE" w:rsidRPr="00821568">
              <w:rPr>
                <w:rFonts w:ascii="Garamond" w:hAnsi="Garamond"/>
                <w:sz w:val="12"/>
                <w:szCs w:val="12"/>
              </w:rPr>
              <w:t>.</w:t>
            </w:r>
          </w:p>
        </w:tc>
        <w:tc>
          <w:tcPr>
            <w:tcW w:w="0" w:type="auto"/>
            <w:tcBorders>
              <w:top w:val="nil"/>
              <w:left w:val="nil"/>
              <w:bottom w:val="single" w:sz="4" w:space="0" w:color="auto"/>
              <w:right w:val="single" w:sz="4" w:space="0" w:color="auto"/>
            </w:tcBorders>
            <w:shd w:val="clear" w:color="auto" w:fill="auto"/>
            <w:hideMark/>
          </w:tcPr>
          <w:p w14:paraId="300B1FC4" w14:textId="77777777" w:rsidR="00472A4B" w:rsidRPr="00821568" w:rsidRDefault="00472A4B" w:rsidP="00472A4B">
            <w:pPr>
              <w:rPr>
                <w:rFonts w:ascii="Garamond" w:hAnsi="Garamond"/>
                <w:sz w:val="12"/>
                <w:szCs w:val="12"/>
              </w:rPr>
            </w:pPr>
            <w:r w:rsidRPr="00821568">
              <w:rPr>
                <w:rFonts w:ascii="Garamond" w:hAnsi="Garamond"/>
                <w:sz w:val="12"/>
                <w:szCs w:val="12"/>
              </w:rPr>
              <w:t>2024</w:t>
            </w:r>
          </w:p>
        </w:tc>
        <w:tc>
          <w:tcPr>
            <w:tcW w:w="0" w:type="auto"/>
            <w:tcBorders>
              <w:top w:val="nil"/>
              <w:left w:val="nil"/>
              <w:bottom w:val="single" w:sz="4" w:space="0" w:color="auto"/>
              <w:right w:val="single" w:sz="4" w:space="0" w:color="auto"/>
            </w:tcBorders>
            <w:shd w:val="clear" w:color="auto" w:fill="auto"/>
            <w:hideMark/>
          </w:tcPr>
          <w:p w14:paraId="35CE6DCF" w14:textId="77777777" w:rsidR="00472A4B" w:rsidRPr="00821568" w:rsidRDefault="00472A4B" w:rsidP="00472A4B">
            <w:pPr>
              <w:rPr>
                <w:rFonts w:ascii="Garamond" w:hAnsi="Garamond"/>
                <w:sz w:val="12"/>
                <w:szCs w:val="12"/>
              </w:rPr>
            </w:pPr>
            <w:r w:rsidRPr="00821568">
              <w:rPr>
                <w:rFonts w:ascii="Garamond" w:hAnsi="Garamond"/>
                <w:sz w:val="12"/>
                <w:szCs w:val="12"/>
              </w:rPr>
              <w:t>Qershor 2025</w:t>
            </w:r>
          </w:p>
        </w:tc>
        <w:tc>
          <w:tcPr>
            <w:tcW w:w="0" w:type="auto"/>
            <w:tcBorders>
              <w:top w:val="nil"/>
              <w:left w:val="nil"/>
              <w:bottom w:val="single" w:sz="4" w:space="0" w:color="auto"/>
              <w:right w:val="single" w:sz="4" w:space="0" w:color="auto"/>
            </w:tcBorders>
            <w:shd w:val="clear" w:color="auto" w:fill="auto"/>
            <w:hideMark/>
          </w:tcPr>
          <w:p w14:paraId="4B575C3D" w14:textId="77777777" w:rsidR="00472A4B" w:rsidRPr="00821568" w:rsidRDefault="00472A4B" w:rsidP="00472A4B">
            <w:pPr>
              <w:rPr>
                <w:rFonts w:ascii="Garamond" w:hAnsi="Garamond"/>
                <w:sz w:val="12"/>
                <w:szCs w:val="12"/>
              </w:rPr>
            </w:pPr>
            <w:r w:rsidRPr="00821568">
              <w:rPr>
                <w:rFonts w:ascii="Garamond" w:hAnsi="Garamond"/>
                <w:bCs/>
                <w:sz w:val="12"/>
                <w:szCs w:val="12"/>
              </w:rPr>
              <w:t>MF</w:t>
            </w:r>
          </w:p>
        </w:tc>
        <w:tc>
          <w:tcPr>
            <w:tcW w:w="0" w:type="auto"/>
            <w:tcBorders>
              <w:top w:val="nil"/>
              <w:left w:val="nil"/>
              <w:bottom w:val="single" w:sz="4" w:space="0" w:color="auto"/>
              <w:right w:val="single" w:sz="8" w:space="0" w:color="auto"/>
            </w:tcBorders>
            <w:shd w:val="clear" w:color="auto" w:fill="auto"/>
            <w:hideMark/>
          </w:tcPr>
          <w:p w14:paraId="717A7948" w14:textId="77777777" w:rsidR="00472A4B" w:rsidRPr="00821568" w:rsidRDefault="00472A4B" w:rsidP="00472A4B">
            <w:pPr>
              <w:rPr>
                <w:rFonts w:ascii="Garamond" w:hAnsi="Garamond"/>
                <w:sz w:val="12"/>
                <w:szCs w:val="12"/>
              </w:rPr>
            </w:pPr>
            <w:r w:rsidRPr="00821568">
              <w:rPr>
                <w:rFonts w:ascii="Garamond" w:hAnsi="Garamond"/>
                <w:sz w:val="12"/>
                <w:szCs w:val="12"/>
              </w:rPr>
              <w:t>me asistencën e TAIEX</w:t>
            </w:r>
          </w:p>
        </w:tc>
      </w:tr>
      <w:tr w:rsidR="00723888" w:rsidRPr="00821568" w14:paraId="4FBC9DC8" w14:textId="77777777" w:rsidTr="00472A4B">
        <w:trPr>
          <w:trHeight w:val="20"/>
        </w:trPr>
        <w:tc>
          <w:tcPr>
            <w:tcW w:w="0" w:type="auto"/>
            <w:vMerge/>
            <w:tcBorders>
              <w:top w:val="nil"/>
              <w:left w:val="single" w:sz="8" w:space="0" w:color="auto"/>
              <w:bottom w:val="single" w:sz="4" w:space="0" w:color="auto"/>
              <w:right w:val="single" w:sz="4" w:space="0" w:color="auto"/>
            </w:tcBorders>
            <w:hideMark/>
          </w:tcPr>
          <w:p w14:paraId="455028B8" w14:textId="77777777" w:rsidR="00472A4B" w:rsidRPr="00821568" w:rsidRDefault="00472A4B" w:rsidP="00472A4B">
            <w:pPr>
              <w:rPr>
                <w:rFonts w:ascii="Garamond" w:hAnsi="Garamond"/>
                <w:sz w:val="12"/>
                <w:szCs w:val="12"/>
              </w:rPr>
            </w:pPr>
          </w:p>
        </w:tc>
        <w:tc>
          <w:tcPr>
            <w:tcW w:w="0" w:type="auto"/>
            <w:vMerge/>
            <w:tcBorders>
              <w:top w:val="nil"/>
              <w:left w:val="single" w:sz="4" w:space="0" w:color="auto"/>
              <w:bottom w:val="single" w:sz="4" w:space="0" w:color="auto"/>
              <w:right w:val="single" w:sz="4" w:space="0" w:color="auto"/>
            </w:tcBorders>
            <w:hideMark/>
          </w:tcPr>
          <w:p w14:paraId="2F36F6B6" w14:textId="77777777" w:rsidR="00472A4B" w:rsidRPr="00821568" w:rsidRDefault="00472A4B" w:rsidP="00472A4B">
            <w:pPr>
              <w:rPr>
                <w:rFonts w:ascii="Garamond" w:hAnsi="Garamond"/>
                <w:sz w:val="12"/>
                <w:szCs w:val="12"/>
              </w:rPr>
            </w:pPr>
          </w:p>
        </w:tc>
        <w:tc>
          <w:tcPr>
            <w:tcW w:w="0" w:type="auto"/>
            <w:tcBorders>
              <w:top w:val="nil"/>
              <w:left w:val="nil"/>
              <w:bottom w:val="single" w:sz="4" w:space="0" w:color="auto"/>
              <w:right w:val="single" w:sz="4" w:space="0" w:color="auto"/>
            </w:tcBorders>
            <w:shd w:val="clear" w:color="auto" w:fill="auto"/>
            <w:hideMark/>
          </w:tcPr>
          <w:p w14:paraId="6AA362C1" w14:textId="5262F488" w:rsidR="00472A4B" w:rsidRPr="00821568" w:rsidRDefault="00472A4B" w:rsidP="00472A4B">
            <w:pPr>
              <w:rPr>
                <w:rFonts w:ascii="Garamond" w:hAnsi="Garamond"/>
                <w:sz w:val="12"/>
                <w:szCs w:val="12"/>
              </w:rPr>
            </w:pPr>
            <w:r w:rsidRPr="00821568">
              <w:rPr>
                <w:rFonts w:ascii="Garamond" w:hAnsi="Garamond"/>
                <w:sz w:val="12"/>
                <w:szCs w:val="12"/>
              </w:rPr>
              <w:t xml:space="preserve">Hartimi dhe miratimi i aktit ligjor për transpozimin e plotë të legjislacionit të brendshëm me </w:t>
            </w:r>
            <w:r w:rsidRPr="00821568">
              <w:rPr>
                <w:rFonts w:ascii="Garamond" w:hAnsi="Garamond"/>
                <w:i/>
                <w:sz w:val="12"/>
                <w:szCs w:val="12"/>
              </w:rPr>
              <w:t>acquis</w:t>
            </w:r>
            <w:r w:rsidRPr="00821568">
              <w:rPr>
                <w:rFonts w:ascii="Garamond" w:hAnsi="Garamond"/>
                <w:sz w:val="12"/>
                <w:szCs w:val="12"/>
              </w:rPr>
              <w:t xml:space="preserve"> të BE-së sipas </w:t>
            </w:r>
            <w:r w:rsidR="005309EE" w:rsidRPr="00821568">
              <w:rPr>
                <w:rFonts w:ascii="Garamond" w:hAnsi="Garamond"/>
                <w:sz w:val="12"/>
                <w:szCs w:val="12"/>
              </w:rPr>
              <w:t>k</w:t>
            </w:r>
            <w:r w:rsidRPr="00821568">
              <w:rPr>
                <w:rFonts w:ascii="Garamond" w:hAnsi="Garamond"/>
                <w:sz w:val="12"/>
                <w:szCs w:val="12"/>
              </w:rPr>
              <w:t>apitullit 16.</w:t>
            </w:r>
          </w:p>
        </w:tc>
        <w:tc>
          <w:tcPr>
            <w:tcW w:w="0" w:type="auto"/>
            <w:tcBorders>
              <w:top w:val="nil"/>
              <w:left w:val="nil"/>
              <w:bottom w:val="single" w:sz="4" w:space="0" w:color="auto"/>
              <w:right w:val="single" w:sz="4" w:space="0" w:color="auto"/>
            </w:tcBorders>
            <w:shd w:val="clear" w:color="auto" w:fill="auto"/>
            <w:hideMark/>
          </w:tcPr>
          <w:p w14:paraId="191080A0" w14:textId="77777777" w:rsidR="00472A4B" w:rsidRPr="00821568" w:rsidRDefault="00472A4B" w:rsidP="00472A4B">
            <w:pPr>
              <w:rPr>
                <w:rFonts w:ascii="Garamond" w:hAnsi="Garamond"/>
                <w:sz w:val="12"/>
                <w:szCs w:val="12"/>
              </w:rPr>
            </w:pPr>
            <w:r w:rsidRPr="00821568">
              <w:rPr>
                <w:rFonts w:ascii="Garamond" w:hAnsi="Garamond"/>
                <w:sz w:val="12"/>
                <w:szCs w:val="12"/>
              </w:rPr>
              <w:t>Korrik 2025</w:t>
            </w:r>
          </w:p>
        </w:tc>
        <w:tc>
          <w:tcPr>
            <w:tcW w:w="0" w:type="auto"/>
            <w:tcBorders>
              <w:top w:val="nil"/>
              <w:left w:val="nil"/>
              <w:bottom w:val="single" w:sz="4" w:space="0" w:color="auto"/>
              <w:right w:val="single" w:sz="4" w:space="0" w:color="auto"/>
            </w:tcBorders>
            <w:shd w:val="clear" w:color="auto" w:fill="auto"/>
            <w:hideMark/>
          </w:tcPr>
          <w:p w14:paraId="29232CEE" w14:textId="77777777" w:rsidR="00472A4B" w:rsidRPr="00821568" w:rsidRDefault="00472A4B" w:rsidP="00472A4B">
            <w:pPr>
              <w:rPr>
                <w:rFonts w:ascii="Garamond" w:hAnsi="Garamond"/>
                <w:sz w:val="12"/>
                <w:szCs w:val="12"/>
              </w:rPr>
            </w:pPr>
            <w:r w:rsidRPr="00821568">
              <w:rPr>
                <w:rFonts w:ascii="Garamond" w:hAnsi="Garamond"/>
                <w:sz w:val="12"/>
                <w:szCs w:val="12"/>
              </w:rPr>
              <w:t>Dhjetor 2026</w:t>
            </w:r>
          </w:p>
        </w:tc>
        <w:tc>
          <w:tcPr>
            <w:tcW w:w="0" w:type="auto"/>
            <w:tcBorders>
              <w:top w:val="nil"/>
              <w:left w:val="nil"/>
              <w:bottom w:val="single" w:sz="4" w:space="0" w:color="auto"/>
              <w:right w:val="single" w:sz="4" w:space="0" w:color="auto"/>
            </w:tcBorders>
            <w:shd w:val="clear" w:color="auto" w:fill="auto"/>
            <w:hideMark/>
          </w:tcPr>
          <w:p w14:paraId="457F5FC8" w14:textId="77777777" w:rsidR="00472A4B" w:rsidRPr="00821568" w:rsidRDefault="00472A4B" w:rsidP="00472A4B">
            <w:pPr>
              <w:rPr>
                <w:rFonts w:ascii="Garamond" w:hAnsi="Garamond"/>
                <w:sz w:val="12"/>
                <w:szCs w:val="12"/>
              </w:rPr>
            </w:pPr>
          </w:p>
        </w:tc>
        <w:tc>
          <w:tcPr>
            <w:tcW w:w="0" w:type="auto"/>
            <w:tcBorders>
              <w:top w:val="nil"/>
              <w:left w:val="nil"/>
              <w:bottom w:val="single" w:sz="4" w:space="0" w:color="auto"/>
              <w:right w:val="single" w:sz="8" w:space="0" w:color="auto"/>
            </w:tcBorders>
            <w:shd w:val="clear" w:color="auto" w:fill="auto"/>
            <w:noWrap/>
            <w:hideMark/>
          </w:tcPr>
          <w:p w14:paraId="428A53C6" w14:textId="77777777" w:rsidR="00472A4B" w:rsidRPr="00821568" w:rsidRDefault="00472A4B" w:rsidP="00472A4B">
            <w:pPr>
              <w:rPr>
                <w:rFonts w:ascii="Garamond" w:hAnsi="Garamond"/>
                <w:sz w:val="12"/>
                <w:szCs w:val="12"/>
              </w:rPr>
            </w:pPr>
          </w:p>
        </w:tc>
      </w:tr>
      <w:tr w:rsidR="00723888" w:rsidRPr="00821568" w14:paraId="28631CC1" w14:textId="77777777" w:rsidTr="00472A4B">
        <w:trPr>
          <w:trHeight w:val="20"/>
        </w:trPr>
        <w:tc>
          <w:tcPr>
            <w:tcW w:w="0" w:type="auto"/>
            <w:tcBorders>
              <w:top w:val="nil"/>
              <w:left w:val="single" w:sz="8" w:space="0" w:color="auto"/>
              <w:bottom w:val="single" w:sz="4" w:space="0" w:color="auto"/>
              <w:right w:val="single" w:sz="4" w:space="0" w:color="auto"/>
            </w:tcBorders>
            <w:shd w:val="clear" w:color="auto" w:fill="auto"/>
            <w:noWrap/>
            <w:hideMark/>
          </w:tcPr>
          <w:p w14:paraId="11FDED1B" w14:textId="77777777" w:rsidR="00472A4B" w:rsidRPr="00821568" w:rsidRDefault="00472A4B" w:rsidP="00472A4B">
            <w:pPr>
              <w:rPr>
                <w:rFonts w:ascii="Garamond" w:hAnsi="Garamond"/>
                <w:sz w:val="12"/>
                <w:szCs w:val="12"/>
              </w:rPr>
            </w:pPr>
            <w:r w:rsidRPr="00821568">
              <w:rPr>
                <w:rFonts w:ascii="Garamond" w:hAnsi="Garamond"/>
                <w:sz w:val="12"/>
                <w:szCs w:val="12"/>
              </w:rPr>
              <w:t>1.2.7</w:t>
            </w:r>
          </w:p>
        </w:tc>
        <w:tc>
          <w:tcPr>
            <w:tcW w:w="0" w:type="auto"/>
            <w:tcBorders>
              <w:top w:val="nil"/>
              <w:left w:val="nil"/>
              <w:bottom w:val="single" w:sz="4" w:space="0" w:color="auto"/>
              <w:right w:val="single" w:sz="4" w:space="0" w:color="auto"/>
            </w:tcBorders>
            <w:shd w:val="clear" w:color="auto" w:fill="auto"/>
            <w:hideMark/>
          </w:tcPr>
          <w:p w14:paraId="557DEA6A" w14:textId="77777777" w:rsidR="00472A4B" w:rsidRPr="00821568" w:rsidRDefault="00472A4B" w:rsidP="00472A4B">
            <w:pPr>
              <w:rPr>
                <w:rFonts w:ascii="Garamond" w:hAnsi="Garamond"/>
                <w:sz w:val="12"/>
                <w:szCs w:val="12"/>
              </w:rPr>
            </w:pPr>
            <w:r w:rsidRPr="00821568">
              <w:rPr>
                <w:rFonts w:ascii="Garamond" w:hAnsi="Garamond"/>
                <w:bCs/>
                <w:sz w:val="12"/>
                <w:szCs w:val="12"/>
              </w:rPr>
              <w:t>Rishikimi i përjashtimeve nga taksat dhe tarifat kombëtare, duke përfshirë taksat mjedisore</w:t>
            </w:r>
          </w:p>
        </w:tc>
        <w:tc>
          <w:tcPr>
            <w:tcW w:w="0" w:type="auto"/>
            <w:tcBorders>
              <w:top w:val="nil"/>
              <w:left w:val="nil"/>
              <w:bottom w:val="single" w:sz="4" w:space="0" w:color="auto"/>
              <w:right w:val="single" w:sz="4" w:space="0" w:color="auto"/>
            </w:tcBorders>
            <w:shd w:val="clear" w:color="auto" w:fill="auto"/>
            <w:hideMark/>
          </w:tcPr>
          <w:p w14:paraId="5A96DAE5" w14:textId="394BDCA0" w:rsidR="00472A4B" w:rsidRPr="00821568" w:rsidRDefault="00472A4B" w:rsidP="00472A4B">
            <w:pPr>
              <w:rPr>
                <w:rFonts w:ascii="Garamond" w:hAnsi="Garamond"/>
                <w:sz w:val="12"/>
                <w:szCs w:val="12"/>
              </w:rPr>
            </w:pPr>
            <w:r w:rsidRPr="00821568">
              <w:rPr>
                <w:rFonts w:ascii="Garamond" w:hAnsi="Garamond"/>
                <w:sz w:val="12"/>
                <w:szCs w:val="12"/>
              </w:rPr>
              <w:t>Rishikimi i përjashtimeve nga taksat dhe tarifat kombëtare.</w:t>
            </w:r>
            <w:r w:rsidRPr="00821568">
              <w:rPr>
                <w:rFonts w:ascii="Garamond" w:hAnsi="Garamond"/>
                <w:sz w:val="12"/>
                <w:szCs w:val="12"/>
              </w:rPr>
              <w:br/>
              <w:t xml:space="preserve"> Analiza e taksave mjedisore</w:t>
            </w:r>
            <w:r w:rsidR="005309EE" w:rsidRPr="00821568">
              <w:rPr>
                <w:rFonts w:ascii="Garamond" w:hAnsi="Garamond"/>
                <w:sz w:val="12"/>
                <w:szCs w:val="12"/>
              </w:rPr>
              <w:t>.</w:t>
            </w:r>
          </w:p>
        </w:tc>
        <w:tc>
          <w:tcPr>
            <w:tcW w:w="0" w:type="auto"/>
            <w:tcBorders>
              <w:top w:val="nil"/>
              <w:left w:val="nil"/>
              <w:bottom w:val="single" w:sz="4" w:space="0" w:color="auto"/>
              <w:right w:val="single" w:sz="4" w:space="0" w:color="auto"/>
            </w:tcBorders>
            <w:shd w:val="clear" w:color="auto" w:fill="auto"/>
            <w:hideMark/>
          </w:tcPr>
          <w:p w14:paraId="68585CBB" w14:textId="77777777" w:rsidR="00472A4B" w:rsidRPr="00821568" w:rsidRDefault="00472A4B" w:rsidP="00472A4B">
            <w:pPr>
              <w:rPr>
                <w:rFonts w:ascii="Garamond" w:hAnsi="Garamond"/>
                <w:sz w:val="12"/>
                <w:szCs w:val="12"/>
              </w:rPr>
            </w:pPr>
            <w:r w:rsidRPr="00821568">
              <w:rPr>
                <w:rFonts w:ascii="Garamond" w:hAnsi="Garamond"/>
                <w:sz w:val="12"/>
                <w:szCs w:val="12"/>
              </w:rPr>
              <w:t>2024</w:t>
            </w:r>
          </w:p>
        </w:tc>
        <w:tc>
          <w:tcPr>
            <w:tcW w:w="0" w:type="auto"/>
            <w:tcBorders>
              <w:top w:val="nil"/>
              <w:left w:val="nil"/>
              <w:bottom w:val="single" w:sz="4" w:space="0" w:color="auto"/>
              <w:right w:val="single" w:sz="4" w:space="0" w:color="auto"/>
            </w:tcBorders>
            <w:shd w:val="clear" w:color="auto" w:fill="auto"/>
            <w:hideMark/>
          </w:tcPr>
          <w:p w14:paraId="20EA4E19" w14:textId="77777777" w:rsidR="00472A4B" w:rsidRPr="00821568" w:rsidRDefault="00472A4B" w:rsidP="00472A4B">
            <w:pPr>
              <w:rPr>
                <w:rFonts w:ascii="Garamond" w:hAnsi="Garamond"/>
                <w:sz w:val="12"/>
                <w:szCs w:val="12"/>
              </w:rPr>
            </w:pPr>
            <w:r w:rsidRPr="00821568">
              <w:rPr>
                <w:rFonts w:ascii="Garamond" w:hAnsi="Garamond"/>
                <w:sz w:val="12"/>
                <w:szCs w:val="12"/>
              </w:rPr>
              <w:t>Qershor 2025</w:t>
            </w:r>
          </w:p>
        </w:tc>
        <w:tc>
          <w:tcPr>
            <w:tcW w:w="0" w:type="auto"/>
            <w:tcBorders>
              <w:top w:val="nil"/>
              <w:left w:val="nil"/>
              <w:bottom w:val="single" w:sz="4" w:space="0" w:color="auto"/>
              <w:right w:val="single" w:sz="4" w:space="0" w:color="auto"/>
            </w:tcBorders>
            <w:shd w:val="clear" w:color="auto" w:fill="auto"/>
            <w:hideMark/>
          </w:tcPr>
          <w:p w14:paraId="57C2D897" w14:textId="77777777" w:rsidR="00472A4B" w:rsidRPr="00821568" w:rsidRDefault="00472A4B" w:rsidP="00472A4B">
            <w:pPr>
              <w:rPr>
                <w:rFonts w:ascii="Garamond" w:hAnsi="Garamond"/>
                <w:sz w:val="12"/>
                <w:szCs w:val="12"/>
              </w:rPr>
            </w:pPr>
            <w:r w:rsidRPr="00821568">
              <w:rPr>
                <w:rFonts w:ascii="Garamond" w:hAnsi="Garamond"/>
                <w:bCs/>
                <w:sz w:val="12"/>
                <w:szCs w:val="12"/>
              </w:rPr>
              <w:t>MF, DPT dhe DPD</w:t>
            </w:r>
          </w:p>
        </w:tc>
        <w:tc>
          <w:tcPr>
            <w:tcW w:w="0" w:type="auto"/>
            <w:tcBorders>
              <w:top w:val="nil"/>
              <w:left w:val="nil"/>
              <w:bottom w:val="single" w:sz="4" w:space="0" w:color="auto"/>
              <w:right w:val="single" w:sz="8" w:space="0" w:color="auto"/>
            </w:tcBorders>
            <w:shd w:val="clear" w:color="auto" w:fill="auto"/>
            <w:noWrap/>
            <w:hideMark/>
          </w:tcPr>
          <w:p w14:paraId="68FC0BF1" w14:textId="77777777" w:rsidR="00472A4B" w:rsidRPr="00821568" w:rsidRDefault="00472A4B" w:rsidP="00472A4B">
            <w:pPr>
              <w:rPr>
                <w:rFonts w:ascii="Garamond" w:hAnsi="Garamond"/>
                <w:sz w:val="12"/>
                <w:szCs w:val="12"/>
              </w:rPr>
            </w:pPr>
          </w:p>
        </w:tc>
      </w:tr>
      <w:tr w:rsidR="00723888" w:rsidRPr="00821568" w14:paraId="21C2CC15" w14:textId="77777777" w:rsidTr="00472A4B">
        <w:trPr>
          <w:trHeight w:val="20"/>
        </w:trPr>
        <w:tc>
          <w:tcPr>
            <w:tcW w:w="0" w:type="auto"/>
            <w:tcBorders>
              <w:top w:val="nil"/>
              <w:left w:val="single" w:sz="8" w:space="0" w:color="auto"/>
              <w:bottom w:val="single" w:sz="8" w:space="0" w:color="auto"/>
              <w:right w:val="single" w:sz="4" w:space="0" w:color="auto"/>
            </w:tcBorders>
            <w:shd w:val="clear" w:color="auto" w:fill="auto"/>
            <w:noWrap/>
            <w:hideMark/>
          </w:tcPr>
          <w:p w14:paraId="7D52E9C8" w14:textId="77777777" w:rsidR="00472A4B" w:rsidRPr="00821568" w:rsidRDefault="00472A4B" w:rsidP="00472A4B">
            <w:pPr>
              <w:rPr>
                <w:rFonts w:ascii="Garamond" w:hAnsi="Garamond"/>
                <w:sz w:val="12"/>
                <w:szCs w:val="12"/>
              </w:rPr>
            </w:pPr>
            <w:r w:rsidRPr="00821568">
              <w:rPr>
                <w:rFonts w:ascii="Garamond" w:hAnsi="Garamond"/>
                <w:sz w:val="12"/>
                <w:szCs w:val="12"/>
              </w:rPr>
              <w:t>1.2.8</w:t>
            </w:r>
          </w:p>
        </w:tc>
        <w:tc>
          <w:tcPr>
            <w:tcW w:w="0" w:type="auto"/>
            <w:tcBorders>
              <w:top w:val="nil"/>
              <w:left w:val="nil"/>
              <w:bottom w:val="single" w:sz="8" w:space="0" w:color="auto"/>
              <w:right w:val="single" w:sz="4" w:space="0" w:color="auto"/>
            </w:tcBorders>
            <w:shd w:val="clear" w:color="auto" w:fill="auto"/>
            <w:hideMark/>
          </w:tcPr>
          <w:p w14:paraId="70DF9D68" w14:textId="2E5BAA16" w:rsidR="00472A4B" w:rsidRPr="00821568" w:rsidRDefault="00472A4B" w:rsidP="00472A4B">
            <w:pPr>
              <w:rPr>
                <w:rFonts w:ascii="Garamond" w:hAnsi="Garamond"/>
                <w:sz w:val="12"/>
                <w:szCs w:val="12"/>
              </w:rPr>
            </w:pPr>
            <w:r w:rsidRPr="00821568">
              <w:rPr>
                <w:rFonts w:ascii="Garamond" w:hAnsi="Garamond"/>
                <w:sz w:val="12"/>
                <w:szCs w:val="12"/>
              </w:rPr>
              <w:t>Hartimi i aktit ligjor bazuar në analizën e taksave kombëtare, duke përfshirë taksat mjedisore</w:t>
            </w:r>
          </w:p>
        </w:tc>
        <w:tc>
          <w:tcPr>
            <w:tcW w:w="0" w:type="auto"/>
            <w:tcBorders>
              <w:top w:val="nil"/>
              <w:left w:val="nil"/>
              <w:bottom w:val="single" w:sz="8" w:space="0" w:color="auto"/>
              <w:right w:val="single" w:sz="4" w:space="0" w:color="auto"/>
            </w:tcBorders>
            <w:shd w:val="clear" w:color="auto" w:fill="auto"/>
            <w:hideMark/>
          </w:tcPr>
          <w:p w14:paraId="4DA69372" w14:textId="0D98DE2B" w:rsidR="00472A4B" w:rsidRPr="00821568" w:rsidRDefault="00472A4B" w:rsidP="00472A4B">
            <w:pPr>
              <w:rPr>
                <w:rFonts w:ascii="Garamond" w:hAnsi="Garamond"/>
                <w:sz w:val="12"/>
                <w:szCs w:val="12"/>
              </w:rPr>
            </w:pPr>
            <w:r w:rsidRPr="00821568">
              <w:rPr>
                <w:rFonts w:ascii="Garamond" w:hAnsi="Garamond"/>
                <w:sz w:val="12"/>
                <w:szCs w:val="12"/>
              </w:rPr>
              <w:t>Përgatitja e ndryshimeve në ligjin për taksat kombëtare bazuar në raportin e vlerësimit</w:t>
            </w:r>
            <w:r w:rsidR="005309EE" w:rsidRPr="00821568">
              <w:rPr>
                <w:rFonts w:ascii="Garamond" w:hAnsi="Garamond"/>
                <w:sz w:val="12"/>
                <w:szCs w:val="12"/>
              </w:rPr>
              <w:t>.</w:t>
            </w:r>
          </w:p>
        </w:tc>
        <w:tc>
          <w:tcPr>
            <w:tcW w:w="0" w:type="auto"/>
            <w:tcBorders>
              <w:top w:val="nil"/>
              <w:left w:val="nil"/>
              <w:bottom w:val="single" w:sz="8" w:space="0" w:color="auto"/>
              <w:right w:val="single" w:sz="4" w:space="0" w:color="auto"/>
            </w:tcBorders>
            <w:shd w:val="clear" w:color="auto" w:fill="auto"/>
            <w:hideMark/>
          </w:tcPr>
          <w:p w14:paraId="0A734F37" w14:textId="77777777" w:rsidR="00472A4B" w:rsidRPr="00821568" w:rsidRDefault="00472A4B" w:rsidP="00472A4B">
            <w:pPr>
              <w:rPr>
                <w:rFonts w:ascii="Garamond" w:hAnsi="Garamond"/>
                <w:sz w:val="12"/>
                <w:szCs w:val="12"/>
              </w:rPr>
            </w:pPr>
            <w:r w:rsidRPr="00821568">
              <w:rPr>
                <w:rFonts w:ascii="Garamond" w:hAnsi="Garamond"/>
                <w:sz w:val="12"/>
                <w:szCs w:val="12"/>
              </w:rPr>
              <w:t>Qershor 2025</w:t>
            </w:r>
          </w:p>
        </w:tc>
        <w:tc>
          <w:tcPr>
            <w:tcW w:w="0" w:type="auto"/>
            <w:tcBorders>
              <w:top w:val="nil"/>
              <w:left w:val="nil"/>
              <w:bottom w:val="single" w:sz="8" w:space="0" w:color="auto"/>
              <w:right w:val="single" w:sz="4" w:space="0" w:color="auto"/>
            </w:tcBorders>
            <w:shd w:val="clear" w:color="auto" w:fill="auto"/>
            <w:hideMark/>
          </w:tcPr>
          <w:p w14:paraId="04B29972" w14:textId="77777777" w:rsidR="00472A4B" w:rsidRPr="00821568" w:rsidRDefault="00472A4B" w:rsidP="00472A4B">
            <w:pPr>
              <w:rPr>
                <w:rFonts w:ascii="Garamond" w:hAnsi="Garamond"/>
                <w:sz w:val="12"/>
                <w:szCs w:val="12"/>
              </w:rPr>
            </w:pPr>
            <w:r w:rsidRPr="00821568">
              <w:rPr>
                <w:rFonts w:ascii="Garamond" w:hAnsi="Garamond"/>
                <w:sz w:val="12"/>
                <w:szCs w:val="12"/>
              </w:rPr>
              <w:t>Dhjetor 2025</w:t>
            </w:r>
          </w:p>
        </w:tc>
        <w:tc>
          <w:tcPr>
            <w:tcW w:w="0" w:type="auto"/>
            <w:tcBorders>
              <w:top w:val="nil"/>
              <w:left w:val="nil"/>
              <w:bottom w:val="single" w:sz="8" w:space="0" w:color="auto"/>
              <w:right w:val="single" w:sz="4" w:space="0" w:color="auto"/>
            </w:tcBorders>
            <w:shd w:val="clear" w:color="auto" w:fill="auto"/>
            <w:hideMark/>
          </w:tcPr>
          <w:p w14:paraId="52B56130" w14:textId="77777777" w:rsidR="00472A4B" w:rsidRPr="00821568" w:rsidRDefault="00472A4B" w:rsidP="00472A4B">
            <w:pPr>
              <w:rPr>
                <w:rFonts w:ascii="Garamond" w:hAnsi="Garamond"/>
                <w:sz w:val="12"/>
                <w:szCs w:val="12"/>
              </w:rPr>
            </w:pPr>
            <w:r w:rsidRPr="00821568">
              <w:rPr>
                <w:rFonts w:ascii="Garamond" w:hAnsi="Garamond"/>
                <w:bCs/>
                <w:sz w:val="12"/>
                <w:szCs w:val="12"/>
              </w:rPr>
              <w:t>MF</w:t>
            </w:r>
          </w:p>
        </w:tc>
        <w:tc>
          <w:tcPr>
            <w:tcW w:w="0" w:type="auto"/>
            <w:tcBorders>
              <w:top w:val="nil"/>
              <w:left w:val="nil"/>
              <w:bottom w:val="single" w:sz="8" w:space="0" w:color="auto"/>
              <w:right w:val="single" w:sz="8" w:space="0" w:color="auto"/>
            </w:tcBorders>
            <w:shd w:val="clear" w:color="auto" w:fill="auto"/>
            <w:noWrap/>
            <w:hideMark/>
          </w:tcPr>
          <w:p w14:paraId="135E3FD0" w14:textId="77777777" w:rsidR="00472A4B" w:rsidRPr="00821568" w:rsidRDefault="00472A4B" w:rsidP="00472A4B">
            <w:pPr>
              <w:rPr>
                <w:rFonts w:ascii="Garamond" w:hAnsi="Garamond"/>
                <w:sz w:val="12"/>
                <w:szCs w:val="12"/>
              </w:rPr>
            </w:pPr>
          </w:p>
        </w:tc>
      </w:tr>
    </w:tbl>
    <w:p w14:paraId="491BF9FA" w14:textId="77777777" w:rsidR="00472A4B" w:rsidRPr="00830F4C" w:rsidRDefault="00472A4B" w:rsidP="00472A4B">
      <w:pPr>
        <w:ind w:firstLine="284"/>
        <w:jc w:val="both"/>
        <w:rPr>
          <w:rFonts w:ascii="Garamond" w:hAnsi="Garamond"/>
          <w:b/>
          <w:bCs/>
        </w:rPr>
      </w:pPr>
    </w:p>
    <w:p w14:paraId="5151B613" w14:textId="77777777" w:rsidR="00472A4B" w:rsidRPr="00830F4C" w:rsidRDefault="00472A4B" w:rsidP="00472A4B">
      <w:pPr>
        <w:rPr>
          <w:sz w:val="14"/>
        </w:rPr>
      </w:pPr>
    </w:p>
    <w:tbl>
      <w:tblPr>
        <w:tblStyle w:val="GridTable1Light"/>
        <w:tblW w:w="0" w:type="auto"/>
        <w:tblInd w:w="-113" w:type="dxa"/>
        <w:tblLook w:val="04A0" w:firstRow="1" w:lastRow="0" w:firstColumn="1" w:lastColumn="0" w:noHBand="0" w:noVBand="1"/>
      </w:tblPr>
      <w:tblGrid>
        <w:gridCol w:w="2009"/>
        <w:gridCol w:w="2009"/>
        <w:gridCol w:w="930"/>
        <w:gridCol w:w="1154"/>
        <w:gridCol w:w="1194"/>
        <w:gridCol w:w="1362"/>
      </w:tblGrid>
      <w:tr w:rsidR="00723888" w:rsidRPr="00821568" w14:paraId="3AD77A4F" w14:textId="77777777" w:rsidTr="00472A4B">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658" w:type="dxa"/>
            <w:gridSpan w:val="6"/>
          </w:tcPr>
          <w:p w14:paraId="46C2D0F7" w14:textId="6A6C2A35" w:rsidR="00472A4B" w:rsidRPr="00821568" w:rsidRDefault="00472A4B" w:rsidP="00472A4B">
            <w:pPr>
              <w:rPr>
                <w:rFonts w:ascii="Garamond" w:hAnsi="Garamond"/>
                <w:sz w:val="12"/>
                <w:szCs w:val="12"/>
              </w:rPr>
            </w:pPr>
            <w:r w:rsidRPr="00821568">
              <w:rPr>
                <w:rFonts w:ascii="Garamond" w:hAnsi="Garamond"/>
                <w:sz w:val="12"/>
                <w:szCs w:val="12"/>
              </w:rPr>
              <w:t xml:space="preserve">Objektivi </w:t>
            </w:r>
            <w:r w:rsidR="005309EE" w:rsidRPr="00821568">
              <w:rPr>
                <w:rFonts w:ascii="Garamond" w:hAnsi="Garamond"/>
                <w:sz w:val="12"/>
                <w:szCs w:val="12"/>
              </w:rPr>
              <w:t>s</w:t>
            </w:r>
            <w:r w:rsidRPr="00821568">
              <w:rPr>
                <w:rFonts w:ascii="Garamond" w:hAnsi="Garamond"/>
                <w:sz w:val="12"/>
                <w:szCs w:val="12"/>
              </w:rPr>
              <w:t>pecifik (</w:t>
            </w:r>
            <w:r w:rsidR="005309EE" w:rsidRPr="00821568">
              <w:rPr>
                <w:rFonts w:ascii="Garamond" w:hAnsi="Garamond"/>
                <w:sz w:val="12"/>
                <w:szCs w:val="12"/>
              </w:rPr>
              <w:t>k</w:t>
            </w:r>
            <w:r w:rsidRPr="00821568">
              <w:rPr>
                <w:rFonts w:ascii="Garamond" w:hAnsi="Garamond"/>
                <w:sz w:val="12"/>
                <w:szCs w:val="12"/>
              </w:rPr>
              <w:t>omponenti) 1.</w:t>
            </w:r>
            <w:r w:rsidRPr="00780D7C">
              <w:rPr>
                <w:rFonts w:ascii="Garamond" w:hAnsi="Garamond"/>
                <w:sz w:val="12"/>
                <w:szCs w:val="12"/>
              </w:rPr>
              <w:t>3 3.Rishikimi</w:t>
            </w:r>
            <w:r w:rsidRPr="00821568">
              <w:rPr>
                <w:rFonts w:ascii="Garamond" w:hAnsi="Garamond"/>
                <w:sz w:val="12"/>
                <w:szCs w:val="12"/>
              </w:rPr>
              <w:t xml:space="preserve"> i politikës tatimore të taksës mbi pasuritë e paluajtshme</w:t>
            </w:r>
          </w:p>
        </w:tc>
      </w:tr>
      <w:tr w:rsidR="00723888" w:rsidRPr="00821568" w14:paraId="77D145F6" w14:textId="77777777" w:rsidTr="008C0C0F">
        <w:trPr>
          <w:trHeight w:val="20"/>
        </w:trPr>
        <w:tc>
          <w:tcPr>
            <w:cnfStyle w:val="001000000000" w:firstRow="0" w:lastRow="0" w:firstColumn="1" w:lastColumn="0" w:oddVBand="0" w:evenVBand="0" w:oddHBand="0" w:evenHBand="0" w:firstRowFirstColumn="0" w:firstRowLastColumn="0" w:lastRowFirstColumn="0" w:lastRowLastColumn="0"/>
            <w:tcW w:w="2009" w:type="dxa"/>
            <w:vMerge w:val="restart"/>
            <w:vAlign w:val="center"/>
          </w:tcPr>
          <w:p w14:paraId="777BF5B9" w14:textId="77777777" w:rsidR="00472A4B" w:rsidRPr="00821568" w:rsidRDefault="00472A4B" w:rsidP="008C0C0F">
            <w:pPr>
              <w:jc w:val="center"/>
              <w:rPr>
                <w:rFonts w:ascii="Garamond" w:hAnsi="Garamond"/>
                <w:sz w:val="12"/>
                <w:szCs w:val="12"/>
              </w:rPr>
            </w:pPr>
            <w:r w:rsidRPr="00821568">
              <w:rPr>
                <w:rFonts w:ascii="Garamond" w:hAnsi="Garamond"/>
                <w:sz w:val="12"/>
                <w:szCs w:val="12"/>
              </w:rPr>
              <w:t>Masa</w:t>
            </w:r>
          </w:p>
        </w:tc>
        <w:tc>
          <w:tcPr>
            <w:tcW w:w="2009" w:type="dxa"/>
            <w:vMerge w:val="restart"/>
            <w:vAlign w:val="center"/>
          </w:tcPr>
          <w:p w14:paraId="698EAFEB" w14:textId="77777777" w:rsidR="00472A4B" w:rsidRPr="00821568" w:rsidRDefault="00472A4B" w:rsidP="008C0C0F">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821568">
              <w:rPr>
                <w:rFonts w:ascii="Garamond" w:hAnsi="Garamond"/>
                <w:b/>
                <w:sz w:val="12"/>
                <w:szCs w:val="12"/>
              </w:rPr>
              <w:t>Aktiviteti</w:t>
            </w:r>
          </w:p>
        </w:tc>
        <w:tc>
          <w:tcPr>
            <w:tcW w:w="930" w:type="dxa"/>
            <w:vMerge w:val="restart"/>
            <w:vAlign w:val="center"/>
          </w:tcPr>
          <w:p w14:paraId="21FFB200" w14:textId="77777777" w:rsidR="00472A4B" w:rsidRPr="00821568" w:rsidRDefault="00472A4B" w:rsidP="008C0C0F">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821568">
              <w:rPr>
                <w:rFonts w:ascii="Garamond" w:hAnsi="Garamond"/>
                <w:b/>
                <w:sz w:val="12"/>
                <w:szCs w:val="12"/>
              </w:rPr>
              <w:t>Fillimi</w:t>
            </w:r>
          </w:p>
        </w:tc>
        <w:tc>
          <w:tcPr>
            <w:tcW w:w="1154" w:type="dxa"/>
            <w:vMerge w:val="restart"/>
            <w:vAlign w:val="center"/>
          </w:tcPr>
          <w:p w14:paraId="695C657E" w14:textId="77777777" w:rsidR="00472A4B" w:rsidRPr="00821568" w:rsidRDefault="00472A4B" w:rsidP="008C0C0F">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821568">
              <w:rPr>
                <w:rFonts w:ascii="Garamond" w:hAnsi="Garamond"/>
                <w:b/>
                <w:sz w:val="12"/>
                <w:szCs w:val="12"/>
              </w:rPr>
              <w:t>Mbarimi</w:t>
            </w:r>
          </w:p>
        </w:tc>
        <w:tc>
          <w:tcPr>
            <w:tcW w:w="2556" w:type="dxa"/>
            <w:gridSpan w:val="2"/>
            <w:vAlign w:val="center"/>
          </w:tcPr>
          <w:p w14:paraId="18AE7528" w14:textId="1B9A10A1" w:rsidR="00472A4B" w:rsidRPr="00821568" w:rsidRDefault="00472A4B" w:rsidP="008C0C0F">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821568">
              <w:rPr>
                <w:rFonts w:ascii="Garamond" w:hAnsi="Garamond"/>
                <w:b/>
                <w:sz w:val="12"/>
                <w:szCs w:val="12"/>
              </w:rPr>
              <w:t xml:space="preserve">Grupet e </w:t>
            </w:r>
            <w:r w:rsidR="005309EE" w:rsidRPr="00821568">
              <w:rPr>
                <w:rFonts w:ascii="Garamond" w:hAnsi="Garamond"/>
                <w:b/>
                <w:sz w:val="12"/>
                <w:szCs w:val="12"/>
              </w:rPr>
              <w:t>i</w:t>
            </w:r>
            <w:r w:rsidRPr="00821568">
              <w:rPr>
                <w:rFonts w:ascii="Garamond" w:hAnsi="Garamond"/>
                <w:b/>
                <w:sz w:val="12"/>
                <w:szCs w:val="12"/>
              </w:rPr>
              <w:t>nteresit</w:t>
            </w:r>
          </w:p>
        </w:tc>
      </w:tr>
      <w:tr w:rsidR="00723888" w:rsidRPr="00821568" w14:paraId="10C63BBA" w14:textId="77777777" w:rsidTr="008C0C0F">
        <w:trPr>
          <w:trHeight w:val="20"/>
        </w:trPr>
        <w:tc>
          <w:tcPr>
            <w:cnfStyle w:val="001000000000" w:firstRow="0" w:lastRow="0" w:firstColumn="1" w:lastColumn="0" w:oddVBand="0" w:evenVBand="0" w:oddHBand="0" w:evenHBand="0" w:firstRowFirstColumn="0" w:firstRowLastColumn="0" w:lastRowFirstColumn="0" w:lastRowLastColumn="0"/>
            <w:tcW w:w="2009" w:type="dxa"/>
            <w:vMerge/>
            <w:vAlign w:val="center"/>
          </w:tcPr>
          <w:p w14:paraId="3275E4AE" w14:textId="77777777" w:rsidR="00472A4B" w:rsidRPr="00821568" w:rsidRDefault="00472A4B" w:rsidP="008C0C0F">
            <w:pPr>
              <w:jc w:val="center"/>
              <w:rPr>
                <w:rFonts w:ascii="Garamond" w:hAnsi="Garamond"/>
                <w:sz w:val="12"/>
                <w:szCs w:val="12"/>
              </w:rPr>
            </w:pPr>
          </w:p>
        </w:tc>
        <w:tc>
          <w:tcPr>
            <w:tcW w:w="2009" w:type="dxa"/>
            <w:vMerge/>
            <w:vAlign w:val="center"/>
          </w:tcPr>
          <w:p w14:paraId="6FD2B9DB" w14:textId="77777777" w:rsidR="00472A4B" w:rsidRPr="00821568" w:rsidRDefault="00472A4B" w:rsidP="008C0C0F">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p>
        </w:tc>
        <w:tc>
          <w:tcPr>
            <w:tcW w:w="930" w:type="dxa"/>
            <w:vMerge/>
            <w:vAlign w:val="center"/>
          </w:tcPr>
          <w:p w14:paraId="0230EDD0" w14:textId="77777777" w:rsidR="00472A4B" w:rsidRPr="00821568" w:rsidRDefault="00472A4B" w:rsidP="008C0C0F">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p>
        </w:tc>
        <w:tc>
          <w:tcPr>
            <w:tcW w:w="1154" w:type="dxa"/>
            <w:vMerge/>
            <w:vAlign w:val="center"/>
          </w:tcPr>
          <w:p w14:paraId="2A2003BB" w14:textId="77777777" w:rsidR="00472A4B" w:rsidRPr="00821568" w:rsidRDefault="00472A4B" w:rsidP="008C0C0F">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p>
        </w:tc>
        <w:tc>
          <w:tcPr>
            <w:tcW w:w="1194" w:type="dxa"/>
            <w:vAlign w:val="center"/>
          </w:tcPr>
          <w:p w14:paraId="293BD522" w14:textId="77777777" w:rsidR="00472A4B" w:rsidRPr="00821568" w:rsidRDefault="00472A4B" w:rsidP="008C0C0F">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821568">
              <w:rPr>
                <w:rFonts w:ascii="Garamond" w:hAnsi="Garamond"/>
                <w:b/>
                <w:sz w:val="12"/>
                <w:szCs w:val="12"/>
              </w:rPr>
              <w:t>Njësitë përgjegjëse</w:t>
            </w:r>
          </w:p>
        </w:tc>
        <w:tc>
          <w:tcPr>
            <w:tcW w:w="1362" w:type="dxa"/>
            <w:vAlign w:val="center"/>
          </w:tcPr>
          <w:p w14:paraId="776C4CAB" w14:textId="77777777" w:rsidR="00472A4B" w:rsidRPr="00821568" w:rsidRDefault="00472A4B" w:rsidP="008C0C0F">
            <w:pPr>
              <w:jc w:val="cente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821568">
              <w:rPr>
                <w:rFonts w:ascii="Garamond" w:hAnsi="Garamond"/>
                <w:b/>
                <w:sz w:val="12"/>
                <w:szCs w:val="12"/>
              </w:rPr>
              <w:t>Partnerët</w:t>
            </w:r>
          </w:p>
        </w:tc>
      </w:tr>
      <w:tr w:rsidR="00723888" w:rsidRPr="00821568" w14:paraId="5062CA29" w14:textId="77777777" w:rsidTr="00472A4B">
        <w:trPr>
          <w:trHeight w:val="20"/>
        </w:trPr>
        <w:tc>
          <w:tcPr>
            <w:cnfStyle w:val="001000000000" w:firstRow="0" w:lastRow="0" w:firstColumn="1" w:lastColumn="0" w:oddVBand="0" w:evenVBand="0" w:oddHBand="0" w:evenHBand="0" w:firstRowFirstColumn="0" w:firstRowLastColumn="0" w:lastRowFirstColumn="0" w:lastRowLastColumn="0"/>
            <w:tcW w:w="2009" w:type="dxa"/>
            <w:vMerge w:val="restart"/>
          </w:tcPr>
          <w:p w14:paraId="1FEE0EF0" w14:textId="77777777" w:rsidR="00472A4B" w:rsidRPr="00821568" w:rsidRDefault="00472A4B" w:rsidP="00472A4B">
            <w:pPr>
              <w:rPr>
                <w:rFonts w:ascii="Garamond" w:hAnsi="Garamond"/>
                <w:sz w:val="12"/>
                <w:szCs w:val="12"/>
              </w:rPr>
            </w:pPr>
          </w:p>
          <w:p w14:paraId="0ABFC1CA" w14:textId="77777777" w:rsidR="00472A4B" w:rsidRPr="00821568" w:rsidRDefault="00472A4B" w:rsidP="00472A4B">
            <w:pPr>
              <w:rPr>
                <w:rFonts w:ascii="Garamond" w:hAnsi="Garamond"/>
                <w:sz w:val="12"/>
                <w:szCs w:val="12"/>
              </w:rPr>
            </w:pPr>
          </w:p>
          <w:p w14:paraId="797A297D" w14:textId="77777777" w:rsidR="00472A4B" w:rsidRPr="00821568" w:rsidRDefault="00472A4B" w:rsidP="00472A4B">
            <w:pPr>
              <w:rPr>
                <w:rFonts w:ascii="Garamond" w:hAnsi="Garamond"/>
                <w:sz w:val="12"/>
                <w:szCs w:val="12"/>
              </w:rPr>
            </w:pPr>
          </w:p>
          <w:p w14:paraId="5E9688B5" w14:textId="77777777" w:rsidR="00472A4B" w:rsidRPr="00821568" w:rsidRDefault="00472A4B" w:rsidP="00472A4B">
            <w:pPr>
              <w:rPr>
                <w:rFonts w:ascii="Garamond" w:hAnsi="Garamond"/>
                <w:sz w:val="12"/>
                <w:szCs w:val="12"/>
              </w:rPr>
            </w:pPr>
          </w:p>
          <w:p w14:paraId="500781F6" w14:textId="77777777" w:rsidR="00472A4B" w:rsidRPr="00821568" w:rsidRDefault="00472A4B" w:rsidP="00472A4B">
            <w:pPr>
              <w:rPr>
                <w:rFonts w:ascii="Garamond" w:hAnsi="Garamond"/>
                <w:sz w:val="12"/>
                <w:szCs w:val="12"/>
              </w:rPr>
            </w:pPr>
          </w:p>
          <w:p w14:paraId="4B119E05" w14:textId="77777777" w:rsidR="00472A4B" w:rsidRPr="00821568" w:rsidRDefault="00472A4B" w:rsidP="00472A4B">
            <w:pPr>
              <w:rPr>
                <w:rFonts w:ascii="Garamond" w:hAnsi="Garamond"/>
                <w:b w:val="0"/>
                <w:sz w:val="12"/>
                <w:szCs w:val="12"/>
              </w:rPr>
            </w:pPr>
            <w:r w:rsidRPr="00821568">
              <w:rPr>
                <w:rFonts w:ascii="Garamond" w:hAnsi="Garamond"/>
                <w:b w:val="0"/>
                <w:sz w:val="12"/>
                <w:szCs w:val="12"/>
              </w:rPr>
              <w:t>Përmirësimi i kadastrës fiskale dhe sistemit të mbledhjes së taksës së pasurisë</w:t>
            </w:r>
          </w:p>
          <w:p w14:paraId="7DE815FB" w14:textId="77777777" w:rsidR="00472A4B" w:rsidRPr="00821568" w:rsidRDefault="00472A4B" w:rsidP="00472A4B">
            <w:pPr>
              <w:rPr>
                <w:rFonts w:ascii="Garamond" w:hAnsi="Garamond"/>
                <w:sz w:val="12"/>
                <w:szCs w:val="12"/>
              </w:rPr>
            </w:pPr>
          </w:p>
        </w:tc>
        <w:tc>
          <w:tcPr>
            <w:tcW w:w="2009" w:type="dxa"/>
          </w:tcPr>
          <w:p w14:paraId="4BA03B2A" w14:textId="77777777" w:rsidR="00472A4B" w:rsidRPr="00821568" w:rsidRDefault="00472A4B" w:rsidP="00472A4B">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Hartimi dhe miratimi i kuadrit ligjor (aktet ligjore dhe aktet nënligjore) për kadastrën fiskale, taksën mbi tokën dhe pasurinë e paluajtshme dhe aktin nënligjor për vlerësimin e tokës dhe pasurisë.</w:t>
            </w:r>
          </w:p>
        </w:tc>
        <w:tc>
          <w:tcPr>
            <w:tcW w:w="930" w:type="dxa"/>
          </w:tcPr>
          <w:p w14:paraId="5D0A9332" w14:textId="77777777" w:rsidR="00472A4B" w:rsidRPr="00821568" w:rsidRDefault="00472A4B" w:rsidP="00472A4B">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T1 2024</w:t>
            </w:r>
          </w:p>
        </w:tc>
        <w:tc>
          <w:tcPr>
            <w:tcW w:w="1154" w:type="dxa"/>
          </w:tcPr>
          <w:p w14:paraId="79BDD64D" w14:textId="77777777" w:rsidR="00472A4B" w:rsidRPr="00821568" w:rsidRDefault="00472A4B" w:rsidP="00472A4B">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T4 2025</w:t>
            </w:r>
          </w:p>
        </w:tc>
        <w:tc>
          <w:tcPr>
            <w:tcW w:w="1194" w:type="dxa"/>
          </w:tcPr>
          <w:p w14:paraId="02D352D2" w14:textId="77777777" w:rsidR="00472A4B" w:rsidRPr="00821568" w:rsidRDefault="00472A4B" w:rsidP="00472A4B">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MF/ DPTP (lider)</w:t>
            </w:r>
          </w:p>
          <w:p w14:paraId="001CE5BC" w14:textId="77777777" w:rsidR="00472A4B" w:rsidRPr="00821568" w:rsidRDefault="00472A4B" w:rsidP="00472A4B">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tc>
        <w:tc>
          <w:tcPr>
            <w:tcW w:w="1362" w:type="dxa"/>
          </w:tcPr>
          <w:p w14:paraId="6FA60D8D" w14:textId="6AB42E6E" w:rsidR="00472A4B" w:rsidRPr="00821568" w:rsidRDefault="00472A4B" w:rsidP="00472A4B">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 xml:space="preserve">Agjencia Suedeze për Bashkëpunim dhe Zhvillim Ndërkombëtar (SIDA), </w:t>
            </w:r>
            <w:r w:rsidRPr="00821568">
              <w:rPr>
                <w:rFonts w:ascii="Garamond" w:hAnsi="Garamond"/>
                <w:i/>
                <w:sz w:val="12"/>
                <w:szCs w:val="12"/>
              </w:rPr>
              <w:t>ProTax</w:t>
            </w:r>
            <w:r w:rsidRPr="00821568">
              <w:rPr>
                <w:rFonts w:ascii="Garamond" w:hAnsi="Garamond"/>
                <w:sz w:val="12"/>
                <w:szCs w:val="12"/>
              </w:rPr>
              <w:t xml:space="preserve"> </w:t>
            </w:r>
            <w:r w:rsidRPr="00821568">
              <w:rPr>
                <w:rFonts w:ascii="Garamond" w:hAnsi="Garamond"/>
                <w:i/>
                <w:sz w:val="12"/>
                <w:szCs w:val="12"/>
              </w:rPr>
              <w:t>Albania Project</w:t>
            </w:r>
            <w:r w:rsidRPr="00821568">
              <w:rPr>
                <w:rStyle w:val="FootnoteReference"/>
                <w:rFonts w:ascii="Garamond" w:hAnsi="Garamond"/>
                <w:sz w:val="12"/>
                <w:szCs w:val="12"/>
              </w:rPr>
              <w:footnoteReference w:id="10"/>
            </w:r>
            <w:r w:rsidR="00FD2285" w:rsidRPr="00821568">
              <w:rPr>
                <w:rFonts w:ascii="Garamond" w:hAnsi="Garamond"/>
                <w:i/>
                <w:sz w:val="12"/>
                <w:szCs w:val="12"/>
              </w:rPr>
              <w:t>,</w:t>
            </w:r>
            <w:r w:rsidRPr="00821568">
              <w:rPr>
                <w:rFonts w:ascii="Garamond" w:hAnsi="Garamond"/>
                <w:sz w:val="12"/>
                <w:szCs w:val="12"/>
              </w:rPr>
              <w:t xml:space="preserve"> dhe Agjencia Suedeze e Taksave</w:t>
            </w:r>
          </w:p>
        </w:tc>
      </w:tr>
      <w:tr w:rsidR="00723888" w:rsidRPr="00821568" w14:paraId="7BA7B696" w14:textId="77777777" w:rsidTr="00472A4B">
        <w:trPr>
          <w:trHeight w:val="20"/>
        </w:trPr>
        <w:tc>
          <w:tcPr>
            <w:cnfStyle w:val="001000000000" w:firstRow="0" w:lastRow="0" w:firstColumn="1" w:lastColumn="0" w:oddVBand="0" w:evenVBand="0" w:oddHBand="0" w:evenHBand="0" w:firstRowFirstColumn="0" w:firstRowLastColumn="0" w:lastRowFirstColumn="0" w:lastRowLastColumn="0"/>
            <w:tcW w:w="2009" w:type="dxa"/>
            <w:vMerge/>
          </w:tcPr>
          <w:p w14:paraId="78F25EC8" w14:textId="77777777" w:rsidR="00472A4B" w:rsidRPr="00821568" w:rsidRDefault="00472A4B" w:rsidP="00472A4B">
            <w:pPr>
              <w:rPr>
                <w:rFonts w:ascii="Garamond" w:hAnsi="Garamond"/>
                <w:sz w:val="12"/>
                <w:szCs w:val="12"/>
              </w:rPr>
            </w:pPr>
          </w:p>
        </w:tc>
        <w:tc>
          <w:tcPr>
            <w:tcW w:w="2009" w:type="dxa"/>
          </w:tcPr>
          <w:p w14:paraId="052B2156" w14:textId="0BA6988A" w:rsidR="00472A4B" w:rsidRPr="00821568" w:rsidRDefault="00472A4B" w:rsidP="00472A4B">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Hartimi i kuadrit institucional për menaxhimin dhe administrimin e taksës mbi ndërtesën</w:t>
            </w:r>
            <w:r w:rsidR="00FD2285" w:rsidRPr="00821568">
              <w:rPr>
                <w:rFonts w:ascii="Garamond" w:hAnsi="Garamond"/>
                <w:sz w:val="12"/>
                <w:szCs w:val="12"/>
              </w:rPr>
              <w:t>.</w:t>
            </w:r>
          </w:p>
        </w:tc>
        <w:tc>
          <w:tcPr>
            <w:tcW w:w="930" w:type="dxa"/>
          </w:tcPr>
          <w:p w14:paraId="62AA8B53" w14:textId="77777777" w:rsidR="00472A4B" w:rsidRPr="00821568" w:rsidRDefault="00472A4B" w:rsidP="00472A4B">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T4 2024</w:t>
            </w:r>
          </w:p>
        </w:tc>
        <w:tc>
          <w:tcPr>
            <w:tcW w:w="1154" w:type="dxa"/>
          </w:tcPr>
          <w:p w14:paraId="43AFDA00" w14:textId="77777777" w:rsidR="00472A4B" w:rsidRPr="00821568" w:rsidRDefault="00472A4B" w:rsidP="00472A4B">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T1 2026</w:t>
            </w:r>
          </w:p>
        </w:tc>
        <w:tc>
          <w:tcPr>
            <w:tcW w:w="1194" w:type="dxa"/>
          </w:tcPr>
          <w:p w14:paraId="4C4B0C96" w14:textId="77777777" w:rsidR="00472A4B" w:rsidRPr="00821568" w:rsidRDefault="00472A4B" w:rsidP="00472A4B">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tc>
        <w:tc>
          <w:tcPr>
            <w:tcW w:w="1362" w:type="dxa"/>
          </w:tcPr>
          <w:p w14:paraId="762EC77B" w14:textId="77777777" w:rsidR="00472A4B" w:rsidRPr="00821568" w:rsidRDefault="00472A4B" w:rsidP="00472A4B">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tc>
      </w:tr>
      <w:tr w:rsidR="00723888" w:rsidRPr="00821568" w14:paraId="75FDB841" w14:textId="77777777" w:rsidTr="00472A4B">
        <w:trPr>
          <w:trHeight w:val="20"/>
        </w:trPr>
        <w:tc>
          <w:tcPr>
            <w:cnfStyle w:val="001000000000" w:firstRow="0" w:lastRow="0" w:firstColumn="1" w:lastColumn="0" w:oddVBand="0" w:evenVBand="0" w:oddHBand="0" w:evenHBand="0" w:firstRowFirstColumn="0" w:firstRowLastColumn="0" w:lastRowFirstColumn="0" w:lastRowLastColumn="0"/>
            <w:tcW w:w="2009" w:type="dxa"/>
            <w:vMerge/>
          </w:tcPr>
          <w:p w14:paraId="6C1490E6" w14:textId="77777777" w:rsidR="00472A4B" w:rsidRPr="00821568" w:rsidRDefault="00472A4B" w:rsidP="00472A4B">
            <w:pPr>
              <w:rPr>
                <w:rFonts w:ascii="Garamond" w:hAnsi="Garamond"/>
                <w:sz w:val="12"/>
                <w:szCs w:val="12"/>
              </w:rPr>
            </w:pPr>
          </w:p>
        </w:tc>
        <w:tc>
          <w:tcPr>
            <w:tcW w:w="2009" w:type="dxa"/>
          </w:tcPr>
          <w:p w14:paraId="6C07C3DC" w14:textId="77777777" w:rsidR="00472A4B" w:rsidRPr="00821568" w:rsidRDefault="00472A4B" w:rsidP="00472A4B">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Finalizimi i Sistemit Informativ të Kadastrës Fiskale (SIKF), ndërveprimit të tij me sistemet e tjera dhe shtrirja në bashki.</w:t>
            </w:r>
          </w:p>
        </w:tc>
        <w:tc>
          <w:tcPr>
            <w:tcW w:w="930" w:type="dxa"/>
          </w:tcPr>
          <w:p w14:paraId="00F1B5F4" w14:textId="77777777" w:rsidR="00472A4B" w:rsidRPr="00821568" w:rsidRDefault="00472A4B" w:rsidP="00472A4B">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T1 2025</w:t>
            </w:r>
          </w:p>
        </w:tc>
        <w:tc>
          <w:tcPr>
            <w:tcW w:w="1154" w:type="dxa"/>
          </w:tcPr>
          <w:p w14:paraId="53DDFBD3" w14:textId="77777777" w:rsidR="00472A4B" w:rsidRPr="00821568" w:rsidRDefault="00472A4B" w:rsidP="00472A4B">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T4 2026</w:t>
            </w:r>
          </w:p>
        </w:tc>
        <w:tc>
          <w:tcPr>
            <w:tcW w:w="1194" w:type="dxa"/>
          </w:tcPr>
          <w:p w14:paraId="0612B19D" w14:textId="77777777" w:rsidR="00472A4B" w:rsidRPr="00821568" w:rsidRDefault="00472A4B" w:rsidP="00472A4B">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tc>
        <w:tc>
          <w:tcPr>
            <w:tcW w:w="1362" w:type="dxa"/>
          </w:tcPr>
          <w:p w14:paraId="16347874" w14:textId="77777777" w:rsidR="00472A4B" w:rsidRPr="00821568" w:rsidRDefault="00472A4B" w:rsidP="00472A4B">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tc>
      </w:tr>
      <w:tr w:rsidR="00723888" w:rsidRPr="00821568" w14:paraId="10051873" w14:textId="77777777" w:rsidTr="00472A4B">
        <w:trPr>
          <w:trHeight w:val="20"/>
        </w:trPr>
        <w:tc>
          <w:tcPr>
            <w:cnfStyle w:val="001000000000" w:firstRow="0" w:lastRow="0" w:firstColumn="1" w:lastColumn="0" w:oddVBand="0" w:evenVBand="0" w:oddHBand="0" w:evenHBand="0" w:firstRowFirstColumn="0" w:firstRowLastColumn="0" w:lastRowFirstColumn="0" w:lastRowLastColumn="0"/>
            <w:tcW w:w="2009" w:type="dxa"/>
            <w:vMerge/>
          </w:tcPr>
          <w:p w14:paraId="219285B5" w14:textId="77777777" w:rsidR="00472A4B" w:rsidRPr="00821568" w:rsidRDefault="00472A4B" w:rsidP="00472A4B">
            <w:pPr>
              <w:rPr>
                <w:rFonts w:ascii="Garamond" w:hAnsi="Garamond"/>
                <w:sz w:val="12"/>
                <w:szCs w:val="12"/>
              </w:rPr>
            </w:pPr>
          </w:p>
        </w:tc>
        <w:tc>
          <w:tcPr>
            <w:tcW w:w="2009" w:type="dxa"/>
          </w:tcPr>
          <w:p w14:paraId="0D204068" w14:textId="11369A96" w:rsidR="00472A4B" w:rsidRPr="00821568" w:rsidRDefault="00472A4B" w:rsidP="00472A4B">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Pilotimi, ndërtimi i kapaciteteve dhe institucionalizimi i procedurave për vlerësimin e pasurisë së paluajtshme, popullimin dhe mirëmbajtjen e të dhënave të pasurisë së paluajtshme në SIKF</w:t>
            </w:r>
            <w:r w:rsidR="00FD2285" w:rsidRPr="00821568">
              <w:rPr>
                <w:rFonts w:ascii="Garamond" w:hAnsi="Garamond"/>
                <w:sz w:val="12"/>
                <w:szCs w:val="12"/>
              </w:rPr>
              <w:t>.</w:t>
            </w:r>
          </w:p>
        </w:tc>
        <w:tc>
          <w:tcPr>
            <w:tcW w:w="930" w:type="dxa"/>
          </w:tcPr>
          <w:p w14:paraId="29538C7B" w14:textId="77777777" w:rsidR="00472A4B" w:rsidRPr="00821568" w:rsidRDefault="00472A4B" w:rsidP="00472A4B">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T1 2025</w:t>
            </w:r>
          </w:p>
        </w:tc>
        <w:tc>
          <w:tcPr>
            <w:tcW w:w="1154" w:type="dxa"/>
          </w:tcPr>
          <w:p w14:paraId="05411517" w14:textId="77777777" w:rsidR="00472A4B" w:rsidRPr="00821568" w:rsidRDefault="00472A4B" w:rsidP="00472A4B">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&gt; 2026</w:t>
            </w:r>
          </w:p>
        </w:tc>
        <w:tc>
          <w:tcPr>
            <w:tcW w:w="1194" w:type="dxa"/>
          </w:tcPr>
          <w:p w14:paraId="2CD2D4FF" w14:textId="77777777" w:rsidR="00472A4B" w:rsidRPr="00821568" w:rsidRDefault="00472A4B" w:rsidP="00472A4B">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tc>
        <w:tc>
          <w:tcPr>
            <w:tcW w:w="1362" w:type="dxa"/>
          </w:tcPr>
          <w:p w14:paraId="2F41F29C" w14:textId="77777777" w:rsidR="00472A4B" w:rsidRPr="00821568" w:rsidRDefault="00472A4B" w:rsidP="00472A4B">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tc>
      </w:tr>
      <w:tr w:rsidR="00723888" w:rsidRPr="00821568" w14:paraId="4844D888" w14:textId="77777777" w:rsidTr="00472A4B">
        <w:trPr>
          <w:trHeight w:val="20"/>
        </w:trPr>
        <w:tc>
          <w:tcPr>
            <w:cnfStyle w:val="001000000000" w:firstRow="0" w:lastRow="0" w:firstColumn="1" w:lastColumn="0" w:oddVBand="0" w:evenVBand="0" w:oddHBand="0" w:evenHBand="0" w:firstRowFirstColumn="0" w:firstRowLastColumn="0" w:lastRowFirstColumn="0" w:lastRowLastColumn="0"/>
            <w:tcW w:w="2009" w:type="dxa"/>
            <w:vMerge/>
          </w:tcPr>
          <w:p w14:paraId="2E87BC16" w14:textId="77777777" w:rsidR="00472A4B" w:rsidRPr="00821568" w:rsidRDefault="00472A4B" w:rsidP="00472A4B">
            <w:pPr>
              <w:rPr>
                <w:rFonts w:ascii="Garamond" w:hAnsi="Garamond"/>
                <w:sz w:val="12"/>
                <w:szCs w:val="12"/>
              </w:rPr>
            </w:pPr>
          </w:p>
        </w:tc>
        <w:tc>
          <w:tcPr>
            <w:tcW w:w="2009" w:type="dxa"/>
          </w:tcPr>
          <w:p w14:paraId="28475656" w14:textId="76D525A9" w:rsidR="00472A4B" w:rsidRPr="00821568" w:rsidRDefault="00472A4B" w:rsidP="00472A4B">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Përmirësimi i proceseve për mbledhjen e taksës së pasurisë së paluajtshme dhe rritja e ndërgjegjësimit të taksapaguesve</w:t>
            </w:r>
            <w:r w:rsidR="00FD2285" w:rsidRPr="00821568">
              <w:rPr>
                <w:rFonts w:ascii="Garamond" w:hAnsi="Garamond"/>
                <w:sz w:val="12"/>
                <w:szCs w:val="12"/>
              </w:rPr>
              <w:t>.</w:t>
            </w:r>
          </w:p>
        </w:tc>
        <w:tc>
          <w:tcPr>
            <w:tcW w:w="930" w:type="dxa"/>
          </w:tcPr>
          <w:p w14:paraId="53C7D983" w14:textId="77777777" w:rsidR="00472A4B" w:rsidRPr="00821568" w:rsidRDefault="00472A4B" w:rsidP="00472A4B">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T1 2025</w:t>
            </w:r>
          </w:p>
        </w:tc>
        <w:tc>
          <w:tcPr>
            <w:tcW w:w="1154" w:type="dxa"/>
          </w:tcPr>
          <w:p w14:paraId="34F0603D" w14:textId="77777777" w:rsidR="00472A4B" w:rsidRPr="00821568" w:rsidRDefault="00472A4B" w:rsidP="00472A4B">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&gt; 2026</w:t>
            </w:r>
          </w:p>
        </w:tc>
        <w:tc>
          <w:tcPr>
            <w:tcW w:w="1194" w:type="dxa"/>
          </w:tcPr>
          <w:p w14:paraId="04A8E259" w14:textId="77777777" w:rsidR="00472A4B" w:rsidRPr="00821568" w:rsidRDefault="00472A4B" w:rsidP="00472A4B">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tc>
        <w:tc>
          <w:tcPr>
            <w:tcW w:w="1362" w:type="dxa"/>
          </w:tcPr>
          <w:p w14:paraId="5E00302B" w14:textId="77777777" w:rsidR="00472A4B" w:rsidRPr="00821568" w:rsidRDefault="00472A4B" w:rsidP="00472A4B">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tc>
      </w:tr>
    </w:tbl>
    <w:p w14:paraId="1433BD5D" w14:textId="77777777" w:rsidR="00472A4B" w:rsidRPr="00830F4C" w:rsidRDefault="00472A4B" w:rsidP="00472A4B">
      <w:pPr>
        <w:rPr>
          <w:rFonts w:ascii="Garamond" w:hAnsi="Garamond"/>
          <w:sz w:val="20"/>
          <w:szCs w:val="20"/>
        </w:rPr>
      </w:pPr>
    </w:p>
    <w:tbl>
      <w:tblPr>
        <w:tblStyle w:val="GridTable1Light"/>
        <w:tblW w:w="0" w:type="auto"/>
        <w:tblInd w:w="-113" w:type="dxa"/>
        <w:tblLook w:val="04A0" w:firstRow="1" w:lastRow="0" w:firstColumn="1" w:lastColumn="0" w:noHBand="0" w:noVBand="1"/>
      </w:tblPr>
      <w:tblGrid>
        <w:gridCol w:w="814"/>
        <w:gridCol w:w="1670"/>
        <w:gridCol w:w="1590"/>
        <w:gridCol w:w="941"/>
        <w:gridCol w:w="1125"/>
        <w:gridCol w:w="1347"/>
        <w:gridCol w:w="1642"/>
      </w:tblGrid>
      <w:tr w:rsidR="00723888" w:rsidRPr="00821568" w14:paraId="7BE4A393" w14:textId="77777777" w:rsidTr="00A86F3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129" w:type="dxa"/>
            <w:gridSpan w:val="7"/>
          </w:tcPr>
          <w:p w14:paraId="1FF4581A" w14:textId="43DF61F1" w:rsidR="00472A4B" w:rsidRPr="00821568" w:rsidRDefault="00472A4B" w:rsidP="00A86F37">
            <w:pPr>
              <w:rPr>
                <w:rFonts w:ascii="Garamond" w:hAnsi="Garamond"/>
                <w:sz w:val="12"/>
                <w:szCs w:val="12"/>
              </w:rPr>
            </w:pPr>
            <w:r w:rsidRPr="00821568">
              <w:rPr>
                <w:rFonts w:ascii="Garamond" w:hAnsi="Garamond"/>
                <w:sz w:val="12"/>
                <w:szCs w:val="12"/>
              </w:rPr>
              <w:t xml:space="preserve">Qëllimi i </w:t>
            </w:r>
            <w:r w:rsidR="00FD2285" w:rsidRPr="00821568">
              <w:rPr>
                <w:rFonts w:ascii="Garamond" w:hAnsi="Garamond"/>
                <w:sz w:val="12"/>
                <w:szCs w:val="12"/>
              </w:rPr>
              <w:t xml:space="preserve">politikës </w:t>
            </w:r>
            <w:r w:rsidRPr="00821568">
              <w:rPr>
                <w:rFonts w:ascii="Garamond" w:hAnsi="Garamond"/>
                <w:sz w:val="12"/>
                <w:szCs w:val="12"/>
              </w:rPr>
              <w:t>(</w:t>
            </w:r>
            <w:r w:rsidR="00FD2285" w:rsidRPr="00821568">
              <w:rPr>
                <w:rFonts w:ascii="Garamond" w:hAnsi="Garamond"/>
                <w:sz w:val="12"/>
                <w:szCs w:val="12"/>
              </w:rPr>
              <w:t>s</w:t>
            </w:r>
            <w:r w:rsidRPr="00821568">
              <w:rPr>
                <w:rFonts w:ascii="Garamond" w:hAnsi="Garamond"/>
                <w:sz w:val="12"/>
                <w:szCs w:val="12"/>
              </w:rPr>
              <w:t>htylla) 2: Mirëadministrimi tatimor</w:t>
            </w:r>
          </w:p>
        </w:tc>
      </w:tr>
      <w:tr w:rsidR="00723888" w:rsidRPr="00821568" w14:paraId="59D99105"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9129" w:type="dxa"/>
            <w:gridSpan w:val="7"/>
          </w:tcPr>
          <w:p w14:paraId="0D643F35" w14:textId="7DDD8125" w:rsidR="00472A4B" w:rsidRPr="00821568" w:rsidRDefault="00472A4B" w:rsidP="00A86F37">
            <w:pPr>
              <w:rPr>
                <w:rFonts w:ascii="Garamond" w:hAnsi="Garamond"/>
                <w:sz w:val="12"/>
                <w:szCs w:val="12"/>
              </w:rPr>
            </w:pPr>
            <w:r w:rsidRPr="00821568">
              <w:rPr>
                <w:rFonts w:ascii="Garamond" w:hAnsi="Garamond"/>
                <w:sz w:val="12"/>
                <w:szCs w:val="12"/>
              </w:rPr>
              <w:t xml:space="preserve">Objektivi </w:t>
            </w:r>
            <w:r w:rsidR="00FD2285" w:rsidRPr="00821568">
              <w:rPr>
                <w:rFonts w:ascii="Garamond" w:hAnsi="Garamond"/>
                <w:sz w:val="12"/>
                <w:szCs w:val="12"/>
              </w:rPr>
              <w:t xml:space="preserve">specifik </w:t>
            </w:r>
            <w:r w:rsidRPr="00821568">
              <w:rPr>
                <w:rFonts w:ascii="Garamond" w:hAnsi="Garamond"/>
                <w:sz w:val="12"/>
                <w:szCs w:val="12"/>
              </w:rPr>
              <w:t>(</w:t>
            </w:r>
            <w:r w:rsidR="00FD2285" w:rsidRPr="00821568">
              <w:rPr>
                <w:rFonts w:ascii="Garamond" w:hAnsi="Garamond"/>
                <w:sz w:val="12"/>
                <w:szCs w:val="12"/>
              </w:rPr>
              <w:t>komponenti</w:t>
            </w:r>
            <w:r w:rsidRPr="00821568">
              <w:rPr>
                <w:rFonts w:ascii="Garamond" w:hAnsi="Garamond"/>
                <w:sz w:val="12"/>
                <w:szCs w:val="12"/>
              </w:rPr>
              <w:t>) 2.1 Zvogëlimi i hendekut të pajtueshmërisë në lidhje me</w:t>
            </w:r>
            <w:r w:rsidR="00DE65FB" w:rsidRPr="00821568">
              <w:rPr>
                <w:rFonts w:ascii="Garamond" w:hAnsi="Garamond"/>
                <w:sz w:val="12"/>
                <w:szCs w:val="12"/>
              </w:rPr>
              <w:t xml:space="preserve"> TVSh</w:t>
            </w:r>
            <w:r w:rsidRPr="00821568">
              <w:rPr>
                <w:rFonts w:ascii="Garamond" w:hAnsi="Garamond"/>
                <w:sz w:val="12"/>
                <w:szCs w:val="12"/>
              </w:rPr>
              <w:t>-në</w:t>
            </w:r>
          </w:p>
        </w:tc>
      </w:tr>
      <w:tr w:rsidR="00723888" w:rsidRPr="00821568" w14:paraId="05C2C737" w14:textId="77777777" w:rsidTr="00FD2285">
        <w:trPr>
          <w:trHeight w:val="20"/>
        </w:trPr>
        <w:tc>
          <w:tcPr>
            <w:cnfStyle w:val="001000000000" w:firstRow="0" w:lastRow="0" w:firstColumn="1" w:lastColumn="0" w:oddVBand="0" w:evenVBand="0" w:oddHBand="0" w:evenHBand="0" w:firstRowFirstColumn="0" w:firstRowLastColumn="0" w:lastRowFirstColumn="0" w:lastRowLastColumn="0"/>
            <w:tcW w:w="814" w:type="dxa"/>
            <w:vMerge w:val="restart"/>
            <w:vAlign w:val="center"/>
          </w:tcPr>
          <w:p w14:paraId="0A9D5293" w14:textId="06B3F4A3" w:rsidR="00472A4B" w:rsidRPr="00821568" w:rsidRDefault="00472A4B" w:rsidP="00FD2285">
            <w:pPr>
              <w:jc w:val="center"/>
              <w:rPr>
                <w:rFonts w:ascii="Garamond" w:hAnsi="Garamond"/>
                <w:sz w:val="12"/>
                <w:szCs w:val="12"/>
              </w:rPr>
            </w:pPr>
            <w:r w:rsidRPr="00821568">
              <w:rPr>
                <w:rFonts w:ascii="Garamond" w:hAnsi="Garamond"/>
                <w:sz w:val="12"/>
                <w:szCs w:val="12"/>
              </w:rPr>
              <w:t>Nr</w:t>
            </w:r>
            <w:r w:rsidR="008C0C0F" w:rsidRPr="00821568">
              <w:rPr>
                <w:rFonts w:ascii="Garamond" w:hAnsi="Garamond"/>
                <w:sz w:val="12"/>
                <w:szCs w:val="12"/>
              </w:rPr>
              <w:t>.</w:t>
            </w:r>
          </w:p>
        </w:tc>
        <w:tc>
          <w:tcPr>
            <w:tcW w:w="1670" w:type="dxa"/>
            <w:vMerge w:val="restart"/>
            <w:vAlign w:val="center"/>
          </w:tcPr>
          <w:p w14:paraId="50757824"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Masa</w:t>
            </w:r>
          </w:p>
        </w:tc>
        <w:tc>
          <w:tcPr>
            <w:tcW w:w="1590" w:type="dxa"/>
            <w:vMerge w:val="restart"/>
            <w:vAlign w:val="center"/>
          </w:tcPr>
          <w:p w14:paraId="458ED365"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Aktiviteti</w:t>
            </w:r>
          </w:p>
        </w:tc>
        <w:tc>
          <w:tcPr>
            <w:tcW w:w="941" w:type="dxa"/>
            <w:vMerge w:val="restart"/>
            <w:vAlign w:val="center"/>
          </w:tcPr>
          <w:p w14:paraId="1350AD20"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Fillimi</w:t>
            </w:r>
          </w:p>
        </w:tc>
        <w:tc>
          <w:tcPr>
            <w:tcW w:w="1125" w:type="dxa"/>
            <w:vMerge w:val="restart"/>
            <w:vAlign w:val="center"/>
          </w:tcPr>
          <w:p w14:paraId="190E5987"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Mbarimi</w:t>
            </w:r>
          </w:p>
        </w:tc>
        <w:tc>
          <w:tcPr>
            <w:tcW w:w="2989" w:type="dxa"/>
            <w:gridSpan w:val="2"/>
            <w:vAlign w:val="center"/>
          </w:tcPr>
          <w:p w14:paraId="568D4CA9" w14:textId="3B4D9F54"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 xml:space="preserve">Grupet e </w:t>
            </w:r>
            <w:r w:rsidR="00FD2285" w:rsidRPr="00821568">
              <w:rPr>
                <w:rFonts w:ascii="Garamond" w:hAnsi="Garamond"/>
                <w:b/>
                <w:bCs/>
                <w:sz w:val="12"/>
                <w:szCs w:val="12"/>
              </w:rPr>
              <w:t>i</w:t>
            </w:r>
            <w:r w:rsidRPr="00821568">
              <w:rPr>
                <w:rFonts w:ascii="Garamond" w:hAnsi="Garamond"/>
                <w:b/>
                <w:bCs/>
                <w:sz w:val="12"/>
                <w:szCs w:val="12"/>
              </w:rPr>
              <w:t>nteresit</w:t>
            </w:r>
          </w:p>
        </w:tc>
      </w:tr>
      <w:tr w:rsidR="00723888" w:rsidRPr="00821568" w14:paraId="0F65B69F" w14:textId="77777777" w:rsidTr="00FD2285">
        <w:trPr>
          <w:trHeight w:val="20"/>
        </w:trPr>
        <w:tc>
          <w:tcPr>
            <w:cnfStyle w:val="001000000000" w:firstRow="0" w:lastRow="0" w:firstColumn="1" w:lastColumn="0" w:oddVBand="0" w:evenVBand="0" w:oddHBand="0" w:evenHBand="0" w:firstRowFirstColumn="0" w:firstRowLastColumn="0" w:lastRowFirstColumn="0" w:lastRowLastColumn="0"/>
            <w:tcW w:w="814" w:type="dxa"/>
            <w:vMerge/>
            <w:vAlign w:val="center"/>
          </w:tcPr>
          <w:p w14:paraId="1C6137F7" w14:textId="77777777" w:rsidR="00472A4B" w:rsidRPr="00821568" w:rsidRDefault="00472A4B" w:rsidP="00FD2285">
            <w:pPr>
              <w:jc w:val="center"/>
              <w:rPr>
                <w:rFonts w:ascii="Garamond" w:hAnsi="Garamond"/>
                <w:sz w:val="12"/>
                <w:szCs w:val="12"/>
              </w:rPr>
            </w:pPr>
          </w:p>
        </w:tc>
        <w:tc>
          <w:tcPr>
            <w:tcW w:w="1670" w:type="dxa"/>
            <w:vMerge/>
            <w:vAlign w:val="center"/>
          </w:tcPr>
          <w:p w14:paraId="58ACADEF"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1590" w:type="dxa"/>
            <w:vMerge/>
            <w:vAlign w:val="center"/>
          </w:tcPr>
          <w:p w14:paraId="7399944B"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941" w:type="dxa"/>
            <w:vMerge/>
            <w:vAlign w:val="center"/>
          </w:tcPr>
          <w:p w14:paraId="65DB05B8"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1125" w:type="dxa"/>
            <w:vMerge/>
            <w:vAlign w:val="center"/>
          </w:tcPr>
          <w:p w14:paraId="1E774314"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1347" w:type="dxa"/>
            <w:vAlign w:val="center"/>
          </w:tcPr>
          <w:p w14:paraId="60552AEF"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Njësitë përgjegjëse</w:t>
            </w:r>
          </w:p>
        </w:tc>
        <w:tc>
          <w:tcPr>
            <w:tcW w:w="1642" w:type="dxa"/>
            <w:vAlign w:val="center"/>
          </w:tcPr>
          <w:p w14:paraId="3E5CF668"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Partnerët</w:t>
            </w:r>
          </w:p>
        </w:tc>
      </w:tr>
      <w:tr w:rsidR="00723888" w:rsidRPr="00821568" w14:paraId="1868ED5D"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4C1BA623"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2.1.1</w:t>
            </w:r>
          </w:p>
        </w:tc>
        <w:tc>
          <w:tcPr>
            <w:tcW w:w="1670" w:type="dxa"/>
          </w:tcPr>
          <w:p w14:paraId="5BC16547"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bCs/>
                <w:sz w:val="12"/>
                <w:szCs w:val="12"/>
              </w:rPr>
              <w:t>Trajtimi i sektorit të ndërtimit dhe parandalimi i humbjeve tatimore në zinxhirin e furnizimit të nënkontraktorëve</w:t>
            </w:r>
          </w:p>
        </w:tc>
        <w:tc>
          <w:tcPr>
            <w:tcW w:w="1590" w:type="dxa"/>
          </w:tcPr>
          <w:p w14:paraId="25574975"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Kryerja e një analize të detajuar në sektorin e ndërtimit, përfshirë zinxhirin e transaksioneve me nënkontraktorët.</w:t>
            </w:r>
          </w:p>
          <w:p w14:paraId="20A9E03A" w14:textId="1AF111E4"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 xml:space="preserve">Hartimi dhe zbatimi </w:t>
            </w:r>
            <w:r w:rsidR="00FD2285" w:rsidRPr="00821568">
              <w:rPr>
                <w:rFonts w:ascii="Garamond" w:hAnsi="Garamond"/>
                <w:sz w:val="12"/>
                <w:szCs w:val="12"/>
              </w:rPr>
              <w:t>p</w:t>
            </w:r>
            <w:r w:rsidRPr="00821568">
              <w:rPr>
                <w:rFonts w:ascii="Garamond" w:hAnsi="Garamond"/>
                <w:sz w:val="12"/>
                <w:szCs w:val="12"/>
              </w:rPr>
              <w:t>lanit sektorial të sektorit të ndërtimit</w:t>
            </w:r>
            <w:r w:rsidR="00FD2285" w:rsidRPr="00821568">
              <w:rPr>
                <w:rFonts w:ascii="Garamond" w:hAnsi="Garamond"/>
                <w:sz w:val="12"/>
                <w:szCs w:val="12"/>
              </w:rPr>
              <w:t>.</w:t>
            </w:r>
          </w:p>
        </w:tc>
        <w:tc>
          <w:tcPr>
            <w:tcW w:w="941" w:type="dxa"/>
          </w:tcPr>
          <w:p w14:paraId="300BD8EE"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2025</w:t>
            </w:r>
          </w:p>
        </w:tc>
        <w:tc>
          <w:tcPr>
            <w:tcW w:w="1125" w:type="dxa"/>
          </w:tcPr>
          <w:p w14:paraId="518DDD5B"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2027</w:t>
            </w:r>
          </w:p>
        </w:tc>
        <w:tc>
          <w:tcPr>
            <w:tcW w:w="1347" w:type="dxa"/>
          </w:tcPr>
          <w:p w14:paraId="4A71BD0E"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DPT</w:t>
            </w:r>
          </w:p>
        </w:tc>
        <w:tc>
          <w:tcPr>
            <w:tcW w:w="1642" w:type="dxa"/>
          </w:tcPr>
          <w:p w14:paraId="086EA97E" w14:textId="657D2B8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 xml:space="preserve">Shoqata e Ndërtuesve/Agjencia e Planifikimit </w:t>
            </w:r>
            <w:r w:rsidR="008C0C0F" w:rsidRPr="00821568">
              <w:rPr>
                <w:rFonts w:ascii="Garamond" w:hAnsi="Garamond"/>
                <w:sz w:val="12"/>
                <w:szCs w:val="12"/>
              </w:rPr>
              <w:t xml:space="preserve">të </w:t>
            </w:r>
            <w:r w:rsidRPr="00821568">
              <w:rPr>
                <w:rFonts w:ascii="Garamond" w:hAnsi="Garamond"/>
                <w:sz w:val="12"/>
                <w:szCs w:val="12"/>
              </w:rPr>
              <w:t>Territorit</w:t>
            </w:r>
          </w:p>
        </w:tc>
      </w:tr>
      <w:tr w:rsidR="00723888" w:rsidRPr="00821568" w14:paraId="07092429"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0C66D12B"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2.1.2</w:t>
            </w:r>
          </w:p>
        </w:tc>
        <w:tc>
          <w:tcPr>
            <w:tcW w:w="1670" w:type="dxa"/>
          </w:tcPr>
          <w:p w14:paraId="5F7323EE"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bCs/>
                <w:sz w:val="12"/>
                <w:szCs w:val="12"/>
              </w:rPr>
              <w:t>Vlerësimi i performancës së sektorit të turizmit dhe hartimi i planit të dedikuar sektorial</w:t>
            </w:r>
          </w:p>
        </w:tc>
        <w:tc>
          <w:tcPr>
            <w:tcW w:w="1590" w:type="dxa"/>
          </w:tcPr>
          <w:p w14:paraId="5F363BF9" w14:textId="2D482621"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Analizë e risqeve të mospajtueshmërisë në sektorin e turizmit</w:t>
            </w:r>
            <w:r w:rsidR="00FD2285" w:rsidRPr="00821568">
              <w:rPr>
                <w:rFonts w:ascii="Garamond" w:hAnsi="Garamond"/>
                <w:sz w:val="12"/>
                <w:szCs w:val="12"/>
              </w:rPr>
              <w:t>.</w:t>
            </w:r>
          </w:p>
          <w:p w14:paraId="3EA7A97B"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Hartimi dhe zbatimi i planeve vjetore sektoriale të Turizmit.</w:t>
            </w:r>
          </w:p>
        </w:tc>
        <w:tc>
          <w:tcPr>
            <w:tcW w:w="941" w:type="dxa"/>
          </w:tcPr>
          <w:p w14:paraId="411DAE5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2024</w:t>
            </w:r>
          </w:p>
        </w:tc>
        <w:tc>
          <w:tcPr>
            <w:tcW w:w="1125" w:type="dxa"/>
          </w:tcPr>
          <w:p w14:paraId="2AB65DEE"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2027</w:t>
            </w:r>
          </w:p>
        </w:tc>
        <w:tc>
          <w:tcPr>
            <w:tcW w:w="1347" w:type="dxa"/>
          </w:tcPr>
          <w:p w14:paraId="313E45E2"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DPT</w:t>
            </w:r>
          </w:p>
        </w:tc>
        <w:tc>
          <w:tcPr>
            <w:tcW w:w="1642" w:type="dxa"/>
          </w:tcPr>
          <w:p w14:paraId="3D0BC173"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Ministria përgjegjëse për turizmin. Shoqata e Turizmit</w:t>
            </w:r>
          </w:p>
        </w:tc>
      </w:tr>
      <w:tr w:rsidR="00723888" w:rsidRPr="00821568" w14:paraId="423B4FD3"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04BCE209"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2.1.3</w:t>
            </w:r>
          </w:p>
        </w:tc>
        <w:tc>
          <w:tcPr>
            <w:tcW w:w="1670" w:type="dxa"/>
          </w:tcPr>
          <w:p w14:paraId="5D381C07" w14:textId="222ABA8F"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bCs/>
                <w:sz w:val="12"/>
                <w:szCs w:val="12"/>
              </w:rPr>
              <w:t>Identifikimi i aktivite</w:t>
            </w:r>
            <w:r w:rsidR="008C0C0F" w:rsidRPr="00821568">
              <w:rPr>
                <w:rFonts w:ascii="Garamond" w:hAnsi="Garamond"/>
                <w:bCs/>
                <w:sz w:val="12"/>
                <w:szCs w:val="12"/>
              </w:rPr>
              <w:t>te</w:t>
            </w:r>
            <w:r w:rsidRPr="00821568">
              <w:rPr>
                <w:rFonts w:ascii="Garamond" w:hAnsi="Garamond"/>
                <w:bCs/>
                <w:sz w:val="12"/>
                <w:szCs w:val="12"/>
              </w:rPr>
              <w:t>ve digjitale/elektronike në të gjithë sektorët e ekonomisë</w:t>
            </w:r>
          </w:p>
          <w:p w14:paraId="4C98318D"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p>
        </w:tc>
        <w:tc>
          <w:tcPr>
            <w:tcW w:w="1590" w:type="dxa"/>
          </w:tcPr>
          <w:p w14:paraId="05B1D57A"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Analizë e risqeve të mospajtueshmërisë</w:t>
            </w:r>
          </w:p>
          <w:p w14:paraId="12576857"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në sektorin e shërbimeve/tregtisë digjitale.</w:t>
            </w:r>
          </w:p>
          <w:p w14:paraId="3E4A7BDE" w14:textId="43EB92B6"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Hartimi dhe zbatimi i planit Sektorial të Tregtisë elektronike</w:t>
            </w:r>
            <w:r w:rsidR="00FD2285" w:rsidRPr="00821568">
              <w:rPr>
                <w:rFonts w:ascii="Garamond" w:hAnsi="Garamond"/>
                <w:sz w:val="12"/>
                <w:szCs w:val="12"/>
              </w:rPr>
              <w:t>.</w:t>
            </w:r>
          </w:p>
        </w:tc>
        <w:tc>
          <w:tcPr>
            <w:tcW w:w="941" w:type="dxa"/>
          </w:tcPr>
          <w:p w14:paraId="4A7EB835"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2026</w:t>
            </w:r>
          </w:p>
        </w:tc>
        <w:tc>
          <w:tcPr>
            <w:tcW w:w="1125" w:type="dxa"/>
          </w:tcPr>
          <w:p w14:paraId="7A6DAACF"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2027</w:t>
            </w:r>
          </w:p>
        </w:tc>
        <w:tc>
          <w:tcPr>
            <w:tcW w:w="1347" w:type="dxa"/>
          </w:tcPr>
          <w:p w14:paraId="5C3EB412"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DPT</w:t>
            </w:r>
          </w:p>
        </w:tc>
        <w:tc>
          <w:tcPr>
            <w:tcW w:w="1642" w:type="dxa"/>
          </w:tcPr>
          <w:p w14:paraId="6C8EED87"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AKEP/MF</w:t>
            </w:r>
          </w:p>
        </w:tc>
      </w:tr>
      <w:tr w:rsidR="00723888" w:rsidRPr="00821568" w14:paraId="3ECE728A"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78722E30"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2.1.4</w:t>
            </w:r>
          </w:p>
        </w:tc>
        <w:tc>
          <w:tcPr>
            <w:tcW w:w="1670" w:type="dxa"/>
          </w:tcPr>
          <w:p w14:paraId="4F62CDCA" w14:textId="3F6817F9"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bCs/>
                <w:sz w:val="12"/>
                <w:szCs w:val="12"/>
              </w:rPr>
              <w:t>Trajtimi i sektorëve të tjerë të identifikuar me risk nëpërmjet metodave moderne të menaxhimit të riskut për të rritur pajtueshmërinë vullnetare</w:t>
            </w:r>
          </w:p>
          <w:p w14:paraId="1C7D9D05"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p>
        </w:tc>
        <w:tc>
          <w:tcPr>
            <w:tcW w:w="1590" w:type="dxa"/>
          </w:tcPr>
          <w:p w14:paraId="19FD8C1B"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Analizë e risqeve të mospajtueshmërisë</w:t>
            </w:r>
          </w:p>
          <w:p w14:paraId="2EF49FA2"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në sektorët e tjerë.</w:t>
            </w:r>
          </w:p>
          <w:p w14:paraId="799CC9B0"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Hartimi i Planeve sektoriale të pajtueshmërisë në sektorët e evidentuar me risk.</w:t>
            </w:r>
          </w:p>
        </w:tc>
        <w:tc>
          <w:tcPr>
            <w:tcW w:w="941" w:type="dxa"/>
          </w:tcPr>
          <w:p w14:paraId="0EF25BDA"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2024</w:t>
            </w:r>
          </w:p>
        </w:tc>
        <w:tc>
          <w:tcPr>
            <w:tcW w:w="1125" w:type="dxa"/>
          </w:tcPr>
          <w:p w14:paraId="02BA77DE"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2027</w:t>
            </w:r>
          </w:p>
        </w:tc>
        <w:tc>
          <w:tcPr>
            <w:tcW w:w="1347" w:type="dxa"/>
          </w:tcPr>
          <w:p w14:paraId="46951F91"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DPT</w:t>
            </w:r>
          </w:p>
        </w:tc>
        <w:tc>
          <w:tcPr>
            <w:tcW w:w="1642" w:type="dxa"/>
          </w:tcPr>
          <w:p w14:paraId="61E8E60D"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Shoqatat e Biznesit</w:t>
            </w:r>
          </w:p>
        </w:tc>
      </w:tr>
      <w:tr w:rsidR="00723888" w:rsidRPr="00821568" w14:paraId="34EC61DE"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110CEE9A"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2.1.5</w:t>
            </w:r>
          </w:p>
        </w:tc>
        <w:tc>
          <w:tcPr>
            <w:tcW w:w="1670" w:type="dxa"/>
            <w:vMerge w:val="restart"/>
          </w:tcPr>
          <w:p w14:paraId="382A54F3"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p>
          <w:p w14:paraId="4B09C14C" w14:textId="3A0116EE"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bCs/>
                <w:sz w:val="12"/>
                <w:szCs w:val="12"/>
              </w:rPr>
              <w:t>Zgjerimi i bazës së tatueshme me rritjen e numrit të tatimpaguesve të përfshirë në përgjegjësinë e</w:t>
            </w:r>
            <w:r w:rsidR="00DE65FB" w:rsidRPr="00821568">
              <w:rPr>
                <w:rFonts w:ascii="Garamond" w:hAnsi="Garamond"/>
                <w:bCs/>
                <w:sz w:val="12"/>
                <w:szCs w:val="12"/>
              </w:rPr>
              <w:t xml:space="preserve"> TVSh</w:t>
            </w:r>
            <w:r w:rsidRPr="00821568">
              <w:rPr>
                <w:rFonts w:ascii="Garamond" w:hAnsi="Garamond"/>
                <w:bCs/>
                <w:sz w:val="12"/>
                <w:szCs w:val="12"/>
              </w:rPr>
              <w:t>-së.</w:t>
            </w:r>
          </w:p>
          <w:p w14:paraId="50496457"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p>
        </w:tc>
        <w:tc>
          <w:tcPr>
            <w:tcW w:w="1590" w:type="dxa"/>
          </w:tcPr>
          <w:p w14:paraId="2A9B2E61" w14:textId="72A4C76A"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Krijimi i kritereve të reja</w:t>
            </w:r>
            <w:r w:rsidR="00D22EA5" w:rsidRPr="00821568">
              <w:rPr>
                <w:rFonts w:ascii="Garamond" w:hAnsi="Garamond"/>
                <w:sz w:val="12"/>
                <w:szCs w:val="12"/>
              </w:rPr>
              <w:t xml:space="preserve"> </w:t>
            </w:r>
            <w:r w:rsidRPr="00821568">
              <w:rPr>
                <w:rFonts w:ascii="Garamond" w:hAnsi="Garamond"/>
                <w:sz w:val="12"/>
                <w:szCs w:val="12"/>
              </w:rPr>
              <w:t>të riskut me qëllim evidentimin e tatimpaguesve me riskun e shmangies së</w:t>
            </w:r>
            <w:r w:rsidR="00DE65FB" w:rsidRPr="00821568">
              <w:rPr>
                <w:rFonts w:ascii="Garamond" w:hAnsi="Garamond"/>
                <w:sz w:val="12"/>
                <w:szCs w:val="12"/>
              </w:rPr>
              <w:t xml:space="preserve"> TVSh</w:t>
            </w:r>
            <w:r w:rsidRPr="00821568">
              <w:rPr>
                <w:rFonts w:ascii="Garamond" w:hAnsi="Garamond"/>
                <w:sz w:val="12"/>
                <w:szCs w:val="12"/>
              </w:rPr>
              <w:t>-së.</w:t>
            </w:r>
          </w:p>
        </w:tc>
        <w:tc>
          <w:tcPr>
            <w:tcW w:w="941" w:type="dxa"/>
          </w:tcPr>
          <w:p w14:paraId="1E4F11BD"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2024</w:t>
            </w:r>
          </w:p>
        </w:tc>
        <w:tc>
          <w:tcPr>
            <w:tcW w:w="1125" w:type="dxa"/>
          </w:tcPr>
          <w:p w14:paraId="5A68329C"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2027</w:t>
            </w:r>
          </w:p>
        </w:tc>
        <w:tc>
          <w:tcPr>
            <w:tcW w:w="1347" w:type="dxa"/>
          </w:tcPr>
          <w:p w14:paraId="6A6A784A"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DPT</w:t>
            </w:r>
          </w:p>
        </w:tc>
        <w:tc>
          <w:tcPr>
            <w:tcW w:w="1642" w:type="dxa"/>
          </w:tcPr>
          <w:p w14:paraId="1195A51F"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tc>
      </w:tr>
      <w:tr w:rsidR="00723888" w:rsidRPr="00821568" w14:paraId="07D0EA19"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6B733FB0" w14:textId="77777777" w:rsidR="00472A4B" w:rsidRPr="00821568" w:rsidRDefault="00472A4B" w:rsidP="00A86F37">
            <w:pPr>
              <w:rPr>
                <w:rFonts w:ascii="Garamond" w:hAnsi="Garamond"/>
                <w:sz w:val="12"/>
                <w:szCs w:val="12"/>
              </w:rPr>
            </w:pPr>
          </w:p>
        </w:tc>
        <w:tc>
          <w:tcPr>
            <w:tcW w:w="1670" w:type="dxa"/>
            <w:vMerge/>
          </w:tcPr>
          <w:p w14:paraId="3F5F2C10"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1590" w:type="dxa"/>
          </w:tcPr>
          <w:p w14:paraId="412A35A8" w14:textId="1F55C03C"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Finalizim i parambushjes së deklaratës së</w:t>
            </w:r>
            <w:r w:rsidR="00DE65FB" w:rsidRPr="00821568">
              <w:rPr>
                <w:rFonts w:ascii="Garamond" w:hAnsi="Garamond"/>
                <w:sz w:val="12"/>
                <w:szCs w:val="12"/>
              </w:rPr>
              <w:t xml:space="preserve"> TVSh</w:t>
            </w:r>
            <w:r w:rsidR="00FD2285" w:rsidRPr="00821568">
              <w:rPr>
                <w:rFonts w:ascii="Garamond" w:hAnsi="Garamond"/>
                <w:sz w:val="12"/>
                <w:szCs w:val="12"/>
              </w:rPr>
              <w:t>-së.</w:t>
            </w:r>
          </w:p>
        </w:tc>
        <w:tc>
          <w:tcPr>
            <w:tcW w:w="941" w:type="dxa"/>
          </w:tcPr>
          <w:p w14:paraId="0B5951B0"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2025</w:t>
            </w:r>
          </w:p>
        </w:tc>
        <w:tc>
          <w:tcPr>
            <w:tcW w:w="1125" w:type="dxa"/>
          </w:tcPr>
          <w:p w14:paraId="7C9F96BD"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2026</w:t>
            </w:r>
          </w:p>
        </w:tc>
        <w:tc>
          <w:tcPr>
            <w:tcW w:w="1347" w:type="dxa"/>
          </w:tcPr>
          <w:p w14:paraId="1166CDA5"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DPT</w:t>
            </w:r>
          </w:p>
        </w:tc>
        <w:tc>
          <w:tcPr>
            <w:tcW w:w="1642" w:type="dxa"/>
          </w:tcPr>
          <w:p w14:paraId="2FEBE585"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tc>
      </w:tr>
      <w:tr w:rsidR="00723888" w:rsidRPr="00821568" w14:paraId="58699141"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9129" w:type="dxa"/>
            <w:gridSpan w:val="7"/>
          </w:tcPr>
          <w:p w14:paraId="74B17F32" w14:textId="5FE1A990" w:rsidR="00472A4B" w:rsidRPr="00821568" w:rsidRDefault="00472A4B" w:rsidP="00A86F37">
            <w:pPr>
              <w:rPr>
                <w:rFonts w:ascii="Garamond" w:hAnsi="Garamond"/>
                <w:sz w:val="12"/>
                <w:szCs w:val="12"/>
              </w:rPr>
            </w:pPr>
            <w:r w:rsidRPr="00821568">
              <w:rPr>
                <w:rFonts w:ascii="Garamond" w:hAnsi="Garamond"/>
                <w:sz w:val="12"/>
                <w:szCs w:val="12"/>
              </w:rPr>
              <w:t xml:space="preserve">Objektivi </w:t>
            </w:r>
            <w:r w:rsidR="00FD2285" w:rsidRPr="00821568">
              <w:rPr>
                <w:rFonts w:ascii="Garamond" w:hAnsi="Garamond"/>
                <w:sz w:val="12"/>
                <w:szCs w:val="12"/>
              </w:rPr>
              <w:t>s</w:t>
            </w:r>
            <w:r w:rsidRPr="00821568">
              <w:rPr>
                <w:rFonts w:ascii="Garamond" w:hAnsi="Garamond"/>
                <w:sz w:val="12"/>
                <w:szCs w:val="12"/>
              </w:rPr>
              <w:t>pecifik (</w:t>
            </w:r>
            <w:r w:rsidR="00FD2285" w:rsidRPr="00821568">
              <w:rPr>
                <w:rFonts w:ascii="Garamond" w:hAnsi="Garamond"/>
                <w:sz w:val="12"/>
                <w:szCs w:val="12"/>
              </w:rPr>
              <w:t>k</w:t>
            </w:r>
            <w:r w:rsidRPr="00821568">
              <w:rPr>
                <w:rFonts w:ascii="Garamond" w:hAnsi="Garamond"/>
                <w:sz w:val="12"/>
                <w:szCs w:val="12"/>
              </w:rPr>
              <w:t>omponenti) 2.2 Ulja e pagesave me para në dorë në ekonomi</w:t>
            </w:r>
          </w:p>
        </w:tc>
      </w:tr>
      <w:tr w:rsidR="00723888" w:rsidRPr="00821568" w14:paraId="663C31A6" w14:textId="77777777" w:rsidTr="00FD2285">
        <w:trPr>
          <w:trHeight w:val="20"/>
        </w:trPr>
        <w:tc>
          <w:tcPr>
            <w:cnfStyle w:val="001000000000" w:firstRow="0" w:lastRow="0" w:firstColumn="1" w:lastColumn="0" w:oddVBand="0" w:evenVBand="0" w:oddHBand="0" w:evenHBand="0" w:firstRowFirstColumn="0" w:firstRowLastColumn="0" w:lastRowFirstColumn="0" w:lastRowLastColumn="0"/>
            <w:tcW w:w="814" w:type="dxa"/>
            <w:vMerge w:val="restart"/>
            <w:vAlign w:val="center"/>
          </w:tcPr>
          <w:p w14:paraId="64F660A0" w14:textId="6F32D22D" w:rsidR="00472A4B" w:rsidRPr="00821568" w:rsidRDefault="00472A4B" w:rsidP="00FD2285">
            <w:pPr>
              <w:jc w:val="center"/>
              <w:rPr>
                <w:rFonts w:ascii="Garamond" w:hAnsi="Garamond"/>
                <w:sz w:val="12"/>
                <w:szCs w:val="12"/>
              </w:rPr>
            </w:pPr>
            <w:r w:rsidRPr="00821568">
              <w:rPr>
                <w:rFonts w:ascii="Garamond" w:hAnsi="Garamond"/>
                <w:sz w:val="12"/>
                <w:szCs w:val="12"/>
              </w:rPr>
              <w:t>Nr</w:t>
            </w:r>
            <w:r w:rsidR="00FD2285" w:rsidRPr="00821568">
              <w:rPr>
                <w:rFonts w:ascii="Garamond" w:hAnsi="Garamond"/>
                <w:sz w:val="12"/>
                <w:szCs w:val="12"/>
              </w:rPr>
              <w:t>.</w:t>
            </w:r>
          </w:p>
        </w:tc>
        <w:tc>
          <w:tcPr>
            <w:tcW w:w="1670" w:type="dxa"/>
            <w:vMerge w:val="restart"/>
            <w:vAlign w:val="center"/>
          </w:tcPr>
          <w:p w14:paraId="5AE5B72F"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Masa</w:t>
            </w:r>
          </w:p>
        </w:tc>
        <w:tc>
          <w:tcPr>
            <w:tcW w:w="1590" w:type="dxa"/>
            <w:vMerge w:val="restart"/>
            <w:vAlign w:val="center"/>
          </w:tcPr>
          <w:p w14:paraId="39B176D8"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Aktiviteti</w:t>
            </w:r>
          </w:p>
        </w:tc>
        <w:tc>
          <w:tcPr>
            <w:tcW w:w="941" w:type="dxa"/>
            <w:vMerge w:val="restart"/>
            <w:vAlign w:val="center"/>
          </w:tcPr>
          <w:p w14:paraId="6828FE1B"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Fillimi</w:t>
            </w:r>
          </w:p>
        </w:tc>
        <w:tc>
          <w:tcPr>
            <w:tcW w:w="1125" w:type="dxa"/>
            <w:vMerge w:val="restart"/>
            <w:vAlign w:val="center"/>
          </w:tcPr>
          <w:p w14:paraId="07A93026"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Mbarimi</w:t>
            </w:r>
          </w:p>
        </w:tc>
        <w:tc>
          <w:tcPr>
            <w:tcW w:w="2989" w:type="dxa"/>
            <w:gridSpan w:val="2"/>
            <w:vAlign w:val="center"/>
          </w:tcPr>
          <w:p w14:paraId="00A8C939" w14:textId="5E25C0FD"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 xml:space="preserve">Grupet e </w:t>
            </w:r>
            <w:r w:rsidR="00FD2285" w:rsidRPr="00821568">
              <w:rPr>
                <w:rFonts w:ascii="Garamond" w:hAnsi="Garamond"/>
                <w:b/>
                <w:bCs/>
                <w:sz w:val="12"/>
                <w:szCs w:val="12"/>
              </w:rPr>
              <w:t>i</w:t>
            </w:r>
            <w:r w:rsidRPr="00821568">
              <w:rPr>
                <w:rFonts w:ascii="Garamond" w:hAnsi="Garamond"/>
                <w:b/>
                <w:bCs/>
                <w:sz w:val="12"/>
                <w:szCs w:val="12"/>
              </w:rPr>
              <w:t>nteresit</w:t>
            </w:r>
          </w:p>
        </w:tc>
      </w:tr>
      <w:tr w:rsidR="00723888" w:rsidRPr="00821568" w14:paraId="700D1867" w14:textId="77777777" w:rsidTr="00FD2285">
        <w:trPr>
          <w:trHeight w:val="20"/>
        </w:trPr>
        <w:tc>
          <w:tcPr>
            <w:cnfStyle w:val="001000000000" w:firstRow="0" w:lastRow="0" w:firstColumn="1" w:lastColumn="0" w:oddVBand="0" w:evenVBand="0" w:oddHBand="0" w:evenHBand="0" w:firstRowFirstColumn="0" w:firstRowLastColumn="0" w:lastRowFirstColumn="0" w:lastRowLastColumn="0"/>
            <w:tcW w:w="814" w:type="dxa"/>
            <w:vMerge/>
            <w:vAlign w:val="center"/>
          </w:tcPr>
          <w:p w14:paraId="2E499203" w14:textId="77777777" w:rsidR="00472A4B" w:rsidRPr="00821568" w:rsidRDefault="00472A4B" w:rsidP="00FD2285">
            <w:pPr>
              <w:jc w:val="center"/>
              <w:rPr>
                <w:rFonts w:ascii="Garamond" w:hAnsi="Garamond"/>
                <w:sz w:val="12"/>
                <w:szCs w:val="12"/>
              </w:rPr>
            </w:pPr>
          </w:p>
        </w:tc>
        <w:tc>
          <w:tcPr>
            <w:tcW w:w="1670" w:type="dxa"/>
            <w:vMerge/>
            <w:vAlign w:val="center"/>
          </w:tcPr>
          <w:p w14:paraId="577340D3"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1590" w:type="dxa"/>
            <w:vMerge/>
            <w:vAlign w:val="center"/>
          </w:tcPr>
          <w:p w14:paraId="7B8AC048"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941" w:type="dxa"/>
            <w:vMerge/>
            <w:vAlign w:val="center"/>
          </w:tcPr>
          <w:p w14:paraId="14FF7E00"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1125" w:type="dxa"/>
            <w:vMerge/>
            <w:vAlign w:val="center"/>
          </w:tcPr>
          <w:p w14:paraId="28917296"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1347" w:type="dxa"/>
            <w:vAlign w:val="center"/>
          </w:tcPr>
          <w:p w14:paraId="6EE59AE3"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Njësitë përgjegjëse</w:t>
            </w:r>
          </w:p>
        </w:tc>
        <w:tc>
          <w:tcPr>
            <w:tcW w:w="1642" w:type="dxa"/>
            <w:vAlign w:val="center"/>
          </w:tcPr>
          <w:p w14:paraId="7973F1B8"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Partnerët</w:t>
            </w:r>
          </w:p>
        </w:tc>
      </w:tr>
      <w:tr w:rsidR="00723888" w:rsidRPr="00821568" w14:paraId="33DFD835"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416E0B4C"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2.2.1</w:t>
            </w:r>
          </w:p>
        </w:tc>
        <w:tc>
          <w:tcPr>
            <w:tcW w:w="1670" w:type="dxa"/>
          </w:tcPr>
          <w:p w14:paraId="35B44165"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Zbatimi i një plani masash nga administrata tatimore për të ulur pagesat me para në dorë në ekonomi</w:t>
            </w:r>
          </w:p>
          <w:p w14:paraId="5F3D90E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tc>
        <w:tc>
          <w:tcPr>
            <w:tcW w:w="1590" w:type="dxa"/>
          </w:tcPr>
          <w:p w14:paraId="57ED36F3" w14:textId="6969A098"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Vendosja</w:t>
            </w:r>
            <w:r w:rsidR="00D22EA5" w:rsidRPr="00821568">
              <w:rPr>
                <w:rFonts w:ascii="Garamond" w:hAnsi="Garamond"/>
                <w:sz w:val="12"/>
                <w:szCs w:val="12"/>
              </w:rPr>
              <w:t xml:space="preserve"> </w:t>
            </w:r>
            <w:r w:rsidRPr="00821568">
              <w:rPr>
                <w:rFonts w:ascii="Garamond" w:hAnsi="Garamond"/>
                <w:sz w:val="12"/>
                <w:szCs w:val="12"/>
              </w:rPr>
              <w:t xml:space="preserve">një limiti për pagesat </w:t>
            </w:r>
            <w:r w:rsidRPr="00821568">
              <w:rPr>
                <w:rFonts w:ascii="Garamond" w:hAnsi="Garamond"/>
                <w:i/>
                <w:sz w:val="12"/>
                <w:szCs w:val="12"/>
              </w:rPr>
              <w:t>cash</w:t>
            </w:r>
            <w:r w:rsidRPr="00821568">
              <w:rPr>
                <w:rFonts w:ascii="Garamond" w:hAnsi="Garamond"/>
                <w:sz w:val="12"/>
                <w:szCs w:val="12"/>
              </w:rPr>
              <w:t xml:space="preserve"> mes individëve</w:t>
            </w:r>
            <w:r w:rsidR="00FD2285" w:rsidRPr="00821568">
              <w:rPr>
                <w:rFonts w:ascii="Garamond" w:hAnsi="Garamond"/>
                <w:sz w:val="12"/>
                <w:szCs w:val="12"/>
              </w:rPr>
              <w:t>.</w:t>
            </w:r>
          </w:p>
          <w:p w14:paraId="4261EF3B" w14:textId="3168D32B"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 xml:space="preserve">Reduktimi i </w:t>
            </w:r>
            <w:r w:rsidR="008C0C0F" w:rsidRPr="00821568">
              <w:rPr>
                <w:rFonts w:ascii="Garamond" w:hAnsi="Garamond"/>
                <w:sz w:val="12"/>
                <w:szCs w:val="12"/>
              </w:rPr>
              <w:t>mëtejshëm</w:t>
            </w:r>
            <w:r w:rsidR="00D22EA5" w:rsidRPr="00821568">
              <w:rPr>
                <w:rFonts w:ascii="Garamond" w:hAnsi="Garamond"/>
                <w:sz w:val="12"/>
                <w:szCs w:val="12"/>
              </w:rPr>
              <w:t xml:space="preserve"> </w:t>
            </w:r>
            <w:r w:rsidRPr="00821568">
              <w:rPr>
                <w:rFonts w:ascii="Garamond" w:hAnsi="Garamond"/>
                <w:sz w:val="12"/>
                <w:szCs w:val="12"/>
              </w:rPr>
              <w:t>për pagesat me para në dorë mes bizneseve nga 150.000 lekë që është aktualisht.</w:t>
            </w:r>
          </w:p>
          <w:p w14:paraId="422373F0" w14:textId="1D79EE7E"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Krijimi i rregullave të riskut të cilat evidentojnë tatimpaguesit të cilët fragmentizojnë faturat pë</w:t>
            </w:r>
            <w:r w:rsidR="008C0C0F" w:rsidRPr="00821568">
              <w:rPr>
                <w:rFonts w:ascii="Garamond" w:hAnsi="Garamond"/>
                <w:sz w:val="12"/>
                <w:szCs w:val="12"/>
              </w:rPr>
              <w:t>r</w:t>
            </w:r>
            <w:r w:rsidRPr="00821568">
              <w:rPr>
                <w:rFonts w:ascii="Garamond" w:hAnsi="Garamond"/>
                <w:sz w:val="12"/>
                <w:szCs w:val="12"/>
              </w:rPr>
              <w:t xml:space="preserve"> të mos kaluar limitin që përcakton ligj, tatimpaguesit që kanë nivel anormal të faturimit me para në dorë krahasuar me të ngjashmit e tyre.</w:t>
            </w:r>
          </w:p>
        </w:tc>
        <w:tc>
          <w:tcPr>
            <w:tcW w:w="941" w:type="dxa"/>
          </w:tcPr>
          <w:p w14:paraId="65239F4B"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2025</w:t>
            </w:r>
          </w:p>
        </w:tc>
        <w:tc>
          <w:tcPr>
            <w:tcW w:w="1125" w:type="dxa"/>
          </w:tcPr>
          <w:p w14:paraId="22A2E9AC"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2026</w:t>
            </w:r>
          </w:p>
        </w:tc>
        <w:tc>
          <w:tcPr>
            <w:tcW w:w="1347" w:type="dxa"/>
          </w:tcPr>
          <w:p w14:paraId="5EEB34C3"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sz w:val="12"/>
                <w:szCs w:val="12"/>
              </w:rPr>
              <w:t>MF/ DPT</w:t>
            </w:r>
          </w:p>
        </w:tc>
        <w:tc>
          <w:tcPr>
            <w:tcW w:w="1642" w:type="dxa"/>
          </w:tcPr>
          <w:p w14:paraId="00540F6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p>
        </w:tc>
      </w:tr>
      <w:tr w:rsidR="00723888" w:rsidRPr="00821568" w14:paraId="5BC73061"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2D76316A"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2.2.2</w:t>
            </w:r>
          </w:p>
        </w:tc>
        <w:tc>
          <w:tcPr>
            <w:tcW w:w="1670" w:type="dxa"/>
          </w:tcPr>
          <w:p w14:paraId="2A526E4D" w14:textId="612F6C6A"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Diskutimi me sektorin Bankar për reduktimin e komisioneve bankare për tatimpaguesit që përdorin POS</w:t>
            </w:r>
            <w:r w:rsidR="00FD2285" w:rsidRPr="00821568">
              <w:rPr>
                <w:rFonts w:ascii="Garamond" w:hAnsi="Garamond"/>
                <w:sz w:val="12"/>
                <w:szCs w:val="12"/>
              </w:rPr>
              <w:t>-et</w:t>
            </w:r>
          </w:p>
          <w:p w14:paraId="375E3BB1"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tc>
        <w:tc>
          <w:tcPr>
            <w:tcW w:w="1590" w:type="dxa"/>
          </w:tcPr>
          <w:p w14:paraId="3524C639" w14:textId="11D62B6D"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bCs/>
                <w:sz w:val="12"/>
                <w:szCs w:val="12"/>
              </w:rPr>
              <w:t>Krijimi i një grupi pune mes MF</w:t>
            </w:r>
            <w:r w:rsidR="00FD2285" w:rsidRPr="00821568">
              <w:rPr>
                <w:rFonts w:ascii="Garamond" w:hAnsi="Garamond"/>
                <w:bCs/>
                <w:sz w:val="12"/>
                <w:szCs w:val="12"/>
              </w:rPr>
              <w:t>-së</w:t>
            </w:r>
            <w:r w:rsidRPr="00821568">
              <w:rPr>
                <w:rFonts w:ascii="Garamond" w:hAnsi="Garamond"/>
                <w:bCs/>
                <w:sz w:val="12"/>
                <w:szCs w:val="12"/>
              </w:rPr>
              <w:t>, Bankës së Shqipërisë dhe Shoqatës së Bankave për të ulur komisionet e përdorimit të terminaleve POS mes bankave të nivelit të dytë dhe tatimpaguesve</w:t>
            </w:r>
            <w:r w:rsidR="00FD2285" w:rsidRPr="00821568">
              <w:rPr>
                <w:rFonts w:ascii="Garamond" w:hAnsi="Garamond"/>
                <w:bCs/>
                <w:sz w:val="12"/>
                <w:szCs w:val="12"/>
              </w:rPr>
              <w:t>.</w:t>
            </w:r>
          </w:p>
          <w:p w14:paraId="5ED55923"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tc>
        <w:tc>
          <w:tcPr>
            <w:tcW w:w="941" w:type="dxa"/>
          </w:tcPr>
          <w:p w14:paraId="39C98B27"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2025</w:t>
            </w:r>
          </w:p>
        </w:tc>
        <w:tc>
          <w:tcPr>
            <w:tcW w:w="1125" w:type="dxa"/>
          </w:tcPr>
          <w:p w14:paraId="03EC1F2E"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2025</w:t>
            </w:r>
          </w:p>
        </w:tc>
        <w:tc>
          <w:tcPr>
            <w:tcW w:w="1347" w:type="dxa"/>
          </w:tcPr>
          <w:p w14:paraId="1474CA2E"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sz w:val="12"/>
                <w:szCs w:val="12"/>
              </w:rPr>
              <w:t>MF/DPT</w:t>
            </w:r>
          </w:p>
        </w:tc>
        <w:tc>
          <w:tcPr>
            <w:tcW w:w="1642" w:type="dxa"/>
          </w:tcPr>
          <w:p w14:paraId="5F7D0F77" w14:textId="604CA23A"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sz w:val="12"/>
                <w:szCs w:val="12"/>
              </w:rPr>
              <w:t>Banka e Shqipërisë</w:t>
            </w:r>
            <w:r w:rsidR="00FD2285" w:rsidRPr="00821568">
              <w:rPr>
                <w:rFonts w:ascii="Garamond" w:hAnsi="Garamond"/>
                <w:sz w:val="12"/>
                <w:szCs w:val="12"/>
              </w:rPr>
              <w:t>,</w:t>
            </w:r>
            <w:r w:rsidRPr="00821568">
              <w:rPr>
                <w:rFonts w:ascii="Garamond" w:hAnsi="Garamond"/>
                <w:sz w:val="12"/>
                <w:szCs w:val="12"/>
              </w:rPr>
              <w:t xml:space="preserve"> Shoqata e Bankave Shqiptare</w:t>
            </w:r>
          </w:p>
        </w:tc>
      </w:tr>
      <w:tr w:rsidR="00723888" w:rsidRPr="00821568" w14:paraId="754C981F"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9129" w:type="dxa"/>
            <w:gridSpan w:val="7"/>
          </w:tcPr>
          <w:p w14:paraId="0397E584" w14:textId="673C5083" w:rsidR="00472A4B" w:rsidRPr="00821568" w:rsidRDefault="00472A4B" w:rsidP="00A86F37">
            <w:pPr>
              <w:rPr>
                <w:rFonts w:ascii="Garamond" w:hAnsi="Garamond"/>
                <w:sz w:val="12"/>
                <w:szCs w:val="12"/>
              </w:rPr>
            </w:pPr>
            <w:r w:rsidRPr="00821568">
              <w:rPr>
                <w:rFonts w:ascii="Garamond" w:hAnsi="Garamond"/>
                <w:sz w:val="12"/>
                <w:szCs w:val="12"/>
              </w:rPr>
              <w:t xml:space="preserve">Objektivi </w:t>
            </w:r>
            <w:r w:rsidR="00FD2285" w:rsidRPr="00821568">
              <w:rPr>
                <w:rFonts w:ascii="Garamond" w:hAnsi="Garamond"/>
                <w:sz w:val="12"/>
                <w:szCs w:val="12"/>
              </w:rPr>
              <w:t>specifik (komponenti</w:t>
            </w:r>
            <w:r w:rsidRPr="00821568">
              <w:rPr>
                <w:rFonts w:ascii="Garamond" w:hAnsi="Garamond"/>
                <w:sz w:val="12"/>
                <w:szCs w:val="12"/>
              </w:rPr>
              <w:t>) 2.3</w:t>
            </w:r>
            <w:r w:rsidR="00AF1255">
              <w:rPr>
                <w:rFonts w:ascii="Garamond" w:hAnsi="Garamond"/>
                <w:sz w:val="12"/>
                <w:szCs w:val="12"/>
              </w:rPr>
              <w:t xml:space="preserve"> </w:t>
            </w:r>
            <w:r w:rsidRPr="00821568">
              <w:rPr>
                <w:rFonts w:ascii="Garamond" w:hAnsi="Garamond"/>
                <w:sz w:val="12"/>
                <w:szCs w:val="12"/>
              </w:rPr>
              <w:t>Verifikimi i të ardhurave dhe kontrolli i</w:t>
            </w:r>
            <w:r w:rsidR="00D22EA5" w:rsidRPr="00821568">
              <w:rPr>
                <w:rFonts w:ascii="Garamond" w:hAnsi="Garamond"/>
                <w:sz w:val="12"/>
                <w:szCs w:val="12"/>
              </w:rPr>
              <w:t xml:space="preserve"> </w:t>
            </w:r>
            <w:r w:rsidRPr="00821568">
              <w:rPr>
                <w:rFonts w:ascii="Garamond" w:hAnsi="Garamond"/>
                <w:sz w:val="12"/>
                <w:szCs w:val="12"/>
              </w:rPr>
              <w:t>pasurive të pajustifikuara</w:t>
            </w:r>
          </w:p>
        </w:tc>
      </w:tr>
      <w:tr w:rsidR="00723888" w:rsidRPr="00821568" w14:paraId="4A3E792D" w14:textId="77777777" w:rsidTr="00FD2285">
        <w:trPr>
          <w:trHeight w:val="20"/>
        </w:trPr>
        <w:tc>
          <w:tcPr>
            <w:cnfStyle w:val="001000000000" w:firstRow="0" w:lastRow="0" w:firstColumn="1" w:lastColumn="0" w:oddVBand="0" w:evenVBand="0" w:oddHBand="0" w:evenHBand="0" w:firstRowFirstColumn="0" w:firstRowLastColumn="0" w:lastRowFirstColumn="0" w:lastRowLastColumn="0"/>
            <w:tcW w:w="814" w:type="dxa"/>
            <w:vMerge w:val="restart"/>
            <w:vAlign w:val="center"/>
          </w:tcPr>
          <w:p w14:paraId="1674CCAF" w14:textId="69BF1164" w:rsidR="00472A4B" w:rsidRPr="00821568" w:rsidRDefault="00472A4B" w:rsidP="00FD2285">
            <w:pPr>
              <w:jc w:val="center"/>
              <w:rPr>
                <w:rFonts w:ascii="Garamond" w:hAnsi="Garamond"/>
                <w:sz w:val="12"/>
                <w:szCs w:val="12"/>
              </w:rPr>
            </w:pPr>
            <w:r w:rsidRPr="00821568">
              <w:rPr>
                <w:rFonts w:ascii="Garamond" w:hAnsi="Garamond"/>
                <w:sz w:val="12"/>
                <w:szCs w:val="12"/>
              </w:rPr>
              <w:t>Nr</w:t>
            </w:r>
            <w:r w:rsidR="008C0C0F" w:rsidRPr="00821568">
              <w:rPr>
                <w:rFonts w:ascii="Garamond" w:hAnsi="Garamond"/>
                <w:sz w:val="12"/>
                <w:szCs w:val="12"/>
              </w:rPr>
              <w:t>.</w:t>
            </w:r>
          </w:p>
        </w:tc>
        <w:tc>
          <w:tcPr>
            <w:tcW w:w="1670" w:type="dxa"/>
            <w:vMerge w:val="restart"/>
            <w:vAlign w:val="center"/>
          </w:tcPr>
          <w:p w14:paraId="19DD0CF3"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Masa</w:t>
            </w:r>
          </w:p>
        </w:tc>
        <w:tc>
          <w:tcPr>
            <w:tcW w:w="1590" w:type="dxa"/>
            <w:vMerge w:val="restart"/>
            <w:vAlign w:val="center"/>
          </w:tcPr>
          <w:p w14:paraId="504682AB"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Aktiviteti</w:t>
            </w:r>
          </w:p>
        </w:tc>
        <w:tc>
          <w:tcPr>
            <w:tcW w:w="941" w:type="dxa"/>
            <w:vMerge w:val="restart"/>
            <w:vAlign w:val="center"/>
          </w:tcPr>
          <w:p w14:paraId="3C0FC365"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Fillimi</w:t>
            </w:r>
          </w:p>
        </w:tc>
        <w:tc>
          <w:tcPr>
            <w:tcW w:w="1125" w:type="dxa"/>
            <w:vMerge w:val="restart"/>
            <w:vAlign w:val="center"/>
          </w:tcPr>
          <w:p w14:paraId="43C7DB66"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Mbarimi</w:t>
            </w:r>
          </w:p>
        </w:tc>
        <w:tc>
          <w:tcPr>
            <w:tcW w:w="2989" w:type="dxa"/>
            <w:gridSpan w:val="2"/>
            <w:vAlign w:val="center"/>
          </w:tcPr>
          <w:p w14:paraId="6538AC7F" w14:textId="54B7A641"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 xml:space="preserve">Grupet e </w:t>
            </w:r>
            <w:r w:rsidR="00FD2285" w:rsidRPr="00821568">
              <w:rPr>
                <w:rFonts w:ascii="Garamond" w:hAnsi="Garamond"/>
                <w:b/>
                <w:bCs/>
                <w:sz w:val="12"/>
                <w:szCs w:val="12"/>
              </w:rPr>
              <w:t>i</w:t>
            </w:r>
            <w:r w:rsidRPr="00821568">
              <w:rPr>
                <w:rFonts w:ascii="Garamond" w:hAnsi="Garamond"/>
                <w:b/>
                <w:bCs/>
                <w:sz w:val="12"/>
                <w:szCs w:val="12"/>
              </w:rPr>
              <w:t>nteresit</w:t>
            </w:r>
          </w:p>
        </w:tc>
      </w:tr>
      <w:tr w:rsidR="00723888" w:rsidRPr="00821568" w14:paraId="3C32A743" w14:textId="77777777" w:rsidTr="00FD2285">
        <w:trPr>
          <w:trHeight w:val="20"/>
        </w:trPr>
        <w:tc>
          <w:tcPr>
            <w:cnfStyle w:val="001000000000" w:firstRow="0" w:lastRow="0" w:firstColumn="1" w:lastColumn="0" w:oddVBand="0" w:evenVBand="0" w:oddHBand="0" w:evenHBand="0" w:firstRowFirstColumn="0" w:firstRowLastColumn="0" w:lastRowFirstColumn="0" w:lastRowLastColumn="0"/>
            <w:tcW w:w="814" w:type="dxa"/>
            <w:vMerge/>
            <w:vAlign w:val="center"/>
          </w:tcPr>
          <w:p w14:paraId="59BB828C" w14:textId="77777777" w:rsidR="00472A4B" w:rsidRPr="00821568" w:rsidRDefault="00472A4B" w:rsidP="00FD2285">
            <w:pPr>
              <w:jc w:val="center"/>
              <w:rPr>
                <w:rFonts w:ascii="Garamond" w:hAnsi="Garamond"/>
                <w:sz w:val="12"/>
                <w:szCs w:val="12"/>
              </w:rPr>
            </w:pPr>
          </w:p>
        </w:tc>
        <w:tc>
          <w:tcPr>
            <w:tcW w:w="1670" w:type="dxa"/>
            <w:vMerge/>
            <w:vAlign w:val="center"/>
          </w:tcPr>
          <w:p w14:paraId="098C0E7A"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1590" w:type="dxa"/>
            <w:vMerge/>
            <w:vAlign w:val="center"/>
          </w:tcPr>
          <w:p w14:paraId="5D141B16"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941" w:type="dxa"/>
            <w:vMerge/>
            <w:vAlign w:val="center"/>
          </w:tcPr>
          <w:p w14:paraId="676000BE"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1125" w:type="dxa"/>
            <w:vMerge/>
            <w:vAlign w:val="center"/>
          </w:tcPr>
          <w:p w14:paraId="69096C7C"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1347" w:type="dxa"/>
            <w:vAlign w:val="center"/>
          </w:tcPr>
          <w:p w14:paraId="2993CDBB"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Njësitë përgjegjëse</w:t>
            </w:r>
          </w:p>
        </w:tc>
        <w:tc>
          <w:tcPr>
            <w:tcW w:w="1642" w:type="dxa"/>
            <w:vAlign w:val="center"/>
          </w:tcPr>
          <w:p w14:paraId="26483C01"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Partnerët</w:t>
            </w:r>
          </w:p>
        </w:tc>
      </w:tr>
      <w:tr w:rsidR="00723888" w:rsidRPr="00821568" w14:paraId="5B565E68"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7E479851"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2.3.1</w:t>
            </w:r>
          </w:p>
        </w:tc>
        <w:tc>
          <w:tcPr>
            <w:tcW w:w="1670" w:type="dxa"/>
          </w:tcPr>
          <w:p w14:paraId="1BAB599C"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Përdorimi i metodave të tërthorta për vlerësimet tatimore</w:t>
            </w:r>
          </w:p>
          <w:p w14:paraId="179964A8"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tc>
        <w:tc>
          <w:tcPr>
            <w:tcW w:w="1590" w:type="dxa"/>
          </w:tcPr>
          <w:p w14:paraId="72B7303C"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bCs/>
                <w:sz w:val="12"/>
                <w:szCs w:val="12"/>
              </w:rPr>
              <w:t>Përditësimi i Manualit të Kontrollit Tatimor.</w:t>
            </w:r>
          </w:p>
          <w:p w14:paraId="78C25844"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p>
          <w:p w14:paraId="52C12D40"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bCs/>
                <w:sz w:val="12"/>
                <w:szCs w:val="12"/>
              </w:rPr>
              <w:t>Analizë e Hendekut Tatimore (</w:t>
            </w:r>
            <w:r w:rsidRPr="00821568">
              <w:rPr>
                <w:rFonts w:ascii="Garamond" w:hAnsi="Garamond"/>
                <w:bCs/>
                <w:i/>
                <w:sz w:val="12"/>
                <w:szCs w:val="12"/>
              </w:rPr>
              <w:t>Tax Gap</w:t>
            </w:r>
            <w:r w:rsidRPr="00821568">
              <w:rPr>
                <w:rFonts w:ascii="Garamond" w:hAnsi="Garamond"/>
                <w:bCs/>
                <w:sz w:val="12"/>
                <w:szCs w:val="12"/>
              </w:rPr>
              <w:t>).</w:t>
            </w:r>
          </w:p>
          <w:p w14:paraId="57F1D687"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p>
          <w:p w14:paraId="73BFD08E" w14:textId="68F809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Cs/>
                <w:sz w:val="12"/>
                <w:szCs w:val="12"/>
              </w:rPr>
              <w:t>Monitorimi i zbatimit të Planit të Veprimit të strategji</w:t>
            </w:r>
            <w:r w:rsidR="00FD2285" w:rsidRPr="00821568">
              <w:rPr>
                <w:rFonts w:ascii="Garamond" w:hAnsi="Garamond"/>
                <w:bCs/>
                <w:sz w:val="12"/>
                <w:szCs w:val="12"/>
              </w:rPr>
              <w:t>s</w:t>
            </w:r>
            <w:r w:rsidRPr="00821568">
              <w:rPr>
                <w:rFonts w:ascii="Garamond" w:hAnsi="Garamond"/>
                <w:bCs/>
                <w:sz w:val="12"/>
                <w:szCs w:val="12"/>
              </w:rPr>
              <w:t xml:space="preserve">ë </w:t>
            </w:r>
            <w:r w:rsidR="00FD2285" w:rsidRPr="00821568">
              <w:rPr>
                <w:rFonts w:ascii="Garamond" w:hAnsi="Garamond"/>
                <w:bCs/>
                <w:sz w:val="12"/>
                <w:szCs w:val="12"/>
              </w:rPr>
              <w:t>së</w:t>
            </w:r>
            <w:r w:rsidRPr="00821568">
              <w:rPr>
                <w:rFonts w:ascii="Garamond" w:hAnsi="Garamond"/>
                <w:bCs/>
                <w:sz w:val="12"/>
                <w:szCs w:val="12"/>
              </w:rPr>
              <w:t xml:space="preserve"> pajtueshmërisë 3-vjeçare për individët më të pasur dhe përditësimi i saj deri në vitin 2027</w:t>
            </w:r>
            <w:r w:rsidR="00FD2285" w:rsidRPr="00821568">
              <w:rPr>
                <w:rFonts w:ascii="Garamond" w:hAnsi="Garamond"/>
                <w:bCs/>
                <w:sz w:val="12"/>
                <w:szCs w:val="12"/>
              </w:rPr>
              <w:t>.</w:t>
            </w:r>
          </w:p>
        </w:tc>
        <w:tc>
          <w:tcPr>
            <w:tcW w:w="941" w:type="dxa"/>
          </w:tcPr>
          <w:p w14:paraId="20B0DDC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2025</w:t>
            </w:r>
          </w:p>
        </w:tc>
        <w:tc>
          <w:tcPr>
            <w:tcW w:w="1125" w:type="dxa"/>
          </w:tcPr>
          <w:p w14:paraId="3C3927C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2026</w:t>
            </w:r>
          </w:p>
        </w:tc>
        <w:tc>
          <w:tcPr>
            <w:tcW w:w="1347" w:type="dxa"/>
          </w:tcPr>
          <w:p w14:paraId="77B8139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DPT/MF</w:t>
            </w:r>
          </w:p>
        </w:tc>
        <w:tc>
          <w:tcPr>
            <w:tcW w:w="1642" w:type="dxa"/>
          </w:tcPr>
          <w:p w14:paraId="6BD4BCA8"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r>
      <w:tr w:rsidR="00723888" w:rsidRPr="00821568" w14:paraId="4C6F0C1B"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1B70B2D8"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2.3.2</w:t>
            </w:r>
          </w:p>
        </w:tc>
        <w:tc>
          <w:tcPr>
            <w:tcW w:w="1670" w:type="dxa"/>
          </w:tcPr>
          <w:p w14:paraId="4D89D3FF"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 xml:space="preserve">Identifikimi i mosdeklarimit në lidhje me juridiksionet </w:t>
            </w:r>
            <w:r w:rsidRPr="00821568">
              <w:rPr>
                <w:rFonts w:ascii="Garamond" w:hAnsi="Garamond"/>
                <w:i/>
                <w:sz w:val="12"/>
                <w:szCs w:val="12"/>
              </w:rPr>
              <w:t>offshore</w:t>
            </w:r>
            <w:r w:rsidRPr="00821568">
              <w:rPr>
                <w:rFonts w:ascii="Garamond" w:hAnsi="Garamond"/>
                <w:sz w:val="12"/>
                <w:szCs w:val="12"/>
              </w:rPr>
              <w:t xml:space="preserve"> bazuar në të dhënat e mbledhura AEOI sipas kuadrit të Standardit të Raportimit të Përbashkët (CRS)</w:t>
            </w:r>
          </w:p>
          <w:p w14:paraId="3B96BB13"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tc>
        <w:tc>
          <w:tcPr>
            <w:tcW w:w="1590" w:type="dxa"/>
          </w:tcPr>
          <w:p w14:paraId="20938EC9" w14:textId="170009B6"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Bërja efektive në DPT të strukturës përgjegjëse për CRS</w:t>
            </w:r>
            <w:r w:rsidR="00FD2285" w:rsidRPr="00821568">
              <w:rPr>
                <w:rFonts w:ascii="Garamond" w:hAnsi="Garamond"/>
                <w:sz w:val="12"/>
                <w:szCs w:val="12"/>
              </w:rPr>
              <w:t>-</w:t>
            </w:r>
            <w:r w:rsidR="00FD2285" w:rsidRPr="00821568">
              <w:rPr>
                <w:rFonts w:ascii="Garamond" w:hAnsi="Garamond"/>
                <w:bCs/>
                <w:sz w:val="12"/>
                <w:szCs w:val="12"/>
              </w:rPr>
              <w:t>në</w:t>
            </w:r>
            <w:r w:rsidRPr="00821568">
              <w:rPr>
                <w:rFonts w:ascii="Garamond" w:hAnsi="Garamond"/>
                <w:sz w:val="12"/>
                <w:szCs w:val="12"/>
              </w:rPr>
              <w:t xml:space="preserve"> dhe trajnimi i stafit</w:t>
            </w:r>
            <w:r w:rsidR="00FD2285" w:rsidRPr="00821568">
              <w:rPr>
                <w:rFonts w:ascii="Garamond" w:hAnsi="Garamond"/>
                <w:sz w:val="12"/>
                <w:szCs w:val="12"/>
              </w:rPr>
              <w:t>.</w:t>
            </w:r>
          </w:p>
          <w:p w14:paraId="57D9886A" w14:textId="7781439C"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Zbatimi i Projektit të Shkëmbimit Automatik të Informacionit</w:t>
            </w:r>
            <w:r w:rsidR="00FD2285" w:rsidRPr="00821568">
              <w:rPr>
                <w:rFonts w:ascii="Garamond" w:hAnsi="Garamond"/>
                <w:sz w:val="12"/>
                <w:szCs w:val="12"/>
              </w:rPr>
              <w:t>.</w:t>
            </w:r>
          </w:p>
          <w:p w14:paraId="4F532AB7"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449A9103" w14:textId="350BB63A"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 xml:space="preserve">Analiza periodike mbi rastet e evazionit tatimor në lidhje me juridiksionet </w:t>
            </w:r>
            <w:r w:rsidRPr="00821568">
              <w:rPr>
                <w:rFonts w:ascii="Garamond" w:hAnsi="Garamond"/>
                <w:i/>
                <w:sz w:val="12"/>
                <w:szCs w:val="12"/>
              </w:rPr>
              <w:t>offshore</w:t>
            </w:r>
            <w:r w:rsidR="00FD2285" w:rsidRPr="00821568">
              <w:rPr>
                <w:rFonts w:ascii="Garamond" w:hAnsi="Garamond"/>
                <w:i/>
                <w:sz w:val="12"/>
                <w:szCs w:val="12"/>
              </w:rPr>
              <w:t>.</w:t>
            </w:r>
          </w:p>
          <w:p w14:paraId="78B9F475"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10E41A94" w14:textId="1D5AA0F8"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sz w:val="12"/>
                <w:szCs w:val="12"/>
              </w:rPr>
              <w:t>Zbatimi i rregullores së brendshme që përcakton mënyrën e rrjedhjes së informacionit në DPT</w:t>
            </w:r>
            <w:r w:rsidR="00FD2285" w:rsidRPr="00821568">
              <w:rPr>
                <w:rFonts w:ascii="Garamond" w:hAnsi="Garamond"/>
                <w:sz w:val="12"/>
                <w:szCs w:val="12"/>
              </w:rPr>
              <w:t>,</w:t>
            </w:r>
            <w:r w:rsidRPr="00821568">
              <w:rPr>
                <w:rFonts w:ascii="Garamond" w:hAnsi="Garamond"/>
                <w:sz w:val="12"/>
                <w:szCs w:val="12"/>
              </w:rPr>
              <w:t xml:space="preserve"> si dhe monitorimin e bankave mbi zbatimin e verifikimit të duhur.</w:t>
            </w:r>
          </w:p>
          <w:p w14:paraId="19DC4CCD"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bCs/>
                <w:sz w:val="12"/>
                <w:szCs w:val="12"/>
              </w:rPr>
              <w:t>Rishikimi i marrëveshjes dhe rritja e bashkëpunimit ndërinstitucional (FIU) lidhur me monitorimin e bankave si subjekte raportuese dhe rekomandimet e MONEYVAL.</w:t>
            </w:r>
          </w:p>
          <w:p w14:paraId="12E11BF6" w14:textId="38DE120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sz w:val="12"/>
                <w:szCs w:val="12"/>
              </w:rPr>
              <w:t>Zbatimi i Rregullave Globale Anti</w:t>
            </w:r>
            <w:r w:rsidR="008C0C0F" w:rsidRPr="00821568">
              <w:rPr>
                <w:rFonts w:ascii="Garamond" w:hAnsi="Garamond"/>
                <w:sz w:val="12"/>
                <w:szCs w:val="12"/>
              </w:rPr>
              <w:t>e</w:t>
            </w:r>
            <w:r w:rsidRPr="00821568">
              <w:rPr>
                <w:rFonts w:ascii="Garamond" w:hAnsi="Garamond"/>
                <w:sz w:val="12"/>
                <w:szCs w:val="12"/>
              </w:rPr>
              <w:t>rozionit (GloBE).</w:t>
            </w:r>
          </w:p>
        </w:tc>
        <w:tc>
          <w:tcPr>
            <w:tcW w:w="941" w:type="dxa"/>
          </w:tcPr>
          <w:p w14:paraId="60FA5A5F"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2024</w:t>
            </w:r>
          </w:p>
        </w:tc>
        <w:tc>
          <w:tcPr>
            <w:tcW w:w="1125" w:type="dxa"/>
          </w:tcPr>
          <w:p w14:paraId="7F69DC94"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2025</w:t>
            </w:r>
          </w:p>
        </w:tc>
        <w:tc>
          <w:tcPr>
            <w:tcW w:w="1347" w:type="dxa"/>
          </w:tcPr>
          <w:p w14:paraId="1B401374"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DPT</w:t>
            </w:r>
          </w:p>
        </w:tc>
        <w:tc>
          <w:tcPr>
            <w:tcW w:w="1642" w:type="dxa"/>
          </w:tcPr>
          <w:p w14:paraId="0436FC05"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r>
      <w:tr w:rsidR="00723888" w:rsidRPr="00821568" w14:paraId="42C6B2D6"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5B303BCD"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2.3.3</w:t>
            </w:r>
          </w:p>
        </w:tc>
        <w:tc>
          <w:tcPr>
            <w:tcW w:w="1670" w:type="dxa"/>
          </w:tcPr>
          <w:p w14:paraId="64731910"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Ngritja e Regjistrit të Aseteve të tatimpaguesve me synimin e vlerësimit real të pasurive të tatimpaguesve</w:t>
            </w:r>
          </w:p>
          <w:p w14:paraId="2E9562BD"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tc>
        <w:tc>
          <w:tcPr>
            <w:tcW w:w="1590" w:type="dxa"/>
          </w:tcPr>
          <w:p w14:paraId="33F9C407" w14:textId="1B5BBCA2"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Krijimi i një Regjistri të Aseteve me atributet përkatëse, për 10% të tatimaguesve brenda vitit 2026</w:t>
            </w:r>
            <w:r w:rsidR="00FD2285" w:rsidRPr="00821568">
              <w:rPr>
                <w:rFonts w:ascii="Garamond" w:hAnsi="Garamond"/>
                <w:sz w:val="12"/>
                <w:szCs w:val="12"/>
              </w:rPr>
              <w:t>.</w:t>
            </w:r>
          </w:p>
          <w:p w14:paraId="0FE21271"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 xml:space="preserve">Analiza e të dhënave me Raportet </w:t>
            </w:r>
            <w:r w:rsidRPr="00821568">
              <w:rPr>
                <w:rFonts w:ascii="Garamond" w:hAnsi="Garamond"/>
                <w:i/>
                <w:sz w:val="12"/>
                <w:szCs w:val="12"/>
              </w:rPr>
              <w:t>Business Inteligence (BI)</w:t>
            </w:r>
            <w:r w:rsidRPr="00821568">
              <w:rPr>
                <w:rFonts w:ascii="Garamond" w:hAnsi="Garamond"/>
                <w:sz w:val="12"/>
                <w:szCs w:val="12"/>
              </w:rPr>
              <w:t>.</w:t>
            </w:r>
          </w:p>
          <w:p w14:paraId="6EEA40FB"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941" w:type="dxa"/>
          </w:tcPr>
          <w:p w14:paraId="2BCBC56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2024</w:t>
            </w:r>
          </w:p>
        </w:tc>
        <w:tc>
          <w:tcPr>
            <w:tcW w:w="1125" w:type="dxa"/>
          </w:tcPr>
          <w:p w14:paraId="43611A1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2026</w:t>
            </w:r>
          </w:p>
        </w:tc>
        <w:tc>
          <w:tcPr>
            <w:tcW w:w="1347" w:type="dxa"/>
          </w:tcPr>
          <w:p w14:paraId="7F32F976"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DPT</w:t>
            </w:r>
          </w:p>
        </w:tc>
        <w:tc>
          <w:tcPr>
            <w:tcW w:w="1642" w:type="dxa"/>
          </w:tcPr>
          <w:p w14:paraId="61990F8A" w14:textId="6895B298" w:rsidR="00472A4B" w:rsidRPr="00821568" w:rsidRDefault="00FD2285"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 xml:space="preserve">AKSHI </w:t>
            </w:r>
            <w:r w:rsidR="00472A4B" w:rsidRPr="00821568">
              <w:rPr>
                <w:rFonts w:ascii="Garamond" w:hAnsi="Garamond"/>
                <w:sz w:val="12"/>
                <w:szCs w:val="12"/>
              </w:rPr>
              <w:t>do të asistojë n</w:t>
            </w:r>
            <w:r w:rsidR="008C0C0F" w:rsidRPr="00821568">
              <w:rPr>
                <w:rFonts w:ascii="Garamond" w:hAnsi="Garamond"/>
                <w:sz w:val="12"/>
                <w:szCs w:val="12"/>
              </w:rPr>
              <w:t>ë</w:t>
            </w:r>
            <w:r w:rsidR="00472A4B" w:rsidRPr="00821568">
              <w:rPr>
                <w:rFonts w:ascii="Garamond" w:hAnsi="Garamond"/>
                <w:sz w:val="12"/>
                <w:szCs w:val="12"/>
              </w:rPr>
              <w:t xml:space="preserve"> sigurimin e të dhënave të vet</w:t>
            </w:r>
            <w:r w:rsidR="008C0C0F" w:rsidRPr="00821568">
              <w:rPr>
                <w:rFonts w:ascii="Garamond" w:hAnsi="Garamond"/>
                <w:sz w:val="12"/>
                <w:szCs w:val="12"/>
              </w:rPr>
              <w:t>ë</w:t>
            </w:r>
            <w:r w:rsidR="00472A4B" w:rsidRPr="00821568">
              <w:rPr>
                <w:rFonts w:ascii="Garamond" w:hAnsi="Garamond"/>
                <w:sz w:val="12"/>
                <w:szCs w:val="12"/>
              </w:rPr>
              <w:t>deklaruara sipas formularit</w:t>
            </w:r>
          </w:p>
          <w:p w14:paraId="47F5FBB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tc>
      </w:tr>
      <w:tr w:rsidR="00723888" w:rsidRPr="00821568" w14:paraId="0E6D17E3"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5BC79248"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2.3.4</w:t>
            </w:r>
          </w:p>
        </w:tc>
        <w:tc>
          <w:tcPr>
            <w:tcW w:w="1670" w:type="dxa"/>
          </w:tcPr>
          <w:p w14:paraId="1243CC7F" w14:textId="3C54C6CF"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Integrimi dhe përdorimi i të dhënave nga palët e treta, në mënyrë që të mundësojë programin e administratës hetim</w:t>
            </w:r>
            <w:r w:rsidR="00FD2285" w:rsidRPr="00821568">
              <w:rPr>
                <w:rFonts w:ascii="Garamond" w:hAnsi="Garamond"/>
                <w:sz w:val="12"/>
                <w:szCs w:val="12"/>
              </w:rPr>
              <w:t>or</w:t>
            </w:r>
            <w:r w:rsidRPr="00821568">
              <w:rPr>
                <w:rFonts w:ascii="Garamond" w:hAnsi="Garamond"/>
                <w:sz w:val="12"/>
                <w:szCs w:val="12"/>
              </w:rPr>
              <w:t>e tatimore të pasurisë së pajustifikuar për taksapaguesit</w:t>
            </w:r>
          </w:p>
          <w:p w14:paraId="4E08CCAC"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tc>
        <w:tc>
          <w:tcPr>
            <w:tcW w:w="1590" w:type="dxa"/>
          </w:tcPr>
          <w:p w14:paraId="42A0C697"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Integrimi dhe përdorimi i të dhënave nga palët e treta</w:t>
            </w:r>
          </w:p>
          <w:p w14:paraId="2CEF5C1C" w14:textId="666D2B52" w:rsidR="00472A4B" w:rsidRPr="00821568" w:rsidRDefault="00FD2285" w:rsidP="00FD2285">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 xml:space="preserve">- </w:t>
            </w:r>
            <w:r w:rsidR="00472A4B" w:rsidRPr="00821568">
              <w:rPr>
                <w:rFonts w:ascii="Garamond" w:hAnsi="Garamond"/>
                <w:sz w:val="12"/>
                <w:szCs w:val="12"/>
              </w:rPr>
              <w:t xml:space="preserve">Shkëmbimi i të dhënave nëpërmjet </w:t>
            </w:r>
            <w:r w:rsidR="008C0C0F" w:rsidRPr="00821568">
              <w:rPr>
                <w:rFonts w:ascii="Garamond" w:hAnsi="Garamond"/>
                <w:sz w:val="12"/>
                <w:szCs w:val="12"/>
              </w:rPr>
              <w:t>w</w:t>
            </w:r>
            <w:r w:rsidR="00472A4B" w:rsidRPr="00821568">
              <w:rPr>
                <w:rFonts w:ascii="Garamond" w:hAnsi="Garamond"/>
                <w:sz w:val="12"/>
                <w:szCs w:val="12"/>
              </w:rPr>
              <w:t>e</w:t>
            </w:r>
            <w:r w:rsidR="00472A4B" w:rsidRPr="00821568">
              <w:rPr>
                <w:rFonts w:ascii="Garamond" w:hAnsi="Garamond"/>
                <w:i/>
                <w:sz w:val="12"/>
                <w:szCs w:val="12"/>
              </w:rPr>
              <w:t>b-service.</w:t>
            </w:r>
          </w:p>
          <w:p w14:paraId="75AD5C0F"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941" w:type="dxa"/>
          </w:tcPr>
          <w:p w14:paraId="16B1AD01"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2024</w:t>
            </w:r>
          </w:p>
        </w:tc>
        <w:tc>
          <w:tcPr>
            <w:tcW w:w="1125" w:type="dxa"/>
          </w:tcPr>
          <w:p w14:paraId="3946B516"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Qershor 2025</w:t>
            </w:r>
          </w:p>
        </w:tc>
        <w:tc>
          <w:tcPr>
            <w:tcW w:w="1347" w:type="dxa"/>
          </w:tcPr>
          <w:p w14:paraId="689DEFE5"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DPT</w:t>
            </w:r>
          </w:p>
        </w:tc>
        <w:tc>
          <w:tcPr>
            <w:tcW w:w="1642" w:type="dxa"/>
          </w:tcPr>
          <w:p w14:paraId="0E091B68"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r>
      <w:tr w:rsidR="00723888" w:rsidRPr="00821568" w14:paraId="7043413D"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9129" w:type="dxa"/>
            <w:gridSpan w:val="7"/>
          </w:tcPr>
          <w:p w14:paraId="0A3A0E4C" w14:textId="44CD2CD9" w:rsidR="00472A4B" w:rsidRPr="00821568" w:rsidRDefault="00472A4B" w:rsidP="00A86F37">
            <w:pPr>
              <w:rPr>
                <w:rFonts w:ascii="Garamond" w:hAnsi="Garamond"/>
                <w:sz w:val="12"/>
                <w:szCs w:val="12"/>
              </w:rPr>
            </w:pPr>
            <w:r w:rsidRPr="00821568">
              <w:rPr>
                <w:rFonts w:ascii="Garamond" w:hAnsi="Garamond"/>
                <w:sz w:val="12"/>
                <w:szCs w:val="12"/>
              </w:rPr>
              <w:t xml:space="preserve">Objektivi </w:t>
            </w:r>
            <w:r w:rsidR="00FD2285" w:rsidRPr="00821568">
              <w:rPr>
                <w:rFonts w:ascii="Garamond" w:hAnsi="Garamond"/>
                <w:sz w:val="12"/>
                <w:szCs w:val="12"/>
              </w:rPr>
              <w:t xml:space="preserve">specifik (komponenti) </w:t>
            </w:r>
            <w:r w:rsidRPr="00821568">
              <w:rPr>
                <w:rFonts w:ascii="Garamond" w:hAnsi="Garamond"/>
                <w:sz w:val="12"/>
                <w:szCs w:val="12"/>
              </w:rPr>
              <w:t>2.4 Zvogëlimi i shmangies tatimore</w:t>
            </w:r>
          </w:p>
        </w:tc>
      </w:tr>
      <w:tr w:rsidR="00723888" w:rsidRPr="00821568" w14:paraId="033BA183" w14:textId="77777777" w:rsidTr="00FD2285">
        <w:trPr>
          <w:trHeight w:val="20"/>
        </w:trPr>
        <w:tc>
          <w:tcPr>
            <w:cnfStyle w:val="001000000000" w:firstRow="0" w:lastRow="0" w:firstColumn="1" w:lastColumn="0" w:oddVBand="0" w:evenVBand="0" w:oddHBand="0" w:evenHBand="0" w:firstRowFirstColumn="0" w:firstRowLastColumn="0" w:lastRowFirstColumn="0" w:lastRowLastColumn="0"/>
            <w:tcW w:w="814" w:type="dxa"/>
            <w:vMerge w:val="restart"/>
            <w:vAlign w:val="center"/>
          </w:tcPr>
          <w:p w14:paraId="5F2AB3E0" w14:textId="0E3E5AC0" w:rsidR="00472A4B" w:rsidRPr="00821568" w:rsidRDefault="00472A4B" w:rsidP="00FD2285">
            <w:pPr>
              <w:jc w:val="center"/>
              <w:rPr>
                <w:rFonts w:ascii="Garamond" w:hAnsi="Garamond"/>
                <w:sz w:val="12"/>
                <w:szCs w:val="12"/>
              </w:rPr>
            </w:pPr>
            <w:r w:rsidRPr="00821568">
              <w:rPr>
                <w:rFonts w:ascii="Garamond" w:hAnsi="Garamond"/>
                <w:sz w:val="12"/>
                <w:szCs w:val="12"/>
              </w:rPr>
              <w:t>Nr</w:t>
            </w:r>
            <w:r w:rsidR="00FD2285" w:rsidRPr="00821568">
              <w:rPr>
                <w:rFonts w:ascii="Garamond" w:hAnsi="Garamond"/>
                <w:sz w:val="12"/>
                <w:szCs w:val="12"/>
              </w:rPr>
              <w:t>.</w:t>
            </w:r>
          </w:p>
        </w:tc>
        <w:tc>
          <w:tcPr>
            <w:tcW w:w="1670" w:type="dxa"/>
            <w:vMerge w:val="restart"/>
            <w:vAlign w:val="center"/>
          </w:tcPr>
          <w:p w14:paraId="044375D1"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Masa</w:t>
            </w:r>
          </w:p>
        </w:tc>
        <w:tc>
          <w:tcPr>
            <w:tcW w:w="1590" w:type="dxa"/>
            <w:vMerge w:val="restart"/>
            <w:vAlign w:val="center"/>
          </w:tcPr>
          <w:p w14:paraId="2B0B7372"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Aktiviteti</w:t>
            </w:r>
          </w:p>
        </w:tc>
        <w:tc>
          <w:tcPr>
            <w:tcW w:w="941" w:type="dxa"/>
            <w:vMerge w:val="restart"/>
            <w:vAlign w:val="center"/>
          </w:tcPr>
          <w:p w14:paraId="7158AFCE"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Fillimi</w:t>
            </w:r>
          </w:p>
        </w:tc>
        <w:tc>
          <w:tcPr>
            <w:tcW w:w="1125" w:type="dxa"/>
            <w:vMerge w:val="restart"/>
            <w:vAlign w:val="center"/>
          </w:tcPr>
          <w:p w14:paraId="725D7868"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Mbarimi</w:t>
            </w:r>
          </w:p>
        </w:tc>
        <w:tc>
          <w:tcPr>
            <w:tcW w:w="2989" w:type="dxa"/>
            <w:gridSpan w:val="2"/>
            <w:vAlign w:val="center"/>
          </w:tcPr>
          <w:p w14:paraId="06E11051" w14:textId="7E5523CF"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 xml:space="preserve">Grupet e </w:t>
            </w:r>
            <w:r w:rsidR="00FD2285" w:rsidRPr="00821568">
              <w:rPr>
                <w:rFonts w:ascii="Garamond" w:hAnsi="Garamond"/>
                <w:b/>
                <w:bCs/>
                <w:sz w:val="12"/>
                <w:szCs w:val="12"/>
              </w:rPr>
              <w:t>i</w:t>
            </w:r>
            <w:r w:rsidRPr="00821568">
              <w:rPr>
                <w:rFonts w:ascii="Garamond" w:hAnsi="Garamond"/>
                <w:b/>
                <w:bCs/>
                <w:sz w:val="12"/>
                <w:szCs w:val="12"/>
              </w:rPr>
              <w:t>nteresit</w:t>
            </w:r>
          </w:p>
        </w:tc>
      </w:tr>
      <w:tr w:rsidR="00723888" w:rsidRPr="00821568" w14:paraId="4D1F661C" w14:textId="77777777" w:rsidTr="00FD2285">
        <w:trPr>
          <w:trHeight w:val="20"/>
        </w:trPr>
        <w:tc>
          <w:tcPr>
            <w:cnfStyle w:val="001000000000" w:firstRow="0" w:lastRow="0" w:firstColumn="1" w:lastColumn="0" w:oddVBand="0" w:evenVBand="0" w:oddHBand="0" w:evenHBand="0" w:firstRowFirstColumn="0" w:firstRowLastColumn="0" w:lastRowFirstColumn="0" w:lastRowLastColumn="0"/>
            <w:tcW w:w="814" w:type="dxa"/>
            <w:vMerge/>
            <w:vAlign w:val="center"/>
          </w:tcPr>
          <w:p w14:paraId="21AFC6E7" w14:textId="77777777" w:rsidR="00472A4B" w:rsidRPr="00821568" w:rsidRDefault="00472A4B" w:rsidP="00FD2285">
            <w:pPr>
              <w:jc w:val="center"/>
              <w:rPr>
                <w:rFonts w:ascii="Garamond" w:hAnsi="Garamond"/>
                <w:sz w:val="12"/>
                <w:szCs w:val="12"/>
              </w:rPr>
            </w:pPr>
          </w:p>
        </w:tc>
        <w:tc>
          <w:tcPr>
            <w:tcW w:w="1670" w:type="dxa"/>
            <w:vMerge/>
            <w:vAlign w:val="center"/>
          </w:tcPr>
          <w:p w14:paraId="6F6E5B1E"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1590" w:type="dxa"/>
            <w:vMerge/>
            <w:vAlign w:val="center"/>
          </w:tcPr>
          <w:p w14:paraId="77AA7E83"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941" w:type="dxa"/>
            <w:vMerge/>
            <w:vAlign w:val="center"/>
          </w:tcPr>
          <w:p w14:paraId="62C46817"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1125" w:type="dxa"/>
            <w:vMerge/>
            <w:vAlign w:val="center"/>
          </w:tcPr>
          <w:p w14:paraId="23DA27FA"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1347" w:type="dxa"/>
            <w:vAlign w:val="center"/>
          </w:tcPr>
          <w:p w14:paraId="033C71B3"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Njësitë përgjegjëse</w:t>
            </w:r>
          </w:p>
        </w:tc>
        <w:tc>
          <w:tcPr>
            <w:tcW w:w="1642" w:type="dxa"/>
            <w:vAlign w:val="center"/>
          </w:tcPr>
          <w:p w14:paraId="40E28544"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Partnerët</w:t>
            </w:r>
          </w:p>
        </w:tc>
      </w:tr>
      <w:tr w:rsidR="00723888" w:rsidRPr="00821568" w14:paraId="7B4A8FBA"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489D19F0"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2.4.2</w:t>
            </w:r>
          </w:p>
        </w:tc>
        <w:tc>
          <w:tcPr>
            <w:tcW w:w="1670" w:type="dxa"/>
          </w:tcPr>
          <w:p w14:paraId="4DF8D6E4" w14:textId="234BB12A"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sz w:val="12"/>
                <w:szCs w:val="12"/>
              </w:rPr>
              <w:t>Rregulli i përgjithshëm antiabuzim (GAAR) zbatohet në mënyrë efektive dhe të veprojë si frenues për organizimet artificiale tatimore</w:t>
            </w:r>
          </w:p>
        </w:tc>
        <w:tc>
          <w:tcPr>
            <w:tcW w:w="1590" w:type="dxa"/>
          </w:tcPr>
          <w:p w14:paraId="5E58C656" w14:textId="7364AEB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 xml:space="preserve">Trajnime për stafin e </w:t>
            </w:r>
            <w:r w:rsidR="00FD2285" w:rsidRPr="00821568">
              <w:rPr>
                <w:rFonts w:ascii="Garamond" w:hAnsi="Garamond"/>
                <w:sz w:val="12"/>
                <w:szCs w:val="12"/>
              </w:rPr>
              <w:t>administratës</w:t>
            </w:r>
            <w:r w:rsidRPr="00821568">
              <w:rPr>
                <w:rFonts w:ascii="Garamond" w:hAnsi="Garamond"/>
                <w:sz w:val="12"/>
                <w:szCs w:val="12"/>
              </w:rPr>
              <w:t xml:space="preserve"> tatimore mbi rregullat dhe kontrollet për antishmangien tatimore.</w:t>
            </w:r>
          </w:p>
        </w:tc>
        <w:tc>
          <w:tcPr>
            <w:tcW w:w="941" w:type="dxa"/>
          </w:tcPr>
          <w:p w14:paraId="0EBDC576"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2026</w:t>
            </w:r>
          </w:p>
        </w:tc>
        <w:tc>
          <w:tcPr>
            <w:tcW w:w="1125" w:type="dxa"/>
          </w:tcPr>
          <w:p w14:paraId="214CE8C8"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2027</w:t>
            </w:r>
          </w:p>
        </w:tc>
        <w:tc>
          <w:tcPr>
            <w:tcW w:w="1347" w:type="dxa"/>
          </w:tcPr>
          <w:p w14:paraId="1E8AFAE1"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DPT/MF</w:t>
            </w:r>
          </w:p>
        </w:tc>
        <w:tc>
          <w:tcPr>
            <w:tcW w:w="1642" w:type="dxa"/>
          </w:tcPr>
          <w:p w14:paraId="54C74262"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r>
      <w:tr w:rsidR="00723888" w:rsidRPr="00821568" w14:paraId="4FBD6FA0"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7678C283"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2.4.2</w:t>
            </w:r>
          </w:p>
        </w:tc>
        <w:tc>
          <w:tcPr>
            <w:tcW w:w="1670" w:type="dxa"/>
          </w:tcPr>
          <w:p w14:paraId="11CB03D1" w14:textId="29D86091"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bCs/>
                <w:sz w:val="12"/>
                <w:szCs w:val="12"/>
              </w:rPr>
              <w:t>Hartimi i masave antievazion për të luftuar organizimet artificiale më të përhapura si të vet</w:t>
            </w:r>
            <w:r w:rsidR="008C0C0F" w:rsidRPr="00821568">
              <w:rPr>
                <w:rFonts w:ascii="Garamond" w:hAnsi="Garamond"/>
                <w:bCs/>
                <w:sz w:val="12"/>
                <w:szCs w:val="12"/>
              </w:rPr>
              <w:t>ë</w:t>
            </w:r>
            <w:r w:rsidRPr="00821568">
              <w:rPr>
                <w:rFonts w:ascii="Garamond" w:hAnsi="Garamond"/>
                <w:bCs/>
                <w:sz w:val="12"/>
                <w:szCs w:val="12"/>
              </w:rPr>
              <w:t>pun</w:t>
            </w:r>
            <w:r w:rsidR="008C0C0F" w:rsidRPr="00821568">
              <w:rPr>
                <w:rFonts w:ascii="Garamond" w:hAnsi="Garamond"/>
                <w:bCs/>
                <w:sz w:val="12"/>
                <w:szCs w:val="12"/>
              </w:rPr>
              <w:t>ë</w:t>
            </w:r>
            <w:r w:rsidRPr="00821568">
              <w:rPr>
                <w:rFonts w:ascii="Garamond" w:hAnsi="Garamond"/>
                <w:bCs/>
                <w:sz w:val="12"/>
                <w:szCs w:val="12"/>
              </w:rPr>
              <w:t>suarit fiktiv dhe ndarja artificiale e subjekteve</w:t>
            </w:r>
          </w:p>
          <w:p w14:paraId="345E35E1"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p>
        </w:tc>
        <w:tc>
          <w:tcPr>
            <w:tcW w:w="1590" w:type="dxa"/>
          </w:tcPr>
          <w:p w14:paraId="1D45C11F" w14:textId="6843BB78"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Evidentimi dhe trajtimi i tatimpaguesve që përfitojnë nga vet</w:t>
            </w:r>
            <w:r w:rsidR="008C0C0F" w:rsidRPr="00821568">
              <w:rPr>
                <w:rFonts w:ascii="Garamond" w:hAnsi="Garamond"/>
                <w:sz w:val="12"/>
                <w:szCs w:val="12"/>
              </w:rPr>
              <w:t>ë</w:t>
            </w:r>
            <w:r w:rsidRPr="00821568">
              <w:rPr>
                <w:rFonts w:ascii="Garamond" w:hAnsi="Garamond"/>
                <w:sz w:val="12"/>
                <w:szCs w:val="12"/>
              </w:rPr>
              <w:t>punësimi fiktiv dhe</w:t>
            </w:r>
            <w:r w:rsidR="00D22EA5" w:rsidRPr="00821568">
              <w:rPr>
                <w:rFonts w:ascii="Garamond" w:hAnsi="Garamond"/>
                <w:sz w:val="12"/>
                <w:szCs w:val="12"/>
              </w:rPr>
              <w:t xml:space="preserve"> </w:t>
            </w:r>
            <w:r w:rsidRPr="00821568">
              <w:rPr>
                <w:rFonts w:ascii="Garamond" w:hAnsi="Garamond"/>
                <w:sz w:val="12"/>
                <w:szCs w:val="12"/>
              </w:rPr>
              <w:t>ndarja artificial</w:t>
            </w:r>
            <w:r w:rsidR="00FD2285" w:rsidRPr="00821568">
              <w:rPr>
                <w:rFonts w:ascii="Garamond" w:hAnsi="Garamond"/>
                <w:sz w:val="12"/>
                <w:szCs w:val="12"/>
              </w:rPr>
              <w:t>e</w:t>
            </w:r>
            <w:r w:rsidRPr="00821568">
              <w:rPr>
                <w:rFonts w:ascii="Garamond" w:hAnsi="Garamond"/>
                <w:sz w:val="12"/>
                <w:szCs w:val="12"/>
              </w:rPr>
              <w:t xml:space="preserve"> e subjekteve</w:t>
            </w:r>
            <w:r w:rsidR="00FD2285" w:rsidRPr="00821568">
              <w:rPr>
                <w:rFonts w:ascii="Garamond" w:hAnsi="Garamond"/>
                <w:sz w:val="12"/>
                <w:szCs w:val="12"/>
              </w:rPr>
              <w:t>.</w:t>
            </w:r>
          </w:p>
          <w:p w14:paraId="180E8793" w14:textId="261D80C3"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 xml:space="preserve">Hartimi i një plani sektorial </w:t>
            </w:r>
            <w:r w:rsidR="00FD2285" w:rsidRPr="00821568">
              <w:rPr>
                <w:rFonts w:ascii="Garamond" w:hAnsi="Garamond"/>
                <w:sz w:val="12"/>
                <w:szCs w:val="12"/>
              </w:rPr>
              <w:t>për</w:t>
            </w:r>
            <w:r w:rsidRPr="00821568">
              <w:rPr>
                <w:rFonts w:ascii="Garamond" w:hAnsi="Garamond"/>
                <w:sz w:val="12"/>
                <w:szCs w:val="12"/>
              </w:rPr>
              <w:t xml:space="preserve"> të evidentuar tatimpaguesit me marzhe të vogla në tatim fitim</w:t>
            </w:r>
            <w:r w:rsidR="00FD2285" w:rsidRPr="00821568">
              <w:rPr>
                <w:rFonts w:ascii="Garamond" w:hAnsi="Garamond"/>
                <w:sz w:val="12"/>
                <w:szCs w:val="12"/>
              </w:rPr>
              <w:t>.</w:t>
            </w:r>
          </w:p>
          <w:p w14:paraId="0073C68F" w14:textId="54E170CF"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Dig</w:t>
            </w:r>
            <w:r w:rsidR="008C0C0F" w:rsidRPr="00821568">
              <w:rPr>
                <w:rFonts w:ascii="Garamond" w:hAnsi="Garamond"/>
                <w:sz w:val="12"/>
                <w:szCs w:val="12"/>
              </w:rPr>
              <w:t>j</w:t>
            </w:r>
            <w:r w:rsidRPr="00821568">
              <w:rPr>
                <w:rFonts w:ascii="Garamond" w:hAnsi="Garamond"/>
                <w:sz w:val="12"/>
                <w:szCs w:val="12"/>
              </w:rPr>
              <w:t>italizimi i deklarimit të qirave në sistemin CATS dhe kontrollet për çmimet e aplikuara të qirave</w:t>
            </w:r>
            <w:r w:rsidR="00FD2285" w:rsidRPr="00821568">
              <w:rPr>
                <w:rFonts w:ascii="Garamond" w:hAnsi="Garamond"/>
                <w:sz w:val="12"/>
                <w:szCs w:val="12"/>
              </w:rPr>
              <w:t>.</w:t>
            </w:r>
          </w:p>
        </w:tc>
        <w:tc>
          <w:tcPr>
            <w:tcW w:w="941" w:type="dxa"/>
          </w:tcPr>
          <w:p w14:paraId="7494F93E"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2024</w:t>
            </w:r>
          </w:p>
        </w:tc>
        <w:tc>
          <w:tcPr>
            <w:tcW w:w="1125" w:type="dxa"/>
          </w:tcPr>
          <w:p w14:paraId="122AC08E"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2025</w:t>
            </w:r>
          </w:p>
        </w:tc>
        <w:tc>
          <w:tcPr>
            <w:tcW w:w="1347" w:type="dxa"/>
          </w:tcPr>
          <w:p w14:paraId="0D29BE5D"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DPT</w:t>
            </w:r>
          </w:p>
        </w:tc>
        <w:tc>
          <w:tcPr>
            <w:tcW w:w="1642" w:type="dxa"/>
          </w:tcPr>
          <w:p w14:paraId="1578A0CC"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r>
      <w:tr w:rsidR="00723888" w:rsidRPr="00821568" w14:paraId="079F6DC8"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31702BD6"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2.4.3</w:t>
            </w:r>
          </w:p>
        </w:tc>
        <w:tc>
          <w:tcPr>
            <w:tcW w:w="1670" w:type="dxa"/>
          </w:tcPr>
          <w:p w14:paraId="374E7AFF"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Forcimi i hetimeve kundër mashtrimit tatimor</w:t>
            </w:r>
          </w:p>
        </w:tc>
        <w:tc>
          <w:tcPr>
            <w:tcW w:w="1590" w:type="dxa"/>
          </w:tcPr>
          <w:p w14:paraId="58D162B3" w14:textId="73B1A30B"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 xml:space="preserve">Krijimi i </w:t>
            </w:r>
            <w:r w:rsidR="008C0C0F" w:rsidRPr="00821568">
              <w:rPr>
                <w:rFonts w:ascii="Garamond" w:hAnsi="Garamond"/>
                <w:sz w:val="12"/>
                <w:szCs w:val="12"/>
              </w:rPr>
              <w:t>një</w:t>
            </w:r>
            <w:r w:rsidRPr="00821568">
              <w:rPr>
                <w:rFonts w:ascii="Garamond" w:hAnsi="Garamond"/>
                <w:sz w:val="12"/>
                <w:szCs w:val="12"/>
              </w:rPr>
              <w:t xml:space="preserve"> seti t</w:t>
            </w:r>
            <w:r w:rsidR="008C0C0F" w:rsidRPr="00821568">
              <w:rPr>
                <w:rFonts w:ascii="Garamond" w:hAnsi="Garamond"/>
                <w:sz w:val="12"/>
                <w:szCs w:val="12"/>
              </w:rPr>
              <w:t>ë</w:t>
            </w:r>
            <w:r w:rsidRPr="00821568">
              <w:rPr>
                <w:rFonts w:ascii="Garamond" w:hAnsi="Garamond"/>
                <w:sz w:val="12"/>
                <w:szCs w:val="12"/>
              </w:rPr>
              <w:t xml:space="preserve"> ri</w:t>
            </w:r>
            <w:r w:rsidR="00D22EA5" w:rsidRPr="00821568">
              <w:rPr>
                <w:rFonts w:ascii="Garamond" w:hAnsi="Garamond"/>
                <w:sz w:val="12"/>
                <w:szCs w:val="12"/>
              </w:rPr>
              <w:t xml:space="preserve"> </w:t>
            </w:r>
            <w:r w:rsidRPr="00821568">
              <w:rPr>
                <w:rFonts w:ascii="Garamond" w:hAnsi="Garamond"/>
                <w:sz w:val="12"/>
                <w:szCs w:val="12"/>
              </w:rPr>
              <w:t>kriteresh risku bazuar n</w:t>
            </w:r>
            <w:r w:rsidR="008C0C0F" w:rsidRPr="00821568">
              <w:rPr>
                <w:rFonts w:ascii="Garamond" w:hAnsi="Garamond"/>
                <w:sz w:val="12"/>
                <w:szCs w:val="12"/>
              </w:rPr>
              <w:t>ë</w:t>
            </w:r>
            <w:r w:rsidRPr="00821568">
              <w:rPr>
                <w:rFonts w:ascii="Garamond" w:hAnsi="Garamond"/>
                <w:sz w:val="12"/>
                <w:szCs w:val="12"/>
              </w:rPr>
              <w:t xml:space="preserve"> t</w:t>
            </w:r>
            <w:r w:rsidR="008C0C0F" w:rsidRPr="00821568">
              <w:rPr>
                <w:rFonts w:ascii="Garamond" w:hAnsi="Garamond"/>
                <w:sz w:val="12"/>
                <w:szCs w:val="12"/>
              </w:rPr>
              <w:t>ë</w:t>
            </w:r>
            <w:r w:rsidRPr="00821568">
              <w:rPr>
                <w:rFonts w:ascii="Garamond" w:hAnsi="Garamond"/>
                <w:sz w:val="12"/>
                <w:szCs w:val="12"/>
              </w:rPr>
              <w:t xml:space="preserve"> dh</w:t>
            </w:r>
            <w:r w:rsidR="008C0C0F" w:rsidRPr="00821568">
              <w:rPr>
                <w:rFonts w:ascii="Garamond" w:hAnsi="Garamond"/>
                <w:sz w:val="12"/>
                <w:szCs w:val="12"/>
              </w:rPr>
              <w:t>ë</w:t>
            </w:r>
            <w:r w:rsidRPr="00821568">
              <w:rPr>
                <w:rFonts w:ascii="Garamond" w:hAnsi="Garamond"/>
                <w:sz w:val="12"/>
                <w:szCs w:val="12"/>
              </w:rPr>
              <w:t>nat q</w:t>
            </w:r>
            <w:r w:rsidR="008C0C0F" w:rsidRPr="00821568">
              <w:rPr>
                <w:rFonts w:ascii="Garamond" w:hAnsi="Garamond"/>
                <w:sz w:val="12"/>
                <w:szCs w:val="12"/>
              </w:rPr>
              <w:t>ë</w:t>
            </w:r>
            <w:r w:rsidRPr="00821568">
              <w:rPr>
                <w:rFonts w:ascii="Garamond" w:hAnsi="Garamond"/>
                <w:sz w:val="12"/>
                <w:szCs w:val="12"/>
              </w:rPr>
              <w:t xml:space="preserve"> sigurohen nga pasqyrat financiare vjetore t</w:t>
            </w:r>
            <w:r w:rsidR="008C0C0F" w:rsidRPr="00821568">
              <w:rPr>
                <w:rFonts w:ascii="Garamond" w:hAnsi="Garamond"/>
                <w:sz w:val="12"/>
                <w:szCs w:val="12"/>
              </w:rPr>
              <w:t>ë</w:t>
            </w:r>
            <w:r w:rsidRPr="00821568">
              <w:rPr>
                <w:rFonts w:ascii="Garamond" w:hAnsi="Garamond"/>
                <w:sz w:val="12"/>
                <w:szCs w:val="12"/>
              </w:rPr>
              <w:t xml:space="preserve"> dor</w:t>
            </w:r>
            <w:r w:rsidR="008C0C0F" w:rsidRPr="00821568">
              <w:rPr>
                <w:rFonts w:ascii="Garamond" w:hAnsi="Garamond"/>
                <w:sz w:val="12"/>
                <w:szCs w:val="12"/>
              </w:rPr>
              <w:t>ë</w:t>
            </w:r>
            <w:r w:rsidRPr="00821568">
              <w:rPr>
                <w:rFonts w:ascii="Garamond" w:hAnsi="Garamond"/>
                <w:sz w:val="12"/>
                <w:szCs w:val="12"/>
              </w:rPr>
              <w:t>zuara nga tatimpaguesit, si dhe shkeljeve t</w:t>
            </w:r>
            <w:r w:rsidR="008C0C0F" w:rsidRPr="00821568">
              <w:rPr>
                <w:rFonts w:ascii="Garamond" w:hAnsi="Garamond"/>
                <w:sz w:val="12"/>
                <w:szCs w:val="12"/>
              </w:rPr>
              <w:t>ë</w:t>
            </w:r>
            <w:r w:rsidRPr="00821568">
              <w:rPr>
                <w:rFonts w:ascii="Garamond" w:hAnsi="Garamond"/>
                <w:sz w:val="12"/>
                <w:szCs w:val="12"/>
              </w:rPr>
              <w:t xml:space="preserve"> tjera t</w:t>
            </w:r>
            <w:r w:rsidR="008C0C0F" w:rsidRPr="00821568">
              <w:rPr>
                <w:rFonts w:ascii="Garamond" w:hAnsi="Garamond"/>
                <w:sz w:val="12"/>
                <w:szCs w:val="12"/>
              </w:rPr>
              <w:t>ë</w:t>
            </w:r>
            <w:r w:rsidRPr="00821568">
              <w:rPr>
                <w:rFonts w:ascii="Garamond" w:hAnsi="Garamond"/>
                <w:sz w:val="12"/>
                <w:szCs w:val="12"/>
              </w:rPr>
              <w:t xml:space="preserve"> mundshme t</w:t>
            </w:r>
            <w:r w:rsidR="008C0C0F" w:rsidRPr="00821568">
              <w:rPr>
                <w:rFonts w:ascii="Garamond" w:hAnsi="Garamond"/>
                <w:sz w:val="12"/>
                <w:szCs w:val="12"/>
              </w:rPr>
              <w:t>ë</w:t>
            </w:r>
            <w:r w:rsidRPr="00821568">
              <w:rPr>
                <w:rFonts w:ascii="Garamond" w:hAnsi="Garamond"/>
                <w:sz w:val="12"/>
                <w:szCs w:val="12"/>
              </w:rPr>
              <w:t xml:space="preserve"> legjislacionit tatimor.</w:t>
            </w:r>
          </w:p>
          <w:p w14:paraId="73C4539A" w14:textId="67B1A956"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Analiza dhe investigimi i shitjeve fiktive t</w:t>
            </w:r>
            <w:r w:rsidR="008C0C0F" w:rsidRPr="00821568">
              <w:rPr>
                <w:rFonts w:ascii="Garamond" w:hAnsi="Garamond"/>
                <w:sz w:val="12"/>
                <w:szCs w:val="12"/>
              </w:rPr>
              <w:t>ë</w:t>
            </w:r>
            <w:r w:rsidRPr="00821568">
              <w:rPr>
                <w:rFonts w:ascii="Garamond" w:hAnsi="Garamond"/>
                <w:sz w:val="12"/>
                <w:szCs w:val="12"/>
              </w:rPr>
              <w:t xml:space="preserve"> aksioneve t</w:t>
            </w:r>
            <w:r w:rsidR="008C0C0F" w:rsidRPr="00821568">
              <w:rPr>
                <w:rFonts w:ascii="Garamond" w:hAnsi="Garamond"/>
                <w:sz w:val="12"/>
                <w:szCs w:val="12"/>
              </w:rPr>
              <w:t>ë</w:t>
            </w:r>
            <w:r w:rsidRPr="00821568">
              <w:rPr>
                <w:rFonts w:ascii="Garamond" w:hAnsi="Garamond"/>
                <w:sz w:val="12"/>
                <w:szCs w:val="12"/>
              </w:rPr>
              <w:t xml:space="preserve"> kompanive aksionere</w:t>
            </w:r>
            <w:r w:rsidR="008C0C0F" w:rsidRPr="00821568">
              <w:rPr>
                <w:rFonts w:ascii="Garamond" w:hAnsi="Garamond"/>
                <w:sz w:val="12"/>
                <w:szCs w:val="12"/>
              </w:rPr>
              <w:t xml:space="preserve">. </w:t>
            </w:r>
            <w:r w:rsidRPr="00821568">
              <w:rPr>
                <w:rFonts w:ascii="Garamond" w:hAnsi="Garamond"/>
                <w:sz w:val="12"/>
                <w:szCs w:val="12"/>
              </w:rPr>
              <w:t>Hetimi i skemave t</w:t>
            </w:r>
            <w:r w:rsidR="008C0C0F" w:rsidRPr="00821568">
              <w:rPr>
                <w:rFonts w:ascii="Garamond" w:hAnsi="Garamond"/>
                <w:sz w:val="12"/>
                <w:szCs w:val="12"/>
              </w:rPr>
              <w:t>ë</w:t>
            </w:r>
            <w:r w:rsidRPr="00821568">
              <w:rPr>
                <w:rFonts w:ascii="Garamond" w:hAnsi="Garamond"/>
                <w:sz w:val="12"/>
                <w:szCs w:val="12"/>
              </w:rPr>
              <w:t xml:space="preserve"> mashtrimit me</w:t>
            </w:r>
            <w:r w:rsidR="00DE65FB" w:rsidRPr="00821568">
              <w:rPr>
                <w:rFonts w:ascii="Garamond" w:hAnsi="Garamond"/>
                <w:sz w:val="12"/>
                <w:szCs w:val="12"/>
              </w:rPr>
              <w:t xml:space="preserve"> TVSh</w:t>
            </w:r>
            <w:r w:rsidRPr="00821568">
              <w:rPr>
                <w:rFonts w:ascii="Garamond" w:hAnsi="Garamond"/>
                <w:sz w:val="12"/>
                <w:szCs w:val="12"/>
              </w:rPr>
              <w:t>-n</w:t>
            </w:r>
            <w:r w:rsidR="008C0C0F" w:rsidRPr="00821568">
              <w:rPr>
                <w:rFonts w:ascii="Garamond" w:hAnsi="Garamond"/>
                <w:sz w:val="12"/>
                <w:szCs w:val="12"/>
              </w:rPr>
              <w:t>ë</w:t>
            </w:r>
            <w:r w:rsidRPr="00821568">
              <w:rPr>
                <w:rFonts w:ascii="Garamond" w:hAnsi="Garamond"/>
                <w:sz w:val="12"/>
                <w:szCs w:val="12"/>
              </w:rPr>
              <w:t xml:space="preserve"> (Skema karusel)</w:t>
            </w:r>
            <w:r w:rsidR="00FD2285" w:rsidRPr="00821568">
              <w:rPr>
                <w:rFonts w:ascii="Garamond" w:hAnsi="Garamond"/>
                <w:sz w:val="12"/>
                <w:szCs w:val="12"/>
              </w:rPr>
              <w:t>.</w:t>
            </w:r>
          </w:p>
          <w:p w14:paraId="4DC82E56" w14:textId="21B5D155"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Analizimi i t</w:t>
            </w:r>
            <w:r w:rsidR="008C0C0F" w:rsidRPr="00821568">
              <w:rPr>
                <w:rFonts w:ascii="Garamond" w:hAnsi="Garamond"/>
                <w:sz w:val="12"/>
                <w:szCs w:val="12"/>
              </w:rPr>
              <w:t>ë</w:t>
            </w:r>
            <w:r w:rsidRPr="00821568">
              <w:rPr>
                <w:rFonts w:ascii="Garamond" w:hAnsi="Garamond"/>
                <w:sz w:val="12"/>
                <w:szCs w:val="12"/>
              </w:rPr>
              <w:t xml:space="preserve"> </w:t>
            </w:r>
            <w:r w:rsidR="00FD2285" w:rsidRPr="00821568">
              <w:rPr>
                <w:rFonts w:ascii="Garamond" w:hAnsi="Garamond"/>
                <w:sz w:val="12"/>
                <w:szCs w:val="12"/>
              </w:rPr>
              <w:t>dhënave</w:t>
            </w:r>
            <w:r w:rsidRPr="00821568">
              <w:rPr>
                <w:rFonts w:ascii="Garamond" w:hAnsi="Garamond"/>
                <w:sz w:val="12"/>
                <w:szCs w:val="12"/>
              </w:rPr>
              <w:t xml:space="preserve"> nga </w:t>
            </w:r>
            <w:r w:rsidR="00FD2285" w:rsidRPr="00821568">
              <w:rPr>
                <w:rFonts w:ascii="Garamond" w:hAnsi="Garamond"/>
                <w:sz w:val="12"/>
                <w:szCs w:val="12"/>
              </w:rPr>
              <w:t>palët</w:t>
            </w:r>
            <w:r w:rsidRPr="00821568">
              <w:rPr>
                <w:rFonts w:ascii="Garamond" w:hAnsi="Garamond"/>
                <w:sz w:val="12"/>
                <w:szCs w:val="12"/>
              </w:rPr>
              <w:t xml:space="preserve"> e treta (Dogana) p</w:t>
            </w:r>
            <w:r w:rsidR="008C0C0F" w:rsidRPr="00821568">
              <w:rPr>
                <w:rFonts w:ascii="Garamond" w:hAnsi="Garamond"/>
                <w:sz w:val="12"/>
                <w:szCs w:val="12"/>
              </w:rPr>
              <w:t>ë</w:t>
            </w:r>
            <w:r w:rsidRPr="00821568">
              <w:rPr>
                <w:rFonts w:ascii="Garamond" w:hAnsi="Garamond"/>
                <w:sz w:val="12"/>
                <w:szCs w:val="12"/>
              </w:rPr>
              <w:t>r evidentimin e skemave t</w:t>
            </w:r>
            <w:r w:rsidR="008C0C0F" w:rsidRPr="00821568">
              <w:rPr>
                <w:rFonts w:ascii="Garamond" w:hAnsi="Garamond"/>
                <w:sz w:val="12"/>
                <w:szCs w:val="12"/>
              </w:rPr>
              <w:t>ë</w:t>
            </w:r>
            <w:r w:rsidRPr="00821568">
              <w:rPr>
                <w:rFonts w:ascii="Garamond" w:hAnsi="Garamond"/>
                <w:sz w:val="12"/>
                <w:szCs w:val="12"/>
              </w:rPr>
              <w:t xml:space="preserve"> </w:t>
            </w:r>
            <w:r w:rsidR="00FD2285" w:rsidRPr="00821568">
              <w:rPr>
                <w:rFonts w:ascii="Garamond" w:hAnsi="Garamond"/>
                <w:sz w:val="12"/>
                <w:szCs w:val="12"/>
              </w:rPr>
              <w:t>mashtrimit</w:t>
            </w:r>
            <w:r w:rsidRPr="00821568">
              <w:rPr>
                <w:rFonts w:ascii="Garamond" w:hAnsi="Garamond"/>
                <w:sz w:val="12"/>
                <w:szCs w:val="12"/>
              </w:rPr>
              <w:t xml:space="preserve"> tatimor.</w:t>
            </w:r>
          </w:p>
          <w:p w14:paraId="13A66898" w14:textId="628630E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Analiza dhe investigimi i sektorëve dhe fenomeneve me risk si informaliteti në paga në sektorët e ndërtimit, industrinë e turizmit,</w:t>
            </w:r>
            <w:r w:rsidR="00D22EA5" w:rsidRPr="00821568">
              <w:rPr>
                <w:rFonts w:ascii="Garamond" w:hAnsi="Garamond"/>
                <w:sz w:val="12"/>
                <w:szCs w:val="12"/>
              </w:rPr>
              <w:t xml:space="preserve"> </w:t>
            </w:r>
            <w:r w:rsidRPr="00821568">
              <w:rPr>
                <w:rFonts w:ascii="Garamond" w:hAnsi="Garamond"/>
                <w:sz w:val="12"/>
                <w:szCs w:val="12"/>
              </w:rPr>
              <w:t>shërbimeve të ndryshme,</w:t>
            </w:r>
            <w:r w:rsidR="00D22EA5" w:rsidRPr="00821568">
              <w:rPr>
                <w:rFonts w:ascii="Garamond" w:hAnsi="Garamond"/>
                <w:sz w:val="12"/>
                <w:szCs w:val="12"/>
              </w:rPr>
              <w:t xml:space="preserve"> </w:t>
            </w:r>
            <w:r w:rsidRPr="00821568">
              <w:rPr>
                <w:rFonts w:ascii="Garamond" w:hAnsi="Garamond"/>
                <w:sz w:val="12"/>
                <w:szCs w:val="12"/>
              </w:rPr>
              <w:t>etj.</w:t>
            </w:r>
          </w:p>
          <w:p w14:paraId="72075067" w14:textId="5FFCA348"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Analiza dhe investigimi i informalitetit n</w:t>
            </w:r>
            <w:r w:rsidR="008C0C0F" w:rsidRPr="00821568">
              <w:rPr>
                <w:rFonts w:ascii="Garamond" w:hAnsi="Garamond"/>
                <w:sz w:val="12"/>
                <w:szCs w:val="12"/>
              </w:rPr>
              <w:t>ë</w:t>
            </w:r>
            <w:r w:rsidRPr="00821568">
              <w:rPr>
                <w:rFonts w:ascii="Garamond" w:hAnsi="Garamond"/>
                <w:sz w:val="12"/>
                <w:szCs w:val="12"/>
              </w:rPr>
              <w:t xml:space="preserve"> sektorin e fushës së ndërtimit dhe nënkontraktorëve të cilët ofrojnë shërbime dhe aksesorë për këtë fushë.</w:t>
            </w:r>
          </w:p>
          <w:p w14:paraId="1DA480AC" w14:textId="01FD848E"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Analiza dhe investigimi i informalitetit n</w:t>
            </w:r>
            <w:r w:rsidR="008C0C0F" w:rsidRPr="00821568">
              <w:rPr>
                <w:rFonts w:ascii="Garamond" w:hAnsi="Garamond"/>
                <w:sz w:val="12"/>
                <w:szCs w:val="12"/>
              </w:rPr>
              <w:t>ë</w:t>
            </w:r>
            <w:r w:rsidRPr="00821568">
              <w:rPr>
                <w:rFonts w:ascii="Garamond" w:hAnsi="Garamond"/>
                <w:sz w:val="12"/>
                <w:szCs w:val="12"/>
              </w:rPr>
              <w:t xml:space="preserve"> sektorin e </w:t>
            </w:r>
            <w:r w:rsidR="00FD2285" w:rsidRPr="00821568">
              <w:rPr>
                <w:rFonts w:ascii="Garamond" w:hAnsi="Garamond"/>
                <w:sz w:val="12"/>
                <w:szCs w:val="12"/>
              </w:rPr>
              <w:t>fushës</w:t>
            </w:r>
            <w:r w:rsidRPr="00821568">
              <w:rPr>
                <w:rFonts w:ascii="Garamond" w:hAnsi="Garamond"/>
                <w:sz w:val="12"/>
                <w:szCs w:val="12"/>
              </w:rPr>
              <w:t xml:space="preserve"> </w:t>
            </w:r>
            <w:r w:rsidR="00FD2285" w:rsidRPr="00821568">
              <w:rPr>
                <w:rFonts w:ascii="Garamond" w:hAnsi="Garamond"/>
                <w:bCs/>
                <w:sz w:val="12"/>
                <w:szCs w:val="12"/>
              </w:rPr>
              <w:t xml:space="preserve">së </w:t>
            </w:r>
            <w:r w:rsidRPr="00821568">
              <w:rPr>
                <w:rFonts w:ascii="Garamond" w:hAnsi="Garamond"/>
                <w:sz w:val="12"/>
                <w:szCs w:val="12"/>
              </w:rPr>
              <w:t>operator</w:t>
            </w:r>
            <w:r w:rsidR="00FD2285" w:rsidRPr="00821568">
              <w:rPr>
                <w:rFonts w:ascii="Garamond" w:hAnsi="Garamond"/>
                <w:sz w:val="12"/>
                <w:szCs w:val="12"/>
              </w:rPr>
              <w:t>ë</w:t>
            </w:r>
            <w:r w:rsidRPr="00821568">
              <w:rPr>
                <w:rFonts w:ascii="Garamond" w:hAnsi="Garamond"/>
                <w:sz w:val="12"/>
                <w:szCs w:val="12"/>
              </w:rPr>
              <w:t>ve t</w:t>
            </w:r>
            <w:r w:rsidR="008C0C0F" w:rsidRPr="00821568">
              <w:rPr>
                <w:rFonts w:ascii="Garamond" w:hAnsi="Garamond"/>
                <w:sz w:val="12"/>
                <w:szCs w:val="12"/>
              </w:rPr>
              <w:t>ë</w:t>
            </w:r>
            <w:r w:rsidRPr="00821568">
              <w:rPr>
                <w:rFonts w:ascii="Garamond" w:hAnsi="Garamond"/>
                <w:sz w:val="12"/>
                <w:szCs w:val="12"/>
              </w:rPr>
              <w:t xml:space="preserve"> turizmit.</w:t>
            </w:r>
          </w:p>
          <w:p w14:paraId="4AE906B3" w14:textId="74970FD5"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Analiza dhe investigimi i informalitetit n</w:t>
            </w:r>
            <w:r w:rsidR="008C0C0F" w:rsidRPr="00821568">
              <w:rPr>
                <w:rFonts w:ascii="Garamond" w:hAnsi="Garamond"/>
                <w:sz w:val="12"/>
                <w:szCs w:val="12"/>
              </w:rPr>
              <w:t>ë</w:t>
            </w:r>
            <w:r w:rsidRPr="00821568">
              <w:rPr>
                <w:rFonts w:ascii="Garamond" w:hAnsi="Garamond"/>
                <w:sz w:val="12"/>
                <w:szCs w:val="12"/>
              </w:rPr>
              <w:t xml:space="preserve"> sektorin e fushës së shitjeve dhe blerjeve </w:t>
            </w:r>
            <w:r w:rsidRPr="00821568">
              <w:rPr>
                <w:rFonts w:ascii="Garamond" w:hAnsi="Garamond"/>
                <w:i/>
                <w:sz w:val="12"/>
                <w:szCs w:val="12"/>
              </w:rPr>
              <w:t>online</w:t>
            </w:r>
            <w:r w:rsidRPr="00821568">
              <w:rPr>
                <w:rFonts w:ascii="Garamond" w:hAnsi="Garamond"/>
                <w:sz w:val="12"/>
                <w:szCs w:val="12"/>
              </w:rPr>
              <w:t>.</w:t>
            </w:r>
          </w:p>
          <w:p w14:paraId="68B2CE0D"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Analiza dhe investigimi i informalitetit në sektorin e fushës së subjekteve që ofrojnë shërbime konsulence, sherbime IT, shërbime inxhinierie, dhe të tjera në teknologjinë e informacionit.</w:t>
            </w:r>
          </w:p>
          <w:p w14:paraId="2E97BE70" w14:textId="75D2E492"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Analiza dhe investigimi i informalitetit në sektorin e fushës farmaceutikës dhe kozmetikës</w:t>
            </w:r>
            <w:r w:rsidR="00FD2285" w:rsidRPr="00821568">
              <w:rPr>
                <w:rFonts w:ascii="Garamond" w:hAnsi="Garamond"/>
                <w:sz w:val="12"/>
                <w:szCs w:val="12"/>
              </w:rPr>
              <w:t>.</w:t>
            </w:r>
          </w:p>
          <w:p w14:paraId="0E718FE1" w14:textId="6DF9E2B1"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Analiza dhe investigimi i informacioneve të siguruara nga palë të treta</w:t>
            </w:r>
            <w:r w:rsidR="00FD2285" w:rsidRPr="00821568">
              <w:rPr>
                <w:rFonts w:ascii="Garamond" w:hAnsi="Garamond"/>
                <w:sz w:val="12"/>
                <w:szCs w:val="12"/>
              </w:rPr>
              <w:t>,</w:t>
            </w:r>
            <w:r w:rsidRPr="00821568">
              <w:rPr>
                <w:rFonts w:ascii="Garamond" w:hAnsi="Garamond"/>
                <w:sz w:val="12"/>
                <w:szCs w:val="12"/>
              </w:rPr>
              <w:t xml:space="preserve"> si</w:t>
            </w:r>
            <w:r w:rsidR="00FD2285" w:rsidRPr="00821568">
              <w:rPr>
                <w:rFonts w:ascii="Garamond" w:hAnsi="Garamond"/>
                <w:sz w:val="12"/>
                <w:szCs w:val="12"/>
              </w:rPr>
              <w:t>:</w:t>
            </w:r>
            <w:r w:rsidRPr="00821568">
              <w:rPr>
                <w:rFonts w:ascii="Garamond" w:hAnsi="Garamond"/>
                <w:sz w:val="12"/>
                <w:szCs w:val="12"/>
              </w:rPr>
              <w:t xml:space="preserve"> qytetarë, media, institucione të tjera shtetërore dhe private.</w:t>
            </w:r>
          </w:p>
          <w:p w14:paraId="35A95F44" w14:textId="267A896D"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Analiza dhe investigimi i informacioneve të siguruara nga institucione të tjera me trajtim të rasteve që kanë të bëjnë me pastrimin e</w:t>
            </w:r>
            <w:r w:rsidR="00D22EA5" w:rsidRPr="00821568">
              <w:rPr>
                <w:rFonts w:ascii="Garamond" w:hAnsi="Garamond"/>
                <w:sz w:val="12"/>
                <w:szCs w:val="12"/>
              </w:rPr>
              <w:t xml:space="preserve"> </w:t>
            </w:r>
            <w:r w:rsidRPr="00821568">
              <w:rPr>
                <w:rFonts w:ascii="Garamond" w:hAnsi="Garamond"/>
                <w:sz w:val="12"/>
                <w:szCs w:val="12"/>
              </w:rPr>
              <w:t>parave,</w:t>
            </w:r>
            <w:r w:rsidR="00FD2285" w:rsidRPr="00821568">
              <w:rPr>
                <w:rFonts w:ascii="Garamond" w:hAnsi="Garamond"/>
                <w:sz w:val="12"/>
                <w:szCs w:val="12"/>
              </w:rPr>
              <w:t xml:space="preserve"> </w:t>
            </w:r>
            <w:r w:rsidRPr="00821568">
              <w:rPr>
                <w:rFonts w:ascii="Garamond" w:hAnsi="Garamond"/>
                <w:sz w:val="12"/>
                <w:szCs w:val="12"/>
              </w:rPr>
              <w:t>transaksionet e dyshimta,</w:t>
            </w:r>
            <w:r w:rsidR="00D22EA5" w:rsidRPr="00821568">
              <w:rPr>
                <w:rFonts w:ascii="Garamond" w:hAnsi="Garamond"/>
                <w:sz w:val="12"/>
                <w:szCs w:val="12"/>
              </w:rPr>
              <w:t xml:space="preserve"> </w:t>
            </w:r>
            <w:r w:rsidRPr="00821568">
              <w:rPr>
                <w:rFonts w:ascii="Garamond" w:hAnsi="Garamond"/>
                <w:sz w:val="12"/>
                <w:szCs w:val="12"/>
              </w:rPr>
              <w:t>etj.</w:t>
            </w:r>
          </w:p>
          <w:p w14:paraId="3DB873D8"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tc>
        <w:tc>
          <w:tcPr>
            <w:tcW w:w="941" w:type="dxa"/>
          </w:tcPr>
          <w:p w14:paraId="6840EB86"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2024</w:t>
            </w:r>
          </w:p>
        </w:tc>
        <w:tc>
          <w:tcPr>
            <w:tcW w:w="1125" w:type="dxa"/>
          </w:tcPr>
          <w:p w14:paraId="1D986D84" w14:textId="77E3F76B"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Qershor</w:t>
            </w:r>
            <w:r w:rsidR="00D22EA5" w:rsidRPr="00821568">
              <w:rPr>
                <w:rFonts w:ascii="Garamond" w:hAnsi="Garamond"/>
                <w:sz w:val="12"/>
                <w:szCs w:val="12"/>
              </w:rPr>
              <w:t xml:space="preserve"> </w:t>
            </w:r>
            <w:r w:rsidRPr="00821568">
              <w:rPr>
                <w:rFonts w:ascii="Garamond" w:hAnsi="Garamond"/>
                <w:sz w:val="12"/>
                <w:szCs w:val="12"/>
              </w:rPr>
              <w:t>2027</w:t>
            </w:r>
          </w:p>
        </w:tc>
        <w:tc>
          <w:tcPr>
            <w:tcW w:w="1347" w:type="dxa"/>
          </w:tcPr>
          <w:p w14:paraId="7BAE21C3"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DPT</w:t>
            </w:r>
          </w:p>
        </w:tc>
        <w:tc>
          <w:tcPr>
            <w:tcW w:w="1642" w:type="dxa"/>
          </w:tcPr>
          <w:p w14:paraId="62523A9C"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r>
      <w:tr w:rsidR="00723888" w:rsidRPr="00821568" w14:paraId="5440FE2F"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9129" w:type="dxa"/>
            <w:gridSpan w:val="7"/>
          </w:tcPr>
          <w:p w14:paraId="0A4355D8" w14:textId="30C0118F" w:rsidR="00472A4B" w:rsidRPr="00821568" w:rsidRDefault="00472A4B" w:rsidP="00A86F37">
            <w:pPr>
              <w:rPr>
                <w:rFonts w:ascii="Garamond" w:hAnsi="Garamond"/>
                <w:sz w:val="12"/>
                <w:szCs w:val="12"/>
              </w:rPr>
            </w:pPr>
            <w:r w:rsidRPr="00821568">
              <w:rPr>
                <w:rFonts w:ascii="Garamond" w:hAnsi="Garamond"/>
                <w:sz w:val="12"/>
                <w:szCs w:val="12"/>
              </w:rPr>
              <w:t xml:space="preserve">Objektivi </w:t>
            </w:r>
            <w:r w:rsidR="00FD2285" w:rsidRPr="00821568">
              <w:rPr>
                <w:rFonts w:ascii="Garamond" w:hAnsi="Garamond"/>
                <w:sz w:val="12"/>
                <w:szCs w:val="12"/>
              </w:rPr>
              <w:t>specifik (komponenti</w:t>
            </w:r>
            <w:r w:rsidRPr="00821568">
              <w:rPr>
                <w:rFonts w:ascii="Garamond" w:hAnsi="Garamond"/>
                <w:sz w:val="12"/>
                <w:szCs w:val="12"/>
              </w:rPr>
              <w:t>) 2.5 Reduktimi i punës së padeklaruar dhe nëndeklarimit të pagës reale</w:t>
            </w:r>
          </w:p>
        </w:tc>
      </w:tr>
      <w:tr w:rsidR="00723888" w:rsidRPr="00821568" w14:paraId="046C1BBA" w14:textId="77777777" w:rsidTr="00FD2285">
        <w:trPr>
          <w:trHeight w:val="20"/>
        </w:trPr>
        <w:tc>
          <w:tcPr>
            <w:cnfStyle w:val="001000000000" w:firstRow="0" w:lastRow="0" w:firstColumn="1" w:lastColumn="0" w:oddVBand="0" w:evenVBand="0" w:oddHBand="0" w:evenHBand="0" w:firstRowFirstColumn="0" w:firstRowLastColumn="0" w:lastRowFirstColumn="0" w:lastRowLastColumn="0"/>
            <w:tcW w:w="814" w:type="dxa"/>
            <w:vMerge w:val="restart"/>
            <w:vAlign w:val="center"/>
          </w:tcPr>
          <w:p w14:paraId="5C642C30" w14:textId="7A583A34" w:rsidR="00472A4B" w:rsidRPr="00821568" w:rsidRDefault="00472A4B" w:rsidP="00FD2285">
            <w:pPr>
              <w:jc w:val="center"/>
              <w:rPr>
                <w:rFonts w:ascii="Garamond" w:hAnsi="Garamond"/>
                <w:sz w:val="12"/>
                <w:szCs w:val="12"/>
              </w:rPr>
            </w:pPr>
            <w:r w:rsidRPr="00821568">
              <w:rPr>
                <w:rFonts w:ascii="Garamond" w:hAnsi="Garamond"/>
                <w:sz w:val="12"/>
                <w:szCs w:val="12"/>
              </w:rPr>
              <w:t>Nr</w:t>
            </w:r>
            <w:r w:rsidR="008C0C0F" w:rsidRPr="00821568">
              <w:rPr>
                <w:rFonts w:ascii="Garamond" w:hAnsi="Garamond"/>
                <w:sz w:val="12"/>
                <w:szCs w:val="12"/>
              </w:rPr>
              <w:t>.</w:t>
            </w:r>
          </w:p>
        </w:tc>
        <w:tc>
          <w:tcPr>
            <w:tcW w:w="1670" w:type="dxa"/>
            <w:vMerge w:val="restart"/>
            <w:vAlign w:val="center"/>
          </w:tcPr>
          <w:p w14:paraId="0A00027C"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Masa</w:t>
            </w:r>
          </w:p>
        </w:tc>
        <w:tc>
          <w:tcPr>
            <w:tcW w:w="1590" w:type="dxa"/>
            <w:vMerge w:val="restart"/>
            <w:vAlign w:val="center"/>
          </w:tcPr>
          <w:p w14:paraId="3D6C08BE"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Aktiviteti</w:t>
            </w:r>
          </w:p>
        </w:tc>
        <w:tc>
          <w:tcPr>
            <w:tcW w:w="941" w:type="dxa"/>
            <w:vAlign w:val="center"/>
          </w:tcPr>
          <w:p w14:paraId="7498359D"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Fillimi</w:t>
            </w:r>
          </w:p>
        </w:tc>
        <w:tc>
          <w:tcPr>
            <w:tcW w:w="1125" w:type="dxa"/>
            <w:vAlign w:val="center"/>
          </w:tcPr>
          <w:p w14:paraId="0E4DCB03"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Mbarimi</w:t>
            </w:r>
          </w:p>
        </w:tc>
        <w:tc>
          <w:tcPr>
            <w:tcW w:w="2989" w:type="dxa"/>
            <w:gridSpan w:val="2"/>
            <w:vAlign w:val="center"/>
          </w:tcPr>
          <w:p w14:paraId="5971F90C" w14:textId="4F07A09D"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 xml:space="preserve">Grupet e </w:t>
            </w:r>
            <w:r w:rsidR="00FD2285" w:rsidRPr="00821568">
              <w:rPr>
                <w:rFonts w:ascii="Garamond" w:hAnsi="Garamond"/>
                <w:b/>
                <w:bCs/>
                <w:sz w:val="12"/>
                <w:szCs w:val="12"/>
              </w:rPr>
              <w:t>i</w:t>
            </w:r>
            <w:r w:rsidRPr="00821568">
              <w:rPr>
                <w:rFonts w:ascii="Garamond" w:hAnsi="Garamond"/>
                <w:b/>
                <w:bCs/>
                <w:sz w:val="12"/>
                <w:szCs w:val="12"/>
              </w:rPr>
              <w:t>nteresit</w:t>
            </w:r>
          </w:p>
        </w:tc>
      </w:tr>
      <w:tr w:rsidR="00723888" w:rsidRPr="00821568" w14:paraId="3FE10774" w14:textId="77777777" w:rsidTr="00FD2285">
        <w:trPr>
          <w:trHeight w:val="20"/>
        </w:trPr>
        <w:tc>
          <w:tcPr>
            <w:cnfStyle w:val="001000000000" w:firstRow="0" w:lastRow="0" w:firstColumn="1" w:lastColumn="0" w:oddVBand="0" w:evenVBand="0" w:oddHBand="0" w:evenHBand="0" w:firstRowFirstColumn="0" w:firstRowLastColumn="0" w:lastRowFirstColumn="0" w:lastRowLastColumn="0"/>
            <w:tcW w:w="814" w:type="dxa"/>
            <w:vMerge/>
            <w:vAlign w:val="center"/>
          </w:tcPr>
          <w:p w14:paraId="4270644B" w14:textId="77777777" w:rsidR="00472A4B" w:rsidRPr="00821568" w:rsidRDefault="00472A4B" w:rsidP="00FD2285">
            <w:pPr>
              <w:jc w:val="center"/>
              <w:rPr>
                <w:rFonts w:ascii="Garamond" w:hAnsi="Garamond"/>
                <w:sz w:val="12"/>
                <w:szCs w:val="12"/>
              </w:rPr>
            </w:pPr>
          </w:p>
        </w:tc>
        <w:tc>
          <w:tcPr>
            <w:tcW w:w="1670" w:type="dxa"/>
            <w:vMerge/>
            <w:vAlign w:val="center"/>
          </w:tcPr>
          <w:p w14:paraId="6CC47426"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1590" w:type="dxa"/>
            <w:vMerge/>
            <w:vAlign w:val="center"/>
          </w:tcPr>
          <w:p w14:paraId="47A8CD04"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941" w:type="dxa"/>
            <w:vAlign w:val="center"/>
          </w:tcPr>
          <w:p w14:paraId="31CDEBFE"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1125" w:type="dxa"/>
            <w:vAlign w:val="center"/>
          </w:tcPr>
          <w:p w14:paraId="43E34B6F"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1347" w:type="dxa"/>
            <w:vAlign w:val="center"/>
          </w:tcPr>
          <w:p w14:paraId="01D1CB34"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Njësitë përgjegjëse</w:t>
            </w:r>
          </w:p>
        </w:tc>
        <w:tc>
          <w:tcPr>
            <w:tcW w:w="1642" w:type="dxa"/>
            <w:vAlign w:val="center"/>
          </w:tcPr>
          <w:p w14:paraId="686D3040" w14:textId="77777777" w:rsidR="00472A4B" w:rsidRPr="00821568" w:rsidRDefault="00472A4B" w:rsidP="00FD2285">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Partnerët</w:t>
            </w:r>
          </w:p>
        </w:tc>
      </w:tr>
      <w:tr w:rsidR="00723888" w:rsidRPr="00821568" w14:paraId="3835AF3B"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36E7D5D1"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2.5.1</w:t>
            </w:r>
          </w:p>
        </w:tc>
        <w:tc>
          <w:tcPr>
            <w:tcW w:w="1670" w:type="dxa"/>
          </w:tcPr>
          <w:p w14:paraId="7702833F" w14:textId="72A9982D"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eastAsiaTheme="minorHAnsi" w:hAnsi="Garamond"/>
                <w:bCs/>
                <w:sz w:val="12"/>
                <w:szCs w:val="12"/>
              </w:rPr>
            </w:pPr>
            <w:r w:rsidRPr="00821568">
              <w:rPr>
                <w:rFonts w:ascii="Garamond" w:eastAsiaTheme="minorHAnsi" w:hAnsi="Garamond"/>
                <w:sz w:val="12"/>
                <w:szCs w:val="12"/>
              </w:rPr>
              <w:t>Hartimi i një plani të integruar në drejtim të mosdeklarimit të punonjësve</w:t>
            </w:r>
          </w:p>
          <w:p w14:paraId="3671FD4D"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p>
        </w:tc>
        <w:tc>
          <w:tcPr>
            <w:tcW w:w="1590" w:type="dxa"/>
          </w:tcPr>
          <w:p w14:paraId="4E0F3EBA"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Hartimi i një Plani Sektorial për identifikimin e punës së padeklaruar.</w:t>
            </w:r>
          </w:p>
        </w:tc>
        <w:tc>
          <w:tcPr>
            <w:tcW w:w="941" w:type="dxa"/>
          </w:tcPr>
          <w:p w14:paraId="39E6318C"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2025</w:t>
            </w:r>
          </w:p>
        </w:tc>
        <w:tc>
          <w:tcPr>
            <w:tcW w:w="1125" w:type="dxa"/>
          </w:tcPr>
          <w:p w14:paraId="4F07A8BE"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2027</w:t>
            </w:r>
          </w:p>
        </w:tc>
        <w:tc>
          <w:tcPr>
            <w:tcW w:w="1347" w:type="dxa"/>
          </w:tcPr>
          <w:p w14:paraId="73E1558A"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DPT</w:t>
            </w:r>
          </w:p>
        </w:tc>
        <w:tc>
          <w:tcPr>
            <w:tcW w:w="1642" w:type="dxa"/>
          </w:tcPr>
          <w:p w14:paraId="269B8B24"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ISHPSHSH / ISSH/Shoqatat e biznesit</w:t>
            </w:r>
          </w:p>
        </w:tc>
      </w:tr>
      <w:tr w:rsidR="00723888" w:rsidRPr="00821568" w14:paraId="1950433F"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7E904B63"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2.5.2</w:t>
            </w:r>
          </w:p>
        </w:tc>
        <w:tc>
          <w:tcPr>
            <w:tcW w:w="1670" w:type="dxa"/>
          </w:tcPr>
          <w:p w14:paraId="00A916D2" w14:textId="6F3FDAD3"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eastAsiaTheme="minorHAnsi" w:hAnsi="Garamond"/>
                <w:bCs/>
                <w:sz w:val="12"/>
                <w:szCs w:val="12"/>
              </w:rPr>
              <w:t>Përmirësimi i bashkëpunimit ndërinstitucional për koordinimin e veprimeve në kuadër të identifikimit të punës së padeklaruar ose nëndeklaruar, mbështetur në një strategji të qartë</w:t>
            </w:r>
          </w:p>
        </w:tc>
        <w:tc>
          <w:tcPr>
            <w:tcW w:w="1590" w:type="dxa"/>
          </w:tcPr>
          <w:p w14:paraId="71DD2185" w14:textId="3A840EFB"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 xml:space="preserve">Përmirësimi i marrëveshjeve të bashkëpunimit me Institutin e Sigurimeve </w:t>
            </w:r>
            <w:r w:rsidR="008C0C0F" w:rsidRPr="00821568">
              <w:rPr>
                <w:rFonts w:ascii="Garamond" w:hAnsi="Garamond"/>
                <w:sz w:val="12"/>
                <w:szCs w:val="12"/>
              </w:rPr>
              <w:t>Shoqërore</w:t>
            </w:r>
            <w:r w:rsidRPr="00821568">
              <w:rPr>
                <w:rFonts w:ascii="Garamond" w:hAnsi="Garamond"/>
                <w:sz w:val="12"/>
                <w:szCs w:val="12"/>
              </w:rPr>
              <w:t xml:space="preserve"> dhe </w:t>
            </w:r>
            <w:r w:rsidR="008C0C0F" w:rsidRPr="00821568">
              <w:rPr>
                <w:rFonts w:ascii="Garamond" w:hAnsi="Garamond"/>
                <w:sz w:val="12"/>
                <w:szCs w:val="12"/>
              </w:rPr>
              <w:t>Inspektoratit</w:t>
            </w:r>
            <w:r w:rsidRPr="00821568">
              <w:rPr>
                <w:rFonts w:ascii="Garamond" w:hAnsi="Garamond"/>
                <w:sz w:val="12"/>
                <w:szCs w:val="12"/>
              </w:rPr>
              <w:t xml:space="preserve"> Shtetëror të Punës dhe Shërbimeve Shoqërore</w:t>
            </w:r>
            <w:r w:rsidRPr="00821568" w:rsidDel="00724C23">
              <w:rPr>
                <w:rFonts w:ascii="Garamond" w:hAnsi="Garamond"/>
                <w:sz w:val="12"/>
                <w:szCs w:val="12"/>
              </w:rPr>
              <w:t xml:space="preserve"> </w:t>
            </w:r>
            <w:r w:rsidRPr="00821568">
              <w:rPr>
                <w:rFonts w:ascii="Garamond" w:hAnsi="Garamond"/>
                <w:sz w:val="12"/>
                <w:szCs w:val="12"/>
              </w:rPr>
              <w:t xml:space="preserve">lidhur me shkëmbimin e të dhënave </w:t>
            </w:r>
            <w:r w:rsidRPr="00CA5D93">
              <w:rPr>
                <w:rFonts w:ascii="Garamond" w:hAnsi="Garamond"/>
                <w:sz w:val="12"/>
                <w:szCs w:val="12"/>
              </w:rPr>
              <w:t>Aktiviteti</w:t>
            </w:r>
            <w:r w:rsidR="00FD2285" w:rsidRPr="00CA5D93">
              <w:rPr>
                <w:rFonts w:ascii="Garamond" w:hAnsi="Garamond"/>
                <w:sz w:val="12"/>
                <w:szCs w:val="12"/>
              </w:rPr>
              <w:t>.</w:t>
            </w:r>
          </w:p>
          <w:p w14:paraId="4B5BE41A"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1F4A9755" w14:textId="7FBAC0D1"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Hartimi i një Plani Operacional Ndërinstitucional me strukturat AT, ISSH dhe</w:t>
            </w:r>
            <w:r w:rsidR="00D22EA5" w:rsidRPr="00821568">
              <w:rPr>
                <w:rFonts w:ascii="Garamond" w:hAnsi="Garamond"/>
                <w:sz w:val="12"/>
                <w:szCs w:val="12"/>
              </w:rPr>
              <w:t xml:space="preserve"> </w:t>
            </w:r>
            <w:r w:rsidRPr="00821568">
              <w:rPr>
                <w:rFonts w:ascii="Garamond" w:hAnsi="Garamond"/>
                <w:sz w:val="12"/>
                <w:szCs w:val="12"/>
              </w:rPr>
              <w:t>ISHPSHSH</w:t>
            </w:r>
            <w:r w:rsidR="00FD2285" w:rsidRPr="00821568">
              <w:rPr>
                <w:rFonts w:ascii="Garamond" w:hAnsi="Garamond"/>
                <w:sz w:val="12"/>
                <w:szCs w:val="12"/>
              </w:rPr>
              <w:t>.</w:t>
            </w:r>
          </w:p>
          <w:p w14:paraId="0B9C6236" w14:textId="77777777" w:rsidR="00472A4B" w:rsidRPr="00821568" w:rsidRDefault="00472A4B" w:rsidP="00A86F37">
            <w:pPr>
              <w:contextualSpacing/>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p>
          <w:p w14:paraId="09706C4A"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941" w:type="dxa"/>
          </w:tcPr>
          <w:p w14:paraId="38F70EFA"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2025</w:t>
            </w:r>
          </w:p>
        </w:tc>
        <w:tc>
          <w:tcPr>
            <w:tcW w:w="1125" w:type="dxa"/>
          </w:tcPr>
          <w:p w14:paraId="79065A38"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2027</w:t>
            </w:r>
          </w:p>
        </w:tc>
        <w:tc>
          <w:tcPr>
            <w:tcW w:w="1347" w:type="dxa"/>
          </w:tcPr>
          <w:p w14:paraId="03C0088A"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DPT</w:t>
            </w:r>
          </w:p>
        </w:tc>
        <w:tc>
          <w:tcPr>
            <w:tcW w:w="1642" w:type="dxa"/>
          </w:tcPr>
          <w:p w14:paraId="791442B6" w14:textId="6B8A5338" w:rsidR="00472A4B" w:rsidRPr="00821568" w:rsidRDefault="00D50BE3"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 xml:space="preserve">Në </w:t>
            </w:r>
            <w:r w:rsidR="00472A4B" w:rsidRPr="00821568">
              <w:rPr>
                <w:rFonts w:ascii="Garamond" w:hAnsi="Garamond"/>
                <w:sz w:val="12"/>
                <w:szCs w:val="12"/>
              </w:rPr>
              <w:t>bashkëpunim me ISHPSHSH</w:t>
            </w:r>
            <w:r w:rsidRPr="00821568">
              <w:rPr>
                <w:rFonts w:ascii="Garamond" w:hAnsi="Garamond"/>
                <w:sz w:val="12"/>
                <w:szCs w:val="12"/>
              </w:rPr>
              <w:t>-</w:t>
            </w:r>
            <w:r w:rsidRPr="00821568">
              <w:rPr>
                <w:rFonts w:ascii="Garamond" w:hAnsi="Garamond"/>
                <w:bCs/>
                <w:sz w:val="12"/>
                <w:szCs w:val="12"/>
              </w:rPr>
              <w:t>në</w:t>
            </w:r>
            <w:r w:rsidR="00472A4B" w:rsidRPr="00821568">
              <w:rPr>
                <w:rFonts w:ascii="Garamond" w:hAnsi="Garamond"/>
                <w:sz w:val="12"/>
                <w:szCs w:val="12"/>
              </w:rPr>
              <w:t xml:space="preserve"> dhe ISSH</w:t>
            </w:r>
            <w:r w:rsidRPr="00821568">
              <w:rPr>
                <w:rFonts w:ascii="Garamond" w:hAnsi="Garamond"/>
                <w:bCs/>
                <w:sz w:val="12"/>
                <w:szCs w:val="12"/>
              </w:rPr>
              <w:t>-në</w:t>
            </w:r>
          </w:p>
        </w:tc>
      </w:tr>
      <w:tr w:rsidR="00723888" w:rsidRPr="00821568" w14:paraId="02D567DE"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37307691"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2.5.3</w:t>
            </w:r>
          </w:p>
        </w:tc>
        <w:tc>
          <w:tcPr>
            <w:tcW w:w="1670" w:type="dxa"/>
          </w:tcPr>
          <w:p w14:paraId="594178BC"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eastAsiaTheme="minorHAnsi" w:hAnsi="Garamond"/>
                <w:sz w:val="12"/>
                <w:szCs w:val="12"/>
              </w:rPr>
            </w:pPr>
            <w:r w:rsidRPr="00821568">
              <w:rPr>
                <w:rFonts w:ascii="Garamond" w:eastAsiaTheme="minorHAnsi" w:hAnsi="Garamond"/>
                <w:sz w:val="12"/>
                <w:szCs w:val="12"/>
              </w:rPr>
              <w:t>Analizimi i kategorive të personave të cilët kanë detyrimin të plotësojnë deklaratën individuale vjetore të të ardhurave.</w:t>
            </w:r>
          </w:p>
        </w:tc>
        <w:tc>
          <w:tcPr>
            <w:tcW w:w="1590" w:type="dxa"/>
          </w:tcPr>
          <w:p w14:paraId="3FC198E4"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Analizimi i deklaratave të DIVA-s, brenda 2024</w:t>
            </w:r>
          </w:p>
          <w:p w14:paraId="01133F72"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941" w:type="dxa"/>
          </w:tcPr>
          <w:p w14:paraId="5A759902"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2024</w:t>
            </w:r>
          </w:p>
        </w:tc>
        <w:tc>
          <w:tcPr>
            <w:tcW w:w="1125" w:type="dxa"/>
          </w:tcPr>
          <w:p w14:paraId="6C7BBC17"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2024</w:t>
            </w:r>
          </w:p>
        </w:tc>
        <w:tc>
          <w:tcPr>
            <w:tcW w:w="1347" w:type="dxa"/>
          </w:tcPr>
          <w:p w14:paraId="61EBA5E8"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DPT</w:t>
            </w:r>
          </w:p>
        </w:tc>
        <w:tc>
          <w:tcPr>
            <w:tcW w:w="1642" w:type="dxa"/>
          </w:tcPr>
          <w:p w14:paraId="28489052"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r>
      <w:tr w:rsidR="00723888" w:rsidRPr="00821568" w14:paraId="495DDB9D"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4FFE6D77"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2.5.4</w:t>
            </w:r>
          </w:p>
        </w:tc>
        <w:tc>
          <w:tcPr>
            <w:tcW w:w="1670" w:type="dxa"/>
          </w:tcPr>
          <w:p w14:paraId="6EBA4273" w14:textId="62FB5D58"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eastAsiaTheme="minorHAnsi" w:hAnsi="Garamond"/>
                <w:sz w:val="12"/>
                <w:szCs w:val="12"/>
              </w:rPr>
              <w:t>Përmirësimi i analizave dhe shkëmbimit të të dhënave me palë të treta për punën e padeklaruar ose nëndeklaruar</w:t>
            </w:r>
            <w:r w:rsidR="00FD2285" w:rsidRPr="00821568">
              <w:rPr>
                <w:rFonts w:ascii="Garamond" w:eastAsiaTheme="minorHAnsi" w:hAnsi="Garamond"/>
                <w:sz w:val="12"/>
                <w:szCs w:val="12"/>
              </w:rPr>
              <w:t>.</w:t>
            </w:r>
          </w:p>
        </w:tc>
        <w:tc>
          <w:tcPr>
            <w:tcW w:w="1590" w:type="dxa"/>
          </w:tcPr>
          <w:p w14:paraId="7A942CE9" w14:textId="5F2644DD"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Përmbushja nëpërmjet Dizenjimit (</w:t>
            </w:r>
            <w:r w:rsidRPr="00821568">
              <w:rPr>
                <w:rFonts w:ascii="Garamond" w:hAnsi="Garamond"/>
                <w:i/>
                <w:sz w:val="12"/>
                <w:szCs w:val="12"/>
              </w:rPr>
              <w:t>Compliance by Design</w:t>
            </w:r>
            <w:r w:rsidRPr="00821568">
              <w:rPr>
                <w:rFonts w:ascii="Garamond" w:hAnsi="Garamond"/>
                <w:sz w:val="12"/>
                <w:szCs w:val="12"/>
              </w:rPr>
              <w:t xml:space="preserve">). Përcaktimi dhe krijimi i kontrolleve në sistemin e deklarimit të listëpagesave që parandalojnë shmangien e kontributeve të sigurimeve shoqërore dhe </w:t>
            </w:r>
            <w:r w:rsidR="008C0C0F" w:rsidRPr="00821568">
              <w:rPr>
                <w:rFonts w:ascii="Garamond" w:hAnsi="Garamond"/>
                <w:sz w:val="12"/>
                <w:szCs w:val="12"/>
              </w:rPr>
              <w:t>shëndetësore</w:t>
            </w:r>
            <w:r w:rsidRPr="00821568">
              <w:rPr>
                <w:rFonts w:ascii="Garamond" w:hAnsi="Garamond"/>
                <w:sz w:val="12"/>
                <w:szCs w:val="12"/>
              </w:rPr>
              <w:t>.</w:t>
            </w:r>
          </w:p>
          <w:p w14:paraId="218BDFA8" w14:textId="32664F0A"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Krijimi dhe përditësimi i kritereve të riskut në Modulin e Riskut që kanë të bëjnë me shmangien e pagesës së kontributeve t</w:t>
            </w:r>
            <w:r w:rsidR="008C0C0F" w:rsidRPr="00821568">
              <w:rPr>
                <w:rFonts w:ascii="Garamond" w:hAnsi="Garamond"/>
                <w:sz w:val="12"/>
                <w:szCs w:val="12"/>
              </w:rPr>
              <w:t>ë</w:t>
            </w:r>
            <w:r w:rsidRPr="00821568">
              <w:rPr>
                <w:rFonts w:ascii="Garamond" w:hAnsi="Garamond"/>
                <w:sz w:val="12"/>
                <w:szCs w:val="12"/>
              </w:rPr>
              <w:t xml:space="preserve"> sigurimeve shoqërore.</w:t>
            </w:r>
          </w:p>
          <w:p w14:paraId="0E0FF0FF"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Marrja e informacioneve nga planet sektoriale mbi të dhënat dhe analizat e kryera.</w:t>
            </w:r>
          </w:p>
          <w:p w14:paraId="149D2C9F" w14:textId="40EC3CFB"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 xml:space="preserve">Organizimi i kontrolleve bazuar në </w:t>
            </w:r>
            <w:r w:rsidR="008C0C0F" w:rsidRPr="00821568">
              <w:rPr>
                <w:rFonts w:ascii="Garamond" w:hAnsi="Garamond"/>
                <w:sz w:val="12"/>
                <w:szCs w:val="12"/>
              </w:rPr>
              <w:t>përfundimet</w:t>
            </w:r>
            <w:r w:rsidRPr="00821568">
              <w:rPr>
                <w:rFonts w:ascii="Garamond" w:hAnsi="Garamond"/>
                <w:sz w:val="12"/>
                <w:szCs w:val="12"/>
              </w:rPr>
              <w:t xml:space="preserve"> që rezultojnë nga kryqëzimi i të dhënave.</w:t>
            </w:r>
          </w:p>
        </w:tc>
        <w:tc>
          <w:tcPr>
            <w:tcW w:w="941" w:type="dxa"/>
          </w:tcPr>
          <w:p w14:paraId="6CC59C43"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2024</w:t>
            </w:r>
          </w:p>
        </w:tc>
        <w:tc>
          <w:tcPr>
            <w:tcW w:w="1125" w:type="dxa"/>
          </w:tcPr>
          <w:p w14:paraId="7408A1A2"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2026</w:t>
            </w:r>
          </w:p>
        </w:tc>
        <w:tc>
          <w:tcPr>
            <w:tcW w:w="1347" w:type="dxa"/>
          </w:tcPr>
          <w:p w14:paraId="0A2DC841"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DPT</w:t>
            </w:r>
          </w:p>
        </w:tc>
        <w:tc>
          <w:tcPr>
            <w:tcW w:w="1642" w:type="dxa"/>
          </w:tcPr>
          <w:p w14:paraId="19681798" w14:textId="34A775BE"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 xml:space="preserve">AKSHI si institucioni mbështetës për Administratën Tatimore për të mundësuar implementimin e rregullave </w:t>
            </w:r>
            <w:r w:rsidR="008C0C0F" w:rsidRPr="00821568">
              <w:rPr>
                <w:rFonts w:ascii="Garamond" w:hAnsi="Garamond"/>
                <w:sz w:val="12"/>
                <w:szCs w:val="12"/>
              </w:rPr>
              <w:t>të</w:t>
            </w:r>
            <w:r w:rsidRPr="00821568">
              <w:rPr>
                <w:rFonts w:ascii="Garamond" w:hAnsi="Garamond"/>
                <w:sz w:val="12"/>
                <w:szCs w:val="12"/>
              </w:rPr>
              <w:t xml:space="preserve"> mundshme në formatet e deklaratave /Pala që mirëmban sistemin</w:t>
            </w:r>
          </w:p>
        </w:tc>
      </w:tr>
      <w:tr w:rsidR="00723888" w:rsidRPr="00821568" w14:paraId="1BE9437A"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30BEF51F"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2.5.5</w:t>
            </w:r>
          </w:p>
        </w:tc>
        <w:tc>
          <w:tcPr>
            <w:tcW w:w="1670" w:type="dxa"/>
          </w:tcPr>
          <w:p w14:paraId="28CE6CFF"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eastAsiaTheme="minorHAnsi" w:hAnsi="Garamond"/>
                <w:bCs/>
                <w:sz w:val="12"/>
                <w:szCs w:val="12"/>
              </w:rPr>
              <w:t>Fushata të ndërgjegjësimit publik lidhur me përfitimet e pagesës së kontributeve.</w:t>
            </w:r>
          </w:p>
        </w:tc>
        <w:tc>
          <w:tcPr>
            <w:tcW w:w="1590" w:type="dxa"/>
          </w:tcPr>
          <w:p w14:paraId="1238381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Hartimi dhe implementimi i fushatës mbi përfitimet e punës së deklaruar.</w:t>
            </w:r>
          </w:p>
        </w:tc>
        <w:tc>
          <w:tcPr>
            <w:tcW w:w="941" w:type="dxa"/>
          </w:tcPr>
          <w:p w14:paraId="11CCD92C"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2025</w:t>
            </w:r>
          </w:p>
        </w:tc>
        <w:tc>
          <w:tcPr>
            <w:tcW w:w="1125" w:type="dxa"/>
          </w:tcPr>
          <w:p w14:paraId="7AB42866"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2027</w:t>
            </w:r>
          </w:p>
        </w:tc>
        <w:tc>
          <w:tcPr>
            <w:tcW w:w="1347" w:type="dxa"/>
          </w:tcPr>
          <w:p w14:paraId="6C7ED2D4"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DPT</w:t>
            </w:r>
          </w:p>
        </w:tc>
        <w:tc>
          <w:tcPr>
            <w:tcW w:w="1642" w:type="dxa"/>
          </w:tcPr>
          <w:p w14:paraId="586AFFEE" w14:textId="5E933E78" w:rsidR="00472A4B" w:rsidRPr="00821568" w:rsidRDefault="00D50BE3"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 xml:space="preserve">Në </w:t>
            </w:r>
            <w:r w:rsidR="00472A4B" w:rsidRPr="00821568">
              <w:rPr>
                <w:rFonts w:ascii="Garamond" w:hAnsi="Garamond"/>
                <w:sz w:val="12"/>
                <w:szCs w:val="12"/>
              </w:rPr>
              <w:t>bashkëpunim me ISHS</w:t>
            </w:r>
            <w:r w:rsidRPr="00821568">
              <w:rPr>
                <w:rFonts w:ascii="Garamond" w:hAnsi="Garamond"/>
                <w:bCs/>
                <w:sz w:val="12"/>
                <w:szCs w:val="12"/>
              </w:rPr>
              <w:t>-në</w:t>
            </w:r>
            <w:r w:rsidR="00472A4B" w:rsidRPr="00821568">
              <w:rPr>
                <w:rFonts w:ascii="Garamond" w:hAnsi="Garamond"/>
                <w:sz w:val="12"/>
                <w:szCs w:val="12"/>
              </w:rPr>
              <w:t xml:space="preserve"> dhe ISHPSHSH</w:t>
            </w:r>
            <w:r w:rsidRPr="00821568">
              <w:rPr>
                <w:rFonts w:ascii="Garamond" w:hAnsi="Garamond"/>
                <w:bCs/>
                <w:sz w:val="12"/>
                <w:szCs w:val="12"/>
              </w:rPr>
              <w:t>-në</w:t>
            </w:r>
          </w:p>
        </w:tc>
      </w:tr>
      <w:tr w:rsidR="00723888" w:rsidRPr="00821568" w14:paraId="382F9007"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5ECE5604"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2.5.6</w:t>
            </w:r>
          </w:p>
        </w:tc>
        <w:tc>
          <w:tcPr>
            <w:tcW w:w="1670" w:type="dxa"/>
          </w:tcPr>
          <w:p w14:paraId="2CC6C839" w14:textId="2A0FCF02"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eastAsiaTheme="minorHAnsi" w:hAnsi="Garamond"/>
                <w:bCs/>
                <w:sz w:val="12"/>
                <w:szCs w:val="12"/>
              </w:rPr>
              <w:t>Zhvillimi i partneriteteve me përfaqësuesit e biznesit dhe të komunitetit për identifikimin e</w:t>
            </w:r>
            <w:r w:rsidR="00D22EA5" w:rsidRPr="00821568">
              <w:rPr>
                <w:rFonts w:ascii="Garamond" w:eastAsiaTheme="minorHAnsi" w:hAnsi="Garamond"/>
                <w:bCs/>
                <w:sz w:val="12"/>
                <w:szCs w:val="12"/>
              </w:rPr>
              <w:t xml:space="preserve"> </w:t>
            </w:r>
            <w:r w:rsidRPr="00821568">
              <w:rPr>
                <w:rFonts w:ascii="Garamond" w:eastAsiaTheme="minorHAnsi" w:hAnsi="Garamond"/>
                <w:bCs/>
                <w:sz w:val="12"/>
                <w:szCs w:val="12"/>
              </w:rPr>
              <w:t>informalitetin në punësim.</w:t>
            </w:r>
          </w:p>
        </w:tc>
        <w:tc>
          <w:tcPr>
            <w:tcW w:w="1590" w:type="dxa"/>
          </w:tcPr>
          <w:p w14:paraId="60FBF458"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sz w:val="12"/>
                <w:szCs w:val="12"/>
              </w:rPr>
            </w:pPr>
            <w:r w:rsidRPr="00821568">
              <w:rPr>
                <w:rFonts w:ascii="Garamond" w:hAnsi="Garamond"/>
                <w:sz w:val="12"/>
                <w:szCs w:val="12"/>
              </w:rPr>
              <w:t>Takime periodike me grupet e sipërmarrësve për të diskutuar mbi faktorët e informalitetit në punësim.</w:t>
            </w:r>
          </w:p>
          <w:p w14:paraId="3CD9B24E"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941" w:type="dxa"/>
          </w:tcPr>
          <w:p w14:paraId="069A281E"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2025</w:t>
            </w:r>
          </w:p>
        </w:tc>
        <w:tc>
          <w:tcPr>
            <w:tcW w:w="1125" w:type="dxa"/>
          </w:tcPr>
          <w:p w14:paraId="6301A8D7"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2027</w:t>
            </w:r>
          </w:p>
        </w:tc>
        <w:tc>
          <w:tcPr>
            <w:tcW w:w="1347" w:type="dxa"/>
          </w:tcPr>
          <w:p w14:paraId="51B724CF"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DPT</w:t>
            </w:r>
          </w:p>
        </w:tc>
        <w:tc>
          <w:tcPr>
            <w:tcW w:w="1642" w:type="dxa"/>
          </w:tcPr>
          <w:p w14:paraId="7A0BF7D5"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Shoqatat e Biznesit</w:t>
            </w:r>
          </w:p>
        </w:tc>
      </w:tr>
      <w:tr w:rsidR="00723888" w:rsidRPr="00821568" w14:paraId="6DE16B42"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9129" w:type="dxa"/>
            <w:gridSpan w:val="7"/>
          </w:tcPr>
          <w:p w14:paraId="2AA09784" w14:textId="082ED305" w:rsidR="00472A4B" w:rsidRPr="00821568" w:rsidRDefault="00472A4B" w:rsidP="00A86F37">
            <w:pPr>
              <w:rPr>
                <w:rFonts w:ascii="Garamond" w:hAnsi="Garamond"/>
                <w:sz w:val="12"/>
                <w:szCs w:val="12"/>
              </w:rPr>
            </w:pPr>
            <w:r w:rsidRPr="00821568">
              <w:rPr>
                <w:rFonts w:ascii="Garamond" w:hAnsi="Garamond"/>
                <w:sz w:val="12"/>
                <w:szCs w:val="12"/>
              </w:rPr>
              <w:t xml:space="preserve">Objektivi </w:t>
            </w:r>
            <w:r w:rsidR="00C2668E" w:rsidRPr="00821568">
              <w:rPr>
                <w:rFonts w:ascii="Garamond" w:hAnsi="Garamond"/>
                <w:sz w:val="12"/>
                <w:szCs w:val="12"/>
              </w:rPr>
              <w:t xml:space="preserve">specifik (komponenti) </w:t>
            </w:r>
            <w:r w:rsidRPr="00821568">
              <w:rPr>
                <w:rFonts w:ascii="Garamond" w:hAnsi="Garamond"/>
                <w:sz w:val="12"/>
                <w:szCs w:val="12"/>
              </w:rPr>
              <w:t>2.6 Reduktimi i kostove të pajtueshmërisë dhe rritja e</w:t>
            </w:r>
            <w:r w:rsidR="00D22EA5" w:rsidRPr="00821568">
              <w:rPr>
                <w:rFonts w:ascii="Garamond" w:hAnsi="Garamond"/>
                <w:sz w:val="12"/>
                <w:szCs w:val="12"/>
              </w:rPr>
              <w:t xml:space="preserve"> </w:t>
            </w:r>
            <w:r w:rsidRPr="00821568">
              <w:rPr>
                <w:rFonts w:ascii="Garamond" w:hAnsi="Garamond"/>
                <w:sz w:val="12"/>
                <w:szCs w:val="12"/>
              </w:rPr>
              <w:t>besimit tek administrata tatimore</w:t>
            </w:r>
          </w:p>
        </w:tc>
      </w:tr>
      <w:tr w:rsidR="00723888" w:rsidRPr="00821568" w14:paraId="4777E49A" w14:textId="77777777" w:rsidTr="00C2668E">
        <w:trPr>
          <w:trHeight w:val="20"/>
        </w:trPr>
        <w:tc>
          <w:tcPr>
            <w:cnfStyle w:val="001000000000" w:firstRow="0" w:lastRow="0" w:firstColumn="1" w:lastColumn="0" w:oddVBand="0" w:evenVBand="0" w:oddHBand="0" w:evenHBand="0" w:firstRowFirstColumn="0" w:firstRowLastColumn="0" w:lastRowFirstColumn="0" w:lastRowLastColumn="0"/>
            <w:tcW w:w="814" w:type="dxa"/>
            <w:vMerge w:val="restart"/>
            <w:vAlign w:val="center"/>
          </w:tcPr>
          <w:p w14:paraId="7BDCA7AD" w14:textId="16A5D366" w:rsidR="00472A4B" w:rsidRPr="00821568" w:rsidRDefault="00472A4B" w:rsidP="00C2668E">
            <w:pPr>
              <w:jc w:val="center"/>
              <w:rPr>
                <w:rFonts w:ascii="Garamond" w:hAnsi="Garamond"/>
                <w:sz w:val="12"/>
                <w:szCs w:val="12"/>
              </w:rPr>
            </w:pPr>
            <w:r w:rsidRPr="00821568">
              <w:rPr>
                <w:rFonts w:ascii="Garamond" w:hAnsi="Garamond"/>
                <w:sz w:val="12"/>
                <w:szCs w:val="12"/>
              </w:rPr>
              <w:t>Nr</w:t>
            </w:r>
            <w:r w:rsidR="00C2668E" w:rsidRPr="00821568">
              <w:rPr>
                <w:rFonts w:ascii="Garamond" w:hAnsi="Garamond"/>
                <w:sz w:val="12"/>
                <w:szCs w:val="12"/>
              </w:rPr>
              <w:t>.</w:t>
            </w:r>
          </w:p>
        </w:tc>
        <w:tc>
          <w:tcPr>
            <w:tcW w:w="1670" w:type="dxa"/>
            <w:vMerge w:val="restart"/>
            <w:vAlign w:val="center"/>
          </w:tcPr>
          <w:p w14:paraId="5B199CD8" w14:textId="77777777" w:rsidR="00472A4B" w:rsidRPr="00821568" w:rsidRDefault="00472A4B" w:rsidP="00C2668E">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Masa</w:t>
            </w:r>
          </w:p>
        </w:tc>
        <w:tc>
          <w:tcPr>
            <w:tcW w:w="1590" w:type="dxa"/>
            <w:vMerge w:val="restart"/>
            <w:vAlign w:val="center"/>
          </w:tcPr>
          <w:p w14:paraId="00A2F432" w14:textId="77777777" w:rsidR="00472A4B" w:rsidRPr="00821568" w:rsidRDefault="00472A4B" w:rsidP="00C2668E">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Aktiviteti</w:t>
            </w:r>
          </w:p>
        </w:tc>
        <w:tc>
          <w:tcPr>
            <w:tcW w:w="941" w:type="dxa"/>
            <w:vAlign w:val="center"/>
          </w:tcPr>
          <w:p w14:paraId="067EE0F5" w14:textId="77777777" w:rsidR="00472A4B" w:rsidRPr="00821568" w:rsidRDefault="00472A4B" w:rsidP="00C2668E">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Fillimi</w:t>
            </w:r>
          </w:p>
        </w:tc>
        <w:tc>
          <w:tcPr>
            <w:tcW w:w="1125" w:type="dxa"/>
            <w:vAlign w:val="center"/>
          </w:tcPr>
          <w:p w14:paraId="4C88D2B9" w14:textId="77777777" w:rsidR="00472A4B" w:rsidRPr="00821568" w:rsidRDefault="00472A4B" w:rsidP="00C2668E">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Mbarimi</w:t>
            </w:r>
          </w:p>
        </w:tc>
        <w:tc>
          <w:tcPr>
            <w:tcW w:w="2989" w:type="dxa"/>
            <w:gridSpan w:val="2"/>
            <w:vAlign w:val="center"/>
          </w:tcPr>
          <w:p w14:paraId="3808DFA1" w14:textId="502FE3E5" w:rsidR="00472A4B" w:rsidRPr="00821568" w:rsidRDefault="00472A4B" w:rsidP="00C2668E">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 xml:space="preserve">Grupet e </w:t>
            </w:r>
            <w:r w:rsidR="00C2668E" w:rsidRPr="00821568">
              <w:rPr>
                <w:rFonts w:ascii="Garamond" w:hAnsi="Garamond"/>
                <w:b/>
                <w:bCs/>
                <w:sz w:val="12"/>
                <w:szCs w:val="12"/>
              </w:rPr>
              <w:t>i</w:t>
            </w:r>
            <w:r w:rsidRPr="00821568">
              <w:rPr>
                <w:rFonts w:ascii="Garamond" w:hAnsi="Garamond"/>
                <w:b/>
                <w:bCs/>
                <w:sz w:val="12"/>
                <w:szCs w:val="12"/>
              </w:rPr>
              <w:t>nteresit</w:t>
            </w:r>
          </w:p>
        </w:tc>
      </w:tr>
      <w:tr w:rsidR="00723888" w:rsidRPr="00821568" w14:paraId="78000D2B" w14:textId="77777777" w:rsidTr="00C2668E">
        <w:trPr>
          <w:trHeight w:val="20"/>
        </w:trPr>
        <w:tc>
          <w:tcPr>
            <w:cnfStyle w:val="001000000000" w:firstRow="0" w:lastRow="0" w:firstColumn="1" w:lastColumn="0" w:oddVBand="0" w:evenVBand="0" w:oddHBand="0" w:evenHBand="0" w:firstRowFirstColumn="0" w:firstRowLastColumn="0" w:lastRowFirstColumn="0" w:lastRowLastColumn="0"/>
            <w:tcW w:w="814" w:type="dxa"/>
            <w:vMerge/>
            <w:vAlign w:val="center"/>
          </w:tcPr>
          <w:p w14:paraId="5D89BBDD" w14:textId="77777777" w:rsidR="00472A4B" w:rsidRPr="00821568" w:rsidRDefault="00472A4B" w:rsidP="00C2668E">
            <w:pPr>
              <w:jc w:val="center"/>
              <w:rPr>
                <w:rFonts w:ascii="Garamond" w:hAnsi="Garamond"/>
                <w:sz w:val="12"/>
                <w:szCs w:val="12"/>
              </w:rPr>
            </w:pPr>
          </w:p>
        </w:tc>
        <w:tc>
          <w:tcPr>
            <w:tcW w:w="1670" w:type="dxa"/>
            <w:vMerge/>
            <w:vAlign w:val="center"/>
          </w:tcPr>
          <w:p w14:paraId="07F8F7E9" w14:textId="77777777" w:rsidR="00472A4B" w:rsidRPr="00821568" w:rsidRDefault="00472A4B" w:rsidP="00C2668E">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1590" w:type="dxa"/>
            <w:vMerge/>
            <w:vAlign w:val="center"/>
          </w:tcPr>
          <w:p w14:paraId="754B6B53" w14:textId="77777777" w:rsidR="00472A4B" w:rsidRPr="00821568" w:rsidRDefault="00472A4B" w:rsidP="00C2668E">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941" w:type="dxa"/>
            <w:vAlign w:val="center"/>
          </w:tcPr>
          <w:p w14:paraId="69614C81" w14:textId="77777777" w:rsidR="00472A4B" w:rsidRPr="00821568" w:rsidRDefault="00472A4B" w:rsidP="00C2668E">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1125" w:type="dxa"/>
            <w:vAlign w:val="center"/>
          </w:tcPr>
          <w:p w14:paraId="54C0ECB8" w14:textId="77777777" w:rsidR="00472A4B" w:rsidRPr="00821568" w:rsidRDefault="00472A4B" w:rsidP="00C2668E">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1347" w:type="dxa"/>
            <w:vAlign w:val="center"/>
          </w:tcPr>
          <w:p w14:paraId="0846325A" w14:textId="77777777" w:rsidR="00472A4B" w:rsidRPr="00821568" w:rsidRDefault="00472A4B" w:rsidP="00C2668E">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Njësitë përgjegjëse</w:t>
            </w:r>
          </w:p>
        </w:tc>
        <w:tc>
          <w:tcPr>
            <w:tcW w:w="1642" w:type="dxa"/>
            <w:vAlign w:val="center"/>
          </w:tcPr>
          <w:p w14:paraId="08066291" w14:textId="77777777" w:rsidR="00472A4B" w:rsidRPr="00821568" w:rsidRDefault="00472A4B" w:rsidP="00C2668E">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Partnerët</w:t>
            </w:r>
          </w:p>
        </w:tc>
      </w:tr>
      <w:tr w:rsidR="00723888" w:rsidRPr="00821568" w14:paraId="2F5BB8EA"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3506292D"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2.6.1</w:t>
            </w:r>
          </w:p>
        </w:tc>
        <w:tc>
          <w:tcPr>
            <w:tcW w:w="1670" w:type="dxa"/>
          </w:tcPr>
          <w:p w14:paraId="4866753E"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sz w:val="12"/>
                <w:szCs w:val="12"/>
              </w:rPr>
              <w:t>Hartimi dhe miratimi i strategjisë për shërbimin e tatimpaguesve</w:t>
            </w:r>
          </w:p>
        </w:tc>
        <w:tc>
          <w:tcPr>
            <w:tcW w:w="1590" w:type="dxa"/>
          </w:tcPr>
          <w:p w14:paraId="1DACB9D2" w14:textId="23958274"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 xml:space="preserve">Përmirësimi i udhëzuesve shpjegues për subjektet tatimpaguese dhe </w:t>
            </w:r>
            <w:r w:rsidR="008C0C0F" w:rsidRPr="00821568">
              <w:rPr>
                <w:rFonts w:ascii="Garamond" w:hAnsi="Garamond"/>
                <w:sz w:val="12"/>
                <w:szCs w:val="12"/>
              </w:rPr>
              <w:t>konsulentët</w:t>
            </w:r>
            <w:r w:rsidRPr="00821568">
              <w:rPr>
                <w:rFonts w:ascii="Garamond" w:hAnsi="Garamond"/>
                <w:sz w:val="12"/>
                <w:szCs w:val="12"/>
              </w:rPr>
              <w:t xml:space="preserve"> e tyre.</w:t>
            </w:r>
          </w:p>
          <w:p w14:paraId="06616F28" w14:textId="19CD4CD2"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Përmirësimi i proceseve tatimore nëpërmjet ndërveprimit dhe komunikimit të rregullt dhe në koh</w:t>
            </w:r>
            <w:r w:rsidR="00C2668E" w:rsidRPr="00821568">
              <w:rPr>
                <w:rFonts w:ascii="Garamond" w:hAnsi="Garamond"/>
                <w:sz w:val="12"/>
                <w:szCs w:val="12"/>
              </w:rPr>
              <w:t xml:space="preserve">ë </w:t>
            </w:r>
            <w:r w:rsidRPr="00821568">
              <w:rPr>
                <w:rFonts w:ascii="Garamond" w:hAnsi="Garamond"/>
                <w:sz w:val="12"/>
                <w:szCs w:val="12"/>
              </w:rPr>
              <w:t>me tatimpaguesit dhe konsulentët e tyre.</w:t>
            </w:r>
          </w:p>
          <w:p w14:paraId="62F1F80B"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941" w:type="dxa"/>
          </w:tcPr>
          <w:p w14:paraId="77C5A5C5"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2024</w:t>
            </w:r>
          </w:p>
        </w:tc>
        <w:tc>
          <w:tcPr>
            <w:tcW w:w="1125" w:type="dxa"/>
          </w:tcPr>
          <w:p w14:paraId="7475665B"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2025</w:t>
            </w:r>
          </w:p>
        </w:tc>
        <w:tc>
          <w:tcPr>
            <w:tcW w:w="1347" w:type="dxa"/>
          </w:tcPr>
          <w:p w14:paraId="56E4B18F"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DPT</w:t>
            </w:r>
          </w:p>
        </w:tc>
        <w:tc>
          <w:tcPr>
            <w:tcW w:w="1642" w:type="dxa"/>
          </w:tcPr>
          <w:p w14:paraId="1E7CA892" w14:textId="4AED41E9"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eastAsiaTheme="minorHAnsi" w:hAnsi="Garamond"/>
                <w:sz w:val="12"/>
                <w:szCs w:val="12"/>
              </w:rPr>
              <w:t xml:space="preserve">Administrata </w:t>
            </w:r>
            <w:r w:rsidR="00C2668E" w:rsidRPr="00821568">
              <w:rPr>
                <w:rFonts w:ascii="Garamond" w:eastAsiaTheme="minorHAnsi" w:hAnsi="Garamond"/>
                <w:sz w:val="12"/>
                <w:szCs w:val="12"/>
              </w:rPr>
              <w:t xml:space="preserve">Tatimore Suedeze </w:t>
            </w:r>
            <w:r w:rsidRPr="00821568">
              <w:rPr>
                <w:rFonts w:ascii="Garamond" w:eastAsiaTheme="minorHAnsi" w:hAnsi="Garamond"/>
                <w:sz w:val="12"/>
                <w:szCs w:val="12"/>
              </w:rPr>
              <w:t>(projekti SIDA)</w:t>
            </w:r>
          </w:p>
        </w:tc>
      </w:tr>
      <w:tr w:rsidR="00723888" w:rsidRPr="00821568" w14:paraId="55AE319E"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6CD1B49C"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2.6.2</w:t>
            </w:r>
          </w:p>
        </w:tc>
        <w:tc>
          <w:tcPr>
            <w:tcW w:w="1670" w:type="dxa"/>
          </w:tcPr>
          <w:p w14:paraId="440AA913" w14:textId="5BDAC5A2"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bCs/>
                <w:sz w:val="12"/>
                <w:szCs w:val="12"/>
              </w:rPr>
              <w:t>Ulja e kohës mesatare të rimbursimit të</w:t>
            </w:r>
            <w:r w:rsidR="00DE65FB" w:rsidRPr="00821568">
              <w:rPr>
                <w:rFonts w:ascii="Garamond" w:hAnsi="Garamond"/>
                <w:bCs/>
                <w:sz w:val="12"/>
                <w:szCs w:val="12"/>
              </w:rPr>
              <w:t xml:space="preserve"> TVSh</w:t>
            </w:r>
            <w:r w:rsidRPr="00821568">
              <w:rPr>
                <w:rFonts w:ascii="Garamond" w:hAnsi="Garamond"/>
                <w:bCs/>
                <w:sz w:val="12"/>
                <w:szCs w:val="12"/>
              </w:rPr>
              <w:t>-së</w:t>
            </w:r>
          </w:p>
        </w:tc>
        <w:tc>
          <w:tcPr>
            <w:tcW w:w="1590" w:type="dxa"/>
          </w:tcPr>
          <w:p w14:paraId="68052706" w14:textId="79139DE0"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Finalizimi i modulit të automatizimit të pagesës së shumës së miratuar për rimbursim nëpërmjet realizimit të</w:t>
            </w:r>
            <w:r w:rsidR="00D22EA5" w:rsidRPr="00821568">
              <w:rPr>
                <w:rFonts w:ascii="Garamond" w:hAnsi="Garamond"/>
                <w:sz w:val="12"/>
                <w:szCs w:val="12"/>
              </w:rPr>
              <w:t xml:space="preserve"> </w:t>
            </w:r>
            <w:r w:rsidRPr="00821568">
              <w:rPr>
                <w:rFonts w:ascii="Garamond" w:hAnsi="Garamond"/>
                <w:sz w:val="12"/>
                <w:szCs w:val="12"/>
              </w:rPr>
              <w:t>lidhjes automatike ndërmjet sistemit C@ts të Tatimeve dhe sistemit AFMIS të Thesarit</w:t>
            </w:r>
          </w:p>
          <w:p w14:paraId="28B70B51"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941" w:type="dxa"/>
          </w:tcPr>
          <w:p w14:paraId="1139D8C1"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2025</w:t>
            </w:r>
          </w:p>
        </w:tc>
        <w:tc>
          <w:tcPr>
            <w:tcW w:w="1125" w:type="dxa"/>
          </w:tcPr>
          <w:p w14:paraId="733D0BAC"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2026</w:t>
            </w:r>
          </w:p>
        </w:tc>
        <w:tc>
          <w:tcPr>
            <w:tcW w:w="1347" w:type="dxa"/>
          </w:tcPr>
          <w:p w14:paraId="07F5C218"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DPT</w:t>
            </w:r>
          </w:p>
          <w:p w14:paraId="7A23C8E4"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1642" w:type="dxa"/>
          </w:tcPr>
          <w:p w14:paraId="49DEB92E"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MF/Drejtoria e Përgjithshme e Thesarit</w:t>
            </w:r>
          </w:p>
          <w:p w14:paraId="0072F85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r>
      <w:tr w:rsidR="00723888" w:rsidRPr="00821568" w14:paraId="196B4DB1"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16B25896"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2.6.3</w:t>
            </w:r>
          </w:p>
        </w:tc>
        <w:tc>
          <w:tcPr>
            <w:tcW w:w="1670" w:type="dxa"/>
          </w:tcPr>
          <w:p w14:paraId="52FD3DCB" w14:textId="5846BA88"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Dig</w:t>
            </w:r>
            <w:r w:rsidR="00C2668E" w:rsidRPr="00821568">
              <w:rPr>
                <w:rFonts w:ascii="Garamond" w:hAnsi="Garamond"/>
                <w:sz w:val="12"/>
                <w:szCs w:val="12"/>
              </w:rPr>
              <w:t>j</w:t>
            </w:r>
            <w:r w:rsidRPr="00821568">
              <w:rPr>
                <w:rFonts w:ascii="Garamond" w:hAnsi="Garamond"/>
                <w:sz w:val="12"/>
                <w:szCs w:val="12"/>
              </w:rPr>
              <w:t>italizimi i proceseve të punës</w:t>
            </w:r>
          </w:p>
          <w:p w14:paraId="583883A4"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p>
        </w:tc>
        <w:tc>
          <w:tcPr>
            <w:tcW w:w="1590" w:type="dxa"/>
          </w:tcPr>
          <w:p w14:paraId="0B1EFDD4" w14:textId="05FEDA6F"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bCs/>
                <w:sz w:val="12"/>
                <w:szCs w:val="12"/>
              </w:rPr>
              <w:t xml:space="preserve">Publikimi i shërbimit UserTest në </w:t>
            </w:r>
            <w:r w:rsidRPr="00821568">
              <w:rPr>
                <w:rFonts w:ascii="Garamond" w:hAnsi="Garamond"/>
                <w:bCs/>
                <w:i/>
                <w:sz w:val="12"/>
                <w:szCs w:val="12"/>
              </w:rPr>
              <w:t>web</w:t>
            </w:r>
            <w:r w:rsidRPr="00821568">
              <w:rPr>
                <w:rFonts w:ascii="Garamond" w:hAnsi="Garamond"/>
                <w:bCs/>
                <w:sz w:val="12"/>
                <w:szCs w:val="12"/>
              </w:rPr>
              <w:t>: tatime.gov.al, për informimin e individëve në lidhje me detyrimin për deklarim t</w:t>
            </w:r>
            <w:r w:rsidR="008C0C0F" w:rsidRPr="00821568">
              <w:rPr>
                <w:rFonts w:ascii="Garamond" w:hAnsi="Garamond"/>
                <w:sz w:val="12"/>
                <w:szCs w:val="12"/>
              </w:rPr>
              <w:t>ë</w:t>
            </w:r>
            <w:r w:rsidRPr="00821568">
              <w:rPr>
                <w:rFonts w:ascii="Garamond" w:hAnsi="Garamond"/>
                <w:bCs/>
                <w:sz w:val="12"/>
                <w:szCs w:val="12"/>
              </w:rPr>
              <w:t xml:space="preserve"> DIVA</w:t>
            </w:r>
            <w:r w:rsidR="00C2668E" w:rsidRPr="00821568">
              <w:rPr>
                <w:rFonts w:ascii="Garamond" w:hAnsi="Garamond"/>
                <w:bCs/>
                <w:sz w:val="12"/>
                <w:szCs w:val="12"/>
              </w:rPr>
              <w:t>.</w:t>
            </w:r>
          </w:p>
          <w:p w14:paraId="3EFC59ED" w14:textId="52120E6B"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Implementimi i deklaratave të reja të Tatimit në Burim dhe DIVA dhe paraplotësimi i deklaratave</w:t>
            </w:r>
            <w:r w:rsidR="00C2668E" w:rsidRPr="00821568">
              <w:rPr>
                <w:rFonts w:ascii="Garamond" w:hAnsi="Garamond"/>
                <w:sz w:val="12"/>
                <w:szCs w:val="12"/>
              </w:rPr>
              <w:t>.</w:t>
            </w:r>
          </w:p>
          <w:p w14:paraId="72129D81" w14:textId="19C00826"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bCs/>
                <w:sz w:val="12"/>
                <w:szCs w:val="12"/>
              </w:rPr>
              <w:t>Implementimi i deklaratave të reja, në zbatim t</w:t>
            </w:r>
            <w:r w:rsidR="008C0C0F" w:rsidRPr="00821568">
              <w:rPr>
                <w:rFonts w:ascii="Garamond" w:hAnsi="Garamond"/>
                <w:sz w:val="12"/>
                <w:szCs w:val="12"/>
              </w:rPr>
              <w:t>ë</w:t>
            </w:r>
            <w:r w:rsidRPr="00821568">
              <w:rPr>
                <w:rFonts w:ascii="Garamond" w:hAnsi="Garamond"/>
                <w:bCs/>
                <w:sz w:val="12"/>
                <w:szCs w:val="12"/>
              </w:rPr>
              <w:t xml:space="preserve"> </w:t>
            </w:r>
            <w:r w:rsidR="008C0C0F" w:rsidRPr="00821568">
              <w:rPr>
                <w:rFonts w:ascii="Garamond" w:hAnsi="Garamond"/>
                <w:bCs/>
                <w:sz w:val="12"/>
                <w:szCs w:val="12"/>
              </w:rPr>
              <w:t>l</w:t>
            </w:r>
            <w:r w:rsidRPr="00821568">
              <w:rPr>
                <w:rFonts w:ascii="Garamond" w:hAnsi="Garamond"/>
                <w:bCs/>
                <w:sz w:val="12"/>
                <w:szCs w:val="12"/>
              </w:rPr>
              <w:t>igjit t</w:t>
            </w:r>
            <w:r w:rsidR="008C0C0F" w:rsidRPr="00821568">
              <w:rPr>
                <w:rFonts w:ascii="Garamond" w:hAnsi="Garamond"/>
                <w:sz w:val="12"/>
                <w:szCs w:val="12"/>
              </w:rPr>
              <w:t>ë</w:t>
            </w:r>
            <w:r w:rsidRPr="00821568">
              <w:rPr>
                <w:rFonts w:ascii="Garamond" w:hAnsi="Garamond"/>
                <w:bCs/>
                <w:sz w:val="12"/>
                <w:szCs w:val="12"/>
              </w:rPr>
              <w:t xml:space="preserve"> ri </w:t>
            </w:r>
            <w:r w:rsidR="00D22EA5" w:rsidRPr="00821568">
              <w:rPr>
                <w:rFonts w:ascii="Garamond" w:hAnsi="Garamond"/>
                <w:bCs/>
                <w:sz w:val="12"/>
                <w:szCs w:val="12"/>
              </w:rPr>
              <w:t>“</w:t>
            </w:r>
            <w:r w:rsidRPr="00821568">
              <w:rPr>
                <w:rFonts w:ascii="Garamond" w:hAnsi="Garamond"/>
                <w:bCs/>
                <w:sz w:val="12"/>
                <w:szCs w:val="12"/>
              </w:rPr>
              <w:t>Për tatimin mbi t</w:t>
            </w:r>
            <w:r w:rsidR="008C0C0F" w:rsidRPr="00821568">
              <w:rPr>
                <w:rFonts w:ascii="Garamond" w:hAnsi="Garamond"/>
                <w:sz w:val="12"/>
                <w:szCs w:val="12"/>
              </w:rPr>
              <w:t>ë</w:t>
            </w:r>
            <w:r w:rsidRPr="00821568">
              <w:rPr>
                <w:rFonts w:ascii="Garamond" w:hAnsi="Garamond"/>
                <w:bCs/>
                <w:sz w:val="12"/>
                <w:szCs w:val="12"/>
              </w:rPr>
              <w:t xml:space="preserve"> ardhurat</w:t>
            </w:r>
            <w:r w:rsidR="00D22EA5" w:rsidRPr="00821568">
              <w:rPr>
                <w:rFonts w:ascii="Garamond" w:hAnsi="Garamond"/>
                <w:bCs/>
                <w:sz w:val="12"/>
                <w:szCs w:val="12"/>
              </w:rPr>
              <w:t>”</w:t>
            </w:r>
            <w:r w:rsidR="00C2668E" w:rsidRPr="00821568">
              <w:rPr>
                <w:rFonts w:ascii="Garamond" w:hAnsi="Garamond"/>
                <w:bCs/>
                <w:sz w:val="12"/>
                <w:szCs w:val="12"/>
              </w:rPr>
              <w:t>.</w:t>
            </w:r>
          </w:p>
          <w:p w14:paraId="4F3157D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3303EE95"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38E4A04C" w14:textId="2513F73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Dig</w:t>
            </w:r>
            <w:r w:rsidR="00C2668E" w:rsidRPr="00821568">
              <w:rPr>
                <w:rFonts w:ascii="Garamond" w:hAnsi="Garamond"/>
                <w:sz w:val="12"/>
                <w:szCs w:val="12"/>
              </w:rPr>
              <w:t>j</w:t>
            </w:r>
            <w:r w:rsidRPr="00821568">
              <w:rPr>
                <w:rFonts w:ascii="Garamond" w:hAnsi="Garamond"/>
                <w:sz w:val="12"/>
                <w:szCs w:val="12"/>
              </w:rPr>
              <w:t xml:space="preserve">italizimi i deklarimit të të dhënave </w:t>
            </w:r>
            <w:r w:rsidR="00C2668E" w:rsidRPr="00821568">
              <w:rPr>
                <w:rFonts w:ascii="Garamond" w:hAnsi="Garamond"/>
                <w:sz w:val="12"/>
                <w:szCs w:val="12"/>
              </w:rPr>
              <w:t xml:space="preserve">të </w:t>
            </w:r>
            <w:r w:rsidRPr="00821568">
              <w:rPr>
                <w:rFonts w:ascii="Garamond" w:hAnsi="Garamond"/>
                <w:sz w:val="12"/>
                <w:szCs w:val="12"/>
              </w:rPr>
              <w:t>pronësi</w:t>
            </w:r>
            <w:r w:rsidR="00C2668E" w:rsidRPr="00821568">
              <w:rPr>
                <w:rFonts w:ascii="Garamond" w:hAnsi="Garamond"/>
                <w:bCs/>
                <w:sz w:val="12"/>
                <w:szCs w:val="12"/>
              </w:rPr>
              <w:t>së</w:t>
            </w:r>
            <w:r w:rsidRPr="00821568">
              <w:rPr>
                <w:rFonts w:ascii="Garamond" w:hAnsi="Garamond"/>
                <w:sz w:val="12"/>
                <w:szCs w:val="12"/>
              </w:rPr>
              <w:t>/qira</w:t>
            </w:r>
            <w:r w:rsidR="00C2668E" w:rsidRPr="00821568">
              <w:rPr>
                <w:rFonts w:ascii="Garamond" w:hAnsi="Garamond"/>
                <w:bCs/>
                <w:sz w:val="12"/>
                <w:szCs w:val="12"/>
              </w:rPr>
              <w:t>së</w:t>
            </w:r>
            <w:r w:rsidRPr="00821568">
              <w:rPr>
                <w:rFonts w:ascii="Garamond" w:hAnsi="Garamond"/>
                <w:sz w:val="12"/>
                <w:szCs w:val="12"/>
              </w:rPr>
              <w:t xml:space="preserve"> </w:t>
            </w:r>
            <w:r w:rsidR="00C2668E" w:rsidRPr="00821568">
              <w:rPr>
                <w:rFonts w:ascii="Garamond" w:hAnsi="Garamond"/>
                <w:sz w:val="12"/>
                <w:szCs w:val="12"/>
              </w:rPr>
              <w:t>s</w:t>
            </w:r>
            <w:r w:rsidRPr="00821568">
              <w:rPr>
                <w:rFonts w:ascii="Garamond" w:hAnsi="Garamond"/>
                <w:sz w:val="12"/>
                <w:szCs w:val="12"/>
              </w:rPr>
              <w:t xml:space="preserve">ë </w:t>
            </w:r>
            <w:r w:rsidR="00C2668E" w:rsidRPr="00821568">
              <w:rPr>
                <w:rFonts w:ascii="Garamond" w:hAnsi="Garamond"/>
                <w:sz w:val="12"/>
                <w:szCs w:val="12"/>
              </w:rPr>
              <w:t>ambienteve</w:t>
            </w:r>
            <w:r w:rsidRPr="00821568">
              <w:rPr>
                <w:rFonts w:ascii="Garamond" w:hAnsi="Garamond"/>
                <w:sz w:val="12"/>
                <w:szCs w:val="12"/>
              </w:rPr>
              <w:t xml:space="preserve"> të ushtrimit të aktivitetit nga ana e tatimpaguesve.</w:t>
            </w:r>
          </w:p>
          <w:p w14:paraId="35E6591A" w14:textId="09FFBEF8"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Vendosja e rregullave të reja në plotësimin e deklaratave (</w:t>
            </w:r>
            <w:r w:rsidRPr="00821568">
              <w:rPr>
                <w:rFonts w:ascii="Garamond" w:hAnsi="Garamond"/>
                <w:i/>
                <w:sz w:val="12"/>
                <w:szCs w:val="12"/>
              </w:rPr>
              <w:t>Compliance by Design</w:t>
            </w:r>
            <w:r w:rsidRPr="00821568">
              <w:rPr>
                <w:rFonts w:ascii="Garamond" w:hAnsi="Garamond"/>
                <w:sz w:val="12"/>
                <w:szCs w:val="12"/>
              </w:rPr>
              <w:t>)</w:t>
            </w:r>
            <w:r w:rsidR="00C2668E" w:rsidRPr="00821568">
              <w:rPr>
                <w:rFonts w:ascii="Garamond" w:hAnsi="Garamond"/>
                <w:sz w:val="12"/>
                <w:szCs w:val="12"/>
              </w:rPr>
              <w:t>.</w:t>
            </w:r>
          </w:p>
          <w:p w14:paraId="60F51DF3"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368AD582" w14:textId="4C2080BB"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 xml:space="preserve">Përmirësim i procedurave të mbledhjes së Borxhit, finalizimi i projektit </w:t>
            </w:r>
            <w:r w:rsidR="00D22EA5" w:rsidRPr="00821568">
              <w:rPr>
                <w:rFonts w:ascii="Garamond" w:hAnsi="Garamond"/>
                <w:sz w:val="12"/>
                <w:szCs w:val="12"/>
              </w:rPr>
              <w:t>“</w:t>
            </w:r>
            <w:r w:rsidRPr="00821568">
              <w:rPr>
                <w:rFonts w:ascii="Garamond" w:hAnsi="Garamond"/>
                <w:sz w:val="12"/>
                <w:szCs w:val="12"/>
              </w:rPr>
              <w:t>Di</w:t>
            </w:r>
            <w:r w:rsidR="008C0C0F" w:rsidRPr="00821568">
              <w:rPr>
                <w:rFonts w:ascii="Garamond" w:hAnsi="Garamond"/>
                <w:sz w:val="12"/>
                <w:szCs w:val="12"/>
              </w:rPr>
              <w:t>gj</w:t>
            </w:r>
            <w:r w:rsidRPr="00821568">
              <w:rPr>
                <w:rFonts w:ascii="Garamond" w:hAnsi="Garamond"/>
                <w:sz w:val="12"/>
                <w:szCs w:val="12"/>
              </w:rPr>
              <w:t>italizimi i komunikimit me Bankat për bllokimin/</w:t>
            </w:r>
            <w:r w:rsidR="00C2668E" w:rsidRPr="00821568">
              <w:rPr>
                <w:rFonts w:ascii="Garamond" w:hAnsi="Garamond"/>
                <w:sz w:val="12"/>
                <w:szCs w:val="12"/>
              </w:rPr>
              <w:t xml:space="preserve"> </w:t>
            </w:r>
            <w:r w:rsidRPr="00821568">
              <w:rPr>
                <w:rFonts w:ascii="Garamond" w:hAnsi="Garamond"/>
                <w:sz w:val="12"/>
                <w:szCs w:val="12"/>
              </w:rPr>
              <w:t>zhbllokimin e llogarive bankare</w:t>
            </w:r>
            <w:r w:rsidR="00D22EA5" w:rsidRPr="00821568">
              <w:rPr>
                <w:rFonts w:ascii="Garamond" w:hAnsi="Garamond"/>
                <w:sz w:val="12"/>
                <w:szCs w:val="12"/>
              </w:rPr>
              <w:t>”</w:t>
            </w:r>
            <w:r w:rsidR="00C2668E" w:rsidRPr="00821568">
              <w:rPr>
                <w:rFonts w:ascii="Garamond" w:hAnsi="Garamond"/>
                <w:sz w:val="12"/>
                <w:szCs w:val="12"/>
              </w:rPr>
              <w:t>.</w:t>
            </w:r>
          </w:p>
          <w:p w14:paraId="072DBB17"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941" w:type="dxa"/>
          </w:tcPr>
          <w:p w14:paraId="006F1330"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2024</w:t>
            </w:r>
          </w:p>
        </w:tc>
        <w:tc>
          <w:tcPr>
            <w:tcW w:w="1125" w:type="dxa"/>
          </w:tcPr>
          <w:p w14:paraId="403FC3E5"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2026</w:t>
            </w:r>
          </w:p>
        </w:tc>
        <w:tc>
          <w:tcPr>
            <w:tcW w:w="1347" w:type="dxa"/>
          </w:tcPr>
          <w:p w14:paraId="694B0F84"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DPT/AKSHI</w:t>
            </w:r>
          </w:p>
        </w:tc>
        <w:tc>
          <w:tcPr>
            <w:tcW w:w="1642" w:type="dxa"/>
          </w:tcPr>
          <w:p w14:paraId="7F9F32C3"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bCs/>
                <w:sz w:val="12"/>
                <w:szCs w:val="12"/>
              </w:rPr>
              <w:t>AKSHI</w:t>
            </w:r>
          </w:p>
        </w:tc>
      </w:tr>
      <w:tr w:rsidR="00723888" w:rsidRPr="00821568" w14:paraId="40DDD9B2"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449033AD"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2.6.4</w:t>
            </w:r>
          </w:p>
        </w:tc>
        <w:tc>
          <w:tcPr>
            <w:tcW w:w="1670" w:type="dxa"/>
          </w:tcPr>
          <w:p w14:paraId="6B1B4C69" w14:textId="28E5173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bCs/>
                <w:sz w:val="12"/>
                <w:szCs w:val="12"/>
              </w:rPr>
              <w:t>Ngritja e një kuadri më të strukturuar për sigurimin e pac</w:t>
            </w:r>
            <w:r w:rsidR="008C0C0F" w:rsidRPr="00821568">
              <w:rPr>
                <w:rFonts w:ascii="Garamond" w:hAnsi="Garamond"/>
                <w:bCs/>
                <w:sz w:val="12"/>
                <w:szCs w:val="12"/>
              </w:rPr>
              <w:t>e</w:t>
            </w:r>
            <w:r w:rsidRPr="00821568">
              <w:rPr>
                <w:rFonts w:ascii="Garamond" w:hAnsi="Garamond"/>
                <w:bCs/>
                <w:sz w:val="12"/>
                <w:szCs w:val="12"/>
              </w:rPr>
              <w:t>nueshmërisë së vlerave dhe integritetit të AT</w:t>
            </w:r>
            <w:r w:rsidR="00C2668E" w:rsidRPr="00821568">
              <w:rPr>
                <w:rFonts w:ascii="Garamond" w:hAnsi="Garamond"/>
                <w:bCs/>
                <w:sz w:val="12"/>
                <w:szCs w:val="12"/>
              </w:rPr>
              <w:t>-së</w:t>
            </w:r>
          </w:p>
          <w:p w14:paraId="114F4CD0"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p>
        </w:tc>
        <w:tc>
          <w:tcPr>
            <w:tcW w:w="1590" w:type="dxa"/>
          </w:tcPr>
          <w:p w14:paraId="2A4273FF" w14:textId="75C14602"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Hartimi dhe zbatimi i Planit të Integritetit për Administratën Tatimore</w:t>
            </w:r>
            <w:r w:rsidR="00C2668E" w:rsidRPr="00821568">
              <w:rPr>
                <w:rFonts w:ascii="Garamond" w:hAnsi="Garamond"/>
                <w:sz w:val="12"/>
                <w:szCs w:val="12"/>
              </w:rPr>
              <w:t>.</w:t>
            </w:r>
          </w:p>
          <w:p w14:paraId="5268CC76"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1978A801"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Zbatimi i një programi të dedikuar për antikorrupsionin.</w:t>
            </w:r>
          </w:p>
          <w:p w14:paraId="44D1FFBC"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474CB32D"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941" w:type="dxa"/>
          </w:tcPr>
          <w:p w14:paraId="6482A40E"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2024</w:t>
            </w:r>
          </w:p>
          <w:p w14:paraId="02DC9DB5"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649ADC74"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240834B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69DB5ADF"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1F3A09A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2024</w:t>
            </w:r>
          </w:p>
          <w:p w14:paraId="10915A6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33462298"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1125" w:type="dxa"/>
          </w:tcPr>
          <w:p w14:paraId="24AA00C1"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Qershor 2025</w:t>
            </w:r>
          </w:p>
          <w:p w14:paraId="28EBB64B"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75BD2E57"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75A7AA4D"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3C3D3EFD"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p w14:paraId="14A642DC"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2026</w:t>
            </w:r>
          </w:p>
        </w:tc>
        <w:tc>
          <w:tcPr>
            <w:tcW w:w="1347" w:type="dxa"/>
          </w:tcPr>
          <w:p w14:paraId="495FA852"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DPT</w:t>
            </w:r>
          </w:p>
        </w:tc>
        <w:tc>
          <w:tcPr>
            <w:tcW w:w="1642" w:type="dxa"/>
          </w:tcPr>
          <w:p w14:paraId="75C926AE"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r>
      <w:tr w:rsidR="00723888" w:rsidRPr="00821568" w14:paraId="6053D294"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19F55E81"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2.6.5</w:t>
            </w:r>
          </w:p>
        </w:tc>
        <w:tc>
          <w:tcPr>
            <w:tcW w:w="1670" w:type="dxa"/>
          </w:tcPr>
          <w:p w14:paraId="7537305C" w14:textId="77B855D2"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bCs/>
                <w:sz w:val="12"/>
                <w:szCs w:val="12"/>
              </w:rPr>
              <w:t>Dizenjimi i proceseve të punës dhe shërbimeve në ndërveprim me tatimpaguesit dhe konsulentët e tyre</w:t>
            </w:r>
          </w:p>
        </w:tc>
        <w:tc>
          <w:tcPr>
            <w:tcW w:w="1590" w:type="dxa"/>
          </w:tcPr>
          <w:p w14:paraId="61472DC9" w14:textId="45372B2D"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Krijimi i një Forum Këshillimor pranë DPT</w:t>
            </w:r>
            <w:r w:rsidR="00C2668E" w:rsidRPr="00821568">
              <w:rPr>
                <w:rFonts w:ascii="Garamond" w:hAnsi="Garamond"/>
                <w:sz w:val="12"/>
                <w:szCs w:val="12"/>
              </w:rPr>
              <w:t>-</w:t>
            </w:r>
            <w:r w:rsidR="00C2668E" w:rsidRPr="00821568">
              <w:rPr>
                <w:rFonts w:ascii="Garamond" w:hAnsi="Garamond"/>
                <w:bCs/>
                <w:sz w:val="12"/>
                <w:szCs w:val="12"/>
              </w:rPr>
              <w:t>së</w:t>
            </w:r>
            <w:r w:rsidRPr="00821568">
              <w:rPr>
                <w:rFonts w:ascii="Garamond" w:hAnsi="Garamond"/>
                <w:sz w:val="12"/>
                <w:szCs w:val="12"/>
              </w:rPr>
              <w:t xml:space="preserve"> me ekspertë fiskalë, kontabilistë dhe përfaqësues të shoqatave profesionale për dizenjimin e proceseve dhe shërbimeve tatimore.</w:t>
            </w:r>
          </w:p>
        </w:tc>
        <w:tc>
          <w:tcPr>
            <w:tcW w:w="941" w:type="dxa"/>
          </w:tcPr>
          <w:p w14:paraId="02B4554F"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2025</w:t>
            </w:r>
          </w:p>
        </w:tc>
        <w:tc>
          <w:tcPr>
            <w:tcW w:w="1125" w:type="dxa"/>
          </w:tcPr>
          <w:p w14:paraId="5B3970A5"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2026</w:t>
            </w:r>
          </w:p>
        </w:tc>
        <w:tc>
          <w:tcPr>
            <w:tcW w:w="1347" w:type="dxa"/>
          </w:tcPr>
          <w:p w14:paraId="45A34595"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DPT/MF</w:t>
            </w:r>
          </w:p>
        </w:tc>
        <w:tc>
          <w:tcPr>
            <w:tcW w:w="1642" w:type="dxa"/>
          </w:tcPr>
          <w:p w14:paraId="23B1353B"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r>
      <w:tr w:rsidR="00723888" w:rsidRPr="00821568" w14:paraId="51B12132"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9129" w:type="dxa"/>
            <w:gridSpan w:val="7"/>
          </w:tcPr>
          <w:p w14:paraId="5B7C7C15" w14:textId="79608DDA" w:rsidR="00472A4B" w:rsidRPr="00821568" w:rsidRDefault="00472A4B" w:rsidP="00A86F37">
            <w:pPr>
              <w:rPr>
                <w:rFonts w:ascii="Garamond" w:hAnsi="Garamond"/>
                <w:sz w:val="12"/>
                <w:szCs w:val="12"/>
              </w:rPr>
            </w:pPr>
            <w:r w:rsidRPr="00821568">
              <w:rPr>
                <w:rFonts w:ascii="Garamond" w:hAnsi="Garamond"/>
                <w:sz w:val="12"/>
                <w:szCs w:val="12"/>
              </w:rPr>
              <w:t xml:space="preserve">Objektivi </w:t>
            </w:r>
            <w:r w:rsidR="008C0C0F" w:rsidRPr="00821568">
              <w:rPr>
                <w:rFonts w:ascii="Garamond" w:hAnsi="Garamond"/>
                <w:sz w:val="12"/>
                <w:szCs w:val="12"/>
              </w:rPr>
              <w:t>s</w:t>
            </w:r>
            <w:r w:rsidRPr="00821568">
              <w:rPr>
                <w:rFonts w:ascii="Garamond" w:hAnsi="Garamond"/>
                <w:sz w:val="12"/>
                <w:szCs w:val="12"/>
              </w:rPr>
              <w:t>pecifik (</w:t>
            </w:r>
            <w:r w:rsidR="008C0C0F" w:rsidRPr="00821568">
              <w:rPr>
                <w:rFonts w:ascii="Garamond" w:hAnsi="Garamond"/>
                <w:sz w:val="12"/>
                <w:szCs w:val="12"/>
              </w:rPr>
              <w:t>k</w:t>
            </w:r>
            <w:r w:rsidRPr="00821568">
              <w:rPr>
                <w:rFonts w:ascii="Garamond" w:hAnsi="Garamond"/>
                <w:sz w:val="12"/>
                <w:szCs w:val="12"/>
              </w:rPr>
              <w:t>omponenti) 2.7 Reduktimi i kostove të pajtueshmërisë dhe rritja e</w:t>
            </w:r>
            <w:r w:rsidR="00D22EA5" w:rsidRPr="00821568">
              <w:rPr>
                <w:rFonts w:ascii="Garamond" w:hAnsi="Garamond"/>
                <w:sz w:val="12"/>
                <w:szCs w:val="12"/>
              </w:rPr>
              <w:t xml:space="preserve"> </w:t>
            </w:r>
            <w:r w:rsidRPr="00821568">
              <w:rPr>
                <w:rFonts w:ascii="Garamond" w:hAnsi="Garamond"/>
                <w:sz w:val="12"/>
                <w:szCs w:val="12"/>
              </w:rPr>
              <w:t>besimit tek administrata tatimore</w:t>
            </w:r>
          </w:p>
        </w:tc>
      </w:tr>
      <w:tr w:rsidR="00723888" w:rsidRPr="00821568" w14:paraId="4AFBF81A" w14:textId="77777777" w:rsidTr="00C2668E">
        <w:trPr>
          <w:trHeight w:val="20"/>
        </w:trPr>
        <w:tc>
          <w:tcPr>
            <w:cnfStyle w:val="001000000000" w:firstRow="0" w:lastRow="0" w:firstColumn="1" w:lastColumn="0" w:oddVBand="0" w:evenVBand="0" w:oddHBand="0" w:evenHBand="0" w:firstRowFirstColumn="0" w:firstRowLastColumn="0" w:lastRowFirstColumn="0" w:lastRowLastColumn="0"/>
            <w:tcW w:w="814" w:type="dxa"/>
            <w:vMerge w:val="restart"/>
            <w:vAlign w:val="center"/>
          </w:tcPr>
          <w:p w14:paraId="135366C4" w14:textId="2800E687" w:rsidR="00472A4B" w:rsidRPr="00821568" w:rsidRDefault="00472A4B" w:rsidP="00C2668E">
            <w:pPr>
              <w:jc w:val="center"/>
              <w:rPr>
                <w:rFonts w:ascii="Garamond" w:hAnsi="Garamond"/>
                <w:sz w:val="12"/>
                <w:szCs w:val="12"/>
              </w:rPr>
            </w:pPr>
            <w:r w:rsidRPr="00821568">
              <w:rPr>
                <w:rFonts w:ascii="Garamond" w:hAnsi="Garamond"/>
                <w:sz w:val="12"/>
                <w:szCs w:val="12"/>
              </w:rPr>
              <w:t>Nr</w:t>
            </w:r>
            <w:r w:rsidR="008C0C0F" w:rsidRPr="00821568">
              <w:rPr>
                <w:rFonts w:ascii="Garamond" w:hAnsi="Garamond"/>
                <w:sz w:val="12"/>
                <w:szCs w:val="12"/>
              </w:rPr>
              <w:t>.</w:t>
            </w:r>
          </w:p>
        </w:tc>
        <w:tc>
          <w:tcPr>
            <w:tcW w:w="1670" w:type="dxa"/>
            <w:vMerge w:val="restart"/>
            <w:vAlign w:val="center"/>
          </w:tcPr>
          <w:p w14:paraId="019A1A64" w14:textId="77777777" w:rsidR="00472A4B" w:rsidRPr="00821568" w:rsidRDefault="00472A4B" w:rsidP="00C2668E">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Masa</w:t>
            </w:r>
          </w:p>
        </w:tc>
        <w:tc>
          <w:tcPr>
            <w:tcW w:w="1590" w:type="dxa"/>
            <w:vMerge w:val="restart"/>
            <w:vAlign w:val="center"/>
          </w:tcPr>
          <w:p w14:paraId="0FF30FC0" w14:textId="77777777" w:rsidR="00472A4B" w:rsidRPr="00821568" w:rsidRDefault="00472A4B" w:rsidP="00C2668E">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Aktiviteti</w:t>
            </w:r>
          </w:p>
        </w:tc>
        <w:tc>
          <w:tcPr>
            <w:tcW w:w="941" w:type="dxa"/>
            <w:vAlign w:val="center"/>
          </w:tcPr>
          <w:p w14:paraId="7AAFECAC" w14:textId="77777777" w:rsidR="00472A4B" w:rsidRPr="00821568" w:rsidRDefault="00472A4B" w:rsidP="00C2668E">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Fillimi</w:t>
            </w:r>
          </w:p>
        </w:tc>
        <w:tc>
          <w:tcPr>
            <w:tcW w:w="1125" w:type="dxa"/>
            <w:vAlign w:val="center"/>
          </w:tcPr>
          <w:p w14:paraId="4A178978" w14:textId="77777777" w:rsidR="00472A4B" w:rsidRPr="00821568" w:rsidRDefault="00472A4B" w:rsidP="00C2668E">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Mbarimi</w:t>
            </w:r>
          </w:p>
        </w:tc>
        <w:tc>
          <w:tcPr>
            <w:tcW w:w="2989" w:type="dxa"/>
            <w:gridSpan w:val="2"/>
            <w:vAlign w:val="center"/>
          </w:tcPr>
          <w:p w14:paraId="04018FF2" w14:textId="32C98AA0" w:rsidR="00472A4B" w:rsidRPr="00821568" w:rsidRDefault="00472A4B" w:rsidP="00C2668E">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 xml:space="preserve">Grupet e </w:t>
            </w:r>
            <w:r w:rsidR="00C2668E" w:rsidRPr="00821568">
              <w:rPr>
                <w:rFonts w:ascii="Garamond" w:hAnsi="Garamond"/>
                <w:b/>
                <w:bCs/>
                <w:sz w:val="12"/>
                <w:szCs w:val="12"/>
              </w:rPr>
              <w:t>i</w:t>
            </w:r>
            <w:r w:rsidRPr="00821568">
              <w:rPr>
                <w:rFonts w:ascii="Garamond" w:hAnsi="Garamond"/>
                <w:b/>
                <w:bCs/>
                <w:sz w:val="12"/>
                <w:szCs w:val="12"/>
              </w:rPr>
              <w:t>nteresit</w:t>
            </w:r>
          </w:p>
        </w:tc>
      </w:tr>
      <w:tr w:rsidR="00723888" w:rsidRPr="00821568" w14:paraId="2769D252" w14:textId="77777777" w:rsidTr="00C2668E">
        <w:trPr>
          <w:trHeight w:val="20"/>
        </w:trPr>
        <w:tc>
          <w:tcPr>
            <w:cnfStyle w:val="001000000000" w:firstRow="0" w:lastRow="0" w:firstColumn="1" w:lastColumn="0" w:oddVBand="0" w:evenVBand="0" w:oddHBand="0" w:evenHBand="0" w:firstRowFirstColumn="0" w:firstRowLastColumn="0" w:lastRowFirstColumn="0" w:lastRowLastColumn="0"/>
            <w:tcW w:w="814" w:type="dxa"/>
            <w:vMerge/>
            <w:vAlign w:val="center"/>
          </w:tcPr>
          <w:p w14:paraId="3F69D855" w14:textId="77777777" w:rsidR="00472A4B" w:rsidRPr="00821568" w:rsidRDefault="00472A4B" w:rsidP="00C2668E">
            <w:pPr>
              <w:jc w:val="center"/>
              <w:rPr>
                <w:rFonts w:ascii="Garamond" w:hAnsi="Garamond"/>
                <w:sz w:val="12"/>
                <w:szCs w:val="12"/>
              </w:rPr>
            </w:pPr>
          </w:p>
        </w:tc>
        <w:tc>
          <w:tcPr>
            <w:tcW w:w="1670" w:type="dxa"/>
            <w:vMerge/>
            <w:vAlign w:val="center"/>
          </w:tcPr>
          <w:p w14:paraId="5A9D1B61" w14:textId="77777777" w:rsidR="00472A4B" w:rsidRPr="00821568" w:rsidRDefault="00472A4B" w:rsidP="00C2668E">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1590" w:type="dxa"/>
            <w:vMerge/>
            <w:vAlign w:val="center"/>
          </w:tcPr>
          <w:p w14:paraId="583044A9" w14:textId="77777777" w:rsidR="00472A4B" w:rsidRPr="00821568" w:rsidRDefault="00472A4B" w:rsidP="00C2668E">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941" w:type="dxa"/>
            <w:vAlign w:val="center"/>
          </w:tcPr>
          <w:p w14:paraId="4EC6DADD" w14:textId="77777777" w:rsidR="00472A4B" w:rsidRPr="00821568" w:rsidRDefault="00472A4B" w:rsidP="00C2668E">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1125" w:type="dxa"/>
            <w:vAlign w:val="center"/>
          </w:tcPr>
          <w:p w14:paraId="3DC73776" w14:textId="77777777" w:rsidR="00472A4B" w:rsidRPr="00821568" w:rsidRDefault="00472A4B" w:rsidP="00C2668E">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1347" w:type="dxa"/>
            <w:vAlign w:val="center"/>
          </w:tcPr>
          <w:p w14:paraId="1EA78847" w14:textId="77777777" w:rsidR="00472A4B" w:rsidRPr="00821568" w:rsidRDefault="00472A4B" w:rsidP="00C2668E">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Njësitë përgjegjëse</w:t>
            </w:r>
          </w:p>
        </w:tc>
        <w:tc>
          <w:tcPr>
            <w:tcW w:w="1642" w:type="dxa"/>
            <w:vAlign w:val="center"/>
          </w:tcPr>
          <w:p w14:paraId="1C23E08A" w14:textId="77777777" w:rsidR="00472A4B" w:rsidRPr="00821568" w:rsidRDefault="00472A4B" w:rsidP="00C2668E">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Partnerët</w:t>
            </w:r>
          </w:p>
        </w:tc>
      </w:tr>
      <w:tr w:rsidR="00723888" w:rsidRPr="00821568" w14:paraId="65A9F4DA"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21B65282"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2.7.1</w:t>
            </w:r>
          </w:p>
        </w:tc>
        <w:tc>
          <w:tcPr>
            <w:tcW w:w="1670" w:type="dxa"/>
          </w:tcPr>
          <w:p w14:paraId="6A87F9F9" w14:textId="602C8BED"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eastAsiaTheme="minorHAnsi" w:hAnsi="Garamond"/>
                <w:bCs/>
                <w:sz w:val="12"/>
                <w:szCs w:val="12"/>
              </w:rPr>
              <w:t xml:space="preserve">Fuqizimi i Qendrës së Thirrjeve, si pjesë përbërëse e </w:t>
            </w:r>
            <w:r w:rsidR="008C0C0F" w:rsidRPr="00821568">
              <w:rPr>
                <w:rFonts w:ascii="Garamond" w:eastAsiaTheme="minorHAnsi" w:hAnsi="Garamond"/>
                <w:bCs/>
                <w:sz w:val="12"/>
                <w:szCs w:val="12"/>
              </w:rPr>
              <w:t>Strategjisë</w:t>
            </w:r>
            <w:r w:rsidRPr="00821568">
              <w:rPr>
                <w:rFonts w:ascii="Garamond" w:eastAsiaTheme="minorHAnsi" w:hAnsi="Garamond"/>
                <w:bCs/>
                <w:sz w:val="12"/>
                <w:szCs w:val="12"/>
              </w:rPr>
              <w:t xml:space="preserve"> së Shërbimit për Tatimpaguesit</w:t>
            </w:r>
          </w:p>
        </w:tc>
        <w:tc>
          <w:tcPr>
            <w:tcW w:w="1590" w:type="dxa"/>
          </w:tcPr>
          <w:p w14:paraId="7D8DC0DC"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941" w:type="dxa"/>
          </w:tcPr>
          <w:p w14:paraId="422CBE58"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2024</w:t>
            </w:r>
          </w:p>
        </w:tc>
        <w:tc>
          <w:tcPr>
            <w:tcW w:w="1125" w:type="dxa"/>
          </w:tcPr>
          <w:p w14:paraId="498F0AB6"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2026</w:t>
            </w:r>
          </w:p>
        </w:tc>
        <w:tc>
          <w:tcPr>
            <w:tcW w:w="1347" w:type="dxa"/>
          </w:tcPr>
          <w:p w14:paraId="0F9AD2AB"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eastAsiaTheme="minorHAnsi" w:hAnsi="Garamond"/>
                <w:sz w:val="12"/>
                <w:szCs w:val="12"/>
              </w:rPr>
              <w:t>DPT/Shërbimi i Tatimpaguesve</w:t>
            </w:r>
          </w:p>
        </w:tc>
        <w:tc>
          <w:tcPr>
            <w:tcW w:w="1642" w:type="dxa"/>
          </w:tcPr>
          <w:p w14:paraId="4190A8D6" w14:textId="10404AB1"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eastAsiaTheme="minorHAnsi" w:hAnsi="Garamond"/>
                <w:sz w:val="12"/>
                <w:szCs w:val="12"/>
              </w:rPr>
              <w:t xml:space="preserve">Administrata </w:t>
            </w:r>
            <w:r w:rsidR="00C2668E" w:rsidRPr="00821568">
              <w:rPr>
                <w:rFonts w:ascii="Garamond" w:eastAsiaTheme="minorHAnsi" w:hAnsi="Garamond"/>
                <w:sz w:val="12"/>
                <w:szCs w:val="12"/>
              </w:rPr>
              <w:t>Tatimore Suedeze</w:t>
            </w:r>
            <w:r w:rsidRPr="00821568">
              <w:rPr>
                <w:rFonts w:ascii="Garamond" w:eastAsiaTheme="minorHAnsi" w:hAnsi="Garamond"/>
                <w:sz w:val="12"/>
                <w:szCs w:val="12"/>
              </w:rPr>
              <w:t xml:space="preserve"> (projekti SIDA)</w:t>
            </w:r>
          </w:p>
        </w:tc>
      </w:tr>
      <w:tr w:rsidR="00723888" w:rsidRPr="00821568" w14:paraId="1B70AF70"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44234A9A"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2.7.2</w:t>
            </w:r>
          </w:p>
        </w:tc>
        <w:tc>
          <w:tcPr>
            <w:tcW w:w="1670" w:type="dxa"/>
          </w:tcPr>
          <w:p w14:paraId="18F1D602" w14:textId="7E004890"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eastAsiaTheme="minorHAnsi" w:hAnsi="Garamond"/>
                <w:bCs/>
                <w:sz w:val="12"/>
                <w:szCs w:val="12"/>
              </w:rPr>
              <w:t>Trajnimi për përdorimin, përpunimin dhe analizimin e të dhënave sasiore që sigurohen nga fiskalizimi dhe për të kryer projekte të veçanta të analizës duke përfshirë detyrimin për transferimin e aftësive t</w:t>
            </w:r>
            <w:r w:rsidR="008C0C0F" w:rsidRPr="00821568">
              <w:rPr>
                <w:rFonts w:ascii="Garamond" w:hAnsi="Garamond"/>
                <w:sz w:val="12"/>
                <w:szCs w:val="12"/>
              </w:rPr>
              <w:t>ë</w:t>
            </w:r>
            <w:r w:rsidRPr="00821568">
              <w:rPr>
                <w:rFonts w:ascii="Garamond" w:eastAsiaTheme="minorHAnsi" w:hAnsi="Garamond"/>
                <w:bCs/>
                <w:sz w:val="12"/>
                <w:szCs w:val="12"/>
              </w:rPr>
              <w:t xml:space="preserve"> personeli</w:t>
            </w:r>
            <w:r w:rsidR="008C0C0F" w:rsidRPr="00821568">
              <w:rPr>
                <w:rFonts w:ascii="Garamond" w:eastAsiaTheme="minorHAnsi" w:hAnsi="Garamond"/>
                <w:bCs/>
                <w:sz w:val="12"/>
                <w:szCs w:val="12"/>
              </w:rPr>
              <w:t>t</w:t>
            </w:r>
            <w:r w:rsidRPr="00821568">
              <w:rPr>
                <w:rFonts w:ascii="Garamond" w:eastAsiaTheme="minorHAnsi" w:hAnsi="Garamond"/>
                <w:bCs/>
                <w:sz w:val="12"/>
                <w:szCs w:val="12"/>
              </w:rPr>
              <w:t xml:space="preserve"> </w:t>
            </w:r>
            <w:r w:rsidR="008C0C0F" w:rsidRPr="00821568">
              <w:rPr>
                <w:rFonts w:ascii="Garamond" w:eastAsiaTheme="minorHAnsi" w:hAnsi="Garamond"/>
                <w:bCs/>
                <w:sz w:val="12"/>
                <w:szCs w:val="12"/>
              </w:rPr>
              <w:t>t</w:t>
            </w:r>
            <w:r w:rsidR="008C0C0F" w:rsidRPr="00821568">
              <w:rPr>
                <w:rFonts w:ascii="Garamond" w:hAnsi="Garamond"/>
                <w:sz w:val="12"/>
                <w:szCs w:val="12"/>
              </w:rPr>
              <w:t>ë</w:t>
            </w:r>
            <w:r w:rsidRPr="00821568">
              <w:rPr>
                <w:rFonts w:ascii="Garamond" w:eastAsiaTheme="minorHAnsi" w:hAnsi="Garamond"/>
                <w:bCs/>
                <w:sz w:val="12"/>
                <w:szCs w:val="12"/>
              </w:rPr>
              <w:t xml:space="preserve"> DPT-së</w:t>
            </w:r>
          </w:p>
        </w:tc>
        <w:tc>
          <w:tcPr>
            <w:tcW w:w="1590" w:type="dxa"/>
          </w:tcPr>
          <w:p w14:paraId="10ABB8F6"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941" w:type="dxa"/>
          </w:tcPr>
          <w:p w14:paraId="26E36B9E"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2024</w:t>
            </w:r>
          </w:p>
        </w:tc>
        <w:tc>
          <w:tcPr>
            <w:tcW w:w="1125" w:type="dxa"/>
          </w:tcPr>
          <w:p w14:paraId="7DA4535A"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2026</w:t>
            </w:r>
          </w:p>
        </w:tc>
        <w:tc>
          <w:tcPr>
            <w:tcW w:w="1347" w:type="dxa"/>
          </w:tcPr>
          <w:p w14:paraId="241EA46D"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DPT</w:t>
            </w:r>
          </w:p>
        </w:tc>
        <w:tc>
          <w:tcPr>
            <w:tcW w:w="1642" w:type="dxa"/>
          </w:tcPr>
          <w:p w14:paraId="46969F7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FMN</w:t>
            </w:r>
          </w:p>
        </w:tc>
      </w:tr>
      <w:tr w:rsidR="00723888" w:rsidRPr="00821568" w14:paraId="45BD480F"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4D07244B"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2.7.3</w:t>
            </w:r>
          </w:p>
        </w:tc>
        <w:tc>
          <w:tcPr>
            <w:tcW w:w="1670" w:type="dxa"/>
          </w:tcPr>
          <w:p w14:paraId="26082B76"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bCs/>
                <w:sz w:val="12"/>
                <w:szCs w:val="12"/>
              </w:rPr>
              <w:t>Shtrirja e analizave të riskut në çdo funksion të administratës tatimore</w:t>
            </w:r>
          </w:p>
        </w:tc>
        <w:tc>
          <w:tcPr>
            <w:tcW w:w="1590" w:type="dxa"/>
          </w:tcPr>
          <w:p w14:paraId="22781C05"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941" w:type="dxa"/>
          </w:tcPr>
          <w:p w14:paraId="74D7B09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2024</w:t>
            </w:r>
          </w:p>
        </w:tc>
        <w:tc>
          <w:tcPr>
            <w:tcW w:w="1125" w:type="dxa"/>
          </w:tcPr>
          <w:p w14:paraId="119ED40C"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2027</w:t>
            </w:r>
          </w:p>
        </w:tc>
        <w:tc>
          <w:tcPr>
            <w:tcW w:w="1347" w:type="dxa"/>
          </w:tcPr>
          <w:p w14:paraId="15398A95"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DPT/Shërbimi i Tatimpaguesve</w:t>
            </w:r>
          </w:p>
        </w:tc>
        <w:tc>
          <w:tcPr>
            <w:tcW w:w="1642" w:type="dxa"/>
          </w:tcPr>
          <w:p w14:paraId="5B862EC6"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r>
      <w:tr w:rsidR="00723888" w:rsidRPr="00821568" w14:paraId="327EAA09"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09823108"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2.7.4</w:t>
            </w:r>
          </w:p>
        </w:tc>
        <w:tc>
          <w:tcPr>
            <w:tcW w:w="1670" w:type="dxa"/>
          </w:tcPr>
          <w:p w14:paraId="629FC19E" w14:textId="4606B849"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bCs/>
                <w:sz w:val="12"/>
                <w:szCs w:val="12"/>
              </w:rPr>
              <w:t>Trajnim i stafit të Njësisë së Tatimpaguesve të Mëdhenj</w:t>
            </w:r>
            <w:r w:rsidR="003C24AC" w:rsidRPr="00821568">
              <w:rPr>
                <w:rFonts w:ascii="Garamond" w:hAnsi="Garamond"/>
                <w:bCs/>
                <w:sz w:val="12"/>
                <w:szCs w:val="12"/>
              </w:rPr>
              <w:t>,</w:t>
            </w:r>
            <w:r w:rsidRPr="00821568">
              <w:rPr>
                <w:rFonts w:ascii="Garamond" w:hAnsi="Garamond"/>
                <w:bCs/>
                <w:sz w:val="12"/>
                <w:szCs w:val="12"/>
              </w:rPr>
              <w:t xml:space="preserve"> me qëllim rritjen e kapaciteteve për analizën dhe kontrollin e sektorëve specifikë të ekonomisë</w:t>
            </w:r>
          </w:p>
        </w:tc>
        <w:tc>
          <w:tcPr>
            <w:tcW w:w="1590" w:type="dxa"/>
          </w:tcPr>
          <w:p w14:paraId="25D3AFB4"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941" w:type="dxa"/>
          </w:tcPr>
          <w:p w14:paraId="4508560C"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2026</w:t>
            </w:r>
          </w:p>
        </w:tc>
        <w:tc>
          <w:tcPr>
            <w:tcW w:w="1125" w:type="dxa"/>
          </w:tcPr>
          <w:p w14:paraId="6BD9D30A"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2027</w:t>
            </w:r>
          </w:p>
        </w:tc>
        <w:tc>
          <w:tcPr>
            <w:tcW w:w="1347" w:type="dxa"/>
          </w:tcPr>
          <w:p w14:paraId="1E8207D1"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DPT</w:t>
            </w:r>
          </w:p>
        </w:tc>
        <w:tc>
          <w:tcPr>
            <w:tcW w:w="1642" w:type="dxa"/>
          </w:tcPr>
          <w:p w14:paraId="7D72A707"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Shoqatat e Biznesit</w:t>
            </w:r>
          </w:p>
        </w:tc>
      </w:tr>
      <w:tr w:rsidR="00723888" w:rsidRPr="00821568" w14:paraId="32C4368B"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404DE3BA"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2.7.5</w:t>
            </w:r>
          </w:p>
        </w:tc>
        <w:tc>
          <w:tcPr>
            <w:tcW w:w="1670" w:type="dxa"/>
          </w:tcPr>
          <w:p w14:paraId="072622DA" w14:textId="0AD89639"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eastAsiaTheme="minorHAnsi" w:hAnsi="Garamond"/>
                <w:bCs/>
                <w:sz w:val="12"/>
                <w:szCs w:val="12"/>
              </w:rPr>
              <w:t>Memorandume bashkëpunimi me universitetet për të zhvilluar kurse të analizës së të dhënave dhe shkencës së psikologjisë së sjelljes</w:t>
            </w:r>
          </w:p>
        </w:tc>
        <w:tc>
          <w:tcPr>
            <w:tcW w:w="1590" w:type="dxa"/>
          </w:tcPr>
          <w:p w14:paraId="5D13B53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941" w:type="dxa"/>
          </w:tcPr>
          <w:p w14:paraId="581C361B"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2026</w:t>
            </w:r>
          </w:p>
        </w:tc>
        <w:tc>
          <w:tcPr>
            <w:tcW w:w="1125" w:type="dxa"/>
          </w:tcPr>
          <w:p w14:paraId="4D5480F3"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2027</w:t>
            </w:r>
          </w:p>
        </w:tc>
        <w:tc>
          <w:tcPr>
            <w:tcW w:w="1347" w:type="dxa"/>
          </w:tcPr>
          <w:p w14:paraId="3DE3CDA2"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DPT</w:t>
            </w:r>
          </w:p>
        </w:tc>
        <w:tc>
          <w:tcPr>
            <w:tcW w:w="1642" w:type="dxa"/>
          </w:tcPr>
          <w:p w14:paraId="67549425"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Universitetet</w:t>
            </w:r>
          </w:p>
        </w:tc>
      </w:tr>
      <w:tr w:rsidR="00723888" w:rsidRPr="00821568" w14:paraId="4F21344A"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814" w:type="dxa"/>
          </w:tcPr>
          <w:p w14:paraId="2C6D49F0"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2.7.6</w:t>
            </w:r>
          </w:p>
        </w:tc>
        <w:tc>
          <w:tcPr>
            <w:tcW w:w="1670" w:type="dxa"/>
          </w:tcPr>
          <w:p w14:paraId="77BA550D" w14:textId="3207CA0C"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eastAsiaTheme="minorHAnsi" w:hAnsi="Garamond"/>
                <w:bCs/>
                <w:sz w:val="12"/>
                <w:szCs w:val="12"/>
              </w:rPr>
              <w:t>Bashkëpunim me universitetet, administratat e tjera tatimore dhe shoqatave profesionale për hartimin e programeve që synojnë zgjidhjen e boshllëqeve në aftësi</w:t>
            </w:r>
          </w:p>
        </w:tc>
        <w:tc>
          <w:tcPr>
            <w:tcW w:w="1590" w:type="dxa"/>
          </w:tcPr>
          <w:p w14:paraId="425DBDE5"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941" w:type="dxa"/>
          </w:tcPr>
          <w:p w14:paraId="214AE2DE"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2024</w:t>
            </w:r>
          </w:p>
        </w:tc>
        <w:tc>
          <w:tcPr>
            <w:tcW w:w="1125" w:type="dxa"/>
          </w:tcPr>
          <w:p w14:paraId="50EE2EF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2027</w:t>
            </w:r>
          </w:p>
        </w:tc>
        <w:tc>
          <w:tcPr>
            <w:tcW w:w="1347" w:type="dxa"/>
          </w:tcPr>
          <w:p w14:paraId="5C8CD581"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eastAsiaTheme="minorHAnsi" w:hAnsi="Garamond"/>
                <w:sz w:val="12"/>
                <w:szCs w:val="12"/>
              </w:rPr>
              <w:t>DPT</w:t>
            </w:r>
          </w:p>
        </w:tc>
        <w:tc>
          <w:tcPr>
            <w:tcW w:w="1642" w:type="dxa"/>
          </w:tcPr>
          <w:p w14:paraId="21E7A7E8"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eastAsiaTheme="minorHAnsi" w:hAnsi="Garamond"/>
                <w:sz w:val="12"/>
                <w:szCs w:val="12"/>
              </w:rPr>
              <w:t>QTATD/CEF/ FMN</w:t>
            </w:r>
          </w:p>
        </w:tc>
      </w:tr>
    </w:tbl>
    <w:p w14:paraId="47DFDFE3" w14:textId="77777777" w:rsidR="00472A4B" w:rsidRPr="00830F4C" w:rsidRDefault="00472A4B" w:rsidP="00472A4B">
      <w:pPr>
        <w:rPr>
          <w:rFonts w:ascii="Garamond" w:hAnsi="Garamond"/>
          <w:sz w:val="20"/>
          <w:szCs w:val="20"/>
        </w:rPr>
      </w:pPr>
    </w:p>
    <w:tbl>
      <w:tblPr>
        <w:tblStyle w:val="GridTable1Light"/>
        <w:tblW w:w="0" w:type="auto"/>
        <w:tblInd w:w="-113" w:type="dxa"/>
        <w:tblLook w:val="04A0" w:firstRow="1" w:lastRow="0" w:firstColumn="1" w:lastColumn="0" w:noHBand="0" w:noVBand="1"/>
      </w:tblPr>
      <w:tblGrid>
        <w:gridCol w:w="439"/>
        <w:gridCol w:w="2313"/>
        <w:gridCol w:w="2107"/>
        <w:gridCol w:w="597"/>
        <w:gridCol w:w="670"/>
        <w:gridCol w:w="1037"/>
        <w:gridCol w:w="2300"/>
      </w:tblGrid>
      <w:tr w:rsidR="00723888" w:rsidRPr="00821568" w14:paraId="06A1C8D7" w14:textId="77777777" w:rsidTr="00A86F3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gridSpan w:val="7"/>
          </w:tcPr>
          <w:p w14:paraId="729CDB9B" w14:textId="64FD3D13" w:rsidR="00472A4B" w:rsidRPr="00821568" w:rsidRDefault="00472A4B" w:rsidP="00A86F37">
            <w:pPr>
              <w:rPr>
                <w:rFonts w:ascii="Garamond" w:hAnsi="Garamond"/>
                <w:sz w:val="12"/>
                <w:szCs w:val="12"/>
              </w:rPr>
            </w:pPr>
            <w:r w:rsidRPr="00821568">
              <w:rPr>
                <w:rFonts w:ascii="Garamond" w:hAnsi="Garamond"/>
                <w:sz w:val="12"/>
                <w:szCs w:val="12"/>
              </w:rPr>
              <w:t xml:space="preserve">Qëllimi i </w:t>
            </w:r>
            <w:r w:rsidR="003C24AC" w:rsidRPr="00821568">
              <w:rPr>
                <w:rFonts w:ascii="Garamond" w:hAnsi="Garamond"/>
                <w:sz w:val="12"/>
                <w:szCs w:val="12"/>
              </w:rPr>
              <w:t>politikës (shtylla</w:t>
            </w:r>
            <w:r w:rsidRPr="00821568">
              <w:rPr>
                <w:rFonts w:ascii="Garamond" w:hAnsi="Garamond"/>
                <w:sz w:val="12"/>
                <w:szCs w:val="12"/>
              </w:rPr>
              <w:t>) 3</w:t>
            </w:r>
            <w:r w:rsidR="003C24AC" w:rsidRPr="00821568">
              <w:rPr>
                <w:rFonts w:ascii="Garamond" w:hAnsi="Garamond"/>
                <w:sz w:val="12"/>
                <w:szCs w:val="12"/>
              </w:rPr>
              <w:t>.</w:t>
            </w:r>
            <w:r w:rsidRPr="00821568">
              <w:rPr>
                <w:rFonts w:ascii="Garamond" w:hAnsi="Garamond"/>
                <w:sz w:val="12"/>
                <w:szCs w:val="12"/>
              </w:rPr>
              <w:t xml:space="preserve"> Mirëadministrimi doganor</w:t>
            </w:r>
          </w:p>
        </w:tc>
      </w:tr>
      <w:tr w:rsidR="00723888" w:rsidRPr="00821568" w14:paraId="569B851D"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gridSpan w:val="7"/>
          </w:tcPr>
          <w:p w14:paraId="07A29994" w14:textId="43E663E3" w:rsidR="00472A4B" w:rsidRPr="00821568" w:rsidRDefault="00472A4B" w:rsidP="00A86F37">
            <w:pPr>
              <w:rPr>
                <w:rFonts w:ascii="Garamond" w:hAnsi="Garamond"/>
                <w:sz w:val="12"/>
                <w:szCs w:val="12"/>
              </w:rPr>
            </w:pPr>
            <w:r w:rsidRPr="00821568">
              <w:rPr>
                <w:rFonts w:ascii="Garamond" w:hAnsi="Garamond"/>
                <w:sz w:val="12"/>
                <w:szCs w:val="12"/>
              </w:rPr>
              <w:t xml:space="preserve">Objektivi </w:t>
            </w:r>
            <w:r w:rsidR="003C24AC" w:rsidRPr="00821568">
              <w:rPr>
                <w:rFonts w:ascii="Garamond" w:hAnsi="Garamond"/>
                <w:sz w:val="12"/>
                <w:szCs w:val="12"/>
              </w:rPr>
              <w:t>specifik (komponenti</w:t>
            </w:r>
            <w:r w:rsidRPr="00821568">
              <w:rPr>
                <w:rFonts w:ascii="Garamond" w:hAnsi="Garamond"/>
                <w:sz w:val="12"/>
                <w:szCs w:val="12"/>
              </w:rPr>
              <w:t>) 3.1 Modernizimi i proceseve të biznesit, duke përfshirë centralizimin e funksionit të profilizimit të riskut</w:t>
            </w:r>
          </w:p>
          <w:p w14:paraId="03EA8275" w14:textId="77777777" w:rsidR="00472A4B" w:rsidRPr="00821568" w:rsidRDefault="00472A4B" w:rsidP="00A86F37">
            <w:pPr>
              <w:rPr>
                <w:rFonts w:ascii="Garamond" w:hAnsi="Garamond"/>
                <w:sz w:val="12"/>
                <w:szCs w:val="12"/>
              </w:rPr>
            </w:pPr>
          </w:p>
        </w:tc>
      </w:tr>
      <w:tr w:rsidR="00723888" w:rsidRPr="00821568" w14:paraId="58F7C276" w14:textId="77777777" w:rsidTr="003C24AC">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274E95BC" w14:textId="4598A44E" w:rsidR="00472A4B" w:rsidRPr="00821568" w:rsidRDefault="00472A4B" w:rsidP="003C24AC">
            <w:pPr>
              <w:jc w:val="center"/>
              <w:rPr>
                <w:rFonts w:ascii="Garamond" w:hAnsi="Garamond"/>
                <w:sz w:val="12"/>
                <w:szCs w:val="12"/>
              </w:rPr>
            </w:pPr>
            <w:r w:rsidRPr="00821568">
              <w:rPr>
                <w:rFonts w:ascii="Garamond" w:hAnsi="Garamond"/>
                <w:sz w:val="12"/>
                <w:szCs w:val="12"/>
              </w:rPr>
              <w:t>Nr</w:t>
            </w:r>
            <w:r w:rsidR="008C0C0F" w:rsidRPr="00821568">
              <w:rPr>
                <w:rFonts w:ascii="Garamond" w:hAnsi="Garamond"/>
                <w:sz w:val="12"/>
                <w:szCs w:val="12"/>
              </w:rPr>
              <w:t>.</w:t>
            </w:r>
          </w:p>
        </w:tc>
        <w:tc>
          <w:tcPr>
            <w:tcW w:w="0" w:type="auto"/>
            <w:vMerge w:val="restart"/>
            <w:vAlign w:val="center"/>
          </w:tcPr>
          <w:p w14:paraId="0CD30BDE"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Masa</w:t>
            </w:r>
          </w:p>
        </w:tc>
        <w:tc>
          <w:tcPr>
            <w:tcW w:w="0" w:type="auto"/>
            <w:vMerge w:val="restart"/>
            <w:vAlign w:val="center"/>
          </w:tcPr>
          <w:p w14:paraId="177AEA77"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Aktiviteti</w:t>
            </w:r>
          </w:p>
        </w:tc>
        <w:tc>
          <w:tcPr>
            <w:tcW w:w="0" w:type="auto"/>
            <w:vMerge w:val="restart"/>
            <w:vAlign w:val="center"/>
          </w:tcPr>
          <w:p w14:paraId="61818E27"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Fillimi</w:t>
            </w:r>
          </w:p>
        </w:tc>
        <w:tc>
          <w:tcPr>
            <w:tcW w:w="0" w:type="auto"/>
            <w:vMerge w:val="restart"/>
            <w:vAlign w:val="center"/>
          </w:tcPr>
          <w:p w14:paraId="42374D7A"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Mbarimi</w:t>
            </w:r>
          </w:p>
        </w:tc>
        <w:tc>
          <w:tcPr>
            <w:tcW w:w="0" w:type="auto"/>
            <w:gridSpan w:val="2"/>
            <w:vAlign w:val="center"/>
          </w:tcPr>
          <w:p w14:paraId="5EA41CF5" w14:textId="3153626F"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 xml:space="preserve">Grupet e </w:t>
            </w:r>
            <w:r w:rsidR="003C24AC" w:rsidRPr="00821568">
              <w:rPr>
                <w:rFonts w:ascii="Garamond" w:hAnsi="Garamond"/>
                <w:b/>
                <w:bCs/>
                <w:sz w:val="12"/>
                <w:szCs w:val="12"/>
              </w:rPr>
              <w:t>i</w:t>
            </w:r>
            <w:r w:rsidRPr="00821568">
              <w:rPr>
                <w:rFonts w:ascii="Garamond" w:hAnsi="Garamond"/>
                <w:b/>
                <w:bCs/>
                <w:sz w:val="12"/>
                <w:szCs w:val="12"/>
              </w:rPr>
              <w:t>nteresit</w:t>
            </w:r>
          </w:p>
        </w:tc>
      </w:tr>
      <w:tr w:rsidR="00723888" w:rsidRPr="00821568" w14:paraId="50024981" w14:textId="77777777" w:rsidTr="003C24AC">
        <w:trPr>
          <w:trHeight w:val="2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33EC1271" w14:textId="77777777" w:rsidR="00472A4B" w:rsidRPr="00821568" w:rsidRDefault="00472A4B" w:rsidP="003C24AC">
            <w:pPr>
              <w:jc w:val="center"/>
              <w:rPr>
                <w:rFonts w:ascii="Garamond" w:hAnsi="Garamond"/>
                <w:sz w:val="12"/>
                <w:szCs w:val="12"/>
              </w:rPr>
            </w:pPr>
          </w:p>
        </w:tc>
        <w:tc>
          <w:tcPr>
            <w:tcW w:w="0" w:type="auto"/>
            <w:vMerge/>
            <w:vAlign w:val="center"/>
          </w:tcPr>
          <w:p w14:paraId="028C5045"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Merge/>
            <w:vAlign w:val="center"/>
          </w:tcPr>
          <w:p w14:paraId="5BF02B06"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Merge/>
            <w:vAlign w:val="center"/>
          </w:tcPr>
          <w:p w14:paraId="27AF7BB8"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Merge/>
            <w:vAlign w:val="center"/>
          </w:tcPr>
          <w:p w14:paraId="122A19F6"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Align w:val="center"/>
          </w:tcPr>
          <w:p w14:paraId="7432BD38"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Njësitë përgjegjëse</w:t>
            </w:r>
          </w:p>
        </w:tc>
        <w:tc>
          <w:tcPr>
            <w:tcW w:w="0" w:type="auto"/>
            <w:vAlign w:val="center"/>
          </w:tcPr>
          <w:p w14:paraId="5991F8CA"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Partnerët</w:t>
            </w:r>
          </w:p>
        </w:tc>
      </w:tr>
      <w:tr w:rsidR="00723888" w:rsidRPr="00821568" w14:paraId="4CF30558"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02CAB7D4"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3.1.1</w:t>
            </w:r>
          </w:p>
        </w:tc>
        <w:tc>
          <w:tcPr>
            <w:tcW w:w="0" w:type="auto"/>
          </w:tcPr>
          <w:p w14:paraId="35FAEAF3" w14:textId="66F419C2"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Përmirësimi i përzgjedhjes së kanaleve të riskut</w:t>
            </w:r>
          </w:p>
        </w:tc>
        <w:tc>
          <w:tcPr>
            <w:tcW w:w="0" w:type="auto"/>
          </w:tcPr>
          <w:p w14:paraId="76144930" w14:textId="6AEDAEB2"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eastAsiaTheme="minorHAnsi" w:hAnsi="Garamond"/>
                <w:sz w:val="12"/>
                <w:szCs w:val="12"/>
              </w:rPr>
              <w:t>Përfshirja e më shumë kompanive në kanalin jeshil</w:t>
            </w:r>
            <w:r w:rsidR="003C24AC" w:rsidRPr="00821568">
              <w:rPr>
                <w:rFonts w:ascii="Garamond" w:eastAsiaTheme="minorHAnsi" w:hAnsi="Garamond"/>
                <w:sz w:val="12"/>
                <w:szCs w:val="12"/>
              </w:rPr>
              <w:t>.</w:t>
            </w:r>
          </w:p>
          <w:p w14:paraId="0348B046" w14:textId="3B53DD66"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eastAsiaTheme="minorHAnsi" w:hAnsi="Garamond"/>
                <w:sz w:val="12"/>
                <w:szCs w:val="12"/>
              </w:rPr>
              <w:t>Dhënia prioritet e kompanive të besueshme</w:t>
            </w:r>
            <w:r w:rsidR="003C24AC" w:rsidRPr="00821568">
              <w:rPr>
                <w:rFonts w:ascii="Garamond" w:eastAsiaTheme="minorHAnsi" w:hAnsi="Garamond"/>
                <w:sz w:val="12"/>
                <w:szCs w:val="12"/>
              </w:rPr>
              <w:t>.</w:t>
            </w:r>
          </w:p>
          <w:p w14:paraId="169F2E65" w14:textId="1B6159EA"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Rishqyrtimi i kritereve t</w:t>
            </w:r>
            <w:r w:rsidR="008C0C0F" w:rsidRPr="00821568">
              <w:rPr>
                <w:rFonts w:ascii="Garamond" w:hAnsi="Garamond"/>
                <w:sz w:val="12"/>
                <w:szCs w:val="12"/>
              </w:rPr>
              <w:t>ë</w:t>
            </w:r>
            <w:r w:rsidRPr="00821568">
              <w:rPr>
                <w:rFonts w:ascii="Garamond" w:hAnsi="Garamond"/>
                <w:sz w:val="12"/>
                <w:szCs w:val="12"/>
              </w:rPr>
              <w:t xml:space="preserve"> riskut</w:t>
            </w:r>
            <w:r w:rsidR="003C24AC" w:rsidRPr="00821568">
              <w:rPr>
                <w:rFonts w:ascii="Garamond" w:hAnsi="Garamond"/>
                <w:sz w:val="12"/>
                <w:szCs w:val="12"/>
              </w:rPr>
              <w:t>.</w:t>
            </w:r>
          </w:p>
        </w:tc>
        <w:tc>
          <w:tcPr>
            <w:tcW w:w="0" w:type="auto"/>
          </w:tcPr>
          <w:p w14:paraId="73C39EAD"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2024</w:t>
            </w:r>
          </w:p>
        </w:tc>
        <w:tc>
          <w:tcPr>
            <w:tcW w:w="0" w:type="auto"/>
          </w:tcPr>
          <w:p w14:paraId="32AB365B"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2024</w:t>
            </w:r>
          </w:p>
        </w:tc>
        <w:tc>
          <w:tcPr>
            <w:tcW w:w="0" w:type="auto"/>
          </w:tcPr>
          <w:p w14:paraId="6D50FCED"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DPD/Drejtoria e Riskut</w:t>
            </w:r>
          </w:p>
        </w:tc>
        <w:tc>
          <w:tcPr>
            <w:tcW w:w="0" w:type="auto"/>
          </w:tcPr>
          <w:p w14:paraId="5703EEF5"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tc>
      </w:tr>
      <w:tr w:rsidR="00723888" w:rsidRPr="00821568" w14:paraId="040D2D50"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2220E0BB"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3.1.2</w:t>
            </w:r>
          </w:p>
        </w:tc>
        <w:tc>
          <w:tcPr>
            <w:tcW w:w="0" w:type="auto"/>
          </w:tcPr>
          <w:p w14:paraId="625A1EA7"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eastAsiaTheme="minorHAnsi" w:hAnsi="Garamond"/>
                <w:sz w:val="12"/>
                <w:szCs w:val="12"/>
              </w:rPr>
              <w:t>C</w:t>
            </w:r>
            <w:r w:rsidRPr="00821568">
              <w:rPr>
                <w:rFonts w:ascii="Garamond" w:hAnsi="Garamond"/>
                <w:sz w:val="12"/>
                <w:szCs w:val="12"/>
              </w:rPr>
              <w:t>entralizimi i profileve të riskut për të përfshirë edhe akcizën</w:t>
            </w:r>
          </w:p>
        </w:tc>
        <w:tc>
          <w:tcPr>
            <w:tcW w:w="0" w:type="auto"/>
          </w:tcPr>
          <w:p w14:paraId="3656D9C4" w14:textId="00C320E8"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eastAsiaTheme="minorHAnsi" w:hAnsi="Garamond"/>
                <w:sz w:val="12"/>
                <w:szCs w:val="12"/>
              </w:rPr>
            </w:pPr>
            <w:r w:rsidRPr="00821568">
              <w:rPr>
                <w:rFonts w:ascii="Garamond" w:eastAsiaTheme="minorHAnsi" w:hAnsi="Garamond"/>
                <w:sz w:val="12"/>
                <w:szCs w:val="12"/>
              </w:rPr>
              <w:t>Krijimi Teknik i Modelit</w:t>
            </w:r>
            <w:r w:rsidR="003C24AC" w:rsidRPr="00821568">
              <w:rPr>
                <w:rFonts w:ascii="Garamond" w:eastAsiaTheme="minorHAnsi" w:hAnsi="Garamond"/>
                <w:sz w:val="12"/>
                <w:szCs w:val="12"/>
              </w:rPr>
              <w:t>.</w:t>
            </w:r>
          </w:p>
          <w:p w14:paraId="3CECF9AA" w14:textId="58D20EEA"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eastAsiaTheme="minorHAnsi" w:hAnsi="Garamond"/>
                <w:sz w:val="12"/>
                <w:szCs w:val="12"/>
              </w:rPr>
              <w:t>Testimi praktik i Modulit</w:t>
            </w:r>
            <w:r w:rsidR="003C24AC" w:rsidRPr="00821568">
              <w:rPr>
                <w:rFonts w:ascii="Garamond" w:eastAsiaTheme="minorHAnsi" w:hAnsi="Garamond"/>
                <w:sz w:val="12"/>
                <w:szCs w:val="12"/>
              </w:rPr>
              <w:t>.</w:t>
            </w:r>
          </w:p>
          <w:p w14:paraId="6A32B0D8" w14:textId="0D930E6A"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Mundësimi i përdorimit të modulit, rindërtimi i profileve të riskut në fushën e akcizës (të ndryshme nga importi)</w:t>
            </w:r>
            <w:r w:rsidR="003C24AC" w:rsidRPr="00821568">
              <w:rPr>
                <w:rFonts w:ascii="Garamond" w:hAnsi="Garamond"/>
                <w:sz w:val="12"/>
                <w:szCs w:val="12"/>
              </w:rPr>
              <w:t>.</w:t>
            </w:r>
          </w:p>
        </w:tc>
        <w:tc>
          <w:tcPr>
            <w:tcW w:w="0" w:type="auto"/>
          </w:tcPr>
          <w:p w14:paraId="35B73040"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2024</w:t>
            </w:r>
          </w:p>
        </w:tc>
        <w:tc>
          <w:tcPr>
            <w:tcW w:w="0" w:type="auto"/>
          </w:tcPr>
          <w:p w14:paraId="4FC2E2A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2027</w:t>
            </w:r>
          </w:p>
        </w:tc>
        <w:tc>
          <w:tcPr>
            <w:tcW w:w="0" w:type="auto"/>
          </w:tcPr>
          <w:p w14:paraId="027E5E51"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DPD/Drejtoria e Riskut dhe Departamenti i Akcizës</w:t>
            </w:r>
          </w:p>
        </w:tc>
        <w:tc>
          <w:tcPr>
            <w:tcW w:w="0" w:type="auto"/>
          </w:tcPr>
          <w:p w14:paraId="44F4F2A3"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AKSHI</w:t>
            </w:r>
          </w:p>
        </w:tc>
      </w:tr>
      <w:tr w:rsidR="00723888" w:rsidRPr="00821568" w14:paraId="1D4002BC"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0890153B"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3.1.3</w:t>
            </w:r>
          </w:p>
        </w:tc>
        <w:tc>
          <w:tcPr>
            <w:tcW w:w="0" w:type="auto"/>
          </w:tcPr>
          <w:p w14:paraId="1A8B30A2"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Style w:val="contentpasted0"/>
                <w:rFonts w:ascii="Garamond" w:hAnsi="Garamond"/>
                <w:bCs/>
                <w:sz w:val="12"/>
                <w:szCs w:val="12"/>
              </w:rPr>
              <w:t xml:space="preserve">Implementimi i lidhjes në kohë reale midis ASYCUDA </w:t>
            </w:r>
            <w:r w:rsidRPr="00821568">
              <w:rPr>
                <w:rStyle w:val="contentpasted0"/>
                <w:rFonts w:ascii="Garamond" w:hAnsi="Garamond"/>
                <w:bCs/>
                <w:i/>
                <w:sz w:val="12"/>
                <w:szCs w:val="12"/>
              </w:rPr>
              <w:t>World</w:t>
            </w:r>
            <w:r w:rsidRPr="00821568">
              <w:rPr>
                <w:rStyle w:val="contentpasted0"/>
                <w:rFonts w:ascii="Garamond" w:hAnsi="Garamond"/>
                <w:bCs/>
                <w:sz w:val="12"/>
                <w:szCs w:val="12"/>
              </w:rPr>
              <w:t xml:space="preserve"> dhe ASYHUB</w:t>
            </w:r>
          </w:p>
        </w:tc>
        <w:tc>
          <w:tcPr>
            <w:tcW w:w="0" w:type="auto"/>
          </w:tcPr>
          <w:p w14:paraId="68D5732B" w14:textId="5D9CAA8F"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eastAsiaTheme="minorHAnsi" w:hAnsi="Garamond"/>
                <w:sz w:val="12"/>
                <w:szCs w:val="12"/>
              </w:rPr>
              <w:t>Kryerja e aktiviteteve të lidhura me zhvillimin dhe të shërbimeve të sistemit. Testimi i profileve të rrezikut në sistem. Mbajtja e një MoU me Mariner Company që lejon shkëmbimin e të dhënave</w:t>
            </w:r>
            <w:r w:rsidR="003C24AC" w:rsidRPr="00821568">
              <w:rPr>
                <w:rFonts w:ascii="Garamond" w:eastAsiaTheme="minorHAnsi" w:hAnsi="Garamond"/>
                <w:sz w:val="12"/>
                <w:szCs w:val="12"/>
              </w:rPr>
              <w:t>.</w:t>
            </w:r>
          </w:p>
        </w:tc>
        <w:tc>
          <w:tcPr>
            <w:tcW w:w="0" w:type="auto"/>
          </w:tcPr>
          <w:p w14:paraId="5FB01AED"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2024</w:t>
            </w:r>
          </w:p>
        </w:tc>
        <w:tc>
          <w:tcPr>
            <w:tcW w:w="0" w:type="auto"/>
          </w:tcPr>
          <w:p w14:paraId="0205DBEE"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2024</w:t>
            </w:r>
          </w:p>
        </w:tc>
        <w:tc>
          <w:tcPr>
            <w:tcW w:w="0" w:type="auto"/>
          </w:tcPr>
          <w:p w14:paraId="35D2E72B"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DPD</w:t>
            </w:r>
          </w:p>
        </w:tc>
        <w:tc>
          <w:tcPr>
            <w:tcW w:w="0" w:type="auto"/>
          </w:tcPr>
          <w:p w14:paraId="76FB2ED1"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AKSHI</w:t>
            </w:r>
          </w:p>
        </w:tc>
      </w:tr>
      <w:tr w:rsidR="00723888" w:rsidRPr="00821568" w14:paraId="1D93C4A9"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3BB5B50C"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3.1.4</w:t>
            </w:r>
          </w:p>
        </w:tc>
        <w:tc>
          <w:tcPr>
            <w:tcW w:w="0" w:type="auto"/>
          </w:tcPr>
          <w:p w14:paraId="44EF6387" w14:textId="652F842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Style w:val="contentpasted0"/>
                <w:rFonts w:ascii="Garamond" w:hAnsi="Garamond"/>
                <w:bCs/>
                <w:sz w:val="12"/>
                <w:szCs w:val="12"/>
              </w:rPr>
              <w:t>Fuqizimi i kapaciteteve të punonjësve të AD</w:t>
            </w:r>
            <w:r w:rsidR="003C24AC" w:rsidRPr="00821568">
              <w:rPr>
                <w:rStyle w:val="contentpasted0"/>
                <w:rFonts w:ascii="Garamond" w:hAnsi="Garamond"/>
                <w:bCs/>
                <w:sz w:val="12"/>
                <w:szCs w:val="12"/>
              </w:rPr>
              <w:t>-</w:t>
            </w:r>
            <w:r w:rsidR="003C24AC" w:rsidRPr="00821568">
              <w:rPr>
                <w:rFonts w:ascii="Garamond" w:hAnsi="Garamond"/>
                <w:bCs/>
                <w:sz w:val="12"/>
                <w:szCs w:val="12"/>
              </w:rPr>
              <w:t>së</w:t>
            </w:r>
            <w:r w:rsidRPr="00821568">
              <w:rPr>
                <w:rStyle w:val="contentpasted0"/>
                <w:rFonts w:ascii="Garamond" w:hAnsi="Garamond"/>
                <w:bCs/>
                <w:sz w:val="12"/>
                <w:szCs w:val="12"/>
              </w:rPr>
              <w:t xml:space="preserve"> përmes përmirësimit të praktikave të burimeve njerëzore dhe ofrimit të zhvillimit të kapaciteteve</w:t>
            </w:r>
          </w:p>
        </w:tc>
        <w:tc>
          <w:tcPr>
            <w:tcW w:w="0" w:type="auto"/>
          </w:tcPr>
          <w:p w14:paraId="2ECA078A" w14:textId="5E4816AD"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eastAsiaTheme="minorHAnsi" w:hAnsi="Garamond"/>
                <w:sz w:val="12"/>
                <w:szCs w:val="12"/>
              </w:rPr>
              <w:t>Trajnime të vazhdueshme për punonjësit e administratës doganore</w:t>
            </w:r>
            <w:r w:rsidR="003C24AC" w:rsidRPr="00821568">
              <w:rPr>
                <w:rFonts w:ascii="Garamond" w:eastAsiaTheme="minorHAnsi" w:hAnsi="Garamond"/>
                <w:sz w:val="12"/>
                <w:szCs w:val="12"/>
              </w:rPr>
              <w:t>.</w:t>
            </w:r>
          </w:p>
        </w:tc>
        <w:tc>
          <w:tcPr>
            <w:tcW w:w="0" w:type="auto"/>
          </w:tcPr>
          <w:p w14:paraId="178FF647"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2024</w:t>
            </w:r>
          </w:p>
        </w:tc>
        <w:tc>
          <w:tcPr>
            <w:tcW w:w="0" w:type="auto"/>
          </w:tcPr>
          <w:p w14:paraId="08E7BDAA"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2026</w:t>
            </w:r>
          </w:p>
        </w:tc>
        <w:tc>
          <w:tcPr>
            <w:tcW w:w="0" w:type="auto"/>
          </w:tcPr>
          <w:p w14:paraId="3D63DB41"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DPD</w:t>
            </w:r>
          </w:p>
        </w:tc>
        <w:tc>
          <w:tcPr>
            <w:tcW w:w="0" w:type="auto"/>
          </w:tcPr>
          <w:p w14:paraId="3ADF24CE" w14:textId="7C10613B"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QTATD/Komisioni i</w:t>
            </w:r>
            <w:r w:rsidR="00D22EA5" w:rsidRPr="00821568">
              <w:rPr>
                <w:rFonts w:ascii="Garamond" w:hAnsi="Garamond"/>
                <w:sz w:val="12"/>
                <w:szCs w:val="12"/>
              </w:rPr>
              <w:t xml:space="preserve"> </w:t>
            </w:r>
            <w:r w:rsidRPr="00821568">
              <w:rPr>
                <w:rFonts w:ascii="Garamond" w:hAnsi="Garamond"/>
                <w:sz w:val="12"/>
                <w:szCs w:val="12"/>
              </w:rPr>
              <w:t>KE-së</w:t>
            </w:r>
          </w:p>
        </w:tc>
      </w:tr>
      <w:tr w:rsidR="00723888" w:rsidRPr="00821568" w14:paraId="4FA8DD48"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gridSpan w:val="7"/>
          </w:tcPr>
          <w:p w14:paraId="48EC485B" w14:textId="28B3378A" w:rsidR="00472A4B" w:rsidRPr="00821568" w:rsidRDefault="00472A4B" w:rsidP="00A86F37">
            <w:pPr>
              <w:rPr>
                <w:rFonts w:ascii="Garamond" w:hAnsi="Garamond"/>
                <w:sz w:val="12"/>
                <w:szCs w:val="12"/>
              </w:rPr>
            </w:pPr>
            <w:r w:rsidRPr="00821568">
              <w:rPr>
                <w:rFonts w:ascii="Garamond" w:hAnsi="Garamond"/>
                <w:sz w:val="12"/>
                <w:szCs w:val="12"/>
              </w:rPr>
              <w:t xml:space="preserve">Objektivi </w:t>
            </w:r>
            <w:r w:rsidR="003C24AC" w:rsidRPr="00821568">
              <w:rPr>
                <w:rFonts w:ascii="Garamond" w:hAnsi="Garamond"/>
                <w:sz w:val="12"/>
                <w:szCs w:val="12"/>
              </w:rPr>
              <w:t>specifik (komponenti</w:t>
            </w:r>
            <w:r w:rsidRPr="00821568">
              <w:rPr>
                <w:rFonts w:ascii="Garamond" w:hAnsi="Garamond"/>
                <w:sz w:val="12"/>
                <w:szCs w:val="12"/>
              </w:rPr>
              <w:t>) 3.2 Zhvillimi i aftësive të zgjeruara analitike të të dhënave</w:t>
            </w:r>
          </w:p>
          <w:p w14:paraId="2BA0B768" w14:textId="77777777" w:rsidR="00472A4B" w:rsidRPr="00821568" w:rsidRDefault="00472A4B" w:rsidP="00A86F37">
            <w:pPr>
              <w:rPr>
                <w:rFonts w:ascii="Garamond" w:hAnsi="Garamond"/>
                <w:sz w:val="12"/>
                <w:szCs w:val="12"/>
              </w:rPr>
            </w:pPr>
          </w:p>
        </w:tc>
      </w:tr>
      <w:tr w:rsidR="00723888" w:rsidRPr="00821568" w14:paraId="18CC4124" w14:textId="77777777" w:rsidTr="003C24AC">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1C3DFE75" w14:textId="0E9AC5D0" w:rsidR="00472A4B" w:rsidRPr="00821568" w:rsidRDefault="00472A4B" w:rsidP="003C24AC">
            <w:pPr>
              <w:jc w:val="center"/>
              <w:rPr>
                <w:rFonts w:ascii="Garamond" w:hAnsi="Garamond"/>
                <w:sz w:val="12"/>
                <w:szCs w:val="12"/>
              </w:rPr>
            </w:pPr>
            <w:r w:rsidRPr="00821568">
              <w:rPr>
                <w:rFonts w:ascii="Garamond" w:hAnsi="Garamond"/>
                <w:sz w:val="12"/>
                <w:szCs w:val="12"/>
              </w:rPr>
              <w:t>Nr</w:t>
            </w:r>
            <w:r w:rsidR="003C24AC" w:rsidRPr="00821568">
              <w:rPr>
                <w:rFonts w:ascii="Garamond" w:hAnsi="Garamond"/>
                <w:sz w:val="12"/>
                <w:szCs w:val="12"/>
              </w:rPr>
              <w:t>.</w:t>
            </w:r>
          </w:p>
        </w:tc>
        <w:tc>
          <w:tcPr>
            <w:tcW w:w="0" w:type="auto"/>
            <w:vMerge w:val="restart"/>
            <w:vAlign w:val="center"/>
          </w:tcPr>
          <w:p w14:paraId="1157862E"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Masa</w:t>
            </w:r>
          </w:p>
        </w:tc>
        <w:tc>
          <w:tcPr>
            <w:tcW w:w="0" w:type="auto"/>
            <w:vMerge w:val="restart"/>
            <w:vAlign w:val="center"/>
          </w:tcPr>
          <w:p w14:paraId="65C3449C"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Aktiviteti</w:t>
            </w:r>
          </w:p>
        </w:tc>
        <w:tc>
          <w:tcPr>
            <w:tcW w:w="0" w:type="auto"/>
            <w:vMerge w:val="restart"/>
            <w:vAlign w:val="center"/>
          </w:tcPr>
          <w:p w14:paraId="0F2C13D4"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Fillimi</w:t>
            </w:r>
          </w:p>
        </w:tc>
        <w:tc>
          <w:tcPr>
            <w:tcW w:w="0" w:type="auto"/>
            <w:vMerge w:val="restart"/>
            <w:vAlign w:val="center"/>
          </w:tcPr>
          <w:p w14:paraId="290168DC"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Mbarimi</w:t>
            </w:r>
          </w:p>
        </w:tc>
        <w:tc>
          <w:tcPr>
            <w:tcW w:w="0" w:type="auto"/>
            <w:gridSpan w:val="2"/>
            <w:vAlign w:val="center"/>
          </w:tcPr>
          <w:p w14:paraId="36208648" w14:textId="3D3FC1B1"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 xml:space="preserve">Grupet e </w:t>
            </w:r>
            <w:r w:rsidR="003C24AC" w:rsidRPr="00821568">
              <w:rPr>
                <w:rFonts w:ascii="Garamond" w:hAnsi="Garamond"/>
                <w:b/>
                <w:bCs/>
                <w:sz w:val="12"/>
                <w:szCs w:val="12"/>
              </w:rPr>
              <w:t>i</w:t>
            </w:r>
            <w:r w:rsidRPr="00821568">
              <w:rPr>
                <w:rFonts w:ascii="Garamond" w:hAnsi="Garamond"/>
                <w:b/>
                <w:bCs/>
                <w:sz w:val="12"/>
                <w:szCs w:val="12"/>
              </w:rPr>
              <w:t>nteresit</w:t>
            </w:r>
          </w:p>
        </w:tc>
      </w:tr>
      <w:tr w:rsidR="00723888" w:rsidRPr="00821568" w14:paraId="64BA8548" w14:textId="77777777" w:rsidTr="003C24AC">
        <w:trPr>
          <w:trHeight w:val="2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6EEBB268" w14:textId="77777777" w:rsidR="00472A4B" w:rsidRPr="00821568" w:rsidRDefault="00472A4B" w:rsidP="003C24AC">
            <w:pPr>
              <w:jc w:val="center"/>
              <w:rPr>
                <w:rFonts w:ascii="Garamond" w:hAnsi="Garamond"/>
                <w:sz w:val="12"/>
                <w:szCs w:val="12"/>
              </w:rPr>
            </w:pPr>
          </w:p>
        </w:tc>
        <w:tc>
          <w:tcPr>
            <w:tcW w:w="0" w:type="auto"/>
            <w:vMerge/>
            <w:vAlign w:val="center"/>
          </w:tcPr>
          <w:p w14:paraId="63281FB0"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Merge/>
            <w:vAlign w:val="center"/>
          </w:tcPr>
          <w:p w14:paraId="15548FF6"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Merge/>
            <w:vAlign w:val="center"/>
          </w:tcPr>
          <w:p w14:paraId="68238EDB"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Merge/>
            <w:vAlign w:val="center"/>
          </w:tcPr>
          <w:p w14:paraId="372C5421"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Align w:val="center"/>
          </w:tcPr>
          <w:p w14:paraId="3AA45765"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Njësitë përgjegjëse</w:t>
            </w:r>
          </w:p>
        </w:tc>
        <w:tc>
          <w:tcPr>
            <w:tcW w:w="0" w:type="auto"/>
            <w:vAlign w:val="center"/>
          </w:tcPr>
          <w:p w14:paraId="4DB99CA0"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Partnerët</w:t>
            </w:r>
          </w:p>
        </w:tc>
      </w:tr>
      <w:tr w:rsidR="00723888" w:rsidRPr="00821568" w14:paraId="54DD89FB"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62980F38"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3.2.1</w:t>
            </w:r>
          </w:p>
        </w:tc>
        <w:tc>
          <w:tcPr>
            <w:tcW w:w="0" w:type="auto"/>
          </w:tcPr>
          <w:p w14:paraId="7E8CBF0A"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eastAsiaTheme="minorHAnsi" w:hAnsi="Garamond"/>
                <w:sz w:val="12"/>
                <w:szCs w:val="12"/>
              </w:rPr>
              <w:t>Përditësimi dhe krijimi i modeleve të reja ekonometrike për analizimin e të dhënave</w:t>
            </w:r>
          </w:p>
        </w:tc>
        <w:tc>
          <w:tcPr>
            <w:tcW w:w="0" w:type="auto"/>
          </w:tcPr>
          <w:p w14:paraId="7889F1D1" w14:textId="51F66E2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Bashkëpunimi me sektorin IT</w:t>
            </w:r>
            <w:r w:rsidR="003C24AC" w:rsidRPr="00821568">
              <w:rPr>
                <w:rFonts w:ascii="Garamond" w:hAnsi="Garamond"/>
                <w:sz w:val="12"/>
                <w:szCs w:val="12"/>
              </w:rPr>
              <w:t>,</w:t>
            </w:r>
            <w:r w:rsidRPr="00821568">
              <w:rPr>
                <w:rFonts w:ascii="Garamond" w:hAnsi="Garamond"/>
                <w:sz w:val="12"/>
                <w:szCs w:val="12"/>
              </w:rPr>
              <w:t xml:space="preserve"> si dhe me institucione homologe për krijimin e analizave të reja</w:t>
            </w:r>
          </w:p>
        </w:tc>
        <w:tc>
          <w:tcPr>
            <w:tcW w:w="0" w:type="auto"/>
          </w:tcPr>
          <w:p w14:paraId="5F0EE39F"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2024</w:t>
            </w:r>
          </w:p>
        </w:tc>
        <w:tc>
          <w:tcPr>
            <w:tcW w:w="0" w:type="auto"/>
          </w:tcPr>
          <w:p w14:paraId="593F3EF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2027</w:t>
            </w:r>
          </w:p>
        </w:tc>
        <w:tc>
          <w:tcPr>
            <w:tcW w:w="0" w:type="auto"/>
          </w:tcPr>
          <w:p w14:paraId="6A5FCC18"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sz w:val="12"/>
                <w:szCs w:val="12"/>
              </w:rPr>
              <w:t>DPD/Drejtoria e Statistikës</w:t>
            </w:r>
          </w:p>
        </w:tc>
        <w:tc>
          <w:tcPr>
            <w:tcW w:w="0" w:type="auto"/>
          </w:tcPr>
          <w:p w14:paraId="7825954C"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sz w:val="12"/>
                <w:szCs w:val="12"/>
              </w:rPr>
              <w:t>AKSHI</w:t>
            </w:r>
          </w:p>
        </w:tc>
      </w:tr>
      <w:tr w:rsidR="00723888" w:rsidRPr="00821568" w14:paraId="22C4BB4A"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5203484F"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3.2.2</w:t>
            </w:r>
          </w:p>
        </w:tc>
        <w:tc>
          <w:tcPr>
            <w:tcW w:w="0" w:type="auto"/>
          </w:tcPr>
          <w:p w14:paraId="62F9EEA4"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eastAsiaTheme="minorHAnsi" w:hAnsi="Garamond"/>
                <w:sz w:val="12"/>
                <w:szCs w:val="12"/>
              </w:rPr>
              <w:t>Analizim i detajuar i të dhënave të gatshme në sistemin ASYCUDA World</w:t>
            </w:r>
          </w:p>
        </w:tc>
        <w:tc>
          <w:tcPr>
            <w:tcW w:w="0" w:type="auto"/>
          </w:tcPr>
          <w:p w14:paraId="2944F1A8" w14:textId="1599A802"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Formimi i analizave të reja për të konstatua</w:t>
            </w:r>
            <w:r w:rsidR="003C24AC" w:rsidRPr="00821568">
              <w:rPr>
                <w:rFonts w:ascii="Garamond" w:hAnsi="Garamond"/>
                <w:sz w:val="12"/>
                <w:szCs w:val="12"/>
              </w:rPr>
              <w:t>r</w:t>
            </w:r>
            <w:r w:rsidRPr="00821568">
              <w:rPr>
                <w:rFonts w:ascii="Garamond" w:hAnsi="Garamond"/>
                <w:sz w:val="12"/>
                <w:szCs w:val="12"/>
              </w:rPr>
              <w:t xml:space="preserve"> detaje të cilat mund të sjellin rezultate të reja analitike</w:t>
            </w:r>
          </w:p>
        </w:tc>
        <w:tc>
          <w:tcPr>
            <w:tcW w:w="0" w:type="auto"/>
          </w:tcPr>
          <w:p w14:paraId="54F778F8"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2024</w:t>
            </w:r>
          </w:p>
        </w:tc>
        <w:tc>
          <w:tcPr>
            <w:tcW w:w="0" w:type="auto"/>
          </w:tcPr>
          <w:p w14:paraId="34E8B21D"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2027</w:t>
            </w:r>
          </w:p>
        </w:tc>
        <w:tc>
          <w:tcPr>
            <w:tcW w:w="0" w:type="auto"/>
          </w:tcPr>
          <w:p w14:paraId="5E05CB37"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sz w:val="12"/>
                <w:szCs w:val="12"/>
              </w:rPr>
              <w:t>DPD/Drejtoria e Statistikës</w:t>
            </w:r>
          </w:p>
        </w:tc>
        <w:tc>
          <w:tcPr>
            <w:tcW w:w="0" w:type="auto"/>
          </w:tcPr>
          <w:p w14:paraId="1F51DE2A"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p>
        </w:tc>
      </w:tr>
      <w:tr w:rsidR="00723888" w:rsidRPr="00821568" w14:paraId="1C65A075"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gridSpan w:val="7"/>
          </w:tcPr>
          <w:p w14:paraId="7051CB0A" w14:textId="534E63EF" w:rsidR="00472A4B" w:rsidRPr="00821568" w:rsidRDefault="00472A4B" w:rsidP="00A86F37">
            <w:pPr>
              <w:rPr>
                <w:rFonts w:ascii="Garamond" w:hAnsi="Garamond"/>
                <w:sz w:val="12"/>
                <w:szCs w:val="12"/>
              </w:rPr>
            </w:pPr>
            <w:r w:rsidRPr="00821568">
              <w:rPr>
                <w:rFonts w:ascii="Garamond" w:hAnsi="Garamond"/>
                <w:sz w:val="12"/>
                <w:szCs w:val="12"/>
              </w:rPr>
              <w:t xml:space="preserve">Objektivi </w:t>
            </w:r>
            <w:r w:rsidR="003C24AC" w:rsidRPr="00821568">
              <w:rPr>
                <w:rFonts w:ascii="Garamond" w:hAnsi="Garamond"/>
                <w:sz w:val="12"/>
                <w:szCs w:val="12"/>
              </w:rPr>
              <w:t>specifik (komponenti</w:t>
            </w:r>
            <w:r w:rsidRPr="00821568">
              <w:rPr>
                <w:rFonts w:ascii="Garamond" w:hAnsi="Garamond"/>
                <w:sz w:val="12"/>
                <w:szCs w:val="12"/>
              </w:rPr>
              <w:t>) 3.3 Rritja e investimeve në zhvillimin e sistemeve</w:t>
            </w:r>
            <w:r w:rsidR="00D22EA5" w:rsidRPr="00821568">
              <w:rPr>
                <w:rFonts w:ascii="Garamond" w:hAnsi="Garamond"/>
                <w:sz w:val="12"/>
                <w:szCs w:val="12"/>
              </w:rPr>
              <w:t xml:space="preserve"> </w:t>
            </w:r>
            <w:r w:rsidRPr="00821568">
              <w:rPr>
                <w:rFonts w:ascii="Garamond" w:hAnsi="Garamond"/>
                <w:sz w:val="12"/>
                <w:szCs w:val="12"/>
              </w:rPr>
              <w:t>të Teknologjisë së Informacionit</w:t>
            </w:r>
          </w:p>
          <w:p w14:paraId="0CE73194" w14:textId="77777777" w:rsidR="00472A4B" w:rsidRPr="00821568" w:rsidRDefault="00472A4B" w:rsidP="00A86F37">
            <w:pPr>
              <w:rPr>
                <w:rFonts w:ascii="Garamond" w:hAnsi="Garamond"/>
                <w:sz w:val="12"/>
                <w:szCs w:val="12"/>
              </w:rPr>
            </w:pPr>
          </w:p>
        </w:tc>
      </w:tr>
      <w:tr w:rsidR="00723888" w:rsidRPr="00821568" w14:paraId="79D952D1" w14:textId="77777777" w:rsidTr="003C24AC">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01C969FF" w14:textId="015CB214" w:rsidR="00472A4B" w:rsidRPr="00821568" w:rsidRDefault="00472A4B" w:rsidP="003C24AC">
            <w:pPr>
              <w:jc w:val="center"/>
              <w:rPr>
                <w:rFonts w:ascii="Garamond" w:hAnsi="Garamond"/>
                <w:sz w:val="12"/>
                <w:szCs w:val="12"/>
              </w:rPr>
            </w:pPr>
            <w:r w:rsidRPr="00821568">
              <w:rPr>
                <w:rFonts w:ascii="Garamond" w:hAnsi="Garamond"/>
                <w:sz w:val="12"/>
                <w:szCs w:val="12"/>
              </w:rPr>
              <w:t>Nr</w:t>
            </w:r>
            <w:r w:rsidR="003C24AC" w:rsidRPr="00821568">
              <w:rPr>
                <w:rFonts w:ascii="Garamond" w:hAnsi="Garamond"/>
                <w:sz w:val="12"/>
                <w:szCs w:val="12"/>
              </w:rPr>
              <w:t>.</w:t>
            </w:r>
          </w:p>
        </w:tc>
        <w:tc>
          <w:tcPr>
            <w:tcW w:w="0" w:type="auto"/>
            <w:vMerge w:val="restart"/>
            <w:vAlign w:val="center"/>
          </w:tcPr>
          <w:p w14:paraId="26F405AC"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Masa</w:t>
            </w:r>
          </w:p>
        </w:tc>
        <w:tc>
          <w:tcPr>
            <w:tcW w:w="0" w:type="auto"/>
            <w:vMerge w:val="restart"/>
            <w:vAlign w:val="center"/>
          </w:tcPr>
          <w:p w14:paraId="7A8A6D80"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Aktiviteti</w:t>
            </w:r>
          </w:p>
        </w:tc>
        <w:tc>
          <w:tcPr>
            <w:tcW w:w="0" w:type="auto"/>
            <w:vMerge w:val="restart"/>
            <w:vAlign w:val="center"/>
          </w:tcPr>
          <w:p w14:paraId="2B97CC6D"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Fillimi</w:t>
            </w:r>
          </w:p>
        </w:tc>
        <w:tc>
          <w:tcPr>
            <w:tcW w:w="0" w:type="auto"/>
            <w:vMerge w:val="restart"/>
            <w:vAlign w:val="center"/>
          </w:tcPr>
          <w:p w14:paraId="798A2E10"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Mbarimi</w:t>
            </w:r>
          </w:p>
        </w:tc>
        <w:tc>
          <w:tcPr>
            <w:tcW w:w="0" w:type="auto"/>
            <w:gridSpan w:val="2"/>
            <w:vAlign w:val="center"/>
          </w:tcPr>
          <w:p w14:paraId="45160C0E" w14:textId="10FC9369"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 xml:space="preserve">Grupet e </w:t>
            </w:r>
            <w:r w:rsidR="003C24AC" w:rsidRPr="00821568">
              <w:rPr>
                <w:rFonts w:ascii="Garamond" w:hAnsi="Garamond"/>
                <w:b/>
                <w:bCs/>
                <w:sz w:val="12"/>
                <w:szCs w:val="12"/>
              </w:rPr>
              <w:t>i</w:t>
            </w:r>
            <w:r w:rsidRPr="00821568">
              <w:rPr>
                <w:rFonts w:ascii="Garamond" w:hAnsi="Garamond"/>
                <w:b/>
                <w:bCs/>
                <w:sz w:val="12"/>
                <w:szCs w:val="12"/>
              </w:rPr>
              <w:t>nteresit</w:t>
            </w:r>
          </w:p>
        </w:tc>
      </w:tr>
      <w:tr w:rsidR="00723888" w:rsidRPr="00821568" w14:paraId="76BA8D45" w14:textId="77777777" w:rsidTr="003C24AC">
        <w:trPr>
          <w:trHeight w:val="2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214B250C" w14:textId="77777777" w:rsidR="00472A4B" w:rsidRPr="00821568" w:rsidRDefault="00472A4B" w:rsidP="003C24AC">
            <w:pPr>
              <w:jc w:val="center"/>
              <w:rPr>
                <w:rFonts w:ascii="Garamond" w:hAnsi="Garamond"/>
                <w:sz w:val="12"/>
                <w:szCs w:val="12"/>
              </w:rPr>
            </w:pPr>
          </w:p>
        </w:tc>
        <w:tc>
          <w:tcPr>
            <w:tcW w:w="0" w:type="auto"/>
            <w:vMerge/>
            <w:vAlign w:val="center"/>
          </w:tcPr>
          <w:p w14:paraId="5AD9006B"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Merge/>
            <w:vAlign w:val="center"/>
          </w:tcPr>
          <w:p w14:paraId="51F1F883"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Merge/>
            <w:vAlign w:val="center"/>
          </w:tcPr>
          <w:p w14:paraId="4AD7AC28"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Merge/>
            <w:vAlign w:val="center"/>
          </w:tcPr>
          <w:p w14:paraId="4EF449F4"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Align w:val="center"/>
          </w:tcPr>
          <w:p w14:paraId="0CC6042A"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Njësitë përgjegjëse</w:t>
            </w:r>
          </w:p>
        </w:tc>
        <w:tc>
          <w:tcPr>
            <w:tcW w:w="0" w:type="auto"/>
            <w:vAlign w:val="center"/>
          </w:tcPr>
          <w:p w14:paraId="239A6FAA"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Partnerët</w:t>
            </w:r>
          </w:p>
        </w:tc>
      </w:tr>
      <w:tr w:rsidR="00723888" w:rsidRPr="00821568" w14:paraId="25EE7DE4"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6DCA78F7"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3.3.2</w:t>
            </w:r>
          </w:p>
        </w:tc>
        <w:tc>
          <w:tcPr>
            <w:tcW w:w="0" w:type="auto"/>
          </w:tcPr>
          <w:p w14:paraId="0B8F80F6" w14:textId="4AC5263E"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eastAsiaTheme="minorHAnsi" w:hAnsi="Garamond"/>
                <w:bCs/>
                <w:sz w:val="12"/>
                <w:szCs w:val="12"/>
              </w:rPr>
              <w:t xml:space="preserve">Zhvillime IT për uljen e kohës së procesimit të </w:t>
            </w:r>
            <w:r w:rsidR="008C0C0F" w:rsidRPr="00821568">
              <w:rPr>
                <w:rFonts w:ascii="Garamond" w:eastAsiaTheme="minorHAnsi" w:hAnsi="Garamond"/>
                <w:bCs/>
                <w:sz w:val="12"/>
                <w:szCs w:val="12"/>
              </w:rPr>
              <w:t>çdo</w:t>
            </w:r>
            <w:r w:rsidRPr="00821568">
              <w:rPr>
                <w:rFonts w:ascii="Garamond" w:eastAsiaTheme="minorHAnsi" w:hAnsi="Garamond"/>
                <w:bCs/>
                <w:sz w:val="12"/>
                <w:szCs w:val="12"/>
              </w:rPr>
              <w:t xml:space="preserve"> kërkese nga subjektet</w:t>
            </w:r>
          </w:p>
        </w:tc>
        <w:tc>
          <w:tcPr>
            <w:tcW w:w="0" w:type="auto"/>
          </w:tcPr>
          <w:p w14:paraId="1B532022" w14:textId="41517525"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Përmirësimi i moduleve dhe zhvillimi i moduleve të reja në rast nevoje</w:t>
            </w:r>
            <w:r w:rsidR="003C24AC" w:rsidRPr="00821568">
              <w:rPr>
                <w:rFonts w:ascii="Garamond" w:hAnsi="Garamond"/>
                <w:sz w:val="12"/>
                <w:szCs w:val="12"/>
              </w:rPr>
              <w:t>.</w:t>
            </w:r>
          </w:p>
        </w:tc>
        <w:tc>
          <w:tcPr>
            <w:tcW w:w="0" w:type="auto"/>
          </w:tcPr>
          <w:p w14:paraId="5F0465C2"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2024</w:t>
            </w:r>
          </w:p>
        </w:tc>
        <w:tc>
          <w:tcPr>
            <w:tcW w:w="0" w:type="auto"/>
          </w:tcPr>
          <w:p w14:paraId="46C0A02A"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2027</w:t>
            </w:r>
          </w:p>
        </w:tc>
        <w:tc>
          <w:tcPr>
            <w:tcW w:w="0" w:type="auto"/>
          </w:tcPr>
          <w:p w14:paraId="66CD392E"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DPD/Drejtoria IT</w:t>
            </w:r>
          </w:p>
        </w:tc>
        <w:tc>
          <w:tcPr>
            <w:tcW w:w="0" w:type="auto"/>
          </w:tcPr>
          <w:p w14:paraId="6A179650"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AKSHI</w:t>
            </w:r>
          </w:p>
        </w:tc>
      </w:tr>
      <w:tr w:rsidR="00723888" w:rsidRPr="00821568" w14:paraId="5E1CBF20"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gridSpan w:val="7"/>
          </w:tcPr>
          <w:p w14:paraId="49604CD9" w14:textId="77777777" w:rsidR="00472A4B" w:rsidRPr="00821568" w:rsidRDefault="00472A4B" w:rsidP="00A86F37">
            <w:pPr>
              <w:rPr>
                <w:rFonts w:ascii="Garamond" w:hAnsi="Garamond"/>
                <w:sz w:val="12"/>
                <w:szCs w:val="12"/>
              </w:rPr>
            </w:pPr>
          </w:p>
          <w:p w14:paraId="0E710371" w14:textId="19BA3C8E" w:rsidR="00472A4B" w:rsidRPr="00821568" w:rsidRDefault="00472A4B" w:rsidP="00A86F37">
            <w:pPr>
              <w:rPr>
                <w:rFonts w:ascii="Garamond" w:hAnsi="Garamond"/>
                <w:sz w:val="12"/>
                <w:szCs w:val="12"/>
              </w:rPr>
            </w:pPr>
            <w:r w:rsidRPr="00821568">
              <w:rPr>
                <w:rFonts w:ascii="Garamond" w:hAnsi="Garamond"/>
                <w:sz w:val="12"/>
                <w:szCs w:val="12"/>
              </w:rPr>
              <w:t xml:space="preserve">Objektivi </w:t>
            </w:r>
            <w:r w:rsidR="003C24AC" w:rsidRPr="00821568">
              <w:rPr>
                <w:rFonts w:ascii="Garamond" w:hAnsi="Garamond"/>
                <w:sz w:val="12"/>
                <w:szCs w:val="12"/>
              </w:rPr>
              <w:t>specifik (komponenti) 3.</w:t>
            </w:r>
            <w:r w:rsidRPr="00821568">
              <w:rPr>
                <w:rFonts w:ascii="Garamond" w:hAnsi="Garamond"/>
                <w:sz w:val="12"/>
                <w:szCs w:val="12"/>
              </w:rPr>
              <w:t>4 Zhvillimi dhe zbatimi plotësisht i një kornizë integriteti për të ndihmuar në ndërtimin e besimit të komunitetit</w:t>
            </w:r>
          </w:p>
          <w:p w14:paraId="209DBB07" w14:textId="77777777" w:rsidR="00472A4B" w:rsidRPr="00821568" w:rsidRDefault="00472A4B" w:rsidP="00A86F37">
            <w:pPr>
              <w:rPr>
                <w:rFonts w:ascii="Garamond" w:hAnsi="Garamond"/>
                <w:sz w:val="12"/>
                <w:szCs w:val="12"/>
              </w:rPr>
            </w:pPr>
          </w:p>
        </w:tc>
      </w:tr>
      <w:tr w:rsidR="00723888" w:rsidRPr="00821568" w14:paraId="45FA2E27"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tcPr>
          <w:p w14:paraId="0FDD28B0" w14:textId="0858EDDF" w:rsidR="00472A4B" w:rsidRPr="00821568" w:rsidRDefault="00472A4B" w:rsidP="003C24AC">
            <w:pPr>
              <w:jc w:val="center"/>
              <w:rPr>
                <w:rFonts w:ascii="Garamond" w:hAnsi="Garamond"/>
                <w:sz w:val="12"/>
                <w:szCs w:val="12"/>
              </w:rPr>
            </w:pPr>
            <w:r w:rsidRPr="00821568">
              <w:rPr>
                <w:rFonts w:ascii="Garamond" w:hAnsi="Garamond"/>
                <w:sz w:val="12"/>
                <w:szCs w:val="12"/>
              </w:rPr>
              <w:t>Nr</w:t>
            </w:r>
            <w:r w:rsidR="008C0C0F" w:rsidRPr="00821568">
              <w:rPr>
                <w:rFonts w:ascii="Garamond" w:hAnsi="Garamond"/>
                <w:sz w:val="12"/>
                <w:szCs w:val="12"/>
              </w:rPr>
              <w:t>.</w:t>
            </w:r>
          </w:p>
        </w:tc>
        <w:tc>
          <w:tcPr>
            <w:tcW w:w="0" w:type="auto"/>
            <w:vMerge w:val="restart"/>
          </w:tcPr>
          <w:p w14:paraId="326E974B"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Masa</w:t>
            </w:r>
          </w:p>
        </w:tc>
        <w:tc>
          <w:tcPr>
            <w:tcW w:w="0" w:type="auto"/>
            <w:vMerge w:val="restart"/>
          </w:tcPr>
          <w:p w14:paraId="57AEEA4B"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Aktiviteti</w:t>
            </w:r>
          </w:p>
        </w:tc>
        <w:tc>
          <w:tcPr>
            <w:tcW w:w="0" w:type="auto"/>
            <w:vMerge w:val="restart"/>
          </w:tcPr>
          <w:p w14:paraId="6C5F151D"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Fillimi</w:t>
            </w:r>
          </w:p>
        </w:tc>
        <w:tc>
          <w:tcPr>
            <w:tcW w:w="0" w:type="auto"/>
            <w:vMerge w:val="restart"/>
          </w:tcPr>
          <w:p w14:paraId="16B9D985"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Mbarimi</w:t>
            </w:r>
          </w:p>
        </w:tc>
        <w:tc>
          <w:tcPr>
            <w:tcW w:w="0" w:type="auto"/>
            <w:gridSpan w:val="2"/>
          </w:tcPr>
          <w:p w14:paraId="72DA9104" w14:textId="76232E82"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 xml:space="preserve">Grupet e </w:t>
            </w:r>
            <w:r w:rsidR="003C24AC" w:rsidRPr="00821568">
              <w:rPr>
                <w:rFonts w:ascii="Garamond" w:hAnsi="Garamond"/>
                <w:b/>
                <w:bCs/>
                <w:sz w:val="12"/>
                <w:szCs w:val="12"/>
              </w:rPr>
              <w:t>i</w:t>
            </w:r>
            <w:r w:rsidRPr="00821568">
              <w:rPr>
                <w:rFonts w:ascii="Garamond" w:hAnsi="Garamond"/>
                <w:b/>
                <w:bCs/>
                <w:sz w:val="12"/>
                <w:szCs w:val="12"/>
              </w:rPr>
              <w:t>nteresit</w:t>
            </w:r>
          </w:p>
        </w:tc>
      </w:tr>
      <w:tr w:rsidR="00723888" w:rsidRPr="00821568" w14:paraId="65CD6C30"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vMerge/>
          </w:tcPr>
          <w:p w14:paraId="29C976FF" w14:textId="77777777" w:rsidR="00472A4B" w:rsidRPr="00821568" w:rsidRDefault="00472A4B" w:rsidP="003C24AC">
            <w:pPr>
              <w:jc w:val="center"/>
              <w:rPr>
                <w:rFonts w:ascii="Garamond" w:hAnsi="Garamond"/>
                <w:sz w:val="12"/>
                <w:szCs w:val="12"/>
              </w:rPr>
            </w:pPr>
          </w:p>
        </w:tc>
        <w:tc>
          <w:tcPr>
            <w:tcW w:w="0" w:type="auto"/>
            <w:vMerge/>
          </w:tcPr>
          <w:p w14:paraId="30E6CC89"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Merge/>
          </w:tcPr>
          <w:p w14:paraId="21416A94"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Merge/>
          </w:tcPr>
          <w:p w14:paraId="65A27C31"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Merge/>
          </w:tcPr>
          <w:p w14:paraId="25834822"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tcPr>
          <w:p w14:paraId="3872FC25"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Njësitë përgjegjëse</w:t>
            </w:r>
          </w:p>
        </w:tc>
        <w:tc>
          <w:tcPr>
            <w:tcW w:w="0" w:type="auto"/>
          </w:tcPr>
          <w:p w14:paraId="2E3FEF55"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Partnerët</w:t>
            </w:r>
          </w:p>
        </w:tc>
      </w:tr>
      <w:tr w:rsidR="00723888" w:rsidRPr="00821568" w14:paraId="62623266"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14BC6540"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3.4.1</w:t>
            </w:r>
          </w:p>
        </w:tc>
        <w:tc>
          <w:tcPr>
            <w:tcW w:w="0" w:type="auto"/>
          </w:tcPr>
          <w:p w14:paraId="1A850CBD"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eastAsiaTheme="minorHAnsi" w:hAnsi="Garamond"/>
                <w:bCs/>
                <w:sz w:val="12"/>
                <w:szCs w:val="12"/>
              </w:rPr>
            </w:pPr>
            <w:r w:rsidRPr="00821568">
              <w:rPr>
                <w:rFonts w:ascii="Garamond" w:eastAsiaTheme="minorHAnsi" w:hAnsi="Garamond"/>
                <w:bCs/>
                <w:sz w:val="12"/>
                <w:szCs w:val="12"/>
              </w:rPr>
              <w:t>Hartimi dhe miratimi i Planit të Integritetit dhe planit të veprimit</w:t>
            </w:r>
          </w:p>
          <w:p w14:paraId="7D4662E2"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p>
        </w:tc>
        <w:tc>
          <w:tcPr>
            <w:tcW w:w="0" w:type="auto"/>
          </w:tcPr>
          <w:p w14:paraId="104C691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eastAsiaTheme="minorHAnsi" w:hAnsi="Garamond"/>
                <w:sz w:val="12"/>
                <w:szCs w:val="12"/>
              </w:rPr>
            </w:pPr>
            <w:r w:rsidRPr="00821568">
              <w:rPr>
                <w:rFonts w:ascii="Garamond" w:eastAsiaTheme="minorHAnsi" w:hAnsi="Garamond"/>
                <w:sz w:val="12"/>
                <w:szCs w:val="12"/>
              </w:rPr>
              <w:t>Hartimi dhe miratimi i Planit të Integritetit dhe planit të veprimit</w:t>
            </w:r>
          </w:p>
          <w:p w14:paraId="5E689442" w14:textId="0FA134B9"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 xml:space="preserve">me </w:t>
            </w:r>
            <w:r w:rsidR="00236281" w:rsidRPr="00821568">
              <w:rPr>
                <w:rFonts w:ascii="Garamond" w:hAnsi="Garamond"/>
                <w:sz w:val="12"/>
                <w:szCs w:val="12"/>
              </w:rPr>
              <w:t>urdhër</w:t>
            </w:r>
            <w:r w:rsidRPr="00821568">
              <w:rPr>
                <w:rFonts w:ascii="Garamond" w:hAnsi="Garamond"/>
                <w:sz w:val="12"/>
                <w:szCs w:val="12"/>
              </w:rPr>
              <w:t xml:space="preserve"> të DPD</w:t>
            </w:r>
            <w:r w:rsidR="003C24AC" w:rsidRPr="00821568">
              <w:rPr>
                <w:rFonts w:ascii="Garamond" w:hAnsi="Garamond"/>
                <w:sz w:val="12"/>
                <w:szCs w:val="12"/>
              </w:rPr>
              <w:t>-</w:t>
            </w:r>
            <w:r w:rsidR="003C24AC" w:rsidRPr="00821568">
              <w:rPr>
                <w:rFonts w:ascii="Garamond" w:hAnsi="Garamond"/>
                <w:bCs/>
                <w:sz w:val="12"/>
                <w:szCs w:val="12"/>
              </w:rPr>
              <w:t>së</w:t>
            </w:r>
          </w:p>
        </w:tc>
        <w:tc>
          <w:tcPr>
            <w:tcW w:w="0" w:type="auto"/>
          </w:tcPr>
          <w:p w14:paraId="6D0CA04F"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2024</w:t>
            </w:r>
          </w:p>
        </w:tc>
        <w:tc>
          <w:tcPr>
            <w:tcW w:w="0" w:type="auto"/>
          </w:tcPr>
          <w:p w14:paraId="186EEBF7"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2026</w:t>
            </w:r>
          </w:p>
        </w:tc>
        <w:tc>
          <w:tcPr>
            <w:tcW w:w="0" w:type="auto"/>
          </w:tcPr>
          <w:p w14:paraId="725F208B"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DPD</w:t>
            </w:r>
          </w:p>
        </w:tc>
        <w:tc>
          <w:tcPr>
            <w:tcW w:w="0" w:type="auto"/>
          </w:tcPr>
          <w:p w14:paraId="46706F14"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r>
      <w:tr w:rsidR="00723888" w:rsidRPr="00821568" w14:paraId="3DDABDF3"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6C344E9D"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3.4.2</w:t>
            </w:r>
          </w:p>
        </w:tc>
        <w:tc>
          <w:tcPr>
            <w:tcW w:w="0" w:type="auto"/>
          </w:tcPr>
          <w:p w14:paraId="2DB8DBE4" w14:textId="409EFA5D" w:rsidR="00472A4B" w:rsidRPr="00821568" w:rsidRDefault="008C0C0F"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eastAsiaTheme="minorHAnsi" w:hAnsi="Garamond"/>
                <w:bCs/>
                <w:sz w:val="12"/>
                <w:szCs w:val="12"/>
              </w:rPr>
              <w:t>Trajnime</w:t>
            </w:r>
            <w:r w:rsidR="00472A4B" w:rsidRPr="00821568">
              <w:rPr>
                <w:rFonts w:ascii="Garamond" w:eastAsiaTheme="minorHAnsi" w:hAnsi="Garamond"/>
                <w:bCs/>
                <w:sz w:val="12"/>
                <w:szCs w:val="12"/>
              </w:rPr>
              <w:t xml:space="preserve"> të vazhdueshme për punonjësit e administratës doganore</w:t>
            </w:r>
            <w:r w:rsidR="003C24AC" w:rsidRPr="00821568">
              <w:rPr>
                <w:rFonts w:ascii="Garamond" w:eastAsiaTheme="minorHAnsi" w:hAnsi="Garamond"/>
                <w:bCs/>
                <w:sz w:val="12"/>
                <w:szCs w:val="12"/>
              </w:rPr>
              <w:t xml:space="preserve"> –</w:t>
            </w:r>
            <w:r w:rsidR="00472A4B" w:rsidRPr="00821568">
              <w:rPr>
                <w:rFonts w:ascii="Garamond" w:eastAsiaTheme="minorHAnsi" w:hAnsi="Garamond"/>
                <w:bCs/>
                <w:sz w:val="12"/>
                <w:szCs w:val="12"/>
              </w:rPr>
              <w:t xml:space="preserve"> përfshirja në trajnime të specialistëve nga institucione të ndryshme</w:t>
            </w:r>
            <w:r w:rsidR="003C24AC" w:rsidRPr="00821568">
              <w:rPr>
                <w:rFonts w:ascii="Garamond" w:eastAsiaTheme="minorHAnsi" w:hAnsi="Garamond"/>
                <w:bCs/>
                <w:sz w:val="12"/>
                <w:szCs w:val="12"/>
              </w:rPr>
              <w:t>,</w:t>
            </w:r>
            <w:r w:rsidR="00472A4B" w:rsidRPr="00821568">
              <w:rPr>
                <w:rFonts w:ascii="Garamond" w:eastAsiaTheme="minorHAnsi" w:hAnsi="Garamond"/>
                <w:bCs/>
                <w:sz w:val="12"/>
                <w:szCs w:val="12"/>
              </w:rPr>
              <w:t xml:space="preserve"> si</w:t>
            </w:r>
            <w:r w:rsidR="003C24AC" w:rsidRPr="00821568">
              <w:rPr>
                <w:rFonts w:ascii="Garamond" w:eastAsiaTheme="minorHAnsi" w:hAnsi="Garamond"/>
                <w:bCs/>
                <w:sz w:val="12"/>
                <w:szCs w:val="12"/>
              </w:rPr>
              <w:t>:</w:t>
            </w:r>
            <w:r w:rsidR="00472A4B" w:rsidRPr="00821568">
              <w:rPr>
                <w:rFonts w:ascii="Garamond" w:eastAsiaTheme="minorHAnsi" w:hAnsi="Garamond"/>
                <w:bCs/>
                <w:sz w:val="12"/>
                <w:szCs w:val="12"/>
              </w:rPr>
              <w:t xml:space="preserve"> Prokurori/Gjykata/Universitete etj</w:t>
            </w:r>
            <w:r w:rsidRPr="00821568">
              <w:rPr>
                <w:rFonts w:ascii="Garamond" w:eastAsiaTheme="minorHAnsi" w:hAnsi="Garamond"/>
                <w:bCs/>
                <w:sz w:val="12"/>
                <w:szCs w:val="12"/>
              </w:rPr>
              <w:t>.</w:t>
            </w:r>
          </w:p>
        </w:tc>
        <w:tc>
          <w:tcPr>
            <w:tcW w:w="0" w:type="auto"/>
          </w:tcPr>
          <w:p w14:paraId="27D8813D" w14:textId="0D7AFF42"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Trajnime të dhëna nga specialistë nga institucione të ndryshme</w:t>
            </w:r>
            <w:r w:rsidR="003C24AC" w:rsidRPr="00821568">
              <w:rPr>
                <w:rFonts w:ascii="Garamond" w:hAnsi="Garamond"/>
                <w:sz w:val="12"/>
                <w:szCs w:val="12"/>
              </w:rPr>
              <w:t>,</w:t>
            </w:r>
            <w:r w:rsidRPr="00821568">
              <w:rPr>
                <w:rFonts w:ascii="Garamond" w:hAnsi="Garamond"/>
                <w:sz w:val="12"/>
                <w:szCs w:val="12"/>
              </w:rPr>
              <w:t xml:space="preserve"> si</w:t>
            </w:r>
            <w:r w:rsidR="003C24AC" w:rsidRPr="00821568">
              <w:rPr>
                <w:rFonts w:ascii="Garamond" w:hAnsi="Garamond"/>
                <w:sz w:val="12"/>
                <w:szCs w:val="12"/>
              </w:rPr>
              <w:t>:</w:t>
            </w:r>
            <w:r w:rsidRPr="00821568">
              <w:rPr>
                <w:rFonts w:ascii="Garamond" w:hAnsi="Garamond"/>
                <w:sz w:val="12"/>
                <w:szCs w:val="12"/>
              </w:rPr>
              <w:t xml:space="preserve"> Prokurori/Gjykata/Universitete, etj</w:t>
            </w:r>
            <w:r w:rsidR="00236281" w:rsidRPr="00821568">
              <w:rPr>
                <w:rFonts w:ascii="Garamond" w:hAnsi="Garamond"/>
                <w:sz w:val="12"/>
                <w:szCs w:val="12"/>
              </w:rPr>
              <w:t>.</w:t>
            </w:r>
          </w:p>
        </w:tc>
        <w:tc>
          <w:tcPr>
            <w:tcW w:w="0" w:type="auto"/>
          </w:tcPr>
          <w:p w14:paraId="37E2B89C"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2024</w:t>
            </w:r>
          </w:p>
        </w:tc>
        <w:tc>
          <w:tcPr>
            <w:tcW w:w="0" w:type="auto"/>
          </w:tcPr>
          <w:p w14:paraId="0FD0FC0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2027</w:t>
            </w:r>
          </w:p>
        </w:tc>
        <w:tc>
          <w:tcPr>
            <w:tcW w:w="0" w:type="auto"/>
          </w:tcPr>
          <w:p w14:paraId="5F61A40F"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DPD</w:t>
            </w:r>
          </w:p>
          <w:p w14:paraId="3FDFB588"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tcPr>
          <w:p w14:paraId="0443F355" w14:textId="3AD043A1"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Prokurori/Gjykata/Universitete/Komisioni i</w:t>
            </w:r>
            <w:r w:rsidR="00D22EA5" w:rsidRPr="00821568">
              <w:rPr>
                <w:rFonts w:ascii="Garamond" w:hAnsi="Garamond"/>
                <w:sz w:val="12"/>
                <w:szCs w:val="12"/>
              </w:rPr>
              <w:t xml:space="preserve"> </w:t>
            </w:r>
            <w:r w:rsidRPr="00821568">
              <w:rPr>
                <w:rFonts w:ascii="Garamond" w:hAnsi="Garamond"/>
                <w:sz w:val="12"/>
                <w:szCs w:val="12"/>
              </w:rPr>
              <w:t>KE-së</w:t>
            </w:r>
          </w:p>
        </w:tc>
      </w:tr>
      <w:tr w:rsidR="00723888" w:rsidRPr="00821568" w14:paraId="062B2B12"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0BB5E45A"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3.4.3</w:t>
            </w:r>
          </w:p>
        </w:tc>
        <w:tc>
          <w:tcPr>
            <w:tcW w:w="0" w:type="auto"/>
          </w:tcPr>
          <w:p w14:paraId="5C0618B3"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eastAsiaTheme="minorHAnsi" w:hAnsi="Garamond"/>
                <w:sz w:val="12"/>
                <w:szCs w:val="12"/>
              </w:rPr>
              <w:t>Shmangia e konfliktit të interesit</w:t>
            </w:r>
          </w:p>
        </w:tc>
        <w:tc>
          <w:tcPr>
            <w:tcW w:w="0" w:type="auto"/>
          </w:tcPr>
          <w:p w14:paraId="70EE7A38" w14:textId="402710EB"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Organizimi i trajnimeve të dedikuara mbi shmangien e konfliktit të interesit me pedagogë universiteti/specialist të ILDKPI</w:t>
            </w:r>
            <w:r w:rsidR="003C24AC" w:rsidRPr="00821568">
              <w:rPr>
                <w:rFonts w:ascii="Garamond" w:hAnsi="Garamond"/>
                <w:sz w:val="12"/>
                <w:szCs w:val="12"/>
              </w:rPr>
              <w:t>-</w:t>
            </w:r>
            <w:r w:rsidR="003C24AC" w:rsidRPr="00821568">
              <w:rPr>
                <w:rFonts w:ascii="Garamond" w:hAnsi="Garamond"/>
                <w:bCs/>
                <w:sz w:val="12"/>
                <w:szCs w:val="12"/>
              </w:rPr>
              <w:t>së</w:t>
            </w:r>
            <w:r w:rsidRPr="00821568">
              <w:rPr>
                <w:rFonts w:ascii="Garamond" w:hAnsi="Garamond"/>
                <w:sz w:val="12"/>
                <w:szCs w:val="12"/>
              </w:rPr>
              <w:t>/punonjës me eksperiencë të</w:t>
            </w:r>
            <w:r w:rsidR="00D22EA5" w:rsidRPr="00821568">
              <w:rPr>
                <w:rFonts w:ascii="Garamond" w:hAnsi="Garamond"/>
                <w:sz w:val="12"/>
                <w:szCs w:val="12"/>
              </w:rPr>
              <w:t xml:space="preserve"> </w:t>
            </w:r>
            <w:r w:rsidRPr="00821568">
              <w:rPr>
                <w:rFonts w:ascii="Garamond" w:hAnsi="Garamond"/>
                <w:sz w:val="12"/>
                <w:szCs w:val="12"/>
              </w:rPr>
              <w:t>DPD</w:t>
            </w:r>
            <w:r w:rsidR="003C24AC" w:rsidRPr="00821568">
              <w:rPr>
                <w:rFonts w:ascii="Garamond" w:hAnsi="Garamond"/>
                <w:sz w:val="12"/>
                <w:szCs w:val="12"/>
              </w:rPr>
              <w:t>-</w:t>
            </w:r>
            <w:r w:rsidR="003C24AC" w:rsidRPr="00821568">
              <w:rPr>
                <w:rFonts w:ascii="Garamond" w:hAnsi="Garamond"/>
                <w:bCs/>
                <w:sz w:val="12"/>
                <w:szCs w:val="12"/>
              </w:rPr>
              <w:t>së</w:t>
            </w:r>
          </w:p>
        </w:tc>
        <w:tc>
          <w:tcPr>
            <w:tcW w:w="0" w:type="auto"/>
          </w:tcPr>
          <w:p w14:paraId="07D3A577"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2024</w:t>
            </w:r>
          </w:p>
        </w:tc>
        <w:tc>
          <w:tcPr>
            <w:tcW w:w="0" w:type="auto"/>
          </w:tcPr>
          <w:p w14:paraId="5D7F8817"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2027</w:t>
            </w:r>
          </w:p>
        </w:tc>
        <w:tc>
          <w:tcPr>
            <w:tcW w:w="0" w:type="auto"/>
          </w:tcPr>
          <w:p w14:paraId="0094CD9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DPD</w:t>
            </w:r>
          </w:p>
        </w:tc>
        <w:tc>
          <w:tcPr>
            <w:tcW w:w="0" w:type="auto"/>
          </w:tcPr>
          <w:p w14:paraId="67A027FE"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Universitetet dhe ILDKP</w:t>
            </w:r>
          </w:p>
        </w:tc>
      </w:tr>
      <w:tr w:rsidR="00723888" w:rsidRPr="00821568" w14:paraId="063087D3"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gridSpan w:val="7"/>
          </w:tcPr>
          <w:p w14:paraId="412010C7" w14:textId="5077F531" w:rsidR="00472A4B" w:rsidRPr="00821568" w:rsidRDefault="00472A4B" w:rsidP="00A86F37">
            <w:pPr>
              <w:rPr>
                <w:rFonts w:ascii="Garamond" w:hAnsi="Garamond"/>
                <w:sz w:val="12"/>
                <w:szCs w:val="12"/>
              </w:rPr>
            </w:pPr>
            <w:r w:rsidRPr="00821568">
              <w:rPr>
                <w:rFonts w:ascii="Garamond" w:hAnsi="Garamond"/>
                <w:sz w:val="12"/>
                <w:szCs w:val="12"/>
              </w:rPr>
              <w:t xml:space="preserve">Objektivi </w:t>
            </w:r>
            <w:r w:rsidR="003C24AC" w:rsidRPr="00821568">
              <w:rPr>
                <w:rFonts w:ascii="Garamond" w:hAnsi="Garamond"/>
                <w:sz w:val="12"/>
                <w:szCs w:val="12"/>
              </w:rPr>
              <w:t>specifik (komponenti</w:t>
            </w:r>
            <w:r w:rsidRPr="00821568">
              <w:rPr>
                <w:rFonts w:ascii="Garamond" w:hAnsi="Garamond"/>
                <w:sz w:val="12"/>
                <w:szCs w:val="12"/>
              </w:rPr>
              <w:t>) 3.5 Rritja e numrit të Operatorëve Ekonomikë të Autorizuar</w:t>
            </w:r>
          </w:p>
        </w:tc>
      </w:tr>
      <w:tr w:rsidR="00723888" w:rsidRPr="00821568" w14:paraId="12CBF9F2" w14:textId="77777777" w:rsidTr="003C24AC">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0ED761DA" w14:textId="250641DA" w:rsidR="00472A4B" w:rsidRPr="00821568" w:rsidRDefault="00472A4B" w:rsidP="003C24AC">
            <w:pPr>
              <w:jc w:val="center"/>
              <w:rPr>
                <w:rFonts w:ascii="Garamond" w:hAnsi="Garamond"/>
                <w:sz w:val="12"/>
                <w:szCs w:val="12"/>
              </w:rPr>
            </w:pPr>
            <w:r w:rsidRPr="00821568">
              <w:rPr>
                <w:rFonts w:ascii="Garamond" w:hAnsi="Garamond"/>
                <w:sz w:val="12"/>
                <w:szCs w:val="12"/>
              </w:rPr>
              <w:t>Nr</w:t>
            </w:r>
            <w:r w:rsidR="003C24AC" w:rsidRPr="00821568">
              <w:rPr>
                <w:rFonts w:ascii="Garamond" w:hAnsi="Garamond"/>
                <w:sz w:val="12"/>
                <w:szCs w:val="12"/>
              </w:rPr>
              <w:t>.</w:t>
            </w:r>
          </w:p>
        </w:tc>
        <w:tc>
          <w:tcPr>
            <w:tcW w:w="0" w:type="auto"/>
            <w:vMerge w:val="restart"/>
            <w:vAlign w:val="center"/>
          </w:tcPr>
          <w:p w14:paraId="77D1A482"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Masa</w:t>
            </w:r>
          </w:p>
        </w:tc>
        <w:tc>
          <w:tcPr>
            <w:tcW w:w="0" w:type="auto"/>
            <w:vMerge w:val="restart"/>
            <w:vAlign w:val="center"/>
          </w:tcPr>
          <w:p w14:paraId="40A117E5"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Aktiviteti</w:t>
            </w:r>
          </w:p>
        </w:tc>
        <w:tc>
          <w:tcPr>
            <w:tcW w:w="0" w:type="auto"/>
            <w:vAlign w:val="center"/>
          </w:tcPr>
          <w:p w14:paraId="7F1E9204"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Fillimi</w:t>
            </w:r>
          </w:p>
        </w:tc>
        <w:tc>
          <w:tcPr>
            <w:tcW w:w="0" w:type="auto"/>
            <w:vAlign w:val="center"/>
          </w:tcPr>
          <w:p w14:paraId="52D49DE3"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Mbarimi</w:t>
            </w:r>
          </w:p>
        </w:tc>
        <w:tc>
          <w:tcPr>
            <w:tcW w:w="0" w:type="auto"/>
            <w:gridSpan w:val="2"/>
            <w:vAlign w:val="center"/>
          </w:tcPr>
          <w:p w14:paraId="41B9DFD0" w14:textId="69475B71"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 xml:space="preserve">Grupet e </w:t>
            </w:r>
            <w:r w:rsidR="003C24AC" w:rsidRPr="00821568">
              <w:rPr>
                <w:rFonts w:ascii="Garamond" w:hAnsi="Garamond"/>
                <w:b/>
                <w:bCs/>
                <w:sz w:val="12"/>
                <w:szCs w:val="12"/>
              </w:rPr>
              <w:t>i</w:t>
            </w:r>
            <w:r w:rsidRPr="00821568">
              <w:rPr>
                <w:rFonts w:ascii="Garamond" w:hAnsi="Garamond"/>
                <w:b/>
                <w:bCs/>
                <w:sz w:val="12"/>
                <w:szCs w:val="12"/>
              </w:rPr>
              <w:t>nteresit</w:t>
            </w:r>
          </w:p>
        </w:tc>
      </w:tr>
      <w:tr w:rsidR="00723888" w:rsidRPr="00821568" w14:paraId="5C7F201C" w14:textId="77777777" w:rsidTr="003C24AC">
        <w:trPr>
          <w:trHeight w:val="2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3640620D" w14:textId="77777777" w:rsidR="00472A4B" w:rsidRPr="00821568" w:rsidRDefault="00472A4B" w:rsidP="003C24AC">
            <w:pPr>
              <w:jc w:val="center"/>
              <w:rPr>
                <w:rFonts w:ascii="Garamond" w:hAnsi="Garamond"/>
                <w:sz w:val="12"/>
                <w:szCs w:val="12"/>
              </w:rPr>
            </w:pPr>
          </w:p>
        </w:tc>
        <w:tc>
          <w:tcPr>
            <w:tcW w:w="0" w:type="auto"/>
            <w:vMerge/>
            <w:vAlign w:val="center"/>
          </w:tcPr>
          <w:p w14:paraId="5EFE5BD8"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Merge/>
            <w:vAlign w:val="center"/>
          </w:tcPr>
          <w:p w14:paraId="5F16667A"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Align w:val="center"/>
          </w:tcPr>
          <w:p w14:paraId="79663D91"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Align w:val="center"/>
          </w:tcPr>
          <w:p w14:paraId="6254EF6A"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Align w:val="center"/>
          </w:tcPr>
          <w:p w14:paraId="6F71AC91"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Njësitë përgjegjëse</w:t>
            </w:r>
          </w:p>
        </w:tc>
        <w:tc>
          <w:tcPr>
            <w:tcW w:w="0" w:type="auto"/>
            <w:vAlign w:val="center"/>
          </w:tcPr>
          <w:p w14:paraId="76F62890"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Partnerët</w:t>
            </w:r>
          </w:p>
        </w:tc>
      </w:tr>
      <w:tr w:rsidR="00723888" w:rsidRPr="00821568" w14:paraId="1C69D6A9"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13FFBF7F"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3.5.1</w:t>
            </w:r>
          </w:p>
        </w:tc>
        <w:tc>
          <w:tcPr>
            <w:tcW w:w="0" w:type="auto"/>
          </w:tcPr>
          <w:p w14:paraId="55621F23" w14:textId="18D221E0"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bCs/>
                <w:sz w:val="12"/>
                <w:szCs w:val="12"/>
              </w:rPr>
              <w:t>Sensibilizimi i subjekteve mbi rëndësinë e pasjes së statusit AEO</w:t>
            </w:r>
            <w:r w:rsidR="003C24AC" w:rsidRPr="00821568">
              <w:rPr>
                <w:rFonts w:ascii="Garamond" w:hAnsi="Garamond"/>
                <w:bCs/>
                <w:sz w:val="12"/>
                <w:szCs w:val="12"/>
              </w:rPr>
              <w:t xml:space="preserve"> –</w:t>
            </w:r>
            <w:r w:rsidRPr="00821568">
              <w:rPr>
                <w:rFonts w:ascii="Garamond" w:hAnsi="Garamond"/>
                <w:bCs/>
                <w:sz w:val="12"/>
                <w:szCs w:val="12"/>
              </w:rPr>
              <w:t xml:space="preserve"> për kompanitë shqiptare</w:t>
            </w:r>
          </w:p>
        </w:tc>
        <w:tc>
          <w:tcPr>
            <w:tcW w:w="0" w:type="auto"/>
          </w:tcPr>
          <w:p w14:paraId="30515DCE" w14:textId="33F547BA"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Organizimi i fushatave informuese dhe aktiviteteve të ndryshme promovuese të AEO</w:t>
            </w:r>
            <w:r w:rsidR="003C24AC" w:rsidRPr="00821568">
              <w:rPr>
                <w:rFonts w:ascii="Garamond" w:hAnsi="Garamond"/>
                <w:sz w:val="12"/>
                <w:szCs w:val="12"/>
              </w:rPr>
              <w:t>-ve.</w:t>
            </w:r>
          </w:p>
        </w:tc>
        <w:tc>
          <w:tcPr>
            <w:tcW w:w="0" w:type="auto"/>
          </w:tcPr>
          <w:p w14:paraId="3C886461"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2024</w:t>
            </w:r>
          </w:p>
        </w:tc>
        <w:tc>
          <w:tcPr>
            <w:tcW w:w="0" w:type="auto"/>
          </w:tcPr>
          <w:p w14:paraId="577FAE16"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2027</w:t>
            </w:r>
          </w:p>
        </w:tc>
        <w:tc>
          <w:tcPr>
            <w:tcW w:w="0" w:type="auto"/>
          </w:tcPr>
          <w:p w14:paraId="58465B75"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DPD</w:t>
            </w:r>
          </w:p>
        </w:tc>
        <w:tc>
          <w:tcPr>
            <w:tcW w:w="0" w:type="auto"/>
          </w:tcPr>
          <w:p w14:paraId="1E2F6CB3"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r>
      <w:tr w:rsidR="00723888" w:rsidRPr="00821568" w14:paraId="4E67D10F"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235CDDC0"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3.5.2</w:t>
            </w:r>
          </w:p>
        </w:tc>
        <w:tc>
          <w:tcPr>
            <w:tcW w:w="0" w:type="auto"/>
          </w:tcPr>
          <w:p w14:paraId="3CB3C5BF" w14:textId="78EC45A9"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eastAsiaTheme="minorHAnsi" w:hAnsi="Garamond"/>
                <w:sz w:val="12"/>
                <w:szCs w:val="12"/>
              </w:rPr>
              <w:t>Monitorimi i vazhdueshëm i AEO</w:t>
            </w:r>
            <w:r w:rsidR="003C24AC" w:rsidRPr="00821568">
              <w:rPr>
                <w:rFonts w:ascii="Garamond" w:eastAsiaTheme="minorHAnsi" w:hAnsi="Garamond"/>
                <w:sz w:val="12"/>
                <w:szCs w:val="12"/>
              </w:rPr>
              <w:t>-ve</w:t>
            </w:r>
            <w:r w:rsidRPr="00821568">
              <w:rPr>
                <w:rFonts w:ascii="Garamond" w:eastAsiaTheme="minorHAnsi" w:hAnsi="Garamond"/>
                <w:sz w:val="12"/>
                <w:szCs w:val="12"/>
              </w:rPr>
              <w:t xml:space="preserve"> të miratuara</w:t>
            </w:r>
          </w:p>
        </w:tc>
        <w:tc>
          <w:tcPr>
            <w:tcW w:w="0" w:type="auto"/>
          </w:tcPr>
          <w:p w14:paraId="57B616AA" w14:textId="63CD7499"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Kryerja e auditimeve të operatorëve të autorizuar ekonomikë</w:t>
            </w:r>
            <w:r w:rsidR="003C24AC" w:rsidRPr="00821568">
              <w:rPr>
                <w:rFonts w:ascii="Garamond" w:hAnsi="Garamond"/>
                <w:sz w:val="12"/>
                <w:szCs w:val="12"/>
              </w:rPr>
              <w:t>.</w:t>
            </w:r>
          </w:p>
        </w:tc>
        <w:tc>
          <w:tcPr>
            <w:tcW w:w="0" w:type="auto"/>
          </w:tcPr>
          <w:p w14:paraId="7F904F45"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2024</w:t>
            </w:r>
          </w:p>
        </w:tc>
        <w:tc>
          <w:tcPr>
            <w:tcW w:w="0" w:type="auto"/>
          </w:tcPr>
          <w:p w14:paraId="5E3E1043"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2027</w:t>
            </w:r>
          </w:p>
        </w:tc>
        <w:tc>
          <w:tcPr>
            <w:tcW w:w="0" w:type="auto"/>
          </w:tcPr>
          <w:p w14:paraId="0E02C078"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DPD</w:t>
            </w:r>
          </w:p>
        </w:tc>
        <w:tc>
          <w:tcPr>
            <w:tcW w:w="0" w:type="auto"/>
          </w:tcPr>
          <w:p w14:paraId="1A9E852D"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r>
      <w:tr w:rsidR="00723888" w:rsidRPr="00821568" w14:paraId="6F62239D"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7FCC11C0"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3.5.3</w:t>
            </w:r>
          </w:p>
        </w:tc>
        <w:tc>
          <w:tcPr>
            <w:tcW w:w="0" w:type="auto"/>
          </w:tcPr>
          <w:p w14:paraId="52D1E2C4" w14:textId="7A78C54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eastAsiaTheme="minorHAnsi" w:hAnsi="Garamond"/>
                <w:bCs/>
                <w:sz w:val="12"/>
                <w:szCs w:val="12"/>
              </w:rPr>
            </w:pPr>
            <w:r w:rsidRPr="00821568">
              <w:rPr>
                <w:rFonts w:ascii="Garamond" w:eastAsiaTheme="minorHAnsi" w:hAnsi="Garamond"/>
                <w:bCs/>
                <w:sz w:val="12"/>
                <w:szCs w:val="12"/>
              </w:rPr>
              <w:t>Nënshkrimi i një marrëveshjeje me B</w:t>
            </w:r>
            <w:r w:rsidR="003C24AC" w:rsidRPr="00821568">
              <w:rPr>
                <w:rFonts w:ascii="Garamond" w:eastAsiaTheme="minorHAnsi" w:hAnsi="Garamond"/>
                <w:bCs/>
                <w:sz w:val="12"/>
                <w:szCs w:val="12"/>
              </w:rPr>
              <w:t>e-</w:t>
            </w:r>
            <w:r w:rsidR="003C24AC" w:rsidRPr="00821568">
              <w:rPr>
                <w:rFonts w:ascii="Garamond" w:hAnsi="Garamond"/>
                <w:bCs/>
                <w:sz w:val="12"/>
                <w:szCs w:val="12"/>
              </w:rPr>
              <w:t>në</w:t>
            </w:r>
            <w:r w:rsidRPr="00821568">
              <w:rPr>
                <w:rFonts w:ascii="Garamond" w:eastAsiaTheme="minorHAnsi" w:hAnsi="Garamond"/>
                <w:bCs/>
                <w:sz w:val="12"/>
                <w:szCs w:val="12"/>
              </w:rPr>
              <w:t xml:space="preserve"> për njohjen reciproke të AEO-ve</w:t>
            </w:r>
          </w:p>
        </w:tc>
        <w:tc>
          <w:tcPr>
            <w:tcW w:w="0" w:type="auto"/>
          </w:tcPr>
          <w:p w14:paraId="58F56852" w14:textId="5BFEFD1A"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Negocimi dhe nënshkrimi i marrëveshjes</w:t>
            </w:r>
            <w:r w:rsidR="003C24AC" w:rsidRPr="00821568">
              <w:rPr>
                <w:rFonts w:ascii="Garamond" w:hAnsi="Garamond"/>
                <w:sz w:val="12"/>
                <w:szCs w:val="12"/>
              </w:rPr>
              <w:t>.</w:t>
            </w:r>
          </w:p>
        </w:tc>
        <w:tc>
          <w:tcPr>
            <w:tcW w:w="0" w:type="auto"/>
          </w:tcPr>
          <w:p w14:paraId="59AFF9F0"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tcPr>
          <w:p w14:paraId="4F145875"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2026</w:t>
            </w:r>
          </w:p>
        </w:tc>
        <w:tc>
          <w:tcPr>
            <w:tcW w:w="0" w:type="auto"/>
          </w:tcPr>
          <w:p w14:paraId="5A926C66"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DPD</w:t>
            </w:r>
          </w:p>
        </w:tc>
        <w:tc>
          <w:tcPr>
            <w:tcW w:w="0" w:type="auto"/>
          </w:tcPr>
          <w:p w14:paraId="3E557479" w14:textId="0A08CD0C"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 xml:space="preserve">MF, MEPJ dhe </w:t>
            </w:r>
            <w:r w:rsidR="008C0C0F" w:rsidRPr="00821568">
              <w:rPr>
                <w:rFonts w:ascii="Garamond" w:hAnsi="Garamond"/>
                <w:sz w:val="12"/>
                <w:szCs w:val="12"/>
              </w:rPr>
              <w:t>Shërbimet</w:t>
            </w:r>
            <w:r w:rsidRPr="00821568">
              <w:rPr>
                <w:rFonts w:ascii="Garamond" w:hAnsi="Garamond"/>
                <w:sz w:val="12"/>
                <w:szCs w:val="12"/>
              </w:rPr>
              <w:t xml:space="preserve"> e Komisionit </w:t>
            </w:r>
            <w:r w:rsidR="008C0C0F" w:rsidRPr="00821568">
              <w:rPr>
                <w:rFonts w:ascii="Garamond" w:hAnsi="Garamond"/>
                <w:sz w:val="12"/>
                <w:szCs w:val="12"/>
              </w:rPr>
              <w:t>Evropian</w:t>
            </w:r>
          </w:p>
        </w:tc>
      </w:tr>
      <w:tr w:rsidR="00723888" w:rsidRPr="00821568" w14:paraId="6894388B"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gridSpan w:val="7"/>
          </w:tcPr>
          <w:p w14:paraId="22FD4030" w14:textId="6E72248F" w:rsidR="00472A4B" w:rsidRPr="00821568" w:rsidRDefault="00472A4B" w:rsidP="00A86F37">
            <w:pPr>
              <w:rPr>
                <w:rFonts w:ascii="Garamond" w:hAnsi="Garamond"/>
                <w:sz w:val="12"/>
                <w:szCs w:val="12"/>
              </w:rPr>
            </w:pPr>
            <w:r w:rsidRPr="00821568">
              <w:rPr>
                <w:rFonts w:ascii="Garamond" w:hAnsi="Garamond"/>
                <w:sz w:val="12"/>
                <w:szCs w:val="12"/>
              </w:rPr>
              <w:t xml:space="preserve">Objektivi </w:t>
            </w:r>
            <w:r w:rsidR="003C24AC" w:rsidRPr="00821568">
              <w:rPr>
                <w:rFonts w:ascii="Garamond" w:hAnsi="Garamond"/>
                <w:sz w:val="12"/>
                <w:szCs w:val="12"/>
              </w:rPr>
              <w:t>specifik (komponenti</w:t>
            </w:r>
            <w:r w:rsidRPr="00821568">
              <w:rPr>
                <w:rFonts w:ascii="Garamond" w:hAnsi="Garamond"/>
                <w:sz w:val="12"/>
                <w:szCs w:val="12"/>
              </w:rPr>
              <w:t>) 3.6 Implementimi i Dritares së Vetme Kombëtare (</w:t>
            </w:r>
            <w:r w:rsidRPr="00821568">
              <w:rPr>
                <w:rFonts w:ascii="Garamond" w:hAnsi="Garamond"/>
                <w:i/>
                <w:sz w:val="12"/>
                <w:szCs w:val="12"/>
              </w:rPr>
              <w:t>National Single Window</w:t>
            </w:r>
            <w:r w:rsidRPr="00821568">
              <w:rPr>
                <w:rFonts w:ascii="Garamond" w:hAnsi="Garamond"/>
                <w:sz w:val="12"/>
                <w:szCs w:val="12"/>
              </w:rPr>
              <w:t>)</w:t>
            </w:r>
          </w:p>
        </w:tc>
      </w:tr>
      <w:tr w:rsidR="00723888" w:rsidRPr="00821568" w14:paraId="66866474" w14:textId="77777777" w:rsidTr="003C24AC">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194A14CD" w14:textId="0EAEF7A4" w:rsidR="00472A4B" w:rsidRPr="00821568" w:rsidRDefault="00472A4B" w:rsidP="003C24AC">
            <w:pPr>
              <w:jc w:val="center"/>
              <w:rPr>
                <w:rFonts w:ascii="Garamond" w:hAnsi="Garamond"/>
                <w:sz w:val="12"/>
                <w:szCs w:val="12"/>
              </w:rPr>
            </w:pPr>
            <w:r w:rsidRPr="00821568">
              <w:rPr>
                <w:rFonts w:ascii="Garamond" w:hAnsi="Garamond"/>
                <w:sz w:val="12"/>
                <w:szCs w:val="12"/>
              </w:rPr>
              <w:t>Nr</w:t>
            </w:r>
            <w:r w:rsidR="008C0C0F" w:rsidRPr="00821568">
              <w:rPr>
                <w:rFonts w:ascii="Garamond" w:hAnsi="Garamond"/>
                <w:sz w:val="12"/>
                <w:szCs w:val="12"/>
              </w:rPr>
              <w:t>.</w:t>
            </w:r>
          </w:p>
        </w:tc>
        <w:tc>
          <w:tcPr>
            <w:tcW w:w="0" w:type="auto"/>
            <w:vMerge w:val="restart"/>
            <w:vAlign w:val="center"/>
          </w:tcPr>
          <w:p w14:paraId="4A0CA9F4"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Masa</w:t>
            </w:r>
          </w:p>
        </w:tc>
        <w:tc>
          <w:tcPr>
            <w:tcW w:w="0" w:type="auto"/>
            <w:vMerge w:val="restart"/>
            <w:vAlign w:val="center"/>
          </w:tcPr>
          <w:p w14:paraId="62E0D94B"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Aktiviteti</w:t>
            </w:r>
          </w:p>
        </w:tc>
        <w:tc>
          <w:tcPr>
            <w:tcW w:w="0" w:type="auto"/>
            <w:vAlign w:val="center"/>
          </w:tcPr>
          <w:p w14:paraId="66FD0269"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Fillimi</w:t>
            </w:r>
          </w:p>
        </w:tc>
        <w:tc>
          <w:tcPr>
            <w:tcW w:w="0" w:type="auto"/>
            <w:vAlign w:val="center"/>
          </w:tcPr>
          <w:p w14:paraId="13527321"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Mbarimi</w:t>
            </w:r>
          </w:p>
        </w:tc>
        <w:tc>
          <w:tcPr>
            <w:tcW w:w="0" w:type="auto"/>
            <w:gridSpan w:val="2"/>
            <w:vAlign w:val="center"/>
          </w:tcPr>
          <w:p w14:paraId="5D176B90" w14:textId="6AECE5FB"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 xml:space="preserve">Grupet e </w:t>
            </w:r>
            <w:r w:rsidR="003C24AC" w:rsidRPr="00821568">
              <w:rPr>
                <w:rFonts w:ascii="Garamond" w:hAnsi="Garamond"/>
                <w:b/>
                <w:bCs/>
                <w:sz w:val="12"/>
                <w:szCs w:val="12"/>
              </w:rPr>
              <w:t>i</w:t>
            </w:r>
            <w:r w:rsidRPr="00821568">
              <w:rPr>
                <w:rFonts w:ascii="Garamond" w:hAnsi="Garamond"/>
                <w:b/>
                <w:bCs/>
                <w:sz w:val="12"/>
                <w:szCs w:val="12"/>
              </w:rPr>
              <w:t>nteresit</w:t>
            </w:r>
          </w:p>
        </w:tc>
      </w:tr>
      <w:tr w:rsidR="00723888" w:rsidRPr="00821568" w14:paraId="5E045D26" w14:textId="77777777" w:rsidTr="003C24AC">
        <w:trPr>
          <w:trHeight w:val="2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4CC89A9E" w14:textId="77777777" w:rsidR="00472A4B" w:rsidRPr="00821568" w:rsidRDefault="00472A4B" w:rsidP="003C24AC">
            <w:pPr>
              <w:jc w:val="center"/>
              <w:rPr>
                <w:rFonts w:ascii="Garamond" w:hAnsi="Garamond"/>
                <w:sz w:val="12"/>
                <w:szCs w:val="12"/>
              </w:rPr>
            </w:pPr>
          </w:p>
        </w:tc>
        <w:tc>
          <w:tcPr>
            <w:tcW w:w="0" w:type="auto"/>
            <w:vMerge/>
            <w:vAlign w:val="center"/>
          </w:tcPr>
          <w:p w14:paraId="46E08F7E"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Merge/>
            <w:vAlign w:val="center"/>
          </w:tcPr>
          <w:p w14:paraId="2FEDA46C"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Align w:val="center"/>
          </w:tcPr>
          <w:p w14:paraId="4AC9A04C"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Align w:val="center"/>
          </w:tcPr>
          <w:p w14:paraId="34174E04"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Align w:val="center"/>
          </w:tcPr>
          <w:p w14:paraId="7D18B116"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Njësitë përgjegjëse</w:t>
            </w:r>
          </w:p>
        </w:tc>
        <w:tc>
          <w:tcPr>
            <w:tcW w:w="0" w:type="auto"/>
            <w:vAlign w:val="center"/>
          </w:tcPr>
          <w:p w14:paraId="374E9DB1"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Partnerët</w:t>
            </w:r>
          </w:p>
        </w:tc>
      </w:tr>
      <w:tr w:rsidR="00723888" w:rsidRPr="00821568" w14:paraId="76FE8448"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68767071"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3.6.1</w:t>
            </w:r>
          </w:p>
        </w:tc>
        <w:tc>
          <w:tcPr>
            <w:tcW w:w="0" w:type="auto"/>
          </w:tcPr>
          <w:p w14:paraId="22C47FA3" w14:textId="1D3FCA1E"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bCs/>
                <w:sz w:val="12"/>
                <w:szCs w:val="12"/>
              </w:rPr>
              <w:t>Zhvillimi i konceptit dhe strukturës institucionale të Dritares së Vetme Kombëtare</w:t>
            </w:r>
          </w:p>
        </w:tc>
        <w:tc>
          <w:tcPr>
            <w:tcW w:w="0" w:type="auto"/>
          </w:tcPr>
          <w:p w14:paraId="676148DC"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Përzgjidhja e kompanisë që do të kryejë aplikimin teknik</w:t>
            </w:r>
          </w:p>
        </w:tc>
        <w:tc>
          <w:tcPr>
            <w:tcW w:w="0" w:type="auto"/>
          </w:tcPr>
          <w:p w14:paraId="1A35060D"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2024</w:t>
            </w:r>
          </w:p>
        </w:tc>
        <w:tc>
          <w:tcPr>
            <w:tcW w:w="0" w:type="auto"/>
          </w:tcPr>
          <w:p w14:paraId="7F35EA4C"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Qershor 2024</w:t>
            </w:r>
          </w:p>
        </w:tc>
        <w:tc>
          <w:tcPr>
            <w:tcW w:w="0" w:type="auto"/>
          </w:tcPr>
          <w:p w14:paraId="526A740C" w14:textId="4303D8F9"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 xml:space="preserve">(PIU) Njësia e </w:t>
            </w:r>
            <w:r w:rsidR="003C24AC" w:rsidRPr="00821568">
              <w:rPr>
                <w:rFonts w:ascii="Garamond" w:hAnsi="Garamond"/>
                <w:sz w:val="12"/>
                <w:szCs w:val="12"/>
              </w:rPr>
              <w:t>Menaxhimit</w:t>
            </w:r>
            <w:r w:rsidRPr="00821568">
              <w:rPr>
                <w:rFonts w:ascii="Garamond" w:hAnsi="Garamond"/>
                <w:sz w:val="12"/>
                <w:szCs w:val="12"/>
              </w:rPr>
              <w:t xml:space="preserve"> të Projektit /DPD</w:t>
            </w:r>
            <w:r w:rsidR="003C24AC" w:rsidRPr="00821568">
              <w:rPr>
                <w:rFonts w:ascii="Garamond" w:hAnsi="Garamond"/>
                <w:sz w:val="12"/>
                <w:szCs w:val="12"/>
              </w:rPr>
              <w:t>-</w:t>
            </w:r>
          </w:p>
        </w:tc>
        <w:tc>
          <w:tcPr>
            <w:tcW w:w="0" w:type="auto"/>
          </w:tcPr>
          <w:p w14:paraId="58F2D5BC"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Banka Botërore</w:t>
            </w:r>
          </w:p>
        </w:tc>
      </w:tr>
      <w:tr w:rsidR="00723888" w:rsidRPr="00821568" w14:paraId="037818F3"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1D25A915" w14:textId="77777777" w:rsidR="00472A4B" w:rsidRPr="00821568" w:rsidRDefault="00472A4B" w:rsidP="00A86F37">
            <w:pPr>
              <w:rPr>
                <w:rFonts w:ascii="Garamond" w:hAnsi="Garamond"/>
                <w:b w:val="0"/>
                <w:sz w:val="12"/>
                <w:szCs w:val="12"/>
              </w:rPr>
            </w:pPr>
          </w:p>
        </w:tc>
        <w:tc>
          <w:tcPr>
            <w:tcW w:w="0" w:type="auto"/>
          </w:tcPr>
          <w:p w14:paraId="48D445E6" w14:textId="3339A529"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sz w:val="12"/>
                <w:szCs w:val="12"/>
              </w:rPr>
              <w:t>Rishikimi dhe ndryshimi i legjislacionit dhe i rregulloreve për Dritaren e Vetme Kombëtare</w:t>
            </w:r>
          </w:p>
        </w:tc>
        <w:tc>
          <w:tcPr>
            <w:tcW w:w="0" w:type="auto"/>
          </w:tcPr>
          <w:p w14:paraId="128A560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Hartimi dhe miratimi i paketës ligjore</w:t>
            </w:r>
          </w:p>
        </w:tc>
        <w:tc>
          <w:tcPr>
            <w:tcW w:w="0" w:type="auto"/>
          </w:tcPr>
          <w:p w14:paraId="601343B3"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2024</w:t>
            </w:r>
          </w:p>
        </w:tc>
        <w:tc>
          <w:tcPr>
            <w:tcW w:w="0" w:type="auto"/>
          </w:tcPr>
          <w:p w14:paraId="5E191F37"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2026</w:t>
            </w:r>
          </w:p>
        </w:tc>
        <w:tc>
          <w:tcPr>
            <w:tcW w:w="0" w:type="auto"/>
          </w:tcPr>
          <w:p w14:paraId="04CF5E1F" w14:textId="7C2F4CA5"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(PIU) Njësia e Men</w:t>
            </w:r>
            <w:r w:rsidR="008C0C0F" w:rsidRPr="00821568">
              <w:rPr>
                <w:rFonts w:ascii="Garamond" w:hAnsi="Garamond"/>
                <w:sz w:val="12"/>
                <w:szCs w:val="12"/>
              </w:rPr>
              <w:t>a</w:t>
            </w:r>
            <w:r w:rsidRPr="00821568">
              <w:rPr>
                <w:rFonts w:ascii="Garamond" w:hAnsi="Garamond"/>
                <w:sz w:val="12"/>
                <w:szCs w:val="12"/>
              </w:rPr>
              <w:t>xhimit të Projektit /DPD</w:t>
            </w:r>
          </w:p>
        </w:tc>
        <w:tc>
          <w:tcPr>
            <w:tcW w:w="0" w:type="auto"/>
          </w:tcPr>
          <w:p w14:paraId="225A7646"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Banka Botërore</w:t>
            </w:r>
          </w:p>
        </w:tc>
      </w:tr>
      <w:tr w:rsidR="00723888" w:rsidRPr="00821568" w14:paraId="679C63A9"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3161DAA0"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3.6.2</w:t>
            </w:r>
          </w:p>
        </w:tc>
        <w:tc>
          <w:tcPr>
            <w:tcW w:w="0" w:type="auto"/>
          </w:tcPr>
          <w:p w14:paraId="120CF662"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bCs/>
                <w:sz w:val="12"/>
                <w:szCs w:val="12"/>
              </w:rPr>
              <w:t>Zhvillimi dhe vendosja e zgjidhjes së TI-së për Dritaren e Vetme Kombëtare</w:t>
            </w:r>
          </w:p>
          <w:p w14:paraId="1654C14E"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p>
        </w:tc>
        <w:tc>
          <w:tcPr>
            <w:tcW w:w="0" w:type="auto"/>
          </w:tcPr>
          <w:p w14:paraId="4C888D8D" w14:textId="21D193C2"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eastAsiaTheme="minorHAnsi" w:hAnsi="Garamond"/>
                <w:sz w:val="12"/>
                <w:szCs w:val="12"/>
              </w:rPr>
              <w:t>Zhvillimi/instalimi/</w:t>
            </w:r>
            <w:r w:rsidR="003C24AC" w:rsidRPr="00821568">
              <w:rPr>
                <w:rFonts w:ascii="Garamond" w:eastAsiaTheme="minorHAnsi" w:hAnsi="Garamond"/>
                <w:sz w:val="12"/>
                <w:szCs w:val="12"/>
              </w:rPr>
              <w:t>t</w:t>
            </w:r>
            <w:r w:rsidRPr="00821568">
              <w:rPr>
                <w:rFonts w:ascii="Garamond" w:eastAsiaTheme="minorHAnsi" w:hAnsi="Garamond"/>
                <w:sz w:val="12"/>
                <w:szCs w:val="12"/>
              </w:rPr>
              <w:t>estimi i plotë i programit</w:t>
            </w:r>
            <w:r w:rsidRPr="00821568">
              <w:rPr>
                <w:rFonts w:ascii="Garamond" w:hAnsi="Garamond"/>
                <w:sz w:val="12"/>
                <w:szCs w:val="12"/>
              </w:rPr>
              <w:t xml:space="preserve"> nga kompania kryen të gjitha veprimet për një program funksional</w:t>
            </w:r>
          </w:p>
        </w:tc>
        <w:tc>
          <w:tcPr>
            <w:tcW w:w="0" w:type="auto"/>
          </w:tcPr>
          <w:p w14:paraId="2DAB2740"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2025</w:t>
            </w:r>
          </w:p>
        </w:tc>
        <w:tc>
          <w:tcPr>
            <w:tcW w:w="0" w:type="auto"/>
          </w:tcPr>
          <w:p w14:paraId="1A0D919A"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2026</w:t>
            </w:r>
          </w:p>
        </w:tc>
        <w:tc>
          <w:tcPr>
            <w:tcW w:w="0" w:type="auto"/>
          </w:tcPr>
          <w:p w14:paraId="15978223"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DPD</w:t>
            </w:r>
          </w:p>
        </w:tc>
        <w:tc>
          <w:tcPr>
            <w:tcW w:w="0" w:type="auto"/>
          </w:tcPr>
          <w:p w14:paraId="70682D3D"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Banka Botërore/ AKSHI dhe institucione të tjera të përfshira</w:t>
            </w:r>
          </w:p>
        </w:tc>
      </w:tr>
      <w:tr w:rsidR="00723888" w:rsidRPr="00821568" w14:paraId="65E5B511"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75A836D0"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3.6.3</w:t>
            </w:r>
          </w:p>
        </w:tc>
        <w:tc>
          <w:tcPr>
            <w:tcW w:w="0" w:type="auto"/>
          </w:tcPr>
          <w:p w14:paraId="514BC365"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bCs/>
                <w:sz w:val="12"/>
                <w:szCs w:val="12"/>
              </w:rPr>
              <w:t>Dritarja e Vetme Kombëtare është plotësisht funksionale</w:t>
            </w:r>
          </w:p>
        </w:tc>
        <w:tc>
          <w:tcPr>
            <w:tcW w:w="0" w:type="auto"/>
          </w:tcPr>
          <w:p w14:paraId="6293E104" w14:textId="255B5CED"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Kryerja e</w:t>
            </w:r>
            <w:r w:rsidR="003C24AC" w:rsidRPr="00821568">
              <w:rPr>
                <w:rFonts w:ascii="Garamond" w:hAnsi="Garamond"/>
                <w:sz w:val="12"/>
                <w:szCs w:val="12"/>
              </w:rPr>
              <w:t xml:space="preserve"> të</w:t>
            </w:r>
            <w:r w:rsidR="00D22EA5" w:rsidRPr="00821568">
              <w:rPr>
                <w:rFonts w:ascii="Garamond" w:hAnsi="Garamond"/>
                <w:sz w:val="12"/>
                <w:szCs w:val="12"/>
              </w:rPr>
              <w:t xml:space="preserve"> </w:t>
            </w:r>
            <w:r w:rsidRPr="00821568">
              <w:rPr>
                <w:rFonts w:ascii="Garamond" w:hAnsi="Garamond"/>
                <w:sz w:val="12"/>
                <w:szCs w:val="12"/>
              </w:rPr>
              <w:t>gjithë aplikimeve të mundshme që Dritarja e Vetme quhet e realizuar</w:t>
            </w:r>
          </w:p>
        </w:tc>
        <w:tc>
          <w:tcPr>
            <w:tcW w:w="0" w:type="auto"/>
          </w:tcPr>
          <w:p w14:paraId="5E2C42CC"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2026</w:t>
            </w:r>
          </w:p>
        </w:tc>
        <w:tc>
          <w:tcPr>
            <w:tcW w:w="0" w:type="auto"/>
          </w:tcPr>
          <w:p w14:paraId="630B7EF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2027</w:t>
            </w:r>
          </w:p>
        </w:tc>
        <w:tc>
          <w:tcPr>
            <w:tcW w:w="0" w:type="auto"/>
          </w:tcPr>
          <w:p w14:paraId="4B1301C1"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DPD</w:t>
            </w:r>
          </w:p>
        </w:tc>
        <w:tc>
          <w:tcPr>
            <w:tcW w:w="0" w:type="auto"/>
          </w:tcPr>
          <w:p w14:paraId="33372726"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Banka Botërore/ AKSHI dhe institucione të tjera të përfshira</w:t>
            </w:r>
          </w:p>
        </w:tc>
      </w:tr>
      <w:tr w:rsidR="00723888" w:rsidRPr="00821568" w14:paraId="514923A8"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gridSpan w:val="7"/>
          </w:tcPr>
          <w:p w14:paraId="4B172090" w14:textId="31E7E206" w:rsidR="00472A4B" w:rsidRPr="00821568" w:rsidRDefault="00472A4B" w:rsidP="00A86F37">
            <w:pPr>
              <w:rPr>
                <w:rFonts w:ascii="Garamond" w:hAnsi="Garamond"/>
                <w:sz w:val="12"/>
                <w:szCs w:val="12"/>
              </w:rPr>
            </w:pPr>
            <w:r w:rsidRPr="00821568">
              <w:rPr>
                <w:rFonts w:ascii="Garamond" w:hAnsi="Garamond"/>
                <w:sz w:val="12"/>
                <w:szCs w:val="12"/>
              </w:rPr>
              <w:t xml:space="preserve">Objektivi </w:t>
            </w:r>
            <w:r w:rsidR="003C24AC" w:rsidRPr="00821568">
              <w:rPr>
                <w:rFonts w:ascii="Garamond" w:hAnsi="Garamond"/>
                <w:sz w:val="12"/>
                <w:szCs w:val="12"/>
              </w:rPr>
              <w:t>specifik (komponenti</w:t>
            </w:r>
            <w:r w:rsidRPr="00821568">
              <w:rPr>
                <w:rFonts w:ascii="Garamond" w:hAnsi="Garamond"/>
                <w:sz w:val="12"/>
                <w:szCs w:val="12"/>
              </w:rPr>
              <w:t>) 3.7 Implementimi i Sistemit të Ri të Kompjuterizuar të Transitit (NCTS)</w:t>
            </w:r>
          </w:p>
        </w:tc>
      </w:tr>
      <w:tr w:rsidR="00723888" w:rsidRPr="00821568" w14:paraId="095F3C8A" w14:textId="77777777" w:rsidTr="003C24AC">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7DE9BAB8" w14:textId="695EFD7B" w:rsidR="00472A4B" w:rsidRPr="00821568" w:rsidRDefault="00472A4B" w:rsidP="003C24AC">
            <w:pPr>
              <w:jc w:val="center"/>
              <w:rPr>
                <w:rFonts w:ascii="Garamond" w:hAnsi="Garamond"/>
                <w:sz w:val="12"/>
                <w:szCs w:val="12"/>
              </w:rPr>
            </w:pPr>
            <w:r w:rsidRPr="00821568">
              <w:rPr>
                <w:rFonts w:ascii="Garamond" w:hAnsi="Garamond"/>
                <w:sz w:val="12"/>
                <w:szCs w:val="12"/>
              </w:rPr>
              <w:t>Nr</w:t>
            </w:r>
            <w:r w:rsidR="008C0C0F" w:rsidRPr="00821568">
              <w:rPr>
                <w:rFonts w:ascii="Garamond" w:hAnsi="Garamond"/>
                <w:sz w:val="12"/>
                <w:szCs w:val="12"/>
              </w:rPr>
              <w:t>.</w:t>
            </w:r>
          </w:p>
        </w:tc>
        <w:tc>
          <w:tcPr>
            <w:tcW w:w="0" w:type="auto"/>
            <w:vMerge w:val="restart"/>
            <w:vAlign w:val="center"/>
          </w:tcPr>
          <w:p w14:paraId="0AAD2B1E"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Masa</w:t>
            </w:r>
          </w:p>
        </w:tc>
        <w:tc>
          <w:tcPr>
            <w:tcW w:w="0" w:type="auto"/>
            <w:vMerge w:val="restart"/>
            <w:vAlign w:val="center"/>
          </w:tcPr>
          <w:p w14:paraId="305BE48F"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Aktiviteti</w:t>
            </w:r>
          </w:p>
        </w:tc>
        <w:tc>
          <w:tcPr>
            <w:tcW w:w="0" w:type="auto"/>
            <w:vAlign w:val="center"/>
          </w:tcPr>
          <w:p w14:paraId="505C0070"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Fillimi</w:t>
            </w:r>
          </w:p>
        </w:tc>
        <w:tc>
          <w:tcPr>
            <w:tcW w:w="0" w:type="auto"/>
            <w:vAlign w:val="center"/>
          </w:tcPr>
          <w:p w14:paraId="7489B541"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Mbarimi</w:t>
            </w:r>
          </w:p>
        </w:tc>
        <w:tc>
          <w:tcPr>
            <w:tcW w:w="0" w:type="auto"/>
            <w:gridSpan w:val="2"/>
            <w:vAlign w:val="center"/>
          </w:tcPr>
          <w:p w14:paraId="61FB8662" w14:textId="73D678C5"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 xml:space="preserve">Grupet e </w:t>
            </w:r>
            <w:r w:rsidR="003C24AC" w:rsidRPr="00821568">
              <w:rPr>
                <w:rFonts w:ascii="Garamond" w:hAnsi="Garamond"/>
                <w:b/>
                <w:bCs/>
                <w:sz w:val="12"/>
                <w:szCs w:val="12"/>
              </w:rPr>
              <w:t>i</w:t>
            </w:r>
            <w:r w:rsidRPr="00821568">
              <w:rPr>
                <w:rFonts w:ascii="Garamond" w:hAnsi="Garamond"/>
                <w:b/>
                <w:bCs/>
                <w:sz w:val="12"/>
                <w:szCs w:val="12"/>
              </w:rPr>
              <w:t>nteresit</w:t>
            </w:r>
          </w:p>
        </w:tc>
      </w:tr>
      <w:tr w:rsidR="00723888" w:rsidRPr="00821568" w14:paraId="17AA04BF" w14:textId="77777777" w:rsidTr="003C24AC">
        <w:trPr>
          <w:trHeight w:val="2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25A232EE" w14:textId="77777777" w:rsidR="00472A4B" w:rsidRPr="00821568" w:rsidRDefault="00472A4B" w:rsidP="003C24AC">
            <w:pPr>
              <w:jc w:val="center"/>
              <w:rPr>
                <w:rFonts w:ascii="Garamond" w:hAnsi="Garamond"/>
                <w:sz w:val="12"/>
                <w:szCs w:val="12"/>
              </w:rPr>
            </w:pPr>
          </w:p>
        </w:tc>
        <w:tc>
          <w:tcPr>
            <w:tcW w:w="0" w:type="auto"/>
            <w:vMerge/>
            <w:vAlign w:val="center"/>
          </w:tcPr>
          <w:p w14:paraId="5A88A229"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Merge/>
            <w:vAlign w:val="center"/>
          </w:tcPr>
          <w:p w14:paraId="46C1E698"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Align w:val="center"/>
          </w:tcPr>
          <w:p w14:paraId="17B83E0C"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Align w:val="center"/>
          </w:tcPr>
          <w:p w14:paraId="12310A42"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Align w:val="center"/>
          </w:tcPr>
          <w:p w14:paraId="7E634CC8"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Njësitë përgjegjëse</w:t>
            </w:r>
          </w:p>
        </w:tc>
        <w:tc>
          <w:tcPr>
            <w:tcW w:w="0" w:type="auto"/>
            <w:vAlign w:val="center"/>
          </w:tcPr>
          <w:p w14:paraId="42858772"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Partnerët</w:t>
            </w:r>
          </w:p>
        </w:tc>
      </w:tr>
      <w:tr w:rsidR="00723888" w:rsidRPr="00821568" w14:paraId="242B57CC"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7084CF2D"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3.7.1</w:t>
            </w:r>
          </w:p>
        </w:tc>
        <w:tc>
          <w:tcPr>
            <w:tcW w:w="0" w:type="auto"/>
          </w:tcPr>
          <w:p w14:paraId="320CEF9A"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hAnsi="Garamond"/>
                <w:bCs/>
                <w:sz w:val="12"/>
                <w:szCs w:val="12"/>
              </w:rPr>
              <w:t>Arkitektura dhe vendosja e Aplikacionit Kombëtar të Tranzitit dhe Regjistrimi dhe Identifikimi i Operatorit Ekonomik (EORI) plotësisht në përputhje me EU-NCTS</w:t>
            </w:r>
          </w:p>
        </w:tc>
        <w:tc>
          <w:tcPr>
            <w:tcW w:w="0" w:type="auto"/>
          </w:tcPr>
          <w:p w14:paraId="3550C355"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tcPr>
          <w:p w14:paraId="76626C4B"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2024</w:t>
            </w:r>
          </w:p>
        </w:tc>
        <w:tc>
          <w:tcPr>
            <w:tcW w:w="0" w:type="auto"/>
          </w:tcPr>
          <w:p w14:paraId="38E15FF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Qershor 2026</w:t>
            </w:r>
          </w:p>
        </w:tc>
        <w:tc>
          <w:tcPr>
            <w:tcW w:w="0" w:type="auto"/>
          </w:tcPr>
          <w:p w14:paraId="392BAE7F"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DPD</w:t>
            </w:r>
          </w:p>
        </w:tc>
        <w:tc>
          <w:tcPr>
            <w:tcW w:w="0" w:type="auto"/>
          </w:tcPr>
          <w:p w14:paraId="5BD20C36"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Banka Botërore/DPD/AKSHI</w:t>
            </w:r>
          </w:p>
        </w:tc>
      </w:tr>
      <w:tr w:rsidR="00723888" w:rsidRPr="00821568" w14:paraId="6124AFC7"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2DD40155"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3.7.2</w:t>
            </w:r>
          </w:p>
        </w:tc>
        <w:tc>
          <w:tcPr>
            <w:tcW w:w="0" w:type="auto"/>
          </w:tcPr>
          <w:p w14:paraId="3943D3A6"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eastAsiaTheme="minorHAnsi" w:hAnsi="Garamond"/>
                <w:sz w:val="12"/>
                <w:szCs w:val="12"/>
              </w:rPr>
              <w:t>Implementimi dhe testimi në nivel kombëtar</w:t>
            </w:r>
          </w:p>
        </w:tc>
        <w:tc>
          <w:tcPr>
            <w:tcW w:w="0" w:type="auto"/>
          </w:tcPr>
          <w:p w14:paraId="7A1B62DD" w14:textId="2E97F36C"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Kryerja e testimeve që të japin rezultatin final t</w:t>
            </w:r>
            <w:r w:rsidR="008C0C0F" w:rsidRPr="00821568">
              <w:rPr>
                <w:rFonts w:ascii="Garamond" w:hAnsi="Garamond"/>
                <w:sz w:val="12"/>
                <w:szCs w:val="12"/>
              </w:rPr>
              <w:t>ë</w:t>
            </w:r>
            <w:r w:rsidRPr="00821568">
              <w:rPr>
                <w:rFonts w:ascii="Garamond" w:hAnsi="Garamond"/>
                <w:sz w:val="12"/>
                <w:szCs w:val="12"/>
              </w:rPr>
              <w:t xml:space="preserve"> pun</w:t>
            </w:r>
            <w:r w:rsidR="008C0C0F" w:rsidRPr="00821568">
              <w:rPr>
                <w:rFonts w:ascii="Garamond" w:hAnsi="Garamond"/>
                <w:sz w:val="12"/>
                <w:szCs w:val="12"/>
              </w:rPr>
              <w:t>ë</w:t>
            </w:r>
            <w:r w:rsidRPr="00821568">
              <w:rPr>
                <w:rFonts w:ascii="Garamond" w:hAnsi="Garamond"/>
                <w:sz w:val="12"/>
                <w:szCs w:val="12"/>
              </w:rPr>
              <w:t>s s</w:t>
            </w:r>
            <w:r w:rsidR="008C0C0F" w:rsidRPr="00821568">
              <w:rPr>
                <w:rFonts w:ascii="Garamond" w:hAnsi="Garamond"/>
                <w:sz w:val="12"/>
                <w:szCs w:val="12"/>
              </w:rPr>
              <w:t>ë</w:t>
            </w:r>
            <w:r w:rsidRPr="00821568">
              <w:rPr>
                <w:rFonts w:ascii="Garamond" w:hAnsi="Garamond"/>
                <w:sz w:val="12"/>
                <w:szCs w:val="12"/>
              </w:rPr>
              <w:t xml:space="preserve"> kompanis</w:t>
            </w:r>
            <w:r w:rsidR="008C0C0F" w:rsidRPr="00821568">
              <w:rPr>
                <w:rFonts w:ascii="Garamond" w:hAnsi="Garamond"/>
                <w:sz w:val="12"/>
                <w:szCs w:val="12"/>
              </w:rPr>
              <w:t>ë</w:t>
            </w:r>
            <w:r w:rsidRPr="00821568">
              <w:rPr>
                <w:rFonts w:ascii="Garamond" w:hAnsi="Garamond"/>
                <w:sz w:val="12"/>
                <w:szCs w:val="12"/>
              </w:rPr>
              <w:t xml:space="preserve"> zbatuese</w:t>
            </w:r>
          </w:p>
          <w:p w14:paraId="07ACB724"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tcPr>
          <w:p w14:paraId="07FAA77D"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2026</w:t>
            </w:r>
          </w:p>
        </w:tc>
        <w:tc>
          <w:tcPr>
            <w:tcW w:w="0" w:type="auto"/>
          </w:tcPr>
          <w:p w14:paraId="35F81DDC"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2027</w:t>
            </w:r>
          </w:p>
        </w:tc>
        <w:tc>
          <w:tcPr>
            <w:tcW w:w="0" w:type="auto"/>
          </w:tcPr>
          <w:p w14:paraId="0A9E444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DPD</w:t>
            </w:r>
          </w:p>
        </w:tc>
        <w:tc>
          <w:tcPr>
            <w:tcW w:w="0" w:type="auto"/>
          </w:tcPr>
          <w:p w14:paraId="74AE634E"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Banka Botërore/DPD/AKSHI</w:t>
            </w:r>
          </w:p>
        </w:tc>
      </w:tr>
      <w:tr w:rsidR="00723888" w:rsidRPr="00821568" w14:paraId="2B68FCE6"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57785CA7"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3.7.3</w:t>
            </w:r>
          </w:p>
        </w:tc>
        <w:tc>
          <w:tcPr>
            <w:tcW w:w="0" w:type="auto"/>
          </w:tcPr>
          <w:p w14:paraId="3F875A12"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Style w:val="cf01"/>
                <w:rFonts w:ascii="Garamond" w:hAnsi="Garamond"/>
                <w:bCs/>
                <w:sz w:val="12"/>
                <w:szCs w:val="12"/>
              </w:rPr>
              <w:t>Aderimi në Konventën Ndërkombëtare të Tranzitit (CTC)</w:t>
            </w:r>
          </w:p>
        </w:tc>
        <w:tc>
          <w:tcPr>
            <w:tcW w:w="0" w:type="auto"/>
          </w:tcPr>
          <w:p w14:paraId="4697317E"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tcPr>
          <w:p w14:paraId="31527728"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2027</w:t>
            </w:r>
          </w:p>
        </w:tc>
        <w:tc>
          <w:tcPr>
            <w:tcW w:w="0" w:type="auto"/>
          </w:tcPr>
          <w:p w14:paraId="43B1FED7"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Në vazhdim</w:t>
            </w:r>
          </w:p>
        </w:tc>
        <w:tc>
          <w:tcPr>
            <w:tcW w:w="0" w:type="auto"/>
          </w:tcPr>
          <w:p w14:paraId="1E8A589F"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DPD</w:t>
            </w:r>
          </w:p>
        </w:tc>
        <w:tc>
          <w:tcPr>
            <w:tcW w:w="0" w:type="auto"/>
          </w:tcPr>
          <w:p w14:paraId="3C768F6C"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Banka Botërore/DPD/AKSHI</w:t>
            </w:r>
          </w:p>
        </w:tc>
      </w:tr>
      <w:tr w:rsidR="00723888" w:rsidRPr="00821568" w14:paraId="28633A2E"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75BAD526"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3.7.4</w:t>
            </w:r>
          </w:p>
        </w:tc>
        <w:tc>
          <w:tcPr>
            <w:tcW w:w="0" w:type="auto"/>
          </w:tcPr>
          <w:p w14:paraId="1B900B97"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eastAsiaTheme="minorHAnsi" w:hAnsi="Garamond"/>
                <w:sz w:val="12"/>
                <w:szCs w:val="12"/>
              </w:rPr>
              <w:t>Lidhja e sistemit shqiptar me sistemin ndërkombëtar</w:t>
            </w:r>
          </w:p>
        </w:tc>
        <w:tc>
          <w:tcPr>
            <w:tcW w:w="0" w:type="auto"/>
          </w:tcPr>
          <w:p w14:paraId="00197235" w14:textId="3DBF87C5"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 xml:space="preserve">Zhvillim i mëtejshëm i mjedisit të TI-së të </w:t>
            </w:r>
            <w:r w:rsidRPr="00821568">
              <w:rPr>
                <w:rFonts w:ascii="Garamond" w:hAnsi="Garamond"/>
                <w:bCs/>
                <w:sz w:val="12"/>
                <w:szCs w:val="12"/>
              </w:rPr>
              <w:t>NCTS</w:t>
            </w:r>
            <w:r w:rsidR="003C24AC" w:rsidRPr="00821568">
              <w:rPr>
                <w:rFonts w:ascii="Garamond" w:hAnsi="Garamond"/>
                <w:bCs/>
                <w:sz w:val="12"/>
                <w:szCs w:val="12"/>
              </w:rPr>
              <w:t>-ve.</w:t>
            </w:r>
          </w:p>
          <w:p w14:paraId="6B3F0044" w14:textId="1701523C"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Kryerja e ndërlidhjeve mes sistemeve</w:t>
            </w:r>
            <w:r w:rsidR="003C24AC" w:rsidRPr="00821568">
              <w:rPr>
                <w:rFonts w:ascii="Garamond" w:hAnsi="Garamond"/>
                <w:sz w:val="12"/>
                <w:szCs w:val="12"/>
              </w:rPr>
              <w:t>.</w:t>
            </w:r>
          </w:p>
        </w:tc>
        <w:tc>
          <w:tcPr>
            <w:tcW w:w="0" w:type="auto"/>
          </w:tcPr>
          <w:p w14:paraId="6AFA2690"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2027</w:t>
            </w:r>
          </w:p>
        </w:tc>
        <w:tc>
          <w:tcPr>
            <w:tcW w:w="0" w:type="auto"/>
          </w:tcPr>
          <w:p w14:paraId="19A66584"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Në vazhdim</w:t>
            </w:r>
          </w:p>
        </w:tc>
        <w:tc>
          <w:tcPr>
            <w:tcW w:w="0" w:type="auto"/>
          </w:tcPr>
          <w:p w14:paraId="1F912E87"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DPD</w:t>
            </w:r>
          </w:p>
        </w:tc>
        <w:tc>
          <w:tcPr>
            <w:tcW w:w="0" w:type="auto"/>
          </w:tcPr>
          <w:p w14:paraId="1FB2C604"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Banka Botërore/DPD/AKSHI</w:t>
            </w:r>
          </w:p>
        </w:tc>
      </w:tr>
      <w:tr w:rsidR="00723888" w:rsidRPr="00821568" w14:paraId="3F563039"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gridSpan w:val="7"/>
          </w:tcPr>
          <w:p w14:paraId="1D1164D6" w14:textId="5F19E447" w:rsidR="00472A4B" w:rsidRPr="00821568" w:rsidRDefault="00472A4B" w:rsidP="00A86F37">
            <w:pPr>
              <w:rPr>
                <w:rFonts w:ascii="Garamond" w:hAnsi="Garamond"/>
                <w:sz w:val="12"/>
                <w:szCs w:val="12"/>
              </w:rPr>
            </w:pPr>
            <w:r w:rsidRPr="00821568">
              <w:rPr>
                <w:rFonts w:ascii="Garamond" w:hAnsi="Garamond"/>
                <w:sz w:val="12"/>
                <w:szCs w:val="12"/>
              </w:rPr>
              <w:t xml:space="preserve">Objektivi </w:t>
            </w:r>
            <w:r w:rsidR="003C24AC" w:rsidRPr="00821568">
              <w:rPr>
                <w:rFonts w:ascii="Garamond" w:hAnsi="Garamond"/>
                <w:sz w:val="12"/>
                <w:szCs w:val="12"/>
              </w:rPr>
              <w:t>specifik (komponenti</w:t>
            </w:r>
            <w:r w:rsidRPr="00821568">
              <w:rPr>
                <w:rFonts w:ascii="Garamond" w:hAnsi="Garamond"/>
                <w:sz w:val="12"/>
                <w:szCs w:val="12"/>
              </w:rPr>
              <w:t>) 3.8 Rritja e bashkëpunimit në luftën kundër informalitetit, kontrabandës, korrupsionit dhe importit të mallrave të falsifikuara</w:t>
            </w:r>
          </w:p>
        </w:tc>
      </w:tr>
      <w:tr w:rsidR="00723888" w:rsidRPr="00821568" w14:paraId="3DBDBFB4" w14:textId="77777777" w:rsidTr="003C24AC">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6884DA50" w14:textId="3D9C4489" w:rsidR="00472A4B" w:rsidRPr="00821568" w:rsidRDefault="00472A4B" w:rsidP="003C24AC">
            <w:pPr>
              <w:jc w:val="center"/>
              <w:rPr>
                <w:rFonts w:ascii="Garamond" w:hAnsi="Garamond"/>
                <w:sz w:val="12"/>
                <w:szCs w:val="12"/>
              </w:rPr>
            </w:pPr>
            <w:r w:rsidRPr="00821568">
              <w:rPr>
                <w:rFonts w:ascii="Garamond" w:hAnsi="Garamond"/>
                <w:sz w:val="12"/>
                <w:szCs w:val="12"/>
              </w:rPr>
              <w:t>Nr</w:t>
            </w:r>
            <w:r w:rsidR="008C0C0F" w:rsidRPr="00821568">
              <w:rPr>
                <w:rFonts w:ascii="Garamond" w:hAnsi="Garamond"/>
                <w:sz w:val="12"/>
                <w:szCs w:val="12"/>
              </w:rPr>
              <w:t>.</w:t>
            </w:r>
          </w:p>
        </w:tc>
        <w:tc>
          <w:tcPr>
            <w:tcW w:w="0" w:type="auto"/>
            <w:vMerge w:val="restart"/>
            <w:vAlign w:val="center"/>
          </w:tcPr>
          <w:p w14:paraId="4BB82693"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Masa</w:t>
            </w:r>
          </w:p>
        </w:tc>
        <w:tc>
          <w:tcPr>
            <w:tcW w:w="0" w:type="auto"/>
            <w:vMerge w:val="restart"/>
            <w:vAlign w:val="center"/>
          </w:tcPr>
          <w:p w14:paraId="72ACA460"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Aktiviteti</w:t>
            </w:r>
          </w:p>
        </w:tc>
        <w:tc>
          <w:tcPr>
            <w:tcW w:w="0" w:type="auto"/>
            <w:vAlign w:val="center"/>
          </w:tcPr>
          <w:p w14:paraId="642AE1F2"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Fillimi</w:t>
            </w:r>
          </w:p>
        </w:tc>
        <w:tc>
          <w:tcPr>
            <w:tcW w:w="0" w:type="auto"/>
            <w:vAlign w:val="center"/>
          </w:tcPr>
          <w:p w14:paraId="5C2AF07B"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Mbarimi</w:t>
            </w:r>
          </w:p>
        </w:tc>
        <w:tc>
          <w:tcPr>
            <w:tcW w:w="0" w:type="auto"/>
            <w:gridSpan w:val="2"/>
            <w:vAlign w:val="center"/>
          </w:tcPr>
          <w:p w14:paraId="76588A47" w14:textId="57E2D77B"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 xml:space="preserve">Grupet e </w:t>
            </w:r>
            <w:r w:rsidR="003C24AC" w:rsidRPr="00821568">
              <w:rPr>
                <w:rFonts w:ascii="Garamond" w:hAnsi="Garamond"/>
                <w:b/>
                <w:bCs/>
                <w:sz w:val="12"/>
                <w:szCs w:val="12"/>
              </w:rPr>
              <w:t>i</w:t>
            </w:r>
            <w:r w:rsidRPr="00821568">
              <w:rPr>
                <w:rFonts w:ascii="Garamond" w:hAnsi="Garamond"/>
                <w:b/>
                <w:bCs/>
                <w:sz w:val="12"/>
                <w:szCs w:val="12"/>
              </w:rPr>
              <w:t>nteresit</w:t>
            </w:r>
          </w:p>
        </w:tc>
      </w:tr>
      <w:tr w:rsidR="00723888" w:rsidRPr="00821568" w14:paraId="6B526EF0" w14:textId="77777777" w:rsidTr="003C24AC">
        <w:trPr>
          <w:trHeight w:val="2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3370243F" w14:textId="77777777" w:rsidR="00472A4B" w:rsidRPr="00821568" w:rsidRDefault="00472A4B" w:rsidP="003C24AC">
            <w:pPr>
              <w:jc w:val="center"/>
              <w:rPr>
                <w:rFonts w:ascii="Garamond" w:hAnsi="Garamond"/>
                <w:sz w:val="12"/>
                <w:szCs w:val="12"/>
              </w:rPr>
            </w:pPr>
          </w:p>
        </w:tc>
        <w:tc>
          <w:tcPr>
            <w:tcW w:w="0" w:type="auto"/>
            <w:vMerge/>
            <w:vAlign w:val="center"/>
          </w:tcPr>
          <w:p w14:paraId="702B6624"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Merge/>
            <w:vAlign w:val="center"/>
          </w:tcPr>
          <w:p w14:paraId="4BFA6A70"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Align w:val="center"/>
          </w:tcPr>
          <w:p w14:paraId="60D23229"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Align w:val="center"/>
          </w:tcPr>
          <w:p w14:paraId="7ADB492D"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Align w:val="center"/>
          </w:tcPr>
          <w:p w14:paraId="49932DF8"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Njësitë përgjegjëse</w:t>
            </w:r>
          </w:p>
        </w:tc>
        <w:tc>
          <w:tcPr>
            <w:tcW w:w="0" w:type="auto"/>
            <w:vAlign w:val="center"/>
          </w:tcPr>
          <w:p w14:paraId="2E576F37"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Partnerët</w:t>
            </w:r>
          </w:p>
        </w:tc>
      </w:tr>
      <w:tr w:rsidR="00723888" w:rsidRPr="00821568" w14:paraId="3F0D4188"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5476E4D9"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3.8.1</w:t>
            </w:r>
          </w:p>
        </w:tc>
        <w:tc>
          <w:tcPr>
            <w:tcW w:w="0" w:type="auto"/>
          </w:tcPr>
          <w:p w14:paraId="703635D1"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eastAsiaTheme="minorHAnsi" w:hAnsi="Garamond"/>
                <w:bCs/>
                <w:sz w:val="12"/>
                <w:szCs w:val="12"/>
              </w:rPr>
              <w:t>Bashkëpunimit me organet ligjzbatuese për rritjen e kapjeve të mallrave të falsifikuar</w:t>
            </w:r>
          </w:p>
        </w:tc>
        <w:tc>
          <w:tcPr>
            <w:tcW w:w="0" w:type="auto"/>
          </w:tcPr>
          <w:p w14:paraId="6ABB7CB9"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tcPr>
          <w:p w14:paraId="35ACB154"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2024</w:t>
            </w:r>
          </w:p>
        </w:tc>
        <w:tc>
          <w:tcPr>
            <w:tcW w:w="0" w:type="auto"/>
          </w:tcPr>
          <w:p w14:paraId="3D1BC17A"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2027</w:t>
            </w:r>
          </w:p>
        </w:tc>
        <w:tc>
          <w:tcPr>
            <w:tcW w:w="0" w:type="auto"/>
          </w:tcPr>
          <w:p w14:paraId="6CDA369D"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DPD/Drejtoria e Markave dhe Patentave</w:t>
            </w:r>
          </w:p>
        </w:tc>
        <w:tc>
          <w:tcPr>
            <w:tcW w:w="0" w:type="auto"/>
          </w:tcPr>
          <w:p w14:paraId="0A6E2850"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r>
      <w:tr w:rsidR="00723888" w:rsidRPr="00821568" w14:paraId="0D6CBA4C"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7A97C848"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3.8.2</w:t>
            </w:r>
          </w:p>
        </w:tc>
        <w:tc>
          <w:tcPr>
            <w:tcW w:w="0" w:type="auto"/>
          </w:tcPr>
          <w:p w14:paraId="2BEB761B"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r w:rsidRPr="00821568">
              <w:rPr>
                <w:rFonts w:ascii="Garamond" w:eastAsiaTheme="minorHAnsi" w:hAnsi="Garamond"/>
                <w:sz w:val="12"/>
                <w:szCs w:val="12"/>
              </w:rPr>
              <w:t>Shkëmbimi i informacionit me doganat homologe</w:t>
            </w:r>
          </w:p>
        </w:tc>
        <w:tc>
          <w:tcPr>
            <w:tcW w:w="0" w:type="auto"/>
          </w:tcPr>
          <w:p w14:paraId="031EBEB5"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tcPr>
          <w:p w14:paraId="4D86D183"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2024</w:t>
            </w:r>
          </w:p>
        </w:tc>
        <w:tc>
          <w:tcPr>
            <w:tcW w:w="0" w:type="auto"/>
          </w:tcPr>
          <w:p w14:paraId="48206B6E"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2027</w:t>
            </w:r>
          </w:p>
        </w:tc>
        <w:tc>
          <w:tcPr>
            <w:tcW w:w="0" w:type="auto"/>
          </w:tcPr>
          <w:p w14:paraId="1EC62777"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DPD/Drejtoria e Markave dhe Patentave</w:t>
            </w:r>
          </w:p>
        </w:tc>
        <w:tc>
          <w:tcPr>
            <w:tcW w:w="0" w:type="auto"/>
          </w:tcPr>
          <w:p w14:paraId="32E4C52A"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r>
      <w:tr w:rsidR="00723888" w:rsidRPr="00821568" w14:paraId="0F0A5009"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1F33A784"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3.8.3</w:t>
            </w:r>
          </w:p>
        </w:tc>
        <w:tc>
          <w:tcPr>
            <w:tcW w:w="0" w:type="auto"/>
          </w:tcPr>
          <w:p w14:paraId="1BAE2562"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eastAsiaTheme="minorHAnsi" w:hAnsi="Garamond"/>
                <w:sz w:val="12"/>
                <w:szCs w:val="12"/>
              </w:rPr>
            </w:pPr>
            <w:r w:rsidRPr="00821568">
              <w:rPr>
                <w:rFonts w:ascii="Garamond" w:eastAsiaTheme="minorHAnsi" w:hAnsi="Garamond"/>
                <w:sz w:val="12"/>
                <w:szCs w:val="12"/>
              </w:rPr>
              <w:t>Bashkëpunimi me kompanitë importuese për sensibilizimin/regjistrimin/verifikimin e markave origjinuese</w:t>
            </w:r>
          </w:p>
          <w:p w14:paraId="02DCDD73"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Cs/>
                <w:sz w:val="12"/>
                <w:szCs w:val="12"/>
              </w:rPr>
            </w:pPr>
          </w:p>
        </w:tc>
        <w:tc>
          <w:tcPr>
            <w:tcW w:w="0" w:type="auto"/>
          </w:tcPr>
          <w:p w14:paraId="6E2824C5"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tcPr>
          <w:p w14:paraId="151788EA"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2024</w:t>
            </w:r>
          </w:p>
        </w:tc>
        <w:tc>
          <w:tcPr>
            <w:tcW w:w="0" w:type="auto"/>
          </w:tcPr>
          <w:p w14:paraId="42EC406A"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2027</w:t>
            </w:r>
          </w:p>
        </w:tc>
        <w:tc>
          <w:tcPr>
            <w:tcW w:w="0" w:type="auto"/>
          </w:tcPr>
          <w:p w14:paraId="7C700051"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DPD/Drejtoria e Markave dhe Patentave</w:t>
            </w:r>
          </w:p>
        </w:tc>
        <w:tc>
          <w:tcPr>
            <w:tcW w:w="0" w:type="auto"/>
          </w:tcPr>
          <w:p w14:paraId="6FC90D26"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r>
      <w:tr w:rsidR="00723888" w:rsidRPr="00821568" w14:paraId="5A968388"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gridSpan w:val="7"/>
          </w:tcPr>
          <w:p w14:paraId="237F02AE" w14:textId="44F4924A" w:rsidR="00472A4B" w:rsidRPr="00821568" w:rsidRDefault="00472A4B" w:rsidP="00A86F37">
            <w:pPr>
              <w:rPr>
                <w:rFonts w:ascii="Garamond" w:hAnsi="Garamond"/>
                <w:sz w:val="12"/>
                <w:szCs w:val="12"/>
              </w:rPr>
            </w:pPr>
            <w:r w:rsidRPr="00821568">
              <w:rPr>
                <w:rFonts w:ascii="Garamond" w:hAnsi="Garamond"/>
                <w:sz w:val="12"/>
                <w:szCs w:val="12"/>
              </w:rPr>
              <w:t xml:space="preserve">Objektivi </w:t>
            </w:r>
            <w:r w:rsidR="003C24AC" w:rsidRPr="00821568">
              <w:rPr>
                <w:rFonts w:ascii="Garamond" w:hAnsi="Garamond"/>
                <w:sz w:val="12"/>
                <w:szCs w:val="12"/>
              </w:rPr>
              <w:t>specifik (komponenti</w:t>
            </w:r>
            <w:r w:rsidRPr="00821568">
              <w:rPr>
                <w:rFonts w:ascii="Garamond" w:hAnsi="Garamond"/>
                <w:sz w:val="12"/>
                <w:szCs w:val="12"/>
              </w:rPr>
              <w:t>) 3.9 Zgjerimi i shkëmbimit të informacionit me partnerët vendas dhe ndërkombëtarë për të përmirësuar profilin e riskut</w:t>
            </w:r>
          </w:p>
        </w:tc>
      </w:tr>
      <w:tr w:rsidR="00723888" w:rsidRPr="00821568" w14:paraId="549920D0" w14:textId="77777777" w:rsidTr="003C24AC">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14:paraId="5B40ECB2" w14:textId="2EFE1982" w:rsidR="00472A4B" w:rsidRPr="00821568" w:rsidRDefault="00472A4B" w:rsidP="003C24AC">
            <w:pPr>
              <w:jc w:val="center"/>
              <w:rPr>
                <w:rFonts w:ascii="Garamond" w:hAnsi="Garamond"/>
                <w:sz w:val="12"/>
                <w:szCs w:val="12"/>
              </w:rPr>
            </w:pPr>
            <w:r w:rsidRPr="00821568">
              <w:rPr>
                <w:rFonts w:ascii="Garamond" w:hAnsi="Garamond"/>
                <w:sz w:val="12"/>
                <w:szCs w:val="12"/>
              </w:rPr>
              <w:t>Nr</w:t>
            </w:r>
            <w:r w:rsidR="008C0C0F" w:rsidRPr="00821568">
              <w:rPr>
                <w:rFonts w:ascii="Garamond" w:hAnsi="Garamond"/>
                <w:sz w:val="12"/>
                <w:szCs w:val="12"/>
              </w:rPr>
              <w:t>.</w:t>
            </w:r>
          </w:p>
        </w:tc>
        <w:tc>
          <w:tcPr>
            <w:tcW w:w="0" w:type="auto"/>
            <w:vMerge w:val="restart"/>
            <w:vAlign w:val="center"/>
          </w:tcPr>
          <w:p w14:paraId="64C53EE8"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Masa</w:t>
            </w:r>
          </w:p>
        </w:tc>
        <w:tc>
          <w:tcPr>
            <w:tcW w:w="0" w:type="auto"/>
            <w:vMerge w:val="restart"/>
            <w:vAlign w:val="center"/>
          </w:tcPr>
          <w:p w14:paraId="7E0B26BD"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Aktiviteti</w:t>
            </w:r>
          </w:p>
        </w:tc>
        <w:tc>
          <w:tcPr>
            <w:tcW w:w="0" w:type="auto"/>
            <w:vAlign w:val="center"/>
          </w:tcPr>
          <w:p w14:paraId="0CDA2669"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Fillimi</w:t>
            </w:r>
          </w:p>
        </w:tc>
        <w:tc>
          <w:tcPr>
            <w:tcW w:w="0" w:type="auto"/>
            <w:vAlign w:val="center"/>
          </w:tcPr>
          <w:p w14:paraId="28004677"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Mbarimi</w:t>
            </w:r>
          </w:p>
        </w:tc>
        <w:tc>
          <w:tcPr>
            <w:tcW w:w="0" w:type="auto"/>
            <w:gridSpan w:val="2"/>
            <w:vAlign w:val="center"/>
          </w:tcPr>
          <w:p w14:paraId="2D9BFF2D" w14:textId="2346E19A"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 xml:space="preserve">Grupet e </w:t>
            </w:r>
            <w:r w:rsidR="003C24AC" w:rsidRPr="00821568">
              <w:rPr>
                <w:rFonts w:ascii="Garamond" w:hAnsi="Garamond"/>
                <w:b/>
                <w:bCs/>
                <w:sz w:val="12"/>
                <w:szCs w:val="12"/>
              </w:rPr>
              <w:t>i</w:t>
            </w:r>
            <w:r w:rsidRPr="00821568">
              <w:rPr>
                <w:rFonts w:ascii="Garamond" w:hAnsi="Garamond"/>
                <w:b/>
                <w:bCs/>
                <w:sz w:val="12"/>
                <w:szCs w:val="12"/>
              </w:rPr>
              <w:t>nteresit</w:t>
            </w:r>
          </w:p>
        </w:tc>
      </w:tr>
      <w:tr w:rsidR="00723888" w:rsidRPr="00821568" w14:paraId="504D84C7" w14:textId="77777777" w:rsidTr="003C24AC">
        <w:trPr>
          <w:trHeight w:val="20"/>
        </w:trPr>
        <w:tc>
          <w:tcPr>
            <w:cnfStyle w:val="001000000000" w:firstRow="0" w:lastRow="0" w:firstColumn="1" w:lastColumn="0" w:oddVBand="0" w:evenVBand="0" w:oddHBand="0" w:evenHBand="0" w:firstRowFirstColumn="0" w:firstRowLastColumn="0" w:lastRowFirstColumn="0" w:lastRowLastColumn="0"/>
            <w:tcW w:w="0" w:type="auto"/>
            <w:vMerge/>
            <w:vAlign w:val="center"/>
          </w:tcPr>
          <w:p w14:paraId="118C9FA3" w14:textId="77777777" w:rsidR="00472A4B" w:rsidRPr="00821568" w:rsidRDefault="00472A4B" w:rsidP="003C24AC">
            <w:pPr>
              <w:jc w:val="center"/>
              <w:rPr>
                <w:rFonts w:ascii="Garamond" w:hAnsi="Garamond"/>
                <w:sz w:val="12"/>
                <w:szCs w:val="12"/>
              </w:rPr>
            </w:pPr>
          </w:p>
        </w:tc>
        <w:tc>
          <w:tcPr>
            <w:tcW w:w="0" w:type="auto"/>
            <w:vMerge/>
            <w:vAlign w:val="center"/>
          </w:tcPr>
          <w:p w14:paraId="5AD4DC0C"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Merge/>
            <w:vAlign w:val="center"/>
          </w:tcPr>
          <w:p w14:paraId="330A9C2A"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Align w:val="center"/>
          </w:tcPr>
          <w:p w14:paraId="3915CF00"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Align w:val="center"/>
          </w:tcPr>
          <w:p w14:paraId="14B30161"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vAlign w:val="center"/>
          </w:tcPr>
          <w:p w14:paraId="32489991"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Njësitë përgjegjëse</w:t>
            </w:r>
          </w:p>
        </w:tc>
        <w:tc>
          <w:tcPr>
            <w:tcW w:w="0" w:type="auto"/>
            <w:vAlign w:val="center"/>
          </w:tcPr>
          <w:p w14:paraId="2638136A" w14:textId="77777777" w:rsidR="00472A4B" w:rsidRPr="00821568" w:rsidRDefault="00472A4B" w:rsidP="003C24AC">
            <w:pPr>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b/>
                <w:bCs/>
                <w:sz w:val="12"/>
                <w:szCs w:val="12"/>
              </w:rPr>
              <w:t>Partnerët</w:t>
            </w:r>
          </w:p>
        </w:tc>
      </w:tr>
      <w:tr w:rsidR="00723888" w:rsidRPr="00821568" w14:paraId="2D9739C1"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48EB93C5"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3.9.2</w:t>
            </w:r>
          </w:p>
        </w:tc>
        <w:tc>
          <w:tcPr>
            <w:tcW w:w="0" w:type="auto"/>
          </w:tcPr>
          <w:p w14:paraId="1090BF5E"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eastAsiaTheme="minorHAnsi" w:hAnsi="Garamond"/>
                <w:sz w:val="12"/>
                <w:szCs w:val="12"/>
              </w:rPr>
              <w:t>Trajnimi i vijueshëm i pikave të kontaktit ekzistuese dhe të reja</w:t>
            </w:r>
          </w:p>
        </w:tc>
        <w:tc>
          <w:tcPr>
            <w:tcW w:w="0" w:type="auto"/>
          </w:tcPr>
          <w:p w14:paraId="1C0A219D"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p>
        </w:tc>
        <w:tc>
          <w:tcPr>
            <w:tcW w:w="0" w:type="auto"/>
          </w:tcPr>
          <w:p w14:paraId="4BB83ACF"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Janar 2024</w:t>
            </w:r>
          </w:p>
        </w:tc>
        <w:tc>
          <w:tcPr>
            <w:tcW w:w="0" w:type="auto"/>
          </w:tcPr>
          <w:p w14:paraId="75B4E892"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2027</w:t>
            </w:r>
          </w:p>
        </w:tc>
        <w:tc>
          <w:tcPr>
            <w:tcW w:w="0" w:type="auto"/>
          </w:tcPr>
          <w:p w14:paraId="384B0CEB"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DPD</w:t>
            </w:r>
          </w:p>
        </w:tc>
        <w:tc>
          <w:tcPr>
            <w:tcW w:w="0" w:type="auto"/>
          </w:tcPr>
          <w:p w14:paraId="323B7228"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Qendra e Trajnimit të Administratës Tatimore dhe Doganore</w:t>
            </w:r>
          </w:p>
        </w:tc>
      </w:tr>
      <w:tr w:rsidR="00723888" w:rsidRPr="00821568" w14:paraId="5C776F6B" w14:textId="77777777" w:rsidTr="00A86F37">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1D8F770F" w14:textId="77777777" w:rsidR="00472A4B" w:rsidRPr="00821568" w:rsidRDefault="00472A4B" w:rsidP="00A86F37">
            <w:pPr>
              <w:rPr>
                <w:rFonts w:ascii="Garamond" w:hAnsi="Garamond"/>
                <w:b w:val="0"/>
                <w:sz w:val="12"/>
                <w:szCs w:val="12"/>
              </w:rPr>
            </w:pPr>
            <w:r w:rsidRPr="00821568">
              <w:rPr>
                <w:rFonts w:ascii="Garamond" w:hAnsi="Garamond"/>
                <w:b w:val="0"/>
                <w:sz w:val="12"/>
                <w:szCs w:val="12"/>
              </w:rPr>
              <w:t>3.9.3</w:t>
            </w:r>
          </w:p>
        </w:tc>
        <w:tc>
          <w:tcPr>
            <w:tcW w:w="0" w:type="auto"/>
          </w:tcPr>
          <w:p w14:paraId="23D73B0A" w14:textId="71499E7E"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eastAsiaTheme="minorHAnsi" w:hAnsi="Garamond"/>
                <w:b/>
                <w:bCs/>
                <w:sz w:val="12"/>
                <w:szCs w:val="12"/>
              </w:rPr>
            </w:pPr>
            <w:r w:rsidRPr="00821568">
              <w:rPr>
                <w:rFonts w:ascii="Garamond" w:eastAsiaTheme="minorHAnsi" w:hAnsi="Garamond"/>
                <w:sz w:val="12"/>
                <w:szCs w:val="12"/>
              </w:rPr>
              <w:t xml:space="preserve">Trajnim i vazhdueshëm për doganierët në bazë të zgjatjes së protokollit me Doganën Italiane dhe </w:t>
            </w:r>
            <w:r w:rsidRPr="00821568">
              <w:rPr>
                <w:rFonts w:ascii="Garamond" w:eastAsiaTheme="minorHAnsi" w:hAnsi="Garamond"/>
                <w:i/>
                <w:sz w:val="12"/>
                <w:szCs w:val="12"/>
              </w:rPr>
              <w:t>Guardia di Finanza</w:t>
            </w:r>
            <w:r w:rsidRPr="00821568">
              <w:rPr>
                <w:rFonts w:ascii="Garamond" w:eastAsiaTheme="minorHAnsi" w:hAnsi="Garamond"/>
                <w:sz w:val="12"/>
                <w:szCs w:val="12"/>
              </w:rPr>
              <w:t xml:space="preserve"> edhe për vitin 2025</w:t>
            </w:r>
          </w:p>
        </w:tc>
        <w:tc>
          <w:tcPr>
            <w:tcW w:w="0" w:type="auto"/>
          </w:tcPr>
          <w:p w14:paraId="1300B824"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b/>
                <w:bCs/>
                <w:sz w:val="12"/>
                <w:szCs w:val="12"/>
              </w:rPr>
            </w:pPr>
            <w:r w:rsidRPr="00821568">
              <w:rPr>
                <w:rFonts w:ascii="Garamond" w:hAnsi="Garamond"/>
                <w:sz w:val="12"/>
                <w:szCs w:val="12"/>
              </w:rPr>
              <w:t>Janar 2025</w:t>
            </w:r>
          </w:p>
        </w:tc>
        <w:tc>
          <w:tcPr>
            <w:tcW w:w="0" w:type="auto"/>
          </w:tcPr>
          <w:p w14:paraId="1DA4F7D3"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Dhjetor 2025</w:t>
            </w:r>
          </w:p>
        </w:tc>
        <w:tc>
          <w:tcPr>
            <w:tcW w:w="0" w:type="auto"/>
          </w:tcPr>
          <w:p w14:paraId="5CC41CB6"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DPD</w:t>
            </w:r>
          </w:p>
        </w:tc>
        <w:tc>
          <w:tcPr>
            <w:tcW w:w="0" w:type="auto"/>
          </w:tcPr>
          <w:p w14:paraId="6A8E61C2"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r w:rsidRPr="00821568">
              <w:rPr>
                <w:rFonts w:ascii="Garamond" w:hAnsi="Garamond"/>
                <w:sz w:val="12"/>
                <w:szCs w:val="12"/>
              </w:rPr>
              <w:t>DPD</w:t>
            </w:r>
          </w:p>
        </w:tc>
        <w:tc>
          <w:tcPr>
            <w:tcW w:w="0" w:type="auto"/>
          </w:tcPr>
          <w:p w14:paraId="7349420A" w14:textId="77777777" w:rsidR="00472A4B" w:rsidRPr="00821568" w:rsidRDefault="00472A4B" w:rsidP="00A86F37">
            <w:pPr>
              <w:cnfStyle w:val="000000000000" w:firstRow="0" w:lastRow="0" w:firstColumn="0" w:lastColumn="0" w:oddVBand="0" w:evenVBand="0" w:oddHBand="0" w:evenHBand="0" w:firstRowFirstColumn="0" w:firstRowLastColumn="0" w:lastRowFirstColumn="0" w:lastRowLastColumn="0"/>
              <w:rPr>
                <w:rFonts w:ascii="Garamond" w:hAnsi="Garamond"/>
                <w:sz w:val="12"/>
                <w:szCs w:val="12"/>
              </w:rPr>
            </w:pPr>
          </w:p>
        </w:tc>
      </w:tr>
    </w:tbl>
    <w:p w14:paraId="6CFA4A63" w14:textId="77777777" w:rsidR="00472A4B" w:rsidRPr="00830F4C" w:rsidRDefault="00472A4B" w:rsidP="00472A4B">
      <w:pPr>
        <w:jc w:val="both"/>
        <w:rPr>
          <w:rFonts w:ascii="Garamond" w:hAnsi="Garamond"/>
          <w:b/>
          <w:bCs/>
          <w:sz w:val="20"/>
          <w:szCs w:val="20"/>
        </w:rPr>
      </w:pPr>
    </w:p>
    <w:p w14:paraId="5F9D33C5" w14:textId="7452770F" w:rsidR="003C24AC" w:rsidRDefault="00A86F37" w:rsidP="003C24AC">
      <w:pPr>
        <w:pStyle w:val="Heading1"/>
        <w:spacing w:before="0" w:line="240" w:lineRule="auto"/>
        <w:jc w:val="right"/>
        <w:rPr>
          <w:rFonts w:ascii="Times New Roman" w:hAnsi="Times New Roman"/>
          <w:b/>
          <w:color w:val="auto"/>
          <w:sz w:val="24"/>
        </w:rPr>
      </w:pPr>
      <w:bookmarkStart w:id="86" w:name="_Toc185235115"/>
      <w:r w:rsidRPr="00830F4C">
        <w:rPr>
          <w:rFonts w:ascii="Times New Roman" w:hAnsi="Times New Roman"/>
          <w:b/>
          <w:color w:val="auto"/>
          <w:sz w:val="24"/>
        </w:rPr>
        <w:t>Shtojca 2</w:t>
      </w:r>
    </w:p>
    <w:p w14:paraId="5904B518" w14:textId="305247E7" w:rsidR="00A86F37" w:rsidRPr="00830F4C" w:rsidRDefault="00A86F37" w:rsidP="003C24AC">
      <w:pPr>
        <w:pStyle w:val="Heading1"/>
        <w:spacing w:before="0" w:line="240" w:lineRule="auto"/>
        <w:jc w:val="center"/>
        <w:rPr>
          <w:rFonts w:ascii="Times New Roman" w:hAnsi="Times New Roman"/>
          <w:b/>
          <w:color w:val="auto"/>
          <w:sz w:val="24"/>
        </w:rPr>
      </w:pPr>
      <w:r w:rsidRPr="00830F4C">
        <w:rPr>
          <w:rFonts w:ascii="Times New Roman" w:hAnsi="Times New Roman"/>
          <w:b/>
          <w:color w:val="auto"/>
          <w:sz w:val="24"/>
        </w:rPr>
        <w:t>Pasaporta e Treguesve të Strategjisë Afatmesme të të Ardhurave 2024–2027</w:t>
      </w:r>
      <w:bookmarkEnd w:id="86"/>
    </w:p>
    <w:p w14:paraId="24A440BF" w14:textId="77777777" w:rsidR="00A86F37" w:rsidRPr="00830F4C" w:rsidRDefault="00A86F37" w:rsidP="00A86F37">
      <w:r w:rsidRPr="00830F4C">
        <w:rPr>
          <w:noProof/>
          <w:lang w:val="en-US"/>
        </w:rPr>
        <w:drawing>
          <wp:inline distT="0" distB="0" distL="0" distR="0" wp14:anchorId="4C7634AB" wp14:editId="6DCF60E1">
            <wp:extent cx="6634714" cy="2530652"/>
            <wp:effectExtent l="0" t="0" r="0" b="3175"/>
            <wp:docPr id="51111499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655071" cy="2538417"/>
                    </a:xfrm>
                    <a:prstGeom prst="rect">
                      <a:avLst/>
                    </a:prstGeom>
                    <a:noFill/>
                    <a:ln>
                      <a:noFill/>
                    </a:ln>
                  </pic:spPr>
                </pic:pic>
              </a:graphicData>
            </a:graphic>
          </wp:inline>
        </w:drawing>
      </w:r>
    </w:p>
    <w:p w14:paraId="4C54AFDC" w14:textId="77777777" w:rsidR="00A86F37" w:rsidRPr="00830F4C" w:rsidRDefault="00A86F37" w:rsidP="00A86F37">
      <w:r w:rsidRPr="00830F4C">
        <w:rPr>
          <w:noProof/>
          <w:lang w:val="en-US"/>
        </w:rPr>
        <w:drawing>
          <wp:inline distT="0" distB="0" distL="0" distR="0" wp14:anchorId="47C492FF" wp14:editId="5B4812D5">
            <wp:extent cx="6491621" cy="2875605"/>
            <wp:effectExtent l="0" t="0" r="4445" b="1270"/>
            <wp:docPr id="41855445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519522" cy="2887964"/>
                    </a:xfrm>
                    <a:prstGeom prst="rect">
                      <a:avLst/>
                    </a:prstGeom>
                    <a:noFill/>
                    <a:ln>
                      <a:noFill/>
                    </a:ln>
                  </pic:spPr>
                </pic:pic>
              </a:graphicData>
            </a:graphic>
          </wp:inline>
        </w:drawing>
      </w:r>
    </w:p>
    <w:p w14:paraId="67EB67E8" w14:textId="77777777" w:rsidR="00A86F37" w:rsidRPr="00830F4C" w:rsidRDefault="00A86F37" w:rsidP="00A86F37">
      <w:r w:rsidRPr="00830F4C">
        <w:rPr>
          <w:noProof/>
          <w:lang w:val="en-US"/>
        </w:rPr>
        <w:drawing>
          <wp:inline distT="0" distB="0" distL="0" distR="0" wp14:anchorId="7707592E" wp14:editId="6FF537D0">
            <wp:extent cx="6432605" cy="3195125"/>
            <wp:effectExtent l="0" t="0" r="6350" b="5715"/>
            <wp:docPr id="99536171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484681" cy="3220992"/>
                    </a:xfrm>
                    <a:prstGeom prst="rect">
                      <a:avLst/>
                    </a:prstGeom>
                    <a:noFill/>
                    <a:ln>
                      <a:noFill/>
                    </a:ln>
                  </pic:spPr>
                </pic:pic>
              </a:graphicData>
            </a:graphic>
          </wp:inline>
        </w:drawing>
      </w:r>
    </w:p>
    <w:p w14:paraId="4CFE1914" w14:textId="77777777" w:rsidR="00A86F37" w:rsidRPr="00830F4C" w:rsidRDefault="00A86F37" w:rsidP="00A86F37">
      <w:r w:rsidRPr="00830F4C">
        <w:rPr>
          <w:noProof/>
          <w:lang w:val="en-US"/>
        </w:rPr>
        <w:drawing>
          <wp:inline distT="0" distB="0" distL="0" distR="0" wp14:anchorId="2D6B1B61" wp14:editId="0106129D">
            <wp:extent cx="6413017" cy="1956020"/>
            <wp:effectExtent l="0" t="0" r="6985" b="6350"/>
            <wp:docPr id="60333075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448846" cy="1966948"/>
                    </a:xfrm>
                    <a:prstGeom prst="rect">
                      <a:avLst/>
                    </a:prstGeom>
                    <a:noFill/>
                    <a:ln>
                      <a:noFill/>
                    </a:ln>
                  </pic:spPr>
                </pic:pic>
              </a:graphicData>
            </a:graphic>
          </wp:inline>
        </w:drawing>
      </w:r>
    </w:p>
    <w:p w14:paraId="4B150063" w14:textId="77777777" w:rsidR="00A86F37" w:rsidRPr="00830F4C" w:rsidRDefault="00A86F37" w:rsidP="00A86F37">
      <w:r w:rsidRPr="00830F4C">
        <w:rPr>
          <w:noProof/>
          <w:lang w:val="en-US"/>
        </w:rPr>
        <w:drawing>
          <wp:inline distT="0" distB="0" distL="0" distR="0" wp14:anchorId="6104B141" wp14:editId="0C10E881">
            <wp:extent cx="6085840" cy="2455545"/>
            <wp:effectExtent l="0" t="0" r="0" b="1905"/>
            <wp:docPr id="87252389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085840" cy="2455545"/>
                    </a:xfrm>
                    <a:prstGeom prst="rect">
                      <a:avLst/>
                    </a:prstGeom>
                    <a:noFill/>
                    <a:ln>
                      <a:noFill/>
                    </a:ln>
                  </pic:spPr>
                </pic:pic>
              </a:graphicData>
            </a:graphic>
          </wp:inline>
        </w:drawing>
      </w:r>
    </w:p>
    <w:p w14:paraId="7FBCB3EC" w14:textId="77777777" w:rsidR="00A86F37" w:rsidRPr="00830F4C" w:rsidRDefault="00A86F37" w:rsidP="00A86F37">
      <w:r w:rsidRPr="00830F4C">
        <w:rPr>
          <w:noProof/>
          <w:lang w:val="en-US"/>
        </w:rPr>
        <w:drawing>
          <wp:inline distT="0" distB="0" distL="0" distR="0" wp14:anchorId="7FB44C4A" wp14:editId="42DFB243">
            <wp:extent cx="5731510" cy="7917180"/>
            <wp:effectExtent l="0" t="0" r="2540" b="7620"/>
            <wp:docPr id="200223656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31510" cy="7917180"/>
                    </a:xfrm>
                    <a:prstGeom prst="rect">
                      <a:avLst/>
                    </a:prstGeom>
                    <a:noFill/>
                    <a:ln>
                      <a:noFill/>
                    </a:ln>
                  </pic:spPr>
                </pic:pic>
              </a:graphicData>
            </a:graphic>
          </wp:inline>
        </w:drawing>
      </w:r>
    </w:p>
    <w:p w14:paraId="054F5C66" w14:textId="77777777" w:rsidR="00A86F37" w:rsidRPr="00830F4C" w:rsidRDefault="00A86F37" w:rsidP="00A86F37"/>
    <w:p w14:paraId="50986BAD" w14:textId="77777777" w:rsidR="00A86F37" w:rsidRPr="00830F4C" w:rsidRDefault="00A86F37" w:rsidP="00A86F37">
      <w:r w:rsidRPr="00830F4C">
        <w:rPr>
          <w:noProof/>
          <w:lang w:val="en-US"/>
        </w:rPr>
        <w:drawing>
          <wp:inline distT="0" distB="0" distL="0" distR="0" wp14:anchorId="1AC68617" wp14:editId="4D12DA59">
            <wp:extent cx="5731510" cy="2863850"/>
            <wp:effectExtent l="0" t="0" r="2540" b="0"/>
            <wp:docPr id="213365023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31510" cy="2863850"/>
                    </a:xfrm>
                    <a:prstGeom prst="rect">
                      <a:avLst/>
                    </a:prstGeom>
                    <a:noFill/>
                    <a:ln>
                      <a:noFill/>
                    </a:ln>
                  </pic:spPr>
                </pic:pic>
              </a:graphicData>
            </a:graphic>
          </wp:inline>
        </w:drawing>
      </w:r>
    </w:p>
    <w:p w14:paraId="0267B5A7" w14:textId="77777777" w:rsidR="00A86F37" w:rsidRPr="00830F4C" w:rsidRDefault="00A86F37" w:rsidP="00472A4B">
      <w:pPr>
        <w:jc w:val="both"/>
        <w:rPr>
          <w:rFonts w:ascii="Garamond" w:hAnsi="Garamond"/>
          <w:b/>
          <w:bCs/>
          <w:sz w:val="20"/>
          <w:szCs w:val="20"/>
        </w:rPr>
      </w:pPr>
    </w:p>
    <w:p w14:paraId="596BEF2D" w14:textId="1CC36ABD" w:rsidR="003C24AC" w:rsidRDefault="00A86F37" w:rsidP="003C24AC">
      <w:pPr>
        <w:pStyle w:val="Heading1"/>
        <w:spacing w:before="0" w:line="240" w:lineRule="auto"/>
        <w:jc w:val="right"/>
        <w:rPr>
          <w:rFonts w:ascii="Garamond" w:hAnsi="Garamond"/>
          <w:b/>
          <w:color w:val="auto"/>
          <w:sz w:val="24"/>
        </w:rPr>
      </w:pPr>
      <w:bookmarkStart w:id="87" w:name="_Toc185235116"/>
      <w:r w:rsidRPr="00830F4C">
        <w:rPr>
          <w:rFonts w:ascii="Garamond" w:hAnsi="Garamond"/>
          <w:b/>
          <w:color w:val="auto"/>
          <w:sz w:val="24"/>
        </w:rPr>
        <w:t xml:space="preserve">Shtojca 3 </w:t>
      </w:r>
    </w:p>
    <w:p w14:paraId="5FB06710" w14:textId="0EE09976" w:rsidR="00A86F37" w:rsidRPr="00830F4C" w:rsidRDefault="00A86F37" w:rsidP="003C24AC">
      <w:pPr>
        <w:pStyle w:val="Heading1"/>
        <w:spacing w:before="0" w:line="240" w:lineRule="auto"/>
        <w:jc w:val="center"/>
        <w:rPr>
          <w:rFonts w:ascii="Garamond" w:hAnsi="Garamond"/>
          <w:b/>
          <w:color w:val="auto"/>
          <w:sz w:val="24"/>
        </w:rPr>
      </w:pPr>
      <w:r w:rsidRPr="00830F4C">
        <w:rPr>
          <w:rFonts w:ascii="Garamond" w:hAnsi="Garamond"/>
          <w:b/>
          <w:color w:val="auto"/>
          <w:sz w:val="24"/>
        </w:rPr>
        <w:t>Vlerësimi i kostove dhe financimi sipas objektivave specifikë (komponentëve)</w:t>
      </w:r>
      <w:bookmarkEnd w:id="87"/>
    </w:p>
    <w:tbl>
      <w:tblPr>
        <w:tblW w:w="9241" w:type="dxa"/>
        <w:tblLook w:val="04A0" w:firstRow="1" w:lastRow="0" w:firstColumn="1" w:lastColumn="0" w:noHBand="0" w:noVBand="1"/>
      </w:tblPr>
      <w:tblGrid>
        <w:gridCol w:w="390"/>
        <w:gridCol w:w="1675"/>
        <w:gridCol w:w="990"/>
        <w:gridCol w:w="1982"/>
        <w:gridCol w:w="628"/>
        <w:gridCol w:w="762"/>
        <w:gridCol w:w="508"/>
        <w:gridCol w:w="853"/>
        <w:gridCol w:w="791"/>
        <w:gridCol w:w="662"/>
      </w:tblGrid>
      <w:tr w:rsidR="00723888" w:rsidRPr="00821568" w14:paraId="6A33CA3A" w14:textId="77777777" w:rsidTr="00723888">
        <w:trPr>
          <w:trHeight w:val="145"/>
        </w:trPr>
        <w:tc>
          <w:tcPr>
            <w:tcW w:w="0" w:type="auto"/>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0D6EAEC7" w14:textId="09ADBACF" w:rsidR="00A86F37" w:rsidRPr="00821568" w:rsidRDefault="00A86F37" w:rsidP="00723888">
            <w:pPr>
              <w:jc w:val="center"/>
              <w:rPr>
                <w:rFonts w:ascii="Garamond" w:hAnsi="Garamond"/>
                <w:b/>
                <w:sz w:val="12"/>
                <w:szCs w:val="12"/>
              </w:rPr>
            </w:pPr>
            <w:r w:rsidRPr="00821568">
              <w:rPr>
                <w:rFonts w:ascii="Garamond" w:hAnsi="Garamond"/>
                <w:b/>
                <w:sz w:val="12"/>
                <w:szCs w:val="12"/>
              </w:rPr>
              <w:t xml:space="preserve">Plani i Veprimit i Strategjisë </w:t>
            </w:r>
            <w:r w:rsidR="003C24AC" w:rsidRPr="00821568">
              <w:rPr>
                <w:rFonts w:ascii="Garamond" w:hAnsi="Garamond"/>
                <w:b/>
                <w:sz w:val="12"/>
                <w:szCs w:val="12"/>
              </w:rPr>
              <w:t>Afatmesme</w:t>
            </w:r>
            <w:r w:rsidRPr="00821568">
              <w:rPr>
                <w:rFonts w:ascii="Garamond" w:hAnsi="Garamond"/>
                <w:b/>
                <w:sz w:val="12"/>
                <w:szCs w:val="12"/>
              </w:rPr>
              <w:t xml:space="preserve"> të të Ardhurave</w:t>
            </w:r>
            <w:r w:rsidR="00800B00" w:rsidRPr="00821568">
              <w:rPr>
                <w:rFonts w:ascii="Garamond" w:hAnsi="Garamond"/>
                <w:b/>
                <w:sz w:val="12"/>
                <w:szCs w:val="12"/>
              </w:rPr>
              <w:t xml:space="preserve"> </w:t>
            </w:r>
            <w:r w:rsidR="00D22EA5" w:rsidRPr="00821568">
              <w:rPr>
                <w:rFonts w:ascii="Garamond" w:hAnsi="Garamond"/>
                <w:b/>
                <w:sz w:val="12"/>
                <w:szCs w:val="12"/>
              </w:rPr>
              <w:t>2024–2027</w:t>
            </w:r>
          </w:p>
        </w:tc>
      </w:tr>
      <w:tr w:rsidR="00723888" w:rsidRPr="00821568" w14:paraId="7E244072" w14:textId="77777777" w:rsidTr="00723888">
        <w:trPr>
          <w:trHeight w:val="143"/>
        </w:trPr>
        <w:tc>
          <w:tcPr>
            <w:tcW w:w="0" w:type="auto"/>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5FE20D47" w14:textId="6C297962" w:rsidR="00A86F37" w:rsidRPr="00821568" w:rsidRDefault="00A86F37" w:rsidP="00723888">
            <w:pPr>
              <w:jc w:val="center"/>
              <w:rPr>
                <w:rFonts w:ascii="Garamond" w:hAnsi="Garamond"/>
                <w:b/>
                <w:bCs/>
                <w:sz w:val="12"/>
                <w:szCs w:val="12"/>
              </w:rPr>
            </w:pPr>
            <w:r w:rsidRPr="00821568">
              <w:rPr>
                <w:rFonts w:ascii="Garamond" w:hAnsi="Garamond"/>
                <w:b/>
                <w:bCs/>
                <w:sz w:val="12"/>
                <w:szCs w:val="12"/>
              </w:rPr>
              <w:t xml:space="preserve"> Qëllimi i </w:t>
            </w:r>
            <w:r w:rsidR="003C24AC" w:rsidRPr="00821568">
              <w:rPr>
                <w:rFonts w:ascii="Garamond" w:hAnsi="Garamond"/>
                <w:b/>
                <w:bCs/>
                <w:sz w:val="12"/>
                <w:szCs w:val="12"/>
              </w:rPr>
              <w:t>p</w:t>
            </w:r>
            <w:r w:rsidRPr="00821568">
              <w:rPr>
                <w:rFonts w:ascii="Garamond" w:hAnsi="Garamond"/>
                <w:b/>
                <w:bCs/>
                <w:sz w:val="12"/>
                <w:szCs w:val="12"/>
              </w:rPr>
              <w:t>olitikës (</w:t>
            </w:r>
            <w:r w:rsidR="003C24AC" w:rsidRPr="00821568">
              <w:rPr>
                <w:rFonts w:ascii="Garamond" w:hAnsi="Garamond"/>
                <w:b/>
                <w:bCs/>
                <w:sz w:val="12"/>
                <w:szCs w:val="12"/>
              </w:rPr>
              <w:t>s</w:t>
            </w:r>
            <w:r w:rsidRPr="00821568">
              <w:rPr>
                <w:rFonts w:ascii="Garamond" w:hAnsi="Garamond"/>
                <w:b/>
                <w:bCs/>
                <w:sz w:val="12"/>
                <w:szCs w:val="12"/>
              </w:rPr>
              <w:t>htylla) 1: Rishikimi i politikës tatimore</w:t>
            </w:r>
            <w:r w:rsidRPr="00821568">
              <w:rPr>
                <w:rFonts w:ascii="Garamond" w:hAnsi="Garamond"/>
                <w:b/>
                <w:bCs/>
                <w:sz w:val="12"/>
                <w:szCs w:val="12"/>
              </w:rPr>
              <w:br/>
              <w:t>Programet buxhetore që kontribuojnë në objektivin politik: MF-01110 - Planifikimi, Menaxhimi, Administrimi</w:t>
            </w:r>
          </w:p>
        </w:tc>
      </w:tr>
      <w:tr w:rsidR="00723888" w:rsidRPr="00821568" w14:paraId="662929AB" w14:textId="77777777" w:rsidTr="00723888">
        <w:trPr>
          <w:trHeight w:val="121"/>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4FC94595" w14:textId="77777777" w:rsidR="00A86F37" w:rsidRPr="00821568" w:rsidRDefault="00A86F37" w:rsidP="00723888">
            <w:pPr>
              <w:jc w:val="center"/>
              <w:rPr>
                <w:rFonts w:ascii="Garamond" w:hAnsi="Garamond"/>
                <w:b/>
                <w:sz w:val="12"/>
                <w:szCs w:val="12"/>
              </w:rPr>
            </w:pPr>
            <w:r w:rsidRPr="00821568">
              <w:rPr>
                <w:rFonts w:ascii="Garamond" w:hAnsi="Garamond"/>
                <w:b/>
                <w:sz w:val="12"/>
                <w:szCs w:val="12"/>
              </w:rPr>
              <w:t>Nr.</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777F3BD1" w14:textId="77777777" w:rsidR="00A86F37" w:rsidRPr="00821568" w:rsidRDefault="00A86F37" w:rsidP="00723888">
            <w:pPr>
              <w:jc w:val="center"/>
              <w:rPr>
                <w:rFonts w:ascii="Garamond" w:hAnsi="Garamond"/>
                <w:b/>
                <w:sz w:val="12"/>
                <w:szCs w:val="12"/>
              </w:rPr>
            </w:pPr>
            <w:r w:rsidRPr="00821568">
              <w:rPr>
                <w:rFonts w:ascii="Garamond" w:hAnsi="Garamond"/>
                <w:b/>
                <w:sz w:val="12"/>
                <w:szCs w:val="12"/>
              </w:rPr>
              <w:t>Titulli</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6726C732" w14:textId="77777777" w:rsidR="00A86F37" w:rsidRPr="00821568" w:rsidRDefault="00A86F37" w:rsidP="00723888">
            <w:pPr>
              <w:jc w:val="center"/>
              <w:rPr>
                <w:rFonts w:ascii="Garamond" w:hAnsi="Garamond"/>
                <w:b/>
                <w:sz w:val="12"/>
                <w:szCs w:val="12"/>
              </w:rPr>
            </w:pPr>
            <w:r w:rsidRPr="00821568">
              <w:rPr>
                <w:rFonts w:ascii="Garamond" w:hAnsi="Garamond"/>
                <w:b/>
                <w:sz w:val="12"/>
                <w:szCs w:val="12"/>
              </w:rPr>
              <w:t>Institucionet</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55B4B62F" w14:textId="77777777" w:rsidR="00A86F37" w:rsidRPr="00821568" w:rsidRDefault="00A86F37" w:rsidP="00723888">
            <w:pPr>
              <w:jc w:val="center"/>
              <w:rPr>
                <w:rFonts w:ascii="Garamond" w:hAnsi="Garamond"/>
                <w:b/>
                <w:sz w:val="12"/>
                <w:szCs w:val="12"/>
              </w:rPr>
            </w:pPr>
            <w:r w:rsidRPr="00821568">
              <w:rPr>
                <w:rFonts w:ascii="Garamond" w:hAnsi="Garamond"/>
                <w:b/>
                <w:sz w:val="12"/>
                <w:szCs w:val="12"/>
              </w:rPr>
              <w:t>Periudha e zbatimit</w:t>
            </w:r>
          </w:p>
        </w:tc>
        <w:tc>
          <w:tcPr>
            <w:tcW w:w="0" w:type="auto"/>
            <w:gridSpan w:val="4"/>
            <w:tcBorders>
              <w:top w:val="single" w:sz="4" w:space="0" w:color="auto"/>
              <w:left w:val="nil"/>
              <w:bottom w:val="single" w:sz="4" w:space="0" w:color="auto"/>
              <w:right w:val="single" w:sz="4" w:space="0" w:color="auto"/>
            </w:tcBorders>
            <w:shd w:val="clear" w:color="auto" w:fill="auto"/>
            <w:vAlign w:val="center"/>
            <w:hideMark/>
          </w:tcPr>
          <w:p w14:paraId="10BE0DEE" w14:textId="779B7455" w:rsidR="00A86F37" w:rsidRPr="00821568" w:rsidRDefault="00A86F37" w:rsidP="00723888">
            <w:pPr>
              <w:jc w:val="center"/>
              <w:rPr>
                <w:rFonts w:ascii="Garamond" w:hAnsi="Garamond"/>
                <w:b/>
                <w:sz w:val="12"/>
                <w:szCs w:val="12"/>
              </w:rPr>
            </w:pPr>
            <w:r w:rsidRPr="00821568">
              <w:rPr>
                <w:rFonts w:ascii="Garamond" w:hAnsi="Garamond"/>
                <w:b/>
                <w:sz w:val="12"/>
                <w:szCs w:val="12"/>
              </w:rPr>
              <w:t>Kosto</w:t>
            </w:r>
            <w:r w:rsidR="003C24AC" w:rsidRPr="00821568">
              <w:rPr>
                <w:rFonts w:ascii="Garamond" w:hAnsi="Garamond"/>
                <w:b/>
                <w:sz w:val="12"/>
                <w:szCs w:val="12"/>
              </w:rPr>
              <w:t>ja</w:t>
            </w:r>
            <w:r w:rsidRPr="00821568">
              <w:rPr>
                <w:rFonts w:ascii="Garamond" w:hAnsi="Garamond"/>
                <w:b/>
                <w:sz w:val="12"/>
                <w:szCs w:val="12"/>
              </w:rPr>
              <w:t xml:space="preserve"> </w:t>
            </w:r>
            <w:r w:rsidR="003C24AC" w:rsidRPr="00821568">
              <w:rPr>
                <w:rFonts w:ascii="Garamond" w:hAnsi="Garamond"/>
                <w:b/>
                <w:sz w:val="12"/>
                <w:szCs w:val="12"/>
              </w:rPr>
              <w:t>totale indikative</w:t>
            </w:r>
          </w:p>
        </w:tc>
      </w:tr>
      <w:tr w:rsidR="00723888" w:rsidRPr="00821568" w14:paraId="01EFDD5C" w14:textId="77777777" w:rsidTr="00723888">
        <w:trPr>
          <w:trHeight w:val="517"/>
        </w:trPr>
        <w:tc>
          <w:tcPr>
            <w:tcW w:w="0" w:type="auto"/>
            <w:vMerge/>
            <w:tcBorders>
              <w:top w:val="nil"/>
              <w:left w:val="single" w:sz="4" w:space="0" w:color="auto"/>
              <w:bottom w:val="single" w:sz="4" w:space="0" w:color="auto"/>
              <w:right w:val="single" w:sz="4" w:space="0" w:color="auto"/>
            </w:tcBorders>
            <w:vAlign w:val="center"/>
            <w:hideMark/>
          </w:tcPr>
          <w:p w14:paraId="54306687" w14:textId="77777777" w:rsidR="00A86F37" w:rsidRPr="00821568" w:rsidRDefault="00A86F37" w:rsidP="00723888">
            <w:pP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vAlign w:val="center"/>
            <w:hideMark/>
          </w:tcPr>
          <w:p w14:paraId="5FDA27FA" w14:textId="77777777" w:rsidR="00A86F37" w:rsidRPr="00821568" w:rsidRDefault="00A86F37" w:rsidP="00723888">
            <w:pPr>
              <w:rPr>
                <w:rFonts w:ascii="Garamond" w:hAnsi="Garamond"/>
                <w:b/>
                <w:sz w:val="12"/>
                <w:szCs w:val="12"/>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F3C80FB" w14:textId="77777777" w:rsidR="00A86F37" w:rsidRPr="00821568" w:rsidRDefault="00A86F37" w:rsidP="00723888">
            <w:pPr>
              <w:jc w:val="center"/>
              <w:rPr>
                <w:rFonts w:ascii="Garamond" w:hAnsi="Garamond"/>
                <w:b/>
                <w:sz w:val="12"/>
                <w:szCs w:val="12"/>
              </w:rPr>
            </w:pPr>
            <w:r w:rsidRPr="00821568">
              <w:rPr>
                <w:rFonts w:ascii="Garamond" w:hAnsi="Garamond"/>
                <w:b/>
                <w:sz w:val="12"/>
                <w:szCs w:val="12"/>
              </w:rPr>
              <w:t>Institucionet përgjegjëse</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F2CEAE2" w14:textId="77777777" w:rsidR="00A86F37" w:rsidRPr="00821568" w:rsidRDefault="00A86F37" w:rsidP="00723888">
            <w:pPr>
              <w:jc w:val="center"/>
              <w:rPr>
                <w:rFonts w:ascii="Garamond" w:hAnsi="Garamond"/>
                <w:b/>
                <w:sz w:val="12"/>
                <w:szCs w:val="12"/>
              </w:rPr>
            </w:pPr>
            <w:r w:rsidRPr="00821568">
              <w:rPr>
                <w:rFonts w:ascii="Garamond" w:hAnsi="Garamond"/>
                <w:b/>
                <w:sz w:val="12"/>
                <w:szCs w:val="12"/>
              </w:rPr>
              <w:t>Institucionet kontribuese</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93BC7CD" w14:textId="77777777" w:rsidR="00A86F37" w:rsidRPr="00821568" w:rsidRDefault="00A86F37" w:rsidP="00723888">
            <w:pPr>
              <w:jc w:val="center"/>
              <w:rPr>
                <w:rFonts w:ascii="Garamond" w:hAnsi="Garamond"/>
                <w:b/>
                <w:sz w:val="12"/>
                <w:szCs w:val="12"/>
              </w:rPr>
            </w:pPr>
            <w:r w:rsidRPr="00821568">
              <w:rPr>
                <w:rFonts w:ascii="Garamond" w:hAnsi="Garamond"/>
                <w:b/>
                <w:sz w:val="12"/>
                <w:szCs w:val="12"/>
              </w:rPr>
              <w:t>Data e fillimit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56CEC4C" w14:textId="77777777" w:rsidR="00A86F37" w:rsidRPr="00821568" w:rsidRDefault="00A86F37" w:rsidP="00723888">
            <w:pPr>
              <w:jc w:val="center"/>
              <w:rPr>
                <w:rFonts w:ascii="Garamond" w:hAnsi="Garamond"/>
                <w:b/>
                <w:sz w:val="12"/>
                <w:szCs w:val="12"/>
              </w:rPr>
            </w:pPr>
            <w:r w:rsidRPr="00821568">
              <w:rPr>
                <w:rFonts w:ascii="Garamond" w:hAnsi="Garamond"/>
                <w:b/>
                <w:sz w:val="12"/>
                <w:szCs w:val="12"/>
              </w:rPr>
              <w:t>Data e mbarimit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EB1FDDF" w14:textId="2DB2D775" w:rsidR="00A86F37" w:rsidRPr="00821568" w:rsidRDefault="00A86F37" w:rsidP="00723888">
            <w:pPr>
              <w:jc w:val="center"/>
              <w:rPr>
                <w:rFonts w:ascii="Garamond" w:hAnsi="Garamond"/>
                <w:b/>
                <w:sz w:val="12"/>
                <w:szCs w:val="12"/>
              </w:rPr>
            </w:pPr>
            <w:r w:rsidRPr="00821568">
              <w:rPr>
                <w:rFonts w:ascii="Garamond" w:hAnsi="Garamond"/>
                <w:b/>
                <w:sz w:val="12"/>
                <w:szCs w:val="12"/>
              </w:rPr>
              <w:t>PBA</w:t>
            </w:r>
            <w:r w:rsidR="003C24AC" w:rsidRPr="00821568">
              <w:rPr>
                <w:rFonts w:ascii="Garamond" w:hAnsi="Garamond"/>
                <w:b/>
                <w:sz w:val="12"/>
                <w:szCs w:val="12"/>
              </w:rPr>
              <w:t>-ja</w:t>
            </w:r>
            <w:r w:rsidRPr="00821568">
              <w:rPr>
                <w:rFonts w:ascii="Garamond" w:hAnsi="Garamond"/>
                <w:b/>
                <w:sz w:val="12"/>
                <w:szCs w:val="12"/>
              </w:rPr>
              <w:t xml:space="preserve">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2D651AD2" w14:textId="77777777" w:rsidR="00A86F37" w:rsidRPr="00821568" w:rsidRDefault="00A86F37" w:rsidP="00723888">
            <w:pPr>
              <w:jc w:val="center"/>
              <w:rPr>
                <w:rFonts w:ascii="Garamond" w:hAnsi="Garamond"/>
                <w:b/>
                <w:sz w:val="12"/>
                <w:szCs w:val="12"/>
              </w:rPr>
            </w:pPr>
            <w:r w:rsidRPr="00821568">
              <w:rPr>
                <w:rFonts w:ascii="Garamond" w:hAnsi="Garamond"/>
                <w:b/>
                <w:sz w:val="12"/>
                <w:szCs w:val="12"/>
              </w:rPr>
              <w:t>Financim nga donatorët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AC2B6B8" w14:textId="45D92410" w:rsidR="00A86F37" w:rsidRPr="00821568" w:rsidRDefault="00A86F37" w:rsidP="00723888">
            <w:pPr>
              <w:jc w:val="center"/>
              <w:rPr>
                <w:rFonts w:ascii="Garamond" w:hAnsi="Garamond"/>
                <w:b/>
                <w:sz w:val="12"/>
                <w:szCs w:val="12"/>
              </w:rPr>
            </w:pPr>
            <w:r w:rsidRPr="00821568">
              <w:rPr>
                <w:rFonts w:ascii="Garamond" w:hAnsi="Garamond"/>
                <w:b/>
                <w:sz w:val="12"/>
                <w:szCs w:val="12"/>
              </w:rPr>
              <w:t xml:space="preserve">Hendeku </w:t>
            </w:r>
            <w:r w:rsidR="003C24AC" w:rsidRPr="00821568">
              <w:rPr>
                <w:rFonts w:ascii="Garamond" w:hAnsi="Garamond"/>
                <w:b/>
                <w:sz w:val="12"/>
                <w:szCs w:val="12"/>
              </w:rPr>
              <w:t>f</w:t>
            </w:r>
            <w:r w:rsidRPr="00821568">
              <w:rPr>
                <w:rFonts w:ascii="Garamond" w:hAnsi="Garamond"/>
                <w:b/>
                <w:sz w:val="12"/>
                <w:szCs w:val="12"/>
              </w:rPr>
              <w:t>inanciar</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AE86ECF" w14:textId="3449544B" w:rsidR="00A86F37" w:rsidRPr="00821568" w:rsidRDefault="00A86F37" w:rsidP="00723888">
            <w:pPr>
              <w:jc w:val="center"/>
              <w:rPr>
                <w:rFonts w:ascii="Garamond" w:hAnsi="Garamond"/>
                <w:b/>
                <w:sz w:val="12"/>
                <w:szCs w:val="12"/>
              </w:rPr>
            </w:pPr>
            <w:r w:rsidRPr="00821568">
              <w:rPr>
                <w:rFonts w:ascii="Garamond" w:hAnsi="Garamond"/>
                <w:b/>
                <w:sz w:val="12"/>
                <w:szCs w:val="12"/>
              </w:rPr>
              <w:t>Kosto</w:t>
            </w:r>
            <w:r w:rsidR="003C24AC" w:rsidRPr="00821568">
              <w:rPr>
                <w:rFonts w:ascii="Garamond" w:hAnsi="Garamond"/>
                <w:b/>
                <w:sz w:val="12"/>
                <w:szCs w:val="12"/>
              </w:rPr>
              <w:t>ja</w:t>
            </w:r>
            <w:r w:rsidRPr="00821568">
              <w:rPr>
                <w:rFonts w:ascii="Garamond" w:hAnsi="Garamond"/>
                <w:b/>
                <w:sz w:val="12"/>
                <w:szCs w:val="12"/>
              </w:rPr>
              <w:t xml:space="preserve"> totale</w:t>
            </w:r>
          </w:p>
        </w:tc>
      </w:tr>
      <w:tr w:rsidR="00723888" w:rsidRPr="00821568" w14:paraId="2F1151F3" w14:textId="77777777" w:rsidTr="00821568">
        <w:trPr>
          <w:trHeight w:val="517"/>
        </w:trPr>
        <w:tc>
          <w:tcPr>
            <w:tcW w:w="0" w:type="auto"/>
            <w:vMerge/>
            <w:tcBorders>
              <w:top w:val="nil"/>
              <w:left w:val="single" w:sz="4" w:space="0" w:color="auto"/>
              <w:bottom w:val="single" w:sz="4" w:space="0" w:color="auto"/>
              <w:right w:val="single" w:sz="4" w:space="0" w:color="auto"/>
            </w:tcBorders>
            <w:vAlign w:val="center"/>
            <w:hideMark/>
          </w:tcPr>
          <w:p w14:paraId="6A0BC3F2" w14:textId="77777777" w:rsidR="00A86F37" w:rsidRPr="00821568" w:rsidRDefault="00A86F37" w:rsidP="00723888">
            <w:pP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vAlign w:val="center"/>
            <w:hideMark/>
          </w:tcPr>
          <w:p w14:paraId="60691D97" w14:textId="77777777" w:rsidR="00A86F37" w:rsidRPr="00821568" w:rsidRDefault="00A86F37" w:rsidP="00723888">
            <w:pP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vAlign w:val="center"/>
            <w:hideMark/>
          </w:tcPr>
          <w:p w14:paraId="3BA1124E" w14:textId="77777777" w:rsidR="00A86F37" w:rsidRPr="00821568" w:rsidRDefault="00A86F37" w:rsidP="00723888">
            <w:pP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vAlign w:val="center"/>
            <w:hideMark/>
          </w:tcPr>
          <w:p w14:paraId="2D481C1E" w14:textId="77777777" w:rsidR="00A86F37" w:rsidRPr="00821568" w:rsidRDefault="00A86F37" w:rsidP="00723888">
            <w:pP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vAlign w:val="center"/>
            <w:hideMark/>
          </w:tcPr>
          <w:p w14:paraId="426B8650" w14:textId="77777777" w:rsidR="00A86F37" w:rsidRPr="00821568" w:rsidRDefault="00A86F37" w:rsidP="00723888">
            <w:pP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vAlign w:val="center"/>
            <w:hideMark/>
          </w:tcPr>
          <w:p w14:paraId="320C759E" w14:textId="77777777" w:rsidR="00A86F37" w:rsidRPr="00821568" w:rsidRDefault="00A86F37" w:rsidP="00723888">
            <w:pP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vAlign w:val="center"/>
            <w:hideMark/>
          </w:tcPr>
          <w:p w14:paraId="2308FDF9" w14:textId="77777777" w:rsidR="00A86F37" w:rsidRPr="00821568" w:rsidRDefault="00A86F37" w:rsidP="00723888">
            <w:pP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vAlign w:val="center"/>
            <w:hideMark/>
          </w:tcPr>
          <w:p w14:paraId="2B040F8D" w14:textId="77777777" w:rsidR="00A86F37" w:rsidRPr="00821568" w:rsidRDefault="00A86F37" w:rsidP="00723888">
            <w:pP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vAlign w:val="center"/>
            <w:hideMark/>
          </w:tcPr>
          <w:p w14:paraId="55D562BF" w14:textId="77777777" w:rsidR="00A86F37" w:rsidRPr="00821568" w:rsidRDefault="00A86F37" w:rsidP="00723888">
            <w:pP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vAlign w:val="center"/>
            <w:hideMark/>
          </w:tcPr>
          <w:p w14:paraId="763A2102" w14:textId="77777777" w:rsidR="00A86F37" w:rsidRPr="00821568" w:rsidRDefault="00A86F37" w:rsidP="00723888">
            <w:pPr>
              <w:rPr>
                <w:rFonts w:ascii="Garamond" w:hAnsi="Garamond"/>
                <w:b/>
                <w:sz w:val="12"/>
                <w:szCs w:val="12"/>
              </w:rPr>
            </w:pPr>
          </w:p>
        </w:tc>
      </w:tr>
      <w:tr w:rsidR="00723888" w:rsidRPr="00821568" w14:paraId="335BA868" w14:textId="77777777" w:rsidTr="00723888">
        <w:trPr>
          <w:trHeight w:val="201"/>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6819372" w14:textId="77777777" w:rsidR="00A86F37" w:rsidRPr="00821568" w:rsidRDefault="00A86F37" w:rsidP="00723888">
            <w:pPr>
              <w:jc w:val="center"/>
              <w:rPr>
                <w:rFonts w:ascii="Garamond" w:hAnsi="Garamond"/>
                <w:sz w:val="12"/>
                <w:szCs w:val="12"/>
              </w:rPr>
            </w:pPr>
            <w:r w:rsidRPr="00821568">
              <w:rPr>
                <w:rFonts w:ascii="Garamond" w:hAnsi="Garamond"/>
                <w:sz w:val="12"/>
                <w:szCs w:val="12"/>
              </w:rPr>
              <w:t>1.1</w:t>
            </w:r>
          </w:p>
        </w:tc>
        <w:tc>
          <w:tcPr>
            <w:tcW w:w="0" w:type="auto"/>
            <w:tcBorders>
              <w:top w:val="nil"/>
              <w:left w:val="nil"/>
              <w:bottom w:val="single" w:sz="4" w:space="0" w:color="auto"/>
              <w:right w:val="single" w:sz="4" w:space="0" w:color="auto"/>
            </w:tcBorders>
            <w:shd w:val="clear" w:color="auto" w:fill="auto"/>
            <w:vAlign w:val="center"/>
            <w:hideMark/>
          </w:tcPr>
          <w:p w14:paraId="740250C8" w14:textId="31718169" w:rsidR="00A86F37" w:rsidRPr="00821568" w:rsidRDefault="00A86F37" w:rsidP="00723888">
            <w:pPr>
              <w:rPr>
                <w:rFonts w:ascii="Garamond" w:hAnsi="Garamond"/>
                <w:sz w:val="12"/>
                <w:szCs w:val="12"/>
              </w:rPr>
            </w:pPr>
            <w:r w:rsidRPr="00821568">
              <w:rPr>
                <w:rFonts w:ascii="Garamond" w:hAnsi="Garamond"/>
                <w:sz w:val="12"/>
                <w:szCs w:val="12"/>
              </w:rPr>
              <w:t xml:space="preserve">Objektivi </w:t>
            </w:r>
            <w:r w:rsidR="003C24AC" w:rsidRPr="00821568">
              <w:rPr>
                <w:rFonts w:ascii="Garamond" w:hAnsi="Garamond"/>
                <w:sz w:val="12"/>
                <w:szCs w:val="12"/>
              </w:rPr>
              <w:t>specifik (kompone</w:t>
            </w:r>
            <w:r w:rsidRPr="00821568">
              <w:rPr>
                <w:rFonts w:ascii="Garamond" w:hAnsi="Garamond"/>
                <w:sz w:val="12"/>
                <w:szCs w:val="12"/>
              </w:rPr>
              <w:t>nti) 1.1 Rishikimi i politikës tatimore të taksave mbi konsumin</w:t>
            </w:r>
          </w:p>
        </w:tc>
        <w:tc>
          <w:tcPr>
            <w:tcW w:w="0" w:type="auto"/>
            <w:tcBorders>
              <w:top w:val="nil"/>
              <w:left w:val="nil"/>
              <w:bottom w:val="single" w:sz="4" w:space="0" w:color="auto"/>
              <w:right w:val="single" w:sz="4" w:space="0" w:color="auto"/>
            </w:tcBorders>
            <w:shd w:val="clear" w:color="auto" w:fill="auto"/>
            <w:vAlign w:val="center"/>
            <w:hideMark/>
          </w:tcPr>
          <w:p w14:paraId="17E1F6BB" w14:textId="185FB85C" w:rsidR="00A86F37" w:rsidRPr="00821568" w:rsidRDefault="00A86F37" w:rsidP="00723888">
            <w:pPr>
              <w:jc w:val="center"/>
              <w:rPr>
                <w:rFonts w:ascii="Garamond" w:hAnsi="Garamond"/>
                <w:sz w:val="12"/>
                <w:szCs w:val="12"/>
              </w:rPr>
            </w:pPr>
            <w:r w:rsidRPr="00821568">
              <w:rPr>
                <w:rFonts w:ascii="Garamond" w:hAnsi="Garamond"/>
                <w:sz w:val="12"/>
                <w:szCs w:val="12"/>
              </w:rPr>
              <w:t>MF</w:t>
            </w:r>
            <w:r w:rsidR="003C24AC" w:rsidRPr="00821568">
              <w:rPr>
                <w:rFonts w:ascii="Garamond" w:hAnsi="Garamond"/>
                <w:sz w:val="12"/>
                <w:szCs w:val="12"/>
              </w:rPr>
              <w:t>-ja,</w:t>
            </w:r>
            <w:r w:rsidRPr="00821568">
              <w:rPr>
                <w:rFonts w:ascii="Garamond" w:hAnsi="Garamond"/>
                <w:sz w:val="12"/>
                <w:szCs w:val="12"/>
              </w:rPr>
              <w:t xml:space="preserve"> DPPT</w:t>
            </w:r>
            <w:r w:rsidR="003C24AC" w:rsidRPr="00821568">
              <w:rPr>
                <w:rFonts w:ascii="Garamond" w:hAnsi="Garamond"/>
                <w:sz w:val="12"/>
                <w:szCs w:val="12"/>
              </w:rPr>
              <w:t>-ja</w:t>
            </w:r>
          </w:p>
        </w:tc>
        <w:tc>
          <w:tcPr>
            <w:tcW w:w="0" w:type="auto"/>
            <w:tcBorders>
              <w:top w:val="nil"/>
              <w:left w:val="nil"/>
              <w:bottom w:val="single" w:sz="4" w:space="0" w:color="auto"/>
              <w:right w:val="single" w:sz="4" w:space="0" w:color="auto"/>
            </w:tcBorders>
            <w:shd w:val="clear" w:color="auto" w:fill="auto"/>
            <w:vAlign w:val="center"/>
            <w:hideMark/>
          </w:tcPr>
          <w:p w14:paraId="52C310F7" w14:textId="378D754B" w:rsidR="00A86F37" w:rsidRPr="00821568" w:rsidRDefault="00A86F37" w:rsidP="00723888">
            <w:pPr>
              <w:jc w:val="center"/>
              <w:rPr>
                <w:rFonts w:ascii="Garamond" w:hAnsi="Garamond"/>
                <w:sz w:val="12"/>
                <w:szCs w:val="12"/>
              </w:rPr>
            </w:pPr>
            <w:r w:rsidRPr="00821568">
              <w:rPr>
                <w:rFonts w:ascii="Garamond" w:hAnsi="Garamond"/>
                <w:sz w:val="12"/>
                <w:szCs w:val="12"/>
              </w:rPr>
              <w:t>Asistenca e KE</w:t>
            </w:r>
            <w:r w:rsidR="003C24AC" w:rsidRPr="00821568">
              <w:rPr>
                <w:rFonts w:ascii="Garamond" w:hAnsi="Garamond"/>
                <w:sz w:val="12"/>
                <w:szCs w:val="12"/>
              </w:rPr>
              <w:t>-së</w:t>
            </w:r>
            <w:r w:rsidRPr="00821568">
              <w:rPr>
                <w:rFonts w:ascii="Garamond" w:hAnsi="Garamond"/>
                <w:sz w:val="12"/>
                <w:szCs w:val="12"/>
              </w:rPr>
              <w:t xml:space="preserve"> nëpërmjet TAEX/ </w:t>
            </w:r>
          </w:p>
          <w:p w14:paraId="206EB3F1" w14:textId="77777777" w:rsidR="00A86F37" w:rsidRPr="00821568" w:rsidRDefault="00A86F37" w:rsidP="00723888">
            <w:pPr>
              <w:jc w:val="center"/>
              <w:rPr>
                <w:rFonts w:ascii="Garamond" w:hAnsi="Garamond"/>
                <w:sz w:val="12"/>
                <w:szCs w:val="12"/>
              </w:rPr>
            </w:pPr>
            <w:r w:rsidRPr="00821568">
              <w:rPr>
                <w:rFonts w:ascii="Garamond" w:hAnsi="Garamond"/>
                <w:sz w:val="12"/>
                <w:szCs w:val="12"/>
              </w:rPr>
              <w:t>FMN</w:t>
            </w:r>
          </w:p>
        </w:tc>
        <w:tc>
          <w:tcPr>
            <w:tcW w:w="0" w:type="auto"/>
            <w:tcBorders>
              <w:top w:val="nil"/>
              <w:left w:val="nil"/>
              <w:bottom w:val="single" w:sz="4" w:space="0" w:color="auto"/>
              <w:right w:val="single" w:sz="4" w:space="0" w:color="auto"/>
            </w:tcBorders>
            <w:shd w:val="clear" w:color="auto" w:fill="auto"/>
            <w:vAlign w:val="center"/>
            <w:hideMark/>
          </w:tcPr>
          <w:p w14:paraId="51F9E0B8" w14:textId="77777777" w:rsidR="00A86F37" w:rsidRPr="00821568" w:rsidRDefault="00A86F37" w:rsidP="00723888">
            <w:pPr>
              <w:jc w:val="center"/>
              <w:rPr>
                <w:rFonts w:ascii="Garamond" w:hAnsi="Garamond"/>
                <w:sz w:val="12"/>
                <w:szCs w:val="12"/>
              </w:rPr>
            </w:pPr>
            <w:r w:rsidRPr="00821568">
              <w:rPr>
                <w:rFonts w:ascii="Garamond" w:hAnsi="Garamond"/>
                <w:sz w:val="12"/>
                <w:szCs w:val="12"/>
              </w:rPr>
              <w:t>T4 2024</w:t>
            </w:r>
          </w:p>
        </w:tc>
        <w:tc>
          <w:tcPr>
            <w:tcW w:w="0" w:type="auto"/>
            <w:tcBorders>
              <w:top w:val="nil"/>
              <w:left w:val="nil"/>
              <w:bottom w:val="single" w:sz="4" w:space="0" w:color="auto"/>
              <w:right w:val="single" w:sz="4" w:space="0" w:color="auto"/>
            </w:tcBorders>
            <w:shd w:val="clear" w:color="auto" w:fill="auto"/>
            <w:vAlign w:val="center"/>
            <w:hideMark/>
          </w:tcPr>
          <w:p w14:paraId="7A2EC736" w14:textId="77777777" w:rsidR="00A86F37" w:rsidRPr="00821568" w:rsidRDefault="00A86F37" w:rsidP="00723888">
            <w:pPr>
              <w:jc w:val="center"/>
              <w:rPr>
                <w:rFonts w:ascii="Garamond" w:hAnsi="Garamond"/>
                <w:sz w:val="12"/>
                <w:szCs w:val="12"/>
              </w:rPr>
            </w:pPr>
            <w:r w:rsidRPr="00821568">
              <w:rPr>
                <w:rFonts w:ascii="Garamond" w:hAnsi="Garamond"/>
                <w:sz w:val="12"/>
                <w:szCs w:val="12"/>
              </w:rPr>
              <w:t>T2 2027</w:t>
            </w:r>
          </w:p>
        </w:tc>
        <w:tc>
          <w:tcPr>
            <w:tcW w:w="0" w:type="auto"/>
            <w:tcBorders>
              <w:top w:val="nil"/>
              <w:left w:val="nil"/>
              <w:bottom w:val="single" w:sz="4" w:space="0" w:color="auto"/>
              <w:right w:val="single" w:sz="4" w:space="0" w:color="auto"/>
            </w:tcBorders>
            <w:shd w:val="clear" w:color="auto" w:fill="auto"/>
            <w:vAlign w:val="center"/>
            <w:hideMark/>
          </w:tcPr>
          <w:p w14:paraId="6F9D50AF" w14:textId="77777777" w:rsidR="00A86F37" w:rsidRPr="00821568" w:rsidRDefault="00A86F37" w:rsidP="00723888">
            <w:pPr>
              <w:jc w:val="center"/>
              <w:rPr>
                <w:rFonts w:ascii="Garamond" w:hAnsi="Garamond"/>
                <w:sz w:val="12"/>
                <w:szCs w:val="12"/>
              </w:rPr>
            </w:pPr>
            <w:r w:rsidRPr="00821568">
              <w:rPr>
                <w:rFonts w:ascii="Garamond" w:hAnsi="Garamond"/>
                <w:sz w:val="12"/>
                <w:szCs w:val="12"/>
              </w:rPr>
              <w:t>0</w:t>
            </w:r>
          </w:p>
        </w:tc>
        <w:tc>
          <w:tcPr>
            <w:tcW w:w="0" w:type="auto"/>
            <w:tcBorders>
              <w:top w:val="nil"/>
              <w:left w:val="nil"/>
              <w:bottom w:val="single" w:sz="4" w:space="0" w:color="auto"/>
              <w:right w:val="single" w:sz="4" w:space="0" w:color="auto"/>
            </w:tcBorders>
            <w:shd w:val="clear" w:color="auto" w:fill="auto"/>
            <w:vAlign w:val="center"/>
            <w:hideMark/>
          </w:tcPr>
          <w:p w14:paraId="012D4356" w14:textId="77777777" w:rsidR="00A86F37" w:rsidRPr="00821568" w:rsidRDefault="00A86F37" w:rsidP="00723888">
            <w:pPr>
              <w:jc w:val="center"/>
              <w:rPr>
                <w:rFonts w:ascii="Garamond" w:hAnsi="Garamond"/>
                <w:sz w:val="12"/>
                <w:szCs w:val="12"/>
              </w:rPr>
            </w:pPr>
            <w:r w:rsidRPr="00821568">
              <w:rPr>
                <w:rFonts w:ascii="Garamond" w:hAnsi="Garamond"/>
                <w:sz w:val="12"/>
                <w:szCs w:val="12"/>
              </w:rPr>
              <w:t>0</w:t>
            </w:r>
          </w:p>
        </w:tc>
        <w:tc>
          <w:tcPr>
            <w:tcW w:w="0" w:type="auto"/>
            <w:tcBorders>
              <w:top w:val="nil"/>
              <w:left w:val="nil"/>
              <w:bottom w:val="single" w:sz="4" w:space="0" w:color="auto"/>
              <w:right w:val="single" w:sz="4" w:space="0" w:color="auto"/>
            </w:tcBorders>
            <w:shd w:val="clear" w:color="auto" w:fill="auto"/>
            <w:vAlign w:val="center"/>
            <w:hideMark/>
          </w:tcPr>
          <w:p w14:paraId="407CF429" w14:textId="77777777" w:rsidR="00A86F37" w:rsidRPr="00821568" w:rsidRDefault="00A86F37" w:rsidP="00723888">
            <w:pPr>
              <w:jc w:val="center"/>
              <w:rPr>
                <w:rFonts w:ascii="Garamond" w:hAnsi="Garamond"/>
                <w:sz w:val="12"/>
                <w:szCs w:val="12"/>
              </w:rPr>
            </w:pPr>
            <w:r w:rsidRPr="00821568">
              <w:rPr>
                <w:rFonts w:ascii="Garamond" w:hAnsi="Garamond"/>
                <w:sz w:val="12"/>
                <w:szCs w:val="12"/>
              </w:rPr>
              <w:t>0</w:t>
            </w:r>
          </w:p>
        </w:tc>
        <w:tc>
          <w:tcPr>
            <w:tcW w:w="0" w:type="auto"/>
            <w:tcBorders>
              <w:top w:val="nil"/>
              <w:left w:val="nil"/>
              <w:bottom w:val="single" w:sz="4" w:space="0" w:color="auto"/>
              <w:right w:val="single" w:sz="4" w:space="0" w:color="auto"/>
            </w:tcBorders>
            <w:shd w:val="clear" w:color="auto" w:fill="auto"/>
            <w:vAlign w:val="center"/>
            <w:hideMark/>
          </w:tcPr>
          <w:p w14:paraId="14AFB266" w14:textId="77777777" w:rsidR="00A86F37" w:rsidRPr="00821568" w:rsidRDefault="00A86F37" w:rsidP="00723888">
            <w:pPr>
              <w:jc w:val="center"/>
              <w:rPr>
                <w:rFonts w:ascii="Garamond" w:hAnsi="Garamond"/>
                <w:sz w:val="12"/>
                <w:szCs w:val="12"/>
              </w:rPr>
            </w:pPr>
            <w:r w:rsidRPr="00821568">
              <w:rPr>
                <w:rFonts w:ascii="Garamond" w:hAnsi="Garamond"/>
                <w:sz w:val="12"/>
                <w:szCs w:val="12"/>
              </w:rPr>
              <w:t>0</w:t>
            </w:r>
          </w:p>
        </w:tc>
      </w:tr>
      <w:tr w:rsidR="00723888" w:rsidRPr="00821568" w14:paraId="7A5DB8A3" w14:textId="77777777" w:rsidTr="00723888">
        <w:trPr>
          <w:trHeight w:val="201"/>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E585DD8" w14:textId="77777777" w:rsidR="00A86F37" w:rsidRPr="00821568" w:rsidRDefault="00A86F37" w:rsidP="00723888">
            <w:pPr>
              <w:jc w:val="center"/>
              <w:rPr>
                <w:rFonts w:ascii="Garamond" w:hAnsi="Garamond"/>
                <w:sz w:val="12"/>
                <w:szCs w:val="12"/>
              </w:rPr>
            </w:pPr>
            <w:r w:rsidRPr="00821568">
              <w:rPr>
                <w:rFonts w:ascii="Garamond" w:hAnsi="Garamond"/>
                <w:sz w:val="12"/>
                <w:szCs w:val="12"/>
              </w:rPr>
              <w:t>1.2</w:t>
            </w:r>
          </w:p>
        </w:tc>
        <w:tc>
          <w:tcPr>
            <w:tcW w:w="0" w:type="auto"/>
            <w:tcBorders>
              <w:top w:val="nil"/>
              <w:left w:val="nil"/>
              <w:bottom w:val="single" w:sz="4" w:space="0" w:color="auto"/>
              <w:right w:val="single" w:sz="4" w:space="0" w:color="auto"/>
            </w:tcBorders>
            <w:shd w:val="clear" w:color="auto" w:fill="auto"/>
            <w:vAlign w:val="center"/>
            <w:hideMark/>
          </w:tcPr>
          <w:p w14:paraId="7F150CEB" w14:textId="07F1C5F9" w:rsidR="00A86F37" w:rsidRPr="00821568" w:rsidRDefault="00A86F37" w:rsidP="00723888">
            <w:pPr>
              <w:rPr>
                <w:rFonts w:ascii="Garamond" w:hAnsi="Garamond"/>
                <w:sz w:val="12"/>
                <w:szCs w:val="12"/>
              </w:rPr>
            </w:pPr>
            <w:r w:rsidRPr="00821568">
              <w:rPr>
                <w:rFonts w:ascii="Garamond" w:hAnsi="Garamond"/>
                <w:sz w:val="12"/>
                <w:szCs w:val="12"/>
              </w:rPr>
              <w:t xml:space="preserve">Objektivi </w:t>
            </w:r>
            <w:r w:rsidR="003C24AC" w:rsidRPr="00821568">
              <w:rPr>
                <w:rFonts w:ascii="Garamond" w:hAnsi="Garamond"/>
                <w:sz w:val="12"/>
                <w:szCs w:val="12"/>
              </w:rPr>
              <w:t>specifik (komponen</w:t>
            </w:r>
            <w:r w:rsidRPr="00821568">
              <w:rPr>
                <w:rFonts w:ascii="Garamond" w:hAnsi="Garamond"/>
                <w:sz w:val="12"/>
                <w:szCs w:val="12"/>
              </w:rPr>
              <w:t>ti) 1.2 Rishikimi i politikës tatimore të taksave direkte</w:t>
            </w:r>
          </w:p>
        </w:tc>
        <w:tc>
          <w:tcPr>
            <w:tcW w:w="0" w:type="auto"/>
            <w:tcBorders>
              <w:top w:val="nil"/>
              <w:left w:val="nil"/>
              <w:bottom w:val="single" w:sz="4" w:space="0" w:color="auto"/>
              <w:right w:val="single" w:sz="4" w:space="0" w:color="auto"/>
            </w:tcBorders>
            <w:shd w:val="clear" w:color="auto" w:fill="auto"/>
            <w:vAlign w:val="center"/>
            <w:hideMark/>
          </w:tcPr>
          <w:p w14:paraId="659D9153" w14:textId="561F4500" w:rsidR="00A86F37" w:rsidRPr="00821568" w:rsidRDefault="00A86F37" w:rsidP="00723888">
            <w:pPr>
              <w:jc w:val="center"/>
              <w:rPr>
                <w:rFonts w:ascii="Garamond" w:hAnsi="Garamond"/>
                <w:sz w:val="12"/>
                <w:szCs w:val="12"/>
              </w:rPr>
            </w:pPr>
            <w:r w:rsidRPr="00821568">
              <w:rPr>
                <w:rFonts w:ascii="Garamond" w:hAnsi="Garamond"/>
                <w:sz w:val="12"/>
                <w:szCs w:val="12"/>
              </w:rPr>
              <w:t>MF</w:t>
            </w:r>
            <w:r w:rsidR="003C24AC" w:rsidRPr="00821568">
              <w:rPr>
                <w:rFonts w:ascii="Garamond" w:hAnsi="Garamond"/>
                <w:sz w:val="12"/>
                <w:szCs w:val="12"/>
              </w:rPr>
              <w:t>-ja,</w:t>
            </w:r>
            <w:r w:rsidRPr="00821568">
              <w:rPr>
                <w:rFonts w:ascii="Garamond" w:hAnsi="Garamond"/>
                <w:sz w:val="12"/>
                <w:szCs w:val="12"/>
              </w:rPr>
              <w:t xml:space="preserve"> DPPT</w:t>
            </w:r>
            <w:r w:rsidR="003C24AC" w:rsidRPr="00821568">
              <w:rPr>
                <w:rFonts w:ascii="Garamond" w:hAnsi="Garamond"/>
                <w:sz w:val="12"/>
                <w:szCs w:val="12"/>
              </w:rPr>
              <w:t>-ja</w:t>
            </w:r>
          </w:p>
        </w:tc>
        <w:tc>
          <w:tcPr>
            <w:tcW w:w="0" w:type="auto"/>
            <w:tcBorders>
              <w:top w:val="nil"/>
              <w:left w:val="nil"/>
              <w:bottom w:val="single" w:sz="4" w:space="0" w:color="auto"/>
              <w:right w:val="single" w:sz="4" w:space="0" w:color="auto"/>
            </w:tcBorders>
            <w:shd w:val="clear" w:color="auto" w:fill="auto"/>
            <w:vAlign w:val="center"/>
            <w:hideMark/>
          </w:tcPr>
          <w:p w14:paraId="68DD0407" w14:textId="4C349647" w:rsidR="00A86F37" w:rsidRPr="00821568" w:rsidRDefault="00A86F37" w:rsidP="00723888">
            <w:pPr>
              <w:jc w:val="center"/>
              <w:rPr>
                <w:rFonts w:ascii="Garamond" w:hAnsi="Garamond"/>
                <w:sz w:val="12"/>
                <w:szCs w:val="12"/>
              </w:rPr>
            </w:pPr>
            <w:r w:rsidRPr="00821568">
              <w:rPr>
                <w:rFonts w:ascii="Garamond" w:hAnsi="Garamond"/>
                <w:sz w:val="12"/>
                <w:szCs w:val="12"/>
              </w:rPr>
              <w:t>Asistenca e KE</w:t>
            </w:r>
            <w:r w:rsidR="003C24AC" w:rsidRPr="00821568">
              <w:rPr>
                <w:rFonts w:ascii="Garamond" w:hAnsi="Garamond"/>
                <w:sz w:val="12"/>
                <w:szCs w:val="12"/>
              </w:rPr>
              <w:t>-së</w:t>
            </w:r>
            <w:r w:rsidRPr="00821568">
              <w:rPr>
                <w:rFonts w:ascii="Garamond" w:hAnsi="Garamond"/>
                <w:sz w:val="12"/>
                <w:szCs w:val="12"/>
              </w:rPr>
              <w:t xml:space="preserve"> nëpërmjet TAEX/ </w:t>
            </w:r>
          </w:p>
          <w:p w14:paraId="01F06972" w14:textId="77777777" w:rsidR="00A86F37" w:rsidRPr="00821568" w:rsidRDefault="00A86F37" w:rsidP="00723888">
            <w:pPr>
              <w:jc w:val="center"/>
              <w:rPr>
                <w:rFonts w:ascii="Garamond" w:hAnsi="Garamond"/>
                <w:sz w:val="12"/>
                <w:szCs w:val="12"/>
              </w:rPr>
            </w:pPr>
            <w:r w:rsidRPr="00821568">
              <w:rPr>
                <w:rFonts w:ascii="Garamond" w:hAnsi="Garamond"/>
                <w:sz w:val="12"/>
                <w:szCs w:val="12"/>
              </w:rPr>
              <w:t>FMN</w:t>
            </w:r>
          </w:p>
        </w:tc>
        <w:tc>
          <w:tcPr>
            <w:tcW w:w="0" w:type="auto"/>
            <w:tcBorders>
              <w:top w:val="nil"/>
              <w:left w:val="nil"/>
              <w:bottom w:val="single" w:sz="4" w:space="0" w:color="auto"/>
              <w:right w:val="single" w:sz="4" w:space="0" w:color="auto"/>
            </w:tcBorders>
            <w:shd w:val="clear" w:color="auto" w:fill="auto"/>
            <w:vAlign w:val="center"/>
            <w:hideMark/>
          </w:tcPr>
          <w:p w14:paraId="7F09F946" w14:textId="77777777" w:rsidR="00A86F37" w:rsidRPr="00821568" w:rsidRDefault="00A86F37" w:rsidP="00723888">
            <w:pPr>
              <w:jc w:val="center"/>
              <w:rPr>
                <w:rFonts w:ascii="Garamond" w:hAnsi="Garamond"/>
                <w:sz w:val="12"/>
                <w:szCs w:val="12"/>
              </w:rPr>
            </w:pPr>
            <w:r w:rsidRPr="00821568">
              <w:rPr>
                <w:rFonts w:ascii="Garamond" w:hAnsi="Garamond"/>
                <w:sz w:val="12"/>
                <w:szCs w:val="12"/>
              </w:rPr>
              <w:t>T1 2024</w:t>
            </w:r>
          </w:p>
        </w:tc>
        <w:tc>
          <w:tcPr>
            <w:tcW w:w="0" w:type="auto"/>
            <w:tcBorders>
              <w:top w:val="nil"/>
              <w:left w:val="nil"/>
              <w:bottom w:val="single" w:sz="4" w:space="0" w:color="auto"/>
              <w:right w:val="single" w:sz="4" w:space="0" w:color="auto"/>
            </w:tcBorders>
            <w:shd w:val="clear" w:color="auto" w:fill="auto"/>
            <w:vAlign w:val="center"/>
            <w:hideMark/>
          </w:tcPr>
          <w:p w14:paraId="3CAD01D8" w14:textId="77777777" w:rsidR="00A86F37" w:rsidRPr="00821568" w:rsidRDefault="00A86F37" w:rsidP="00723888">
            <w:pPr>
              <w:jc w:val="center"/>
              <w:rPr>
                <w:rFonts w:ascii="Garamond" w:hAnsi="Garamond"/>
                <w:sz w:val="12"/>
                <w:szCs w:val="12"/>
              </w:rPr>
            </w:pPr>
            <w:r w:rsidRPr="00821568">
              <w:rPr>
                <w:rFonts w:ascii="Garamond" w:hAnsi="Garamond"/>
                <w:sz w:val="12"/>
                <w:szCs w:val="12"/>
              </w:rPr>
              <w:t>T2 2027</w:t>
            </w:r>
          </w:p>
        </w:tc>
        <w:tc>
          <w:tcPr>
            <w:tcW w:w="0" w:type="auto"/>
            <w:tcBorders>
              <w:top w:val="nil"/>
              <w:left w:val="nil"/>
              <w:bottom w:val="single" w:sz="4" w:space="0" w:color="auto"/>
              <w:right w:val="single" w:sz="4" w:space="0" w:color="auto"/>
            </w:tcBorders>
            <w:shd w:val="clear" w:color="auto" w:fill="auto"/>
            <w:vAlign w:val="center"/>
            <w:hideMark/>
          </w:tcPr>
          <w:p w14:paraId="542C9F59" w14:textId="77777777" w:rsidR="00A86F37" w:rsidRPr="00821568" w:rsidRDefault="00A86F37" w:rsidP="00723888">
            <w:pPr>
              <w:jc w:val="center"/>
              <w:rPr>
                <w:rFonts w:ascii="Garamond" w:hAnsi="Garamond"/>
                <w:sz w:val="12"/>
                <w:szCs w:val="12"/>
              </w:rPr>
            </w:pPr>
            <w:r w:rsidRPr="00821568">
              <w:rPr>
                <w:rFonts w:ascii="Garamond" w:hAnsi="Garamond"/>
                <w:sz w:val="12"/>
                <w:szCs w:val="12"/>
              </w:rPr>
              <w:t>0</w:t>
            </w:r>
          </w:p>
        </w:tc>
        <w:tc>
          <w:tcPr>
            <w:tcW w:w="0" w:type="auto"/>
            <w:tcBorders>
              <w:top w:val="nil"/>
              <w:left w:val="nil"/>
              <w:bottom w:val="single" w:sz="4" w:space="0" w:color="auto"/>
              <w:right w:val="single" w:sz="4" w:space="0" w:color="auto"/>
            </w:tcBorders>
            <w:shd w:val="clear" w:color="auto" w:fill="auto"/>
            <w:vAlign w:val="center"/>
            <w:hideMark/>
          </w:tcPr>
          <w:p w14:paraId="4EE9F80A" w14:textId="77777777" w:rsidR="00A86F37" w:rsidRPr="00821568" w:rsidRDefault="00A86F37" w:rsidP="00723888">
            <w:pPr>
              <w:jc w:val="center"/>
              <w:rPr>
                <w:rFonts w:ascii="Garamond" w:hAnsi="Garamond"/>
                <w:sz w:val="12"/>
                <w:szCs w:val="12"/>
              </w:rPr>
            </w:pPr>
            <w:r w:rsidRPr="00821568">
              <w:rPr>
                <w:rFonts w:ascii="Garamond" w:hAnsi="Garamond"/>
                <w:sz w:val="12"/>
                <w:szCs w:val="12"/>
              </w:rPr>
              <w:t>0</w:t>
            </w:r>
          </w:p>
        </w:tc>
        <w:tc>
          <w:tcPr>
            <w:tcW w:w="0" w:type="auto"/>
            <w:tcBorders>
              <w:top w:val="nil"/>
              <w:left w:val="nil"/>
              <w:bottom w:val="single" w:sz="4" w:space="0" w:color="auto"/>
              <w:right w:val="single" w:sz="4" w:space="0" w:color="auto"/>
            </w:tcBorders>
            <w:shd w:val="clear" w:color="auto" w:fill="auto"/>
            <w:vAlign w:val="center"/>
            <w:hideMark/>
          </w:tcPr>
          <w:p w14:paraId="00DD8841" w14:textId="77777777" w:rsidR="00A86F37" w:rsidRPr="00821568" w:rsidRDefault="00A86F37" w:rsidP="00723888">
            <w:pPr>
              <w:jc w:val="center"/>
              <w:rPr>
                <w:rFonts w:ascii="Garamond" w:hAnsi="Garamond"/>
                <w:sz w:val="12"/>
                <w:szCs w:val="12"/>
              </w:rPr>
            </w:pPr>
            <w:r w:rsidRPr="00821568">
              <w:rPr>
                <w:rFonts w:ascii="Garamond" w:hAnsi="Garamond"/>
                <w:sz w:val="12"/>
                <w:szCs w:val="12"/>
              </w:rPr>
              <w:t>0</w:t>
            </w:r>
          </w:p>
        </w:tc>
        <w:tc>
          <w:tcPr>
            <w:tcW w:w="0" w:type="auto"/>
            <w:tcBorders>
              <w:top w:val="nil"/>
              <w:left w:val="nil"/>
              <w:bottom w:val="single" w:sz="4" w:space="0" w:color="auto"/>
              <w:right w:val="single" w:sz="4" w:space="0" w:color="auto"/>
            </w:tcBorders>
            <w:shd w:val="clear" w:color="auto" w:fill="auto"/>
            <w:vAlign w:val="center"/>
            <w:hideMark/>
          </w:tcPr>
          <w:p w14:paraId="4DC0D950" w14:textId="77777777" w:rsidR="00A86F37" w:rsidRPr="00821568" w:rsidRDefault="00A86F37" w:rsidP="00723888">
            <w:pPr>
              <w:jc w:val="center"/>
              <w:rPr>
                <w:rFonts w:ascii="Garamond" w:hAnsi="Garamond"/>
                <w:sz w:val="12"/>
                <w:szCs w:val="12"/>
              </w:rPr>
            </w:pPr>
            <w:r w:rsidRPr="00821568">
              <w:rPr>
                <w:rFonts w:ascii="Garamond" w:hAnsi="Garamond"/>
                <w:sz w:val="12"/>
                <w:szCs w:val="12"/>
              </w:rPr>
              <w:t>0</w:t>
            </w:r>
          </w:p>
        </w:tc>
      </w:tr>
      <w:tr w:rsidR="00723888" w:rsidRPr="00821568" w14:paraId="2DB4A4D5" w14:textId="77777777" w:rsidTr="00723888">
        <w:trPr>
          <w:trHeight w:val="32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8814411" w14:textId="77777777" w:rsidR="00A86F37" w:rsidRPr="00821568" w:rsidRDefault="00A86F37" w:rsidP="00723888">
            <w:pPr>
              <w:jc w:val="center"/>
              <w:rPr>
                <w:rFonts w:ascii="Garamond" w:hAnsi="Garamond"/>
                <w:sz w:val="12"/>
                <w:szCs w:val="12"/>
              </w:rPr>
            </w:pPr>
            <w:r w:rsidRPr="00821568">
              <w:rPr>
                <w:rFonts w:ascii="Garamond" w:hAnsi="Garamond"/>
                <w:sz w:val="12"/>
                <w:szCs w:val="12"/>
              </w:rPr>
              <w:t>1.3</w:t>
            </w:r>
          </w:p>
        </w:tc>
        <w:tc>
          <w:tcPr>
            <w:tcW w:w="0" w:type="auto"/>
            <w:tcBorders>
              <w:top w:val="nil"/>
              <w:left w:val="nil"/>
              <w:bottom w:val="single" w:sz="4" w:space="0" w:color="auto"/>
              <w:right w:val="single" w:sz="4" w:space="0" w:color="auto"/>
            </w:tcBorders>
            <w:shd w:val="clear" w:color="auto" w:fill="auto"/>
            <w:vAlign w:val="center"/>
            <w:hideMark/>
          </w:tcPr>
          <w:p w14:paraId="121D2DF3" w14:textId="6EF14CA5" w:rsidR="00A86F37" w:rsidRPr="00821568" w:rsidRDefault="00A86F37" w:rsidP="00723888">
            <w:pPr>
              <w:rPr>
                <w:rFonts w:ascii="Garamond" w:hAnsi="Garamond"/>
                <w:sz w:val="12"/>
                <w:szCs w:val="12"/>
              </w:rPr>
            </w:pPr>
            <w:r w:rsidRPr="00821568">
              <w:rPr>
                <w:rFonts w:ascii="Garamond" w:hAnsi="Garamond"/>
                <w:sz w:val="12"/>
                <w:szCs w:val="12"/>
              </w:rPr>
              <w:t xml:space="preserve">Objektivi </w:t>
            </w:r>
            <w:r w:rsidR="003C24AC" w:rsidRPr="00821568">
              <w:rPr>
                <w:rFonts w:ascii="Garamond" w:hAnsi="Garamond"/>
                <w:sz w:val="12"/>
                <w:szCs w:val="12"/>
              </w:rPr>
              <w:t>specifik (komponen</w:t>
            </w:r>
            <w:r w:rsidRPr="00821568">
              <w:rPr>
                <w:rFonts w:ascii="Garamond" w:hAnsi="Garamond"/>
                <w:sz w:val="12"/>
                <w:szCs w:val="12"/>
              </w:rPr>
              <w:t>ti) 1.3 Rishikimi i politikës tatimore të taksës mbi pasuritë e paluajtshme</w:t>
            </w:r>
          </w:p>
        </w:tc>
        <w:tc>
          <w:tcPr>
            <w:tcW w:w="0" w:type="auto"/>
            <w:tcBorders>
              <w:top w:val="nil"/>
              <w:left w:val="nil"/>
              <w:bottom w:val="single" w:sz="4" w:space="0" w:color="auto"/>
              <w:right w:val="single" w:sz="4" w:space="0" w:color="auto"/>
            </w:tcBorders>
            <w:shd w:val="clear" w:color="auto" w:fill="auto"/>
            <w:vAlign w:val="center"/>
            <w:hideMark/>
          </w:tcPr>
          <w:p w14:paraId="04787ACE" w14:textId="7B647BAE" w:rsidR="00A86F37" w:rsidRPr="00821568" w:rsidRDefault="00A86F37" w:rsidP="00723888">
            <w:pPr>
              <w:jc w:val="center"/>
              <w:rPr>
                <w:rFonts w:ascii="Garamond" w:hAnsi="Garamond"/>
                <w:sz w:val="12"/>
                <w:szCs w:val="12"/>
              </w:rPr>
            </w:pPr>
            <w:r w:rsidRPr="00821568">
              <w:rPr>
                <w:rFonts w:ascii="Garamond" w:hAnsi="Garamond"/>
                <w:sz w:val="12"/>
                <w:szCs w:val="12"/>
              </w:rPr>
              <w:t>MF</w:t>
            </w:r>
            <w:r w:rsidR="003C24AC" w:rsidRPr="00821568">
              <w:rPr>
                <w:rFonts w:ascii="Garamond" w:hAnsi="Garamond"/>
                <w:sz w:val="12"/>
                <w:szCs w:val="12"/>
              </w:rPr>
              <w:t>-ja</w:t>
            </w:r>
            <w:r w:rsidRPr="00821568">
              <w:rPr>
                <w:rFonts w:ascii="Garamond" w:hAnsi="Garamond"/>
                <w:sz w:val="12"/>
                <w:szCs w:val="12"/>
              </w:rPr>
              <w:t>, DPTP</w:t>
            </w:r>
            <w:r w:rsidR="003C24AC" w:rsidRPr="00821568">
              <w:rPr>
                <w:rFonts w:ascii="Garamond" w:hAnsi="Garamond"/>
                <w:sz w:val="12"/>
                <w:szCs w:val="12"/>
              </w:rPr>
              <w:t>-ja</w:t>
            </w:r>
            <w:r w:rsidRPr="00821568">
              <w:rPr>
                <w:rFonts w:ascii="Garamond" w:hAnsi="Garamond"/>
                <w:sz w:val="12"/>
                <w:szCs w:val="12"/>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1D0BD4CE" w14:textId="77777777" w:rsidR="00A86F37" w:rsidRPr="00821568" w:rsidRDefault="00A86F37" w:rsidP="00723888">
            <w:pPr>
              <w:rPr>
                <w:rFonts w:ascii="Garamond" w:hAnsi="Garamond"/>
                <w:sz w:val="12"/>
                <w:szCs w:val="12"/>
              </w:rPr>
            </w:pPr>
            <w:r w:rsidRPr="00821568">
              <w:rPr>
                <w:rFonts w:ascii="Garamond" w:hAnsi="Garamond"/>
                <w:sz w:val="12"/>
                <w:szCs w:val="12"/>
              </w:rPr>
              <w:t xml:space="preserve">Agjencia Suedeze për Bashkëpunim dhe Zhvillim Ndërkombëtar (SIDA), Projekti </w:t>
            </w:r>
            <w:r w:rsidRPr="00821568">
              <w:rPr>
                <w:rFonts w:ascii="Garamond" w:hAnsi="Garamond"/>
                <w:i/>
                <w:sz w:val="12"/>
                <w:szCs w:val="12"/>
              </w:rPr>
              <w:t>ProTax Albania</w:t>
            </w:r>
            <w:r w:rsidRPr="00821568">
              <w:rPr>
                <w:rFonts w:ascii="Garamond" w:hAnsi="Garamond"/>
                <w:sz w:val="12"/>
                <w:szCs w:val="12"/>
              </w:rPr>
              <w:t xml:space="preserve"> dhe Agjencia Suedeze e Taksave</w:t>
            </w:r>
          </w:p>
        </w:tc>
        <w:tc>
          <w:tcPr>
            <w:tcW w:w="0" w:type="auto"/>
            <w:tcBorders>
              <w:top w:val="nil"/>
              <w:left w:val="nil"/>
              <w:bottom w:val="single" w:sz="4" w:space="0" w:color="auto"/>
              <w:right w:val="single" w:sz="4" w:space="0" w:color="auto"/>
            </w:tcBorders>
            <w:shd w:val="clear" w:color="auto" w:fill="auto"/>
            <w:vAlign w:val="center"/>
            <w:hideMark/>
          </w:tcPr>
          <w:p w14:paraId="69EF9D81" w14:textId="77777777" w:rsidR="00A86F37" w:rsidRPr="00821568" w:rsidRDefault="00A86F37" w:rsidP="00723888">
            <w:pPr>
              <w:jc w:val="center"/>
              <w:rPr>
                <w:rFonts w:ascii="Garamond" w:hAnsi="Garamond"/>
                <w:sz w:val="12"/>
                <w:szCs w:val="12"/>
              </w:rPr>
            </w:pPr>
            <w:r w:rsidRPr="00821568">
              <w:rPr>
                <w:rFonts w:ascii="Garamond" w:hAnsi="Garamond"/>
                <w:sz w:val="12"/>
                <w:szCs w:val="12"/>
              </w:rPr>
              <w:t>T1 2023</w:t>
            </w:r>
          </w:p>
        </w:tc>
        <w:tc>
          <w:tcPr>
            <w:tcW w:w="0" w:type="auto"/>
            <w:tcBorders>
              <w:top w:val="nil"/>
              <w:left w:val="nil"/>
              <w:bottom w:val="single" w:sz="4" w:space="0" w:color="auto"/>
              <w:right w:val="single" w:sz="4" w:space="0" w:color="auto"/>
            </w:tcBorders>
            <w:shd w:val="clear" w:color="auto" w:fill="auto"/>
            <w:vAlign w:val="center"/>
            <w:hideMark/>
          </w:tcPr>
          <w:p w14:paraId="287A4052" w14:textId="77777777" w:rsidR="00A86F37" w:rsidRPr="00821568" w:rsidRDefault="00A86F37" w:rsidP="00723888">
            <w:pPr>
              <w:jc w:val="center"/>
              <w:rPr>
                <w:rFonts w:ascii="Garamond" w:hAnsi="Garamond"/>
                <w:sz w:val="12"/>
                <w:szCs w:val="12"/>
              </w:rPr>
            </w:pPr>
            <w:r w:rsidRPr="00821568">
              <w:rPr>
                <w:rFonts w:ascii="Garamond" w:hAnsi="Garamond"/>
                <w:sz w:val="12"/>
                <w:szCs w:val="12"/>
              </w:rPr>
              <w:t>&gt; 2026</w:t>
            </w:r>
          </w:p>
        </w:tc>
        <w:tc>
          <w:tcPr>
            <w:tcW w:w="0" w:type="auto"/>
            <w:tcBorders>
              <w:top w:val="nil"/>
              <w:left w:val="nil"/>
              <w:bottom w:val="single" w:sz="4" w:space="0" w:color="auto"/>
              <w:right w:val="single" w:sz="4" w:space="0" w:color="auto"/>
            </w:tcBorders>
            <w:shd w:val="clear" w:color="auto" w:fill="auto"/>
            <w:vAlign w:val="center"/>
            <w:hideMark/>
          </w:tcPr>
          <w:p w14:paraId="75025730" w14:textId="77777777" w:rsidR="00A86F37" w:rsidRPr="00821568" w:rsidRDefault="00A86F37" w:rsidP="00723888">
            <w:pPr>
              <w:jc w:val="center"/>
              <w:rPr>
                <w:rFonts w:ascii="Garamond" w:hAnsi="Garamond"/>
                <w:sz w:val="12"/>
                <w:szCs w:val="12"/>
              </w:rPr>
            </w:pPr>
            <w:r w:rsidRPr="00821568">
              <w:rPr>
                <w:rFonts w:ascii="Garamond" w:hAnsi="Garamond"/>
                <w:sz w:val="12"/>
                <w:szCs w:val="12"/>
              </w:rPr>
              <w:t>0</w:t>
            </w:r>
          </w:p>
        </w:tc>
        <w:tc>
          <w:tcPr>
            <w:tcW w:w="0" w:type="auto"/>
            <w:tcBorders>
              <w:top w:val="nil"/>
              <w:left w:val="nil"/>
              <w:bottom w:val="single" w:sz="4" w:space="0" w:color="auto"/>
              <w:right w:val="single" w:sz="4" w:space="0" w:color="auto"/>
            </w:tcBorders>
            <w:shd w:val="clear" w:color="auto" w:fill="auto"/>
            <w:vAlign w:val="center"/>
            <w:hideMark/>
          </w:tcPr>
          <w:p w14:paraId="75D7BEA0" w14:textId="77777777" w:rsidR="00A86F37" w:rsidRPr="00821568" w:rsidRDefault="00A86F37" w:rsidP="00723888">
            <w:pPr>
              <w:jc w:val="center"/>
              <w:rPr>
                <w:rFonts w:ascii="Garamond" w:hAnsi="Garamond"/>
                <w:sz w:val="12"/>
                <w:szCs w:val="12"/>
              </w:rPr>
            </w:pPr>
            <w:r w:rsidRPr="00821568">
              <w:rPr>
                <w:rFonts w:ascii="Garamond" w:hAnsi="Garamond"/>
                <w:sz w:val="12"/>
                <w:szCs w:val="12"/>
              </w:rPr>
              <w:t>14500</w:t>
            </w:r>
          </w:p>
        </w:tc>
        <w:tc>
          <w:tcPr>
            <w:tcW w:w="0" w:type="auto"/>
            <w:tcBorders>
              <w:top w:val="nil"/>
              <w:left w:val="nil"/>
              <w:bottom w:val="single" w:sz="4" w:space="0" w:color="auto"/>
              <w:right w:val="single" w:sz="4" w:space="0" w:color="auto"/>
            </w:tcBorders>
            <w:shd w:val="clear" w:color="auto" w:fill="auto"/>
            <w:vAlign w:val="center"/>
            <w:hideMark/>
          </w:tcPr>
          <w:p w14:paraId="70B8F96E" w14:textId="77777777" w:rsidR="00A86F37" w:rsidRPr="00821568" w:rsidRDefault="00A86F37" w:rsidP="00723888">
            <w:pPr>
              <w:jc w:val="center"/>
              <w:rPr>
                <w:rFonts w:ascii="Garamond" w:hAnsi="Garamond"/>
                <w:sz w:val="12"/>
                <w:szCs w:val="12"/>
              </w:rPr>
            </w:pPr>
            <w:r w:rsidRPr="00821568">
              <w:rPr>
                <w:rFonts w:ascii="Garamond" w:hAnsi="Garamond"/>
                <w:sz w:val="12"/>
                <w:szCs w:val="12"/>
              </w:rPr>
              <w:t>0</w:t>
            </w:r>
          </w:p>
        </w:tc>
        <w:tc>
          <w:tcPr>
            <w:tcW w:w="0" w:type="auto"/>
            <w:tcBorders>
              <w:top w:val="nil"/>
              <w:left w:val="nil"/>
              <w:bottom w:val="single" w:sz="4" w:space="0" w:color="auto"/>
              <w:right w:val="single" w:sz="4" w:space="0" w:color="auto"/>
            </w:tcBorders>
            <w:shd w:val="clear" w:color="auto" w:fill="auto"/>
            <w:vAlign w:val="center"/>
            <w:hideMark/>
          </w:tcPr>
          <w:p w14:paraId="0345F42A" w14:textId="77777777" w:rsidR="00A86F37" w:rsidRPr="00821568" w:rsidRDefault="00A86F37" w:rsidP="00723888">
            <w:pPr>
              <w:jc w:val="center"/>
              <w:rPr>
                <w:rFonts w:ascii="Garamond" w:hAnsi="Garamond"/>
                <w:sz w:val="12"/>
                <w:szCs w:val="12"/>
              </w:rPr>
            </w:pPr>
            <w:r w:rsidRPr="00821568">
              <w:rPr>
                <w:rFonts w:ascii="Garamond" w:hAnsi="Garamond"/>
                <w:sz w:val="12"/>
                <w:szCs w:val="12"/>
              </w:rPr>
              <w:t>14500</w:t>
            </w:r>
          </w:p>
        </w:tc>
      </w:tr>
      <w:tr w:rsidR="00723888" w:rsidRPr="00821568" w14:paraId="386EEA44" w14:textId="77777777" w:rsidTr="00723888">
        <w:trPr>
          <w:trHeight w:val="161"/>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624545B" w14:textId="77777777" w:rsidR="00A86F37" w:rsidRPr="00821568" w:rsidRDefault="00A86F37" w:rsidP="00723888">
            <w:pPr>
              <w:jc w:val="center"/>
              <w:rPr>
                <w:rFonts w:ascii="Garamond" w:hAnsi="Garamond"/>
                <w:sz w:val="12"/>
                <w:szCs w:val="12"/>
              </w:rPr>
            </w:pPr>
            <w:r w:rsidRPr="00821568">
              <w:rPr>
                <w:rFonts w:ascii="Garamond" w:hAnsi="Garamond"/>
                <w:sz w:val="12"/>
                <w:szCs w:val="12"/>
              </w:rPr>
              <w:t> </w:t>
            </w:r>
          </w:p>
        </w:tc>
        <w:tc>
          <w:tcPr>
            <w:tcW w:w="0" w:type="auto"/>
            <w:tcBorders>
              <w:top w:val="nil"/>
              <w:left w:val="nil"/>
              <w:bottom w:val="single" w:sz="4" w:space="0" w:color="auto"/>
              <w:right w:val="single" w:sz="4" w:space="0" w:color="auto"/>
            </w:tcBorders>
            <w:shd w:val="clear" w:color="auto" w:fill="auto"/>
            <w:vAlign w:val="center"/>
            <w:hideMark/>
          </w:tcPr>
          <w:p w14:paraId="3AC4CA6D" w14:textId="20F9C334" w:rsidR="00A86F37" w:rsidRPr="00821568" w:rsidRDefault="00A86F37" w:rsidP="00723888">
            <w:pPr>
              <w:rPr>
                <w:rFonts w:ascii="Garamond" w:hAnsi="Garamond"/>
                <w:b/>
                <w:sz w:val="12"/>
                <w:szCs w:val="12"/>
              </w:rPr>
            </w:pPr>
            <w:r w:rsidRPr="00821568">
              <w:rPr>
                <w:rFonts w:ascii="Garamond" w:hAnsi="Garamond"/>
                <w:b/>
                <w:sz w:val="12"/>
                <w:szCs w:val="12"/>
              </w:rPr>
              <w:t>Kosto</w:t>
            </w:r>
            <w:r w:rsidR="003C24AC" w:rsidRPr="00821568">
              <w:rPr>
                <w:rFonts w:ascii="Garamond" w:hAnsi="Garamond"/>
                <w:b/>
                <w:sz w:val="12"/>
                <w:szCs w:val="12"/>
              </w:rPr>
              <w:t>ja</w:t>
            </w:r>
            <w:r w:rsidRPr="00821568">
              <w:rPr>
                <w:rFonts w:ascii="Garamond" w:hAnsi="Garamond"/>
                <w:b/>
                <w:sz w:val="12"/>
                <w:szCs w:val="12"/>
              </w:rPr>
              <w:t xml:space="preserve"> </w:t>
            </w:r>
            <w:r w:rsidR="003C24AC" w:rsidRPr="00821568">
              <w:rPr>
                <w:rFonts w:ascii="Garamond" w:hAnsi="Garamond"/>
                <w:b/>
                <w:sz w:val="12"/>
                <w:szCs w:val="12"/>
              </w:rPr>
              <w:t xml:space="preserve">indikative e qëllimit të politikës </w:t>
            </w:r>
            <w:r w:rsidRPr="00821568">
              <w:rPr>
                <w:rFonts w:ascii="Garamond" w:hAnsi="Garamond"/>
                <w:b/>
                <w:sz w:val="12"/>
                <w:szCs w:val="12"/>
              </w:rPr>
              <w:t>(</w:t>
            </w:r>
            <w:r w:rsidR="003C24AC" w:rsidRPr="00821568">
              <w:rPr>
                <w:rFonts w:ascii="Garamond" w:hAnsi="Garamond"/>
                <w:b/>
                <w:sz w:val="12"/>
                <w:szCs w:val="12"/>
              </w:rPr>
              <w:t>s</w:t>
            </w:r>
            <w:r w:rsidRPr="00821568">
              <w:rPr>
                <w:rFonts w:ascii="Garamond" w:hAnsi="Garamond"/>
                <w:b/>
                <w:sz w:val="12"/>
                <w:szCs w:val="12"/>
              </w:rPr>
              <w:t>htylla) 1</w:t>
            </w:r>
          </w:p>
        </w:tc>
        <w:tc>
          <w:tcPr>
            <w:tcW w:w="0" w:type="auto"/>
            <w:tcBorders>
              <w:top w:val="nil"/>
              <w:left w:val="nil"/>
              <w:bottom w:val="single" w:sz="4" w:space="0" w:color="auto"/>
              <w:right w:val="single" w:sz="4" w:space="0" w:color="auto"/>
            </w:tcBorders>
            <w:shd w:val="clear" w:color="auto" w:fill="auto"/>
            <w:vAlign w:val="center"/>
            <w:hideMark/>
          </w:tcPr>
          <w:p w14:paraId="2A968740" w14:textId="77777777" w:rsidR="00A86F37" w:rsidRPr="00821568" w:rsidRDefault="00A86F37" w:rsidP="00723888">
            <w:pPr>
              <w:jc w:val="center"/>
              <w:rPr>
                <w:rFonts w:ascii="Garamond" w:hAnsi="Garamond"/>
                <w:sz w:val="12"/>
                <w:szCs w:val="12"/>
              </w:rPr>
            </w:pPr>
            <w:r w:rsidRPr="00821568">
              <w:rPr>
                <w:rFonts w:ascii="Garamond" w:hAnsi="Garamond"/>
                <w:sz w:val="12"/>
                <w:szCs w:val="12"/>
              </w:rPr>
              <w:t> </w:t>
            </w:r>
          </w:p>
        </w:tc>
        <w:tc>
          <w:tcPr>
            <w:tcW w:w="0" w:type="auto"/>
            <w:tcBorders>
              <w:top w:val="nil"/>
              <w:left w:val="nil"/>
              <w:bottom w:val="single" w:sz="4" w:space="0" w:color="auto"/>
              <w:right w:val="single" w:sz="4" w:space="0" w:color="auto"/>
            </w:tcBorders>
            <w:shd w:val="clear" w:color="auto" w:fill="auto"/>
            <w:vAlign w:val="center"/>
            <w:hideMark/>
          </w:tcPr>
          <w:p w14:paraId="6BCF58F2" w14:textId="77777777" w:rsidR="00A86F37" w:rsidRPr="00821568" w:rsidRDefault="00A86F37" w:rsidP="00723888">
            <w:pPr>
              <w:jc w:val="center"/>
              <w:rPr>
                <w:rFonts w:ascii="Garamond" w:hAnsi="Garamond"/>
                <w:sz w:val="12"/>
                <w:szCs w:val="12"/>
              </w:rPr>
            </w:pPr>
            <w:r w:rsidRPr="00821568">
              <w:rPr>
                <w:rFonts w:ascii="Garamond" w:hAnsi="Garamond"/>
                <w:sz w:val="12"/>
                <w:szCs w:val="12"/>
              </w:rPr>
              <w:t> </w:t>
            </w:r>
          </w:p>
        </w:tc>
        <w:tc>
          <w:tcPr>
            <w:tcW w:w="0" w:type="auto"/>
            <w:tcBorders>
              <w:top w:val="nil"/>
              <w:left w:val="nil"/>
              <w:bottom w:val="single" w:sz="4" w:space="0" w:color="auto"/>
              <w:right w:val="single" w:sz="4" w:space="0" w:color="auto"/>
            </w:tcBorders>
            <w:shd w:val="clear" w:color="auto" w:fill="auto"/>
            <w:vAlign w:val="center"/>
            <w:hideMark/>
          </w:tcPr>
          <w:p w14:paraId="0C942CAF" w14:textId="77777777" w:rsidR="00A86F37" w:rsidRPr="00821568" w:rsidRDefault="00A86F37" w:rsidP="00723888">
            <w:pPr>
              <w:jc w:val="center"/>
              <w:rPr>
                <w:rFonts w:ascii="Garamond" w:hAnsi="Garamond"/>
                <w:sz w:val="12"/>
                <w:szCs w:val="12"/>
              </w:rPr>
            </w:pPr>
            <w:r w:rsidRPr="00821568">
              <w:rPr>
                <w:rFonts w:ascii="Garamond" w:hAnsi="Garamond"/>
                <w:sz w:val="12"/>
                <w:szCs w:val="12"/>
              </w:rPr>
              <w:t> </w:t>
            </w:r>
          </w:p>
        </w:tc>
        <w:tc>
          <w:tcPr>
            <w:tcW w:w="0" w:type="auto"/>
            <w:tcBorders>
              <w:top w:val="nil"/>
              <w:left w:val="nil"/>
              <w:bottom w:val="single" w:sz="4" w:space="0" w:color="auto"/>
              <w:right w:val="single" w:sz="4" w:space="0" w:color="auto"/>
            </w:tcBorders>
            <w:shd w:val="clear" w:color="auto" w:fill="auto"/>
            <w:vAlign w:val="center"/>
            <w:hideMark/>
          </w:tcPr>
          <w:p w14:paraId="2B82F74A" w14:textId="77777777" w:rsidR="00A86F37" w:rsidRPr="00821568" w:rsidRDefault="00A86F37" w:rsidP="00723888">
            <w:pPr>
              <w:jc w:val="center"/>
              <w:rPr>
                <w:rFonts w:ascii="Garamond" w:hAnsi="Garamond"/>
                <w:sz w:val="12"/>
                <w:szCs w:val="12"/>
              </w:rPr>
            </w:pPr>
            <w:r w:rsidRPr="00821568">
              <w:rPr>
                <w:rFonts w:ascii="Garamond" w:hAnsi="Garamond"/>
                <w:sz w:val="12"/>
                <w:szCs w:val="12"/>
              </w:rPr>
              <w:t> </w:t>
            </w:r>
          </w:p>
        </w:tc>
        <w:tc>
          <w:tcPr>
            <w:tcW w:w="0" w:type="auto"/>
            <w:tcBorders>
              <w:top w:val="nil"/>
              <w:left w:val="nil"/>
              <w:bottom w:val="single" w:sz="4" w:space="0" w:color="auto"/>
              <w:right w:val="single" w:sz="4" w:space="0" w:color="auto"/>
            </w:tcBorders>
            <w:shd w:val="clear" w:color="auto" w:fill="auto"/>
            <w:vAlign w:val="center"/>
            <w:hideMark/>
          </w:tcPr>
          <w:p w14:paraId="5A5590D2" w14:textId="2FA13BAF" w:rsidR="00A86F37" w:rsidRPr="00821568" w:rsidRDefault="00D22EA5" w:rsidP="00723888">
            <w:pPr>
              <w:jc w:val="center"/>
              <w:rPr>
                <w:rFonts w:ascii="Garamond" w:hAnsi="Garamond"/>
                <w:b/>
                <w:sz w:val="12"/>
                <w:szCs w:val="12"/>
              </w:rPr>
            </w:pPr>
            <w:r w:rsidRPr="00821568">
              <w:rPr>
                <w:rFonts w:ascii="Garamond" w:hAnsi="Garamond"/>
                <w:b/>
                <w:sz w:val="12"/>
                <w:szCs w:val="12"/>
              </w:rPr>
              <w:t xml:space="preserve"> </w:t>
            </w:r>
            <w:r w:rsidR="00A86F37" w:rsidRPr="00821568">
              <w:rPr>
                <w:rFonts w:ascii="Garamond" w:hAnsi="Garamond"/>
                <w:b/>
                <w:sz w:val="12"/>
                <w:szCs w:val="12"/>
              </w:rPr>
              <w:t>-</w:t>
            </w:r>
            <w:r w:rsidRPr="00821568">
              <w:rPr>
                <w:rFonts w:ascii="Garamond" w:hAnsi="Garamond"/>
                <w:b/>
                <w:sz w:val="12"/>
                <w:szCs w:val="12"/>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1FA1B84F" w14:textId="36B76028" w:rsidR="00A86F37" w:rsidRPr="00821568" w:rsidRDefault="00D22EA5" w:rsidP="00723888">
            <w:pPr>
              <w:jc w:val="center"/>
              <w:rPr>
                <w:rFonts w:ascii="Garamond" w:hAnsi="Garamond"/>
                <w:b/>
                <w:sz w:val="12"/>
                <w:szCs w:val="12"/>
              </w:rPr>
            </w:pPr>
            <w:r w:rsidRPr="00821568">
              <w:rPr>
                <w:rFonts w:ascii="Garamond" w:hAnsi="Garamond"/>
                <w:b/>
                <w:sz w:val="12"/>
                <w:szCs w:val="12"/>
              </w:rPr>
              <w:t xml:space="preserve"> </w:t>
            </w:r>
            <w:r w:rsidR="00A86F37" w:rsidRPr="00821568">
              <w:rPr>
                <w:rFonts w:ascii="Garamond" w:hAnsi="Garamond"/>
                <w:b/>
                <w:sz w:val="12"/>
                <w:szCs w:val="12"/>
              </w:rPr>
              <w:t xml:space="preserve">14,500 </w:t>
            </w:r>
          </w:p>
        </w:tc>
        <w:tc>
          <w:tcPr>
            <w:tcW w:w="0" w:type="auto"/>
            <w:tcBorders>
              <w:top w:val="nil"/>
              <w:left w:val="nil"/>
              <w:bottom w:val="single" w:sz="4" w:space="0" w:color="auto"/>
              <w:right w:val="single" w:sz="4" w:space="0" w:color="auto"/>
            </w:tcBorders>
            <w:shd w:val="clear" w:color="auto" w:fill="auto"/>
            <w:vAlign w:val="center"/>
            <w:hideMark/>
          </w:tcPr>
          <w:p w14:paraId="1A287762" w14:textId="34680B7D" w:rsidR="00A86F37" w:rsidRPr="00821568" w:rsidRDefault="00D22EA5" w:rsidP="00723888">
            <w:pPr>
              <w:jc w:val="center"/>
              <w:rPr>
                <w:rFonts w:ascii="Garamond" w:hAnsi="Garamond"/>
                <w:b/>
                <w:sz w:val="12"/>
                <w:szCs w:val="12"/>
              </w:rPr>
            </w:pPr>
            <w:r w:rsidRPr="00821568">
              <w:rPr>
                <w:rFonts w:ascii="Garamond" w:hAnsi="Garamond"/>
                <w:b/>
                <w:sz w:val="12"/>
                <w:szCs w:val="12"/>
              </w:rPr>
              <w:t xml:space="preserve"> </w:t>
            </w:r>
            <w:r w:rsidR="00A86F37" w:rsidRPr="00821568">
              <w:rPr>
                <w:rFonts w:ascii="Garamond" w:hAnsi="Garamond"/>
                <w:b/>
                <w:sz w:val="12"/>
                <w:szCs w:val="12"/>
              </w:rPr>
              <w:t>-</w:t>
            </w:r>
            <w:r w:rsidRPr="00821568">
              <w:rPr>
                <w:rFonts w:ascii="Garamond" w:hAnsi="Garamond"/>
                <w:b/>
                <w:sz w:val="12"/>
                <w:szCs w:val="12"/>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1D78A56C" w14:textId="4CFF3524" w:rsidR="00A86F37" w:rsidRPr="00821568" w:rsidRDefault="00D22EA5" w:rsidP="00723888">
            <w:pPr>
              <w:jc w:val="center"/>
              <w:rPr>
                <w:rFonts w:ascii="Garamond" w:hAnsi="Garamond"/>
                <w:b/>
                <w:sz w:val="12"/>
                <w:szCs w:val="12"/>
              </w:rPr>
            </w:pPr>
            <w:r w:rsidRPr="00821568">
              <w:rPr>
                <w:rFonts w:ascii="Garamond" w:hAnsi="Garamond"/>
                <w:b/>
                <w:sz w:val="12"/>
                <w:szCs w:val="12"/>
              </w:rPr>
              <w:t xml:space="preserve"> </w:t>
            </w:r>
            <w:r w:rsidR="00A86F37" w:rsidRPr="00821568">
              <w:rPr>
                <w:rFonts w:ascii="Garamond" w:hAnsi="Garamond"/>
                <w:b/>
                <w:sz w:val="12"/>
                <w:szCs w:val="12"/>
              </w:rPr>
              <w:t xml:space="preserve">14,500 </w:t>
            </w:r>
          </w:p>
        </w:tc>
      </w:tr>
    </w:tbl>
    <w:p w14:paraId="121DF7DD" w14:textId="77777777" w:rsidR="00A86F37" w:rsidRPr="00830F4C" w:rsidRDefault="00A86F37" w:rsidP="00A86F37">
      <w:pPr>
        <w:rPr>
          <w:rFonts w:ascii="Garamond" w:hAnsi="Garamond"/>
        </w:rPr>
      </w:pPr>
    </w:p>
    <w:tbl>
      <w:tblPr>
        <w:tblW w:w="8881" w:type="dxa"/>
        <w:tblLook w:val="04A0" w:firstRow="1" w:lastRow="0" w:firstColumn="1" w:lastColumn="0" w:noHBand="0" w:noVBand="1"/>
      </w:tblPr>
      <w:tblGrid>
        <w:gridCol w:w="390"/>
        <w:gridCol w:w="1835"/>
        <w:gridCol w:w="954"/>
        <w:gridCol w:w="1638"/>
        <w:gridCol w:w="606"/>
        <w:gridCol w:w="740"/>
        <w:gridCol w:w="503"/>
        <w:gridCol w:w="809"/>
        <w:gridCol w:w="763"/>
        <w:gridCol w:w="643"/>
      </w:tblGrid>
      <w:tr w:rsidR="00723888" w:rsidRPr="00821568" w14:paraId="6D79DB2F" w14:textId="77777777" w:rsidTr="00A86F37">
        <w:trPr>
          <w:trHeight w:val="20"/>
        </w:trPr>
        <w:tc>
          <w:tcPr>
            <w:tcW w:w="0" w:type="auto"/>
            <w:gridSpan w:val="10"/>
            <w:tcBorders>
              <w:top w:val="single" w:sz="4" w:space="0" w:color="auto"/>
              <w:left w:val="single" w:sz="4" w:space="0" w:color="auto"/>
              <w:bottom w:val="single" w:sz="4" w:space="0" w:color="auto"/>
              <w:right w:val="single" w:sz="4" w:space="0" w:color="auto"/>
            </w:tcBorders>
            <w:shd w:val="clear" w:color="auto" w:fill="auto"/>
            <w:hideMark/>
          </w:tcPr>
          <w:p w14:paraId="22BAA5DD" w14:textId="07F815D0" w:rsidR="00A86F37" w:rsidRPr="00821568" w:rsidRDefault="00A86F37" w:rsidP="00A86F37">
            <w:pPr>
              <w:jc w:val="center"/>
              <w:rPr>
                <w:rFonts w:ascii="Garamond" w:hAnsi="Garamond"/>
                <w:b/>
                <w:sz w:val="12"/>
                <w:szCs w:val="12"/>
              </w:rPr>
            </w:pPr>
            <w:r w:rsidRPr="00821568">
              <w:rPr>
                <w:rFonts w:ascii="Garamond" w:hAnsi="Garamond"/>
                <w:b/>
                <w:sz w:val="12"/>
                <w:szCs w:val="12"/>
              </w:rPr>
              <w:t xml:space="preserve">Qëllimi i </w:t>
            </w:r>
            <w:r w:rsidR="003C24AC" w:rsidRPr="00821568">
              <w:rPr>
                <w:rFonts w:ascii="Garamond" w:hAnsi="Garamond"/>
                <w:b/>
                <w:sz w:val="12"/>
                <w:szCs w:val="12"/>
              </w:rPr>
              <w:t>politikës (shtylla</w:t>
            </w:r>
            <w:r w:rsidRPr="00821568">
              <w:rPr>
                <w:rFonts w:ascii="Garamond" w:hAnsi="Garamond"/>
                <w:b/>
                <w:sz w:val="12"/>
                <w:szCs w:val="12"/>
              </w:rPr>
              <w:t>) 2: Mirëadministrimi tatimor</w:t>
            </w:r>
            <w:r w:rsidRPr="00821568">
              <w:rPr>
                <w:rFonts w:ascii="Garamond" w:hAnsi="Garamond"/>
                <w:b/>
                <w:sz w:val="12"/>
                <w:szCs w:val="12"/>
              </w:rPr>
              <w:br/>
              <w:t>Programet buxhetore që kontribuojnë në objektivin politik:</w:t>
            </w:r>
            <w:r w:rsidR="003C24AC" w:rsidRPr="00821568">
              <w:rPr>
                <w:rFonts w:ascii="Garamond" w:hAnsi="Garamond"/>
                <w:b/>
                <w:sz w:val="12"/>
                <w:szCs w:val="12"/>
              </w:rPr>
              <w:t xml:space="preserve"> </w:t>
            </w:r>
            <w:r w:rsidRPr="00821568">
              <w:rPr>
                <w:rFonts w:ascii="Garamond" w:hAnsi="Garamond"/>
                <w:b/>
                <w:sz w:val="12"/>
                <w:szCs w:val="12"/>
              </w:rPr>
              <w:t>M01140 - Menaxhimi i të Ardhurave Tatimore</w:t>
            </w:r>
          </w:p>
        </w:tc>
      </w:tr>
      <w:tr w:rsidR="00723888" w:rsidRPr="00821568" w14:paraId="1E033FAA" w14:textId="77777777" w:rsidTr="003C24AC">
        <w:trPr>
          <w:trHeight w:val="2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76DA9A59" w14:textId="77777777" w:rsidR="00A86F37" w:rsidRPr="00821568" w:rsidRDefault="00A86F37" w:rsidP="003C24AC">
            <w:pPr>
              <w:jc w:val="center"/>
              <w:rPr>
                <w:rFonts w:ascii="Garamond" w:hAnsi="Garamond"/>
                <w:b/>
                <w:sz w:val="12"/>
                <w:szCs w:val="12"/>
              </w:rPr>
            </w:pPr>
            <w:r w:rsidRPr="00821568">
              <w:rPr>
                <w:rFonts w:ascii="Garamond" w:hAnsi="Garamond"/>
                <w:b/>
                <w:sz w:val="12"/>
                <w:szCs w:val="12"/>
              </w:rPr>
              <w:t>Nr.</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B604756" w14:textId="77777777" w:rsidR="00A86F37" w:rsidRPr="00821568" w:rsidRDefault="00A86F37" w:rsidP="003C24AC">
            <w:pPr>
              <w:jc w:val="center"/>
              <w:rPr>
                <w:rFonts w:ascii="Garamond" w:hAnsi="Garamond"/>
                <w:b/>
                <w:sz w:val="12"/>
                <w:szCs w:val="12"/>
              </w:rPr>
            </w:pPr>
            <w:r w:rsidRPr="00821568">
              <w:rPr>
                <w:rFonts w:ascii="Garamond" w:hAnsi="Garamond"/>
                <w:b/>
                <w:sz w:val="12"/>
                <w:szCs w:val="12"/>
              </w:rPr>
              <w:t>Titulli</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779D8395" w14:textId="77777777" w:rsidR="00A86F37" w:rsidRPr="00821568" w:rsidRDefault="00A86F37" w:rsidP="003C24AC">
            <w:pPr>
              <w:jc w:val="center"/>
              <w:rPr>
                <w:rFonts w:ascii="Garamond" w:hAnsi="Garamond"/>
                <w:b/>
                <w:sz w:val="12"/>
                <w:szCs w:val="12"/>
              </w:rPr>
            </w:pPr>
            <w:r w:rsidRPr="00821568">
              <w:rPr>
                <w:rFonts w:ascii="Garamond" w:hAnsi="Garamond"/>
                <w:b/>
                <w:sz w:val="12"/>
                <w:szCs w:val="12"/>
              </w:rPr>
              <w:t>Institucionet</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70CDE70F" w14:textId="77777777" w:rsidR="00A86F37" w:rsidRPr="00821568" w:rsidRDefault="00A86F37" w:rsidP="003C24AC">
            <w:pPr>
              <w:jc w:val="center"/>
              <w:rPr>
                <w:rFonts w:ascii="Garamond" w:hAnsi="Garamond"/>
                <w:b/>
                <w:sz w:val="12"/>
                <w:szCs w:val="12"/>
              </w:rPr>
            </w:pPr>
            <w:r w:rsidRPr="00821568">
              <w:rPr>
                <w:rFonts w:ascii="Garamond" w:hAnsi="Garamond"/>
                <w:b/>
                <w:sz w:val="12"/>
                <w:szCs w:val="12"/>
              </w:rPr>
              <w:t>Periudha e zbatimit</w:t>
            </w:r>
          </w:p>
        </w:tc>
        <w:tc>
          <w:tcPr>
            <w:tcW w:w="0" w:type="auto"/>
            <w:gridSpan w:val="4"/>
            <w:tcBorders>
              <w:top w:val="single" w:sz="4" w:space="0" w:color="auto"/>
              <w:left w:val="nil"/>
              <w:bottom w:val="single" w:sz="4" w:space="0" w:color="auto"/>
              <w:right w:val="single" w:sz="4" w:space="0" w:color="auto"/>
            </w:tcBorders>
            <w:shd w:val="clear" w:color="auto" w:fill="auto"/>
            <w:vAlign w:val="center"/>
            <w:hideMark/>
          </w:tcPr>
          <w:p w14:paraId="26261513" w14:textId="27023326" w:rsidR="00A86F37" w:rsidRPr="00821568" w:rsidRDefault="00A86F37" w:rsidP="003C24AC">
            <w:pPr>
              <w:jc w:val="center"/>
              <w:rPr>
                <w:rFonts w:ascii="Garamond" w:hAnsi="Garamond"/>
                <w:b/>
                <w:sz w:val="12"/>
                <w:szCs w:val="12"/>
              </w:rPr>
            </w:pPr>
            <w:r w:rsidRPr="00821568">
              <w:rPr>
                <w:rFonts w:ascii="Garamond" w:hAnsi="Garamond"/>
                <w:b/>
                <w:sz w:val="12"/>
                <w:szCs w:val="12"/>
              </w:rPr>
              <w:t>Kosto</w:t>
            </w:r>
            <w:r w:rsidR="00821568">
              <w:rPr>
                <w:rFonts w:ascii="Garamond" w:hAnsi="Garamond"/>
                <w:b/>
                <w:sz w:val="12"/>
                <w:szCs w:val="12"/>
              </w:rPr>
              <w:t>ja</w:t>
            </w:r>
            <w:r w:rsidRPr="00821568">
              <w:rPr>
                <w:rFonts w:ascii="Garamond" w:hAnsi="Garamond"/>
                <w:b/>
                <w:sz w:val="12"/>
                <w:szCs w:val="12"/>
              </w:rPr>
              <w:t xml:space="preserve"> </w:t>
            </w:r>
            <w:r w:rsidR="00821568" w:rsidRPr="00821568">
              <w:rPr>
                <w:rFonts w:ascii="Garamond" w:hAnsi="Garamond"/>
                <w:b/>
                <w:sz w:val="12"/>
                <w:szCs w:val="12"/>
              </w:rPr>
              <w:t>totale indikative</w:t>
            </w:r>
          </w:p>
        </w:tc>
      </w:tr>
      <w:tr w:rsidR="00723888" w:rsidRPr="00821568" w14:paraId="2E7603A9" w14:textId="77777777" w:rsidTr="003C24AC">
        <w:trPr>
          <w:trHeight w:val="517"/>
        </w:trPr>
        <w:tc>
          <w:tcPr>
            <w:tcW w:w="0" w:type="auto"/>
            <w:vMerge/>
            <w:tcBorders>
              <w:top w:val="nil"/>
              <w:left w:val="single" w:sz="4" w:space="0" w:color="auto"/>
              <w:bottom w:val="single" w:sz="4" w:space="0" w:color="auto"/>
              <w:right w:val="single" w:sz="4" w:space="0" w:color="auto"/>
            </w:tcBorders>
            <w:vAlign w:val="center"/>
            <w:hideMark/>
          </w:tcPr>
          <w:p w14:paraId="7DAE145A" w14:textId="77777777" w:rsidR="00A86F37" w:rsidRPr="00821568" w:rsidRDefault="00A86F37" w:rsidP="003C24AC">
            <w:pPr>
              <w:jc w:val="cente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vAlign w:val="center"/>
            <w:hideMark/>
          </w:tcPr>
          <w:p w14:paraId="1A4FB85C" w14:textId="77777777" w:rsidR="00A86F37" w:rsidRPr="00821568" w:rsidRDefault="00A86F37" w:rsidP="003C24AC">
            <w:pPr>
              <w:jc w:val="center"/>
              <w:rPr>
                <w:rFonts w:ascii="Garamond" w:hAnsi="Garamond"/>
                <w:b/>
                <w:sz w:val="12"/>
                <w:szCs w:val="12"/>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7F60580B" w14:textId="77777777" w:rsidR="00A86F37" w:rsidRPr="00821568" w:rsidRDefault="00A86F37" w:rsidP="003C24AC">
            <w:pPr>
              <w:jc w:val="center"/>
              <w:rPr>
                <w:rFonts w:ascii="Garamond" w:hAnsi="Garamond"/>
                <w:b/>
                <w:sz w:val="12"/>
                <w:szCs w:val="12"/>
              </w:rPr>
            </w:pPr>
            <w:r w:rsidRPr="00821568">
              <w:rPr>
                <w:rFonts w:ascii="Garamond" w:hAnsi="Garamond"/>
                <w:b/>
                <w:sz w:val="12"/>
                <w:szCs w:val="12"/>
              </w:rPr>
              <w:t>Institucionet përgjegjëse</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2E1E87CC" w14:textId="77777777" w:rsidR="00A86F37" w:rsidRPr="00821568" w:rsidRDefault="00A86F37" w:rsidP="003C24AC">
            <w:pPr>
              <w:jc w:val="center"/>
              <w:rPr>
                <w:rFonts w:ascii="Garamond" w:hAnsi="Garamond"/>
                <w:b/>
                <w:sz w:val="12"/>
                <w:szCs w:val="12"/>
              </w:rPr>
            </w:pPr>
            <w:r w:rsidRPr="00821568">
              <w:rPr>
                <w:rFonts w:ascii="Garamond" w:hAnsi="Garamond"/>
                <w:b/>
                <w:sz w:val="12"/>
                <w:szCs w:val="12"/>
              </w:rPr>
              <w:t>Institucionet kontribuese</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44C62DE" w14:textId="77777777" w:rsidR="00A86F37" w:rsidRPr="00821568" w:rsidRDefault="00A86F37" w:rsidP="003C24AC">
            <w:pPr>
              <w:jc w:val="center"/>
              <w:rPr>
                <w:rFonts w:ascii="Garamond" w:hAnsi="Garamond"/>
                <w:b/>
                <w:sz w:val="12"/>
                <w:szCs w:val="12"/>
              </w:rPr>
            </w:pPr>
            <w:r w:rsidRPr="00821568">
              <w:rPr>
                <w:rFonts w:ascii="Garamond" w:hAnsi="Garamond"/>
                <w:b/>
                <w:sz w:val="12"/>
                <w:szCs w:val="12"/>
              </w:rPr>
              <w:t>Data e fillimit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179BC9B" w14:textId="77777777" w:rsidR="00A86F37" w:rsidRPr="00821568" w:rsidRDefault="00A86F37" w:rsidP="003C24AC">
            <w:pPr>
              <w:jc w:val="center"/>
              <w:rPr>
                <w:rFonts w:ascii="Garamond" w:hAnsi="Garamond"/>
                <w:b/>
                <w:sz w:val="12"/>
                <w:szCs w:val="12"/>
              </w:rPr>
            </w:pPr>
            <w:r w:rsidRPr="00821568">
              <w:rPr>
                <w:rFonts w:ascii="Garamond" w:hAnsi="Garamond"/>
                <w:b/>
                <w:sz w:val="12"/>
                <w:szCs w:val="12"/>
              </w:rPr>
              <w:t>Data e mbarimit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6457DF9" w14:textId="0A1BBA33" w:rsidR="00A86F37" w:rsidRPr="00821568" w:rsidRDefault="00A86F37" w:rsidP="003C24AC">
            <w:pPr>
              <w:jc w:val="center"/>
              <w:rPr>
                <w:rFonts w:ascii="Garamond" w:hAnsi="Garamond"/>
                <w:b/>
                <w:sz w:val="12"/>
                <w:szCs w:val="12"/>
              </w:rPr>
            </w:pPr>
            <w:r w:rsidRPr="00821568">
              <w:rPr>
                <w:rFonts w:ascii="Garamond" w:hAnsi="Garamond"/>
                <w:b/>
                <w:sz w:val="12"/>
                <w:szCs w:val="12"/>
              </w:rPr>
              <w:t>PBA</w:t>
            </w:r>
            <w:r w:rsidR="003C24AC" w:rsidRPr="00821568">
              <w:rPr>
                <w:rFonts w:ascii="Garamond" w:hAnsi="Garamond"/>
                <w:b/>
                <w:sz w:val="12"/>
                <w:szCs w:val="12"/>
              </w:rPr>
              <w:t>-ja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2FE7002" w14:textId="77777777" w:rsidR="00A86F37" w:rsidRPr="00821568" w:rsidRDefault="00A86F37" w:rsidP="003C24AC">
            <w:pPr>
              <w:jc w:val="center"/>
              <w:rPr>
                <w:rFonts w:ascii="Garamond" w:hAnsi="Garamond"/>
                <w:b/>
                <w:sz w:val="12"/>
                <w:szCs w:val="12"/>
              </w:rPr>
            </w:pPr>
            <w:r w:rsidRPr="00821568">
              <w:rPr>
                <w:rFonts w:ascii="Garamond" w:hAnsi="Garamond"/>
                <w:b/>
                <w:sz w:val="12"/>
                <w:szCs w:val="12"/>
              </w:rPr>
              <w:t>Financim nga donatorët</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761BB931" w14:textId="2F20EF69" w:rsidR="00A86F37" w:rsidRPr="00821568" w:rsidRDefault="00A86F37" w:rsidP="003C24AC">
            <w:pPr>
              <w:jc w:val="center"/>
              <w:rPr>
                <w:rFonts w:ascii="Garamond" w:hAnsi="Garamond"/>
                <w:b/>
                <w:sz w:val="12"/>
                <w:szCs w:val="12"/>
              </w:rPr>
            </w:pPr>
            <w:r w:rsidRPr="00821568">
              <w:rPr>
                <w:rFonts w:ascii="Garamond" w:hAnsi="Garamond"/>
                <w:b/>
                <w:sz w:val="12"/>
                <w:szCs w:val="12"/>
              </w:rPr>
              <w:t xml:space="preserve">Hendeku </w:t>
            </w:r>
            <w:r w:rsidR="00821568" w:rsidRPr="00821568">
              <w:rPr>
                <w:rFonts w:ascii="Garamond" w:hAnsi="Garamond"/>
                <w:b/>
                <w:sz w:val="12"/>
                <w:szCs w:val="12"/>
              </w:rPr>
              <w:t>f</w:t>
            </w:r>
            <w:r w:rsidRPr="00821568">
              <w:rPr>
                <w:rFonts w:ascii="Garamond" w:hAnsi="Garamond"/>
                <w:b/>
                <w:sz w:val="12"/>
                <w:szCs w:val="12"/>
              </w:rPr>
              <w:t>inanciar</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209C7D0C" w14:textId="273B7BA5" w:rsidR="00A86F37" w:rsidRPr="00821568" w:rsidRDefault="00A86F37" w:rsidP="003C24AC">
            <w:pPr>
              <w:jc w:val="center"/>
              <w:rPr>
                <w:rFonts w:ascii="Garamond" w:hAnsi="Garamond"/>
                <w:b/>
                <w:sz w:val="12"/>
                <w:szCs w:val="12"/>
              </w:rPr>
            </w:pPr>
            <w:r w:rsidRPr="00821568">
              <w:rPr>
                <w:rFonts w:ascii="Garamond" w:hAnsi="Garamond"/>
                <w:b/>
                <w:sz w:val="12"/>
                <w:szCs w:val="12"/>
              </w:rPr>
              <w:t>Kosto</w:t>
            </w:r>
            <w:r w:rsidR="003C24AC" w:rsidRPr="00821568">
              <w:rPr>
                <w:rFonts w:ascii="Garamond" w:hAnsi="Garamond"/>
                <w:b/>
                <w:sz w:val="12"/>
                <w:szCs w:val="12"/>
              </w:rPr>
              <w:t>ja</w:t>
            </w:r>
            <w:r w:rsidRPr="00821568">
              <w:rPr>
                <w:rFonts w:ascii="Garamond" w:hAnsi="Garamond"/>
                <w:b/>
                <w:sz w:val="12"/>
                <w:szCs w:val="12"/>
              </w:rPr>
              <w:t xml:space="preserve"> totale</w:t>
            </w:r>
          </w:p>
        </w:tc>
      </w:tr>
      <w:tr w:rsidR="00723888" w:rsidRPr="00821568" w14:paraId="46533A05" w14:textId="77777777" w:rsidTr="00821568">
        <w:trPr>
          <w:trHeight w:val="517"/>
        </w:trPr>
        <w:tc>
          <w:tcPr>
            <w:tcW w:w="0" w:type="auto"/>
            <w:vMerge/>
            <w:tcBorders>
              <w:top w:val="nil"/>
              <w:left w:val="single" w:sz="4" w:space="0" w:color="auto"/>
              <w:bottom w:val="single" w:sz="4" w:space="0" w:color="auto"/>
              <w:right w:val="single" w:sz="4" w:space="0" w:color="auto"/>
            </w:tcBorders>
            <w:hideMark/>
          </w:tcPr>
          <w:p w14:paraId="00773D1F" w14:textId="77777777" w:rsidR="00A86F37" w:rsidRPr="00821568" w:rsidRDefault="00A86F37" w:rsidP="00A86F37">
            <w:pPr>
              <w:jc w:val="cente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hideMark/>
          </w:tcPr>
          <w:p w14:paraId="79706FC0" w14:textId="77777777" w:rsidR="00A86F37" w:rsidRPr="00821568" w:rsidRDefault="00A86F37" w:rsidP="00A86F37">
            <w:pPr>
              <w:jc w:val="cente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hideMark/>
          </w:tcPr>
          <w:p w14:paraId="697C205F" w14:textId="77777777" w:rsidR="00A86F37" w:rsidRPr="00821568" w:rsidRDefault="00A86F37" w:rsidP="00A86F37">
            <w:pPr>
              <w:jc w:val="cente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hideMark/>
          </w:tcPr>
          <w:p w14:paraId="59F2B90C" w14:textId="77777777" w:rsidR="00A86F37" w:rsidRPr="00821568" w:rsidRDefault="00A86F37" w:rsidP="00A86F37">
            <w:pPr>
              <w:jc w:val="cente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hideMark/>
          </w:tcPr>
          <w:p w14:paraId="4FB1E7B6" w14:textId="77777777" w:rsidR="00A86F37" w:rsidRPr="00821568" w:rsidRDefault="00A86F37" w:rsidP="00A86F37">
            <w:pPr>
              <w:jc w:val="cente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hideMark/>
          </w:tcPr>
          <w:p w14:paraId="77130F99" w14:textId="77777777" w:rsidR="00A86F37" w:rsidRPr="00821568" w:rsidRDefault="00A86F37" w:rsidP="00A86F37">
            <w:pPr>
              <w:jc w:val="cente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hideMark/>
          </w:tcPr>
          <w:p w14:paraId="314A62A9" w14:textId="77777777" w:rsidR="00A86F37" w:rsidRPr="00821568" w:rsidRDefault="00A86F37" w:rsidP="00A86F37">
            <w:pPr>
              <w:jc w:val="cente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hideMark/>
          </w:tcPr>
          <w:p w14:paraId="0DB7AD76" w14:textId="77777777" w:rsidR="00A86F37" w:rsidRPr="00821568" w:rsidRDefault="00A86F37" w:rsidP="00A86F37">
            <w:pPr>
              <w:jc w:val="center"/>
              <w:rPr>
                <w:rFonts w:ascii="Garamond" w:hAnsi="Garamond"/>
                <w:b/>
                <w:sz w:val="12"/>
                <w:szCs w:val="12"/>
              </w:rPr>
            </w:pPr>
          </w:p>
        </w:tc>
        <w:tc>
          <w:tcPr>
            <w:tcW w:w="0" w:type="auto"/>
            <w:vMerge/>
            <w:tcBorders>
              <w:top w:val="nil"/>
              <w:left w:val="single" w:sz="4" w:space="0" w:color="auto"/>
              <w:bottom w:val="single" w:sz="4" w:space="0" w:color="000000"/>
              <w:right w:val="single" w:sz="4" w:space="0" w:color="auto"/>
            </w:tcBorders>
            <w:hideMark/>
          </w:tcPr>
          <w:p w14:paraId="5A8646F5" w14:textId="77777777" w:rsidR="00A86F37" w:rsidRPr="00821568" w:rsidRDefault="00A86F37" w:rsidP="00A86F37">
            <w:pPr>
              <w:jc w:val="center"/>
              <w:rPr>
                <w:rFonts w:ascii="Garamond" w:hAnsi="Garamond"/>
                <w:b/>
                <w:sz w:val="12"/>
                <w:szCs w:val="12"/>
              </w:rPr>
            </w:pPr>
          </w:p>
        </w:tc>
        <w:tc>
          <w:tcPr>
            <w:tcW w:w="0" w:type="auto"/>
            <w:vMerge/>
            <w:tcBorders>
              <w:top w:val="nil"/>
              <w:left w:val="single" w:sz="4" w:space="0" w:color="auto"/>
              <w:bottom w:val="single" w:sz="4" w:space="0" w:color="auto"/>
              <w:right w:val="single" w:sz="4" w:space="0" w:color="auto"/>
            </w:tcBorders>
            <w:hideMark/>
          </w:tcPr>
          <w:p w14:paraId="6C5CFC98" w14:textId="77777777" w:rsidR="00A86F37" w:rsidRPr="00821568" w:rsidRDefault="00A86F37" w:rsidP="00A86F37">
            <w:pPr>
              <w:jc w:val="center"/>
              <w:rPr>
                <w:rFonts w:ascii="Garamond" w:hAnsi="Garamond"/>
                <w:b/>
                <w:sz w:val="12"/>
                <w:szCs w:val="12"/>
              </w:rPr>
            </w:pPr>
          </w:p>
        </w:tc>
      </w:tr>
      <w:tr w:rsidR="00723888" w:rsidRPr="00821568" w14:paraId="3D9DEE51" w14:textId="77777777" w:rsidTr="00A86F37">
        <w:trPr>
          <w:trHeight w:val="20"/>
        </w:trPr>
        <w:tc>
          <w:tcPr>
            <w:tcW w:w="0" w:type="auto"/>
            <w:tcBorders>
              <w:top w:val="nil"/>
              <w:left w:val="single" w:sz="4" w:space="0" w:color="auto"/>
              <w:bottom w:val="single" w:sz="4" w:space="0" w:color="auto"/>
              <w:right w:val="single" w:sz="4" w:space="0" w:color="auto"/>
            </w:tcBorders>
            <w:shd w:val="clear" w:color="auto" w:fill="auto"/>
            <w:hideMark/>
          </w:tcPr>
          <w:p w14:paraId="01E5B3C0" w14:textId="77777777" w:rsidR="00A86F37" w:rsidRPr="00821568" w:rsidRDefault="00A86F37" w:rsidP="00A86F37">
            <w:pPr>
              <w:jc w:val="center"/>
              <w:rPr>
                <w:rFonts w:ascii="Garamond" w:hAnsi="Garamond"/>
                <w:sz w:val="12"/>
                <w:szCs w:val="12"/>
              </w:rPr>
            </w:pPr>
            <w:r w:rsidRPr="00821568">
              <w:rPr>
                <w:rFonts w:ascii="Garamond" w:hAnsi="Garamond"/>
                <w:sz w:val="12"/>
                <w:szCs w:val="12"/>
              </w:rPr>
              <w:t>2.1</w:t>
            </w:r>
          </w:p>
        </w:tc>
        <w:tc>
          <w:tcPr>
            <w:tcW w:w="0" w:type="auto"/>
            <w:tcBorders>
              <w:top w:val="nil"/>
              <w:left w:val="nil"/>
              <w:bottom w:val="single" w:sz="4" w:space="0" w:color="auto"/>
              <w:right w:val="single" w:sz="4" w:space="0" w:color="auto"/>
            </w:tcBorders>
            <w:shd w:val="clear" w:color="auto" w:fill="auto"/>
            <w:hideMark/>
          </w:tcPr>
          <w:p w14:paraId="642D8FBC" w14:textId="7632022E" w:rsidR="00A86F37" w:rsidRPr="00821568" w:rsidRDefault="00A86F37" w:rsidP="00A86F37">
            <w:pPr>
              <w:jc w:val="center"/>
              <w:rPr>
                <w:rFonts w:ascii="Garamond" w:hAnsi="Garamond"/>
                <w:sz w:val="12"/>
                <w:szCs w:val="12"/>
              </w:rPr>
            </w:pPr>
            <w:r w:rsidRPr="00821568">
              <w:rPr>
                <w:rFonts w:ascii="Garamond" w:hAnsi="Garamond"/>
                <w:sz w:val="12"/>
                <w:szCs w:val="12"/>
              </w:rPr>
              <w:t xml:space="preserve">Objektivi </w:t>
            </w:r>
            <w:r w:rsidR="003C24AC" w:rsidRPr="00821568">
              <w:rPr>
                <w:rFonts w:ascii="Garamond" w:hAnsi="Garamond"/>
                <w:sz w:val="12"/>
                <w:szCs w:val="12"/>
              </w:rPr>
              <w:t>specifik (komponenti</w:t>
            </w:r>
            <w:r w:rsidRPr="00821568">
              <w:rPr>
                <w:rFonts w:ascii="Garamond" w:hAnsi="Garamond"/>
                <w:sz w:val="12"/>
                <w:szCs w:val="12"/>
              </w:rPr>
              <w:t>) 2.1 Zvogëlimi i hendekut të pajtueshmërisë në</w:t>
            </w:r>
            <w:r w:rsidR="00DE65FB" w:rsidRPr="00821568">
              <w:rPr>
                <w:rFonts w:ascii="Garamond" w:hAnsi="Garamond"/>
                <w:sz w:val="12"/>
                <w:szCs w:val="12"/>
              </w:rPr>
              <w:t xml:space="preserve"> TVSh</w:t>
            </w:r>
          </w:p>
        </w:tc>
        <w:tc>
          <w:tcPr>
            <w:tcW w:w="0" w:type="auto"/>
            <w:tcBorders>
              <w:top w:val="nil"/>
              <w:left w:val="nil"/>
              <w:bottom w:val="single" w:sz="4" w:space="0" w:color="auto"/>
              <w:right w:val="single" w:sz="4" w:space="0" w:color="auto"/>
            </w:tcBorders>
            <w:shd w:val="clear" w:color="auto" w:fill="auto"/>
            <w:hideMark/>
          </w:tcPr>
          <w:p w14:paraId="42F007F9" w14:textId="579FF65E" w:rsidR="00A86F37" w:rsidRPr="00821568" w:rsidRDefault="00A86F37" w:rsidP="00A86F37">
            <w:pPr>
              <w:jc w:val="center"/>
              <w:rPr>
                <w:rFonts w:ascii="Garamond" w:hAnsi="Garamond"/>
                <w:sz w:val="12"/>
                <w:szCs w:val="12"/>
              </w:rPr>
            </w:pPr>
            <w:r w:rsidRPr="00821568">
              <w:rPr>
                <w:rFonts w:ascii="Garamond" w:hAnsi="Garamond"/>
                <w:sz w:val="12"/>
                <w:szCs w:val="12"/>
              </w:rPr>
              <w:t>DPT</w:t>
            </w:r>
            <w:r w:rsidR="003C24AC" w:rsidRPr="00821568">
              <w:rPr>
                <w:rFonts w:ascii="Garamond" w:hAnsi="Garamond"/>
                <w:sz w:val="12"/>
                <w:szCs w:val="12"/>
              </w:rPr>
              <w:t>-ja</w:t>
            </w:r>
          </w:p>
        </w:tc>
        <w:tc>
          <w:tcPr>
            <w:tcW w:w="0" w:type="auto"/>
            <w:tcBorders>
              <w:top w:val="nil"/>
              <w:left w:val="nil"/>
              <w:bottom w:val="single" w:sz="4" w:space="0" w:color="auto"/>
              <w:right w:val="single" w:sz="4" w:space="0" w:color="auto"/>
            </w:tcBorders>
            <w:shd w:val="clear" w:color="auto" w:fill="auto"/>
            <w:hideMark/>
          </w:tcPr>
          <w:p w14:paraId="0D6EC2C9" w14:textId="2ABE4A9C" w:rsidR="00A86F37" w:rsidRPr="00821568" w:rsidRDefault="00A86F37" w:rsidP="00A86F37">
            <w:pPr>
              <w:jc w:val="center"/>
              <w:rPr>
                <w:rFonts w:ascii="Garamond" w:hAnsi="Garamond"/>
                <w:sz w:val="12"/>
                <w:szCs w:val="12"/>
              </w:rPr>
            </w:pPr>
            <w:r w:rsidRPr="00821568">
              <w:rPr>
                <w:rFonts w:ascii="Garamond" w:hAnsi="Garamond"/>
                <w:sz w:val="12"/>
                <w:szCs w:val="12"/>
              </w:rPr>
              <w:t>FMN</w:t>
            </w:r>
            <w:r w:rsidR="003C24AC" w:rsidRPr="00821568">
              <w:rPr>
                <w:rFonts w:ascii="Garamond" w:hAnsi="Garamond"/>
                <w:sz w:val="12"/>
                <w:szCs w:val="12"/>
              </w:rPr>
              <w:t>-ja</w:t>
            </w:r>
            <w:r w:rsidRPr="00821568">
              <w:rPr>
                <w:rFonts w:ascii="Garamond" w:hAnsi="Garamond"/>
                <w:sz w:val="12"/>
                <w:szCs w:val="12"/>
              </w:rPr>
              <w:t>, Agjencia e Zhvillimit</w:t>
            </w:r>
            <w:r w:rsidR="00D22EA5" w:rsidRPr="00821568">
              <w:rPr>
                <w:rFonts w:ascii="Garamond" w:hAnsi="Garamond"/>
                <w:sz w:val="12"/>
                <w:szCs w:val="12"/>
              </w:rPr>
              <w:t xml:space="preserve"> </w:t>
            </w:r>
            <w:r w:rsidRPr="00821568">
              <w:rPr>
                <w:rFonts w:ascii="Garamond" w:hAnsi="Garamond"/>
                <w:sz w:val="12"/>
                <w:szCs w:val="12"/>
              </w:rPr>
              <w:t>të Territorit, Agjencia Kombëtare e</w:t>
            </w:r>
            <w:r w:rsidR="00D22EA5" w:rsidRPr="00821568">
              <w:rPr>
                <w:rFonts w:ascii="Garamond" w:hAnsi="Garamond"/>
                <w:sz w:val="12"/>
                <w:szCs w:val="12"/>
              </w:rPr>
              <w:t xml:space="preserve"> </w:t>
            </w:r>
            <w:r w:rsidRPr="00821568">
              <w:rPr>
                <w:rFonts w:ascii="Garamond" w:hAnsi="Garamond"/>
                <w:sz w:val="12"/>
                <w:szCs w:val="12"/>
              </w:rPr>
              <w:t>Planifikimit të Territorit, AKBN</w:t>
            </w:r>
            <w:r w:rsidR="003C24AC" w:rsidRPr="00821568">
              <w:rPr>
                <w:rFonts w:ascii="Garamond" w:hAnsi="Garamond"/>
                <w:sz w:val="12"/>
                <w:szCs w:val="12"/>
              </w:rPr>
              <w:t>-ja</w:t>
            </w:r>
            <w:r w:rsidRPr="00821568">
              <w:rPr>
                <w:rFonts w:ascii="Garamond" w:hAnsi="Garamond"/>
                <w:sz w:val="12"/>
                <w:szCs w:val="12"/>
              </w:rPr>
              <w:t>, Banka e Shqipërisë, AKEP</w:t>
            </w:r>
            <w:r w:rsidR="003C24AC" w:rsidRPr="00821568">
              <w:rPr>
                <w:rFonts w:ascii="Garamond" w:hAnsi="Garamond"/>
                <w:sz w:val="12"/>
                <w:szCs w:val="12"/>
              </w:rPr>
              <w:t>-i</w:t>
            </w:r>
          </w:p>
        </w:tc>
        <w:tc>
          <w:tcPr>
            <w:tcW w:w="0" w:type="auto"/>
            <w:tcBorders>
              <w:top w:val="nil"/>
              <w:left w:val="nil"/>
              <w:bottom w:val="single" w:sz="4" w:space="0" w:color="auto"/>
              <w:right w:val="single" w:sz="4" w:space="0" w:color="auto"/>
            </w:tcBorders>
            <w:shd w:val="clear" w:color="auto" w:fill="auto"/>
            <w:hideMark/>
          </w:tcPr>
          <w:p w14:paraId="6D335F00"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T1 2024</w:t>
            </w:r>
          </w:p>
        </w:tc>
        <w:tc>
          <w:tcPr>
            <w:tcW w:w="0" w:type="auto"/>
            <w:tcBorders>
              <w:top w:val="nil"/>
              <w:left w:val="nil"/>
              <w:bottom w:val="single" w:sz="4" w:space="0" w:color="auto"/>
              <w:right w:val="single" w:sz="4" w:space="0" w:color="auto"/>
            </w:tcBorders>
            <w:shd w:val="clear" w:color="auto" w:fill="auto"/>
            <w:hideMark/>
          </w:tcPr>
          <w:p w14:paraId="66D075DD"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T4 2027</w:t>
            </w:r>
          </w:p>
        </w:tc>
        <w:tc>
          <w:tcPr>
            <w:tcW w:w="0" w:type="auto"/>
            <w:tcBorders>
              <w:top w:val="nil"/>
              <w:left w:val="nil"/>
              <w:bottom w:val="single" w:sz="4" w:space="0" w:color="auto"/>
              <w:right w:val="single" w:sz="4" w:space="0" w:color="auto"/>
            </w:tcBorders>
            <w:shd w:val="clear" w:color="auto" w:fill="auto"/>
            <w:hideMark/>
          </w:tcPr>
          <w:p w14:paraId="66468AA8" w14:textId="77777777" w:rsidR="00A86F37" w:rsidRPr="00821568" w:rsidRDefault="00A86F37" w:rsidP="00A86F37">
            <w:pPr>
              <w:jc w:val="center"/>
              <w:rPr>
                <w:rFonts w:ascii="Garamond" w:hAnsi="Garamond"/>
                <w:sz w:val="12"/>
                <w:szCs w:val="12"/>
              </w:rPr>
            </w:pPr>
            <w:r w:rsidRPr="00821568">
              <w:rPr>
                <w:rFonts w:ascii="Garamond" w:hAnsi="Garamond"/>
                <w:sz w:val="12"/>
                <w:szCs w:val="12"/>
              </w:rPr>
              <w:t>0</w:t>
            </w:r>
          </w:p>
        </w:tc>
        <w:tc>
          <w:tcPr>
            <w:tcW w:w="0" w:type="auto"/>
            <w:tcBorders>
              <w:top w:val="nil"/>
              <w:left w:val="nil"/>
              <w:bottom w:val="single" w:sz="4" w:space="0" w:color="auto"/>
              <w:right w:val="single" w:sz="4" w:space="0" w:color="auto"/>
            </w:tcBorders>
            <w:shd w:val="clear" w:color="auto" w:fill="auto"/>
            <w:hideMark/>
          </w:tcPr>
          <w:p w14:paraId="3B423409" w14:textId="77777777" w:rsidR="00A86F37" w:rsidRPr="00821568" w:rsidRDefault="00A86F37" w:rsidP="00A86F37">
            <w:pPr>
              <w:jc w:val="center"/>
              <w:rPr>
                <w:rFonts w:ascii="Garamond" w:hAnsi="Garamond"/>
                <w:sz w:val="12"/>
                <w:szCs w:val="12"/>
              </w:rPr>
            </w:pPr>
            <w:r w:rsidRPr="00821568">
              <w:rPr>
                <w:rFonts w:ascii="Garamond" w:hAnsi="Garamond"/>
                <w:sz w:val="12"/>
                <w:szCs w:val="12"/>
              </w:rPr>
              <w:t>0</w:t>
            </w:r>
          </w:p>
        </w:tc>
        <w:tc>
          <w:tcPr>
            <w:tcW w:w="0" w:type="auto"/>
            <w:tcBorders>
              <w:top w:val="nil"/>
              <w:left w:val="nil"/>
              <w:bottom w:val="single" w:sz="4" w:space="0" w:color="auto"/>
              <w:right w:val="single" w:sz="4" w:space="0" w:color="auto"/>
            </w:tcBorders>
            <w:shd w:val="clear" w:color="auto" w:fill="auto"/>
            <w:hideMark/>
          </w:tcPr>
          <w:p w14:paraId="75D31169" w14:textId="77777777" w:rsidR="00A86F37" w:rsidRPr="00821568" w:rsidRDefault="00A86F37" w:rsidP="00A86F37">
            <w:pPr>
              <w:jc w:val="center"/>
              <w:rPr>
                <w:rFonts w:ascii="Garamond" w:hAnsi="Garamond"/>
                <w:sz w:val="12"/>
                <w:szCs w:val="12"/>
              </w:rPr>
            </w:pPr>
            <w:r w:rsidRPr="00821568">
              <w:rPr>
                <w:rFonts w:ascii="Garamond" w:hAnsi="Garamond"/>
                <w:sz w:val="12"/>
                <w:szCs w:val="12"/>
              </w:rPr>
              <w:t>0</w:t>
            </w:r>
          </w:p>
        </w:tc>
        <w:tc>
          <w:tcPr>
            <w:tcW w:w="0" w:type="auto"/>
            <w:tcBorders>
              <w:top w:val="nil"/>
              <w:left w:val="nil"/>
              <w:bottom w:val="single" w:sz="4" w:space="0" w:color="auto"/>
              <w:right w:val="single" w:sz="4" w:space="0" w:color="auto"/>
            </w:tcBorders>
            <w:shd w:val="clear" w:color="auto" w:fill="auto"/>
            <w:hideMark/>
          </w:tcPr>
          <w:p w14:paraId="3D4FE8AC" w14:textId="77777777" w:rsidR="00A86F37" w:rsidRPr="00821568" w:rsidRDefault="00A86F37" w:rsidP="00A86F37">
            <w:pPr>
              <w:jc w:val="center"/>
              <w:rPr>
                <w:rFonts w:ascii="Garamond" w:hAnsi="Garamond"/>
                <w:sz w:val="12"/>
                <w:szCs w:val="12"/>
              </w:rPr>
            </w:pPr>
            <w:r w:rsidRPr="00821568">
              <w:rPr>
                <w:rFonts w:ascii="Garamond" w:hAnsi="Garamond"/>
                <w:sz w:val="12"/>
                <w:szCs w:val="12"/>
              </w:rPr>
              <w:t>0</w:t>
            </w:r>
          </w:p>
        </w:tc>
      </w:tr>
      <w:tr w:rsidR="00723888" w:rsidRPr="00821568" w14:paraId="7A56AF86" w14:textId="77777777" w:rsidTr="00A86F37">
        <w:trPr>
          <w:trHeight w:val="20"/>
        </w:trPr>
        <w:tc>
          <w:tcPr>
            <w:tcW w:w="0" w:type="auto"/>
            <w:tcBorders>
              <w:top w:val="nil"/>
              <w:left w:val="single" w:sz="4" w:space="0" w:color="auto"/>
              <w:bottom w:val="single" w:sz="4" w:space="0" w:color="auto"/>
              <w:right w:val="single" w:sz="4" w:space="0" w:color="auto"/>
            </w:tcBorders>
            <w:shd w:val="clear" w:color="auto" w:fill="auto"/>
            <w:hideMark/>
          </w:tcPr>
          <w:p w14:paraId="6ECC7F7A" w14:textId="77777777" w:rsidR="00A86F37" w:rsidRPr="00821568" w:rsidRDefault="00A86F37" w:rsidP="00A86F37">
            <w:pPr>
              <w:jc w:val="center"/>
              <w:rPr>
                <w:rFonts w:ascii="Garamond" w:hAnsi="Garamond"/>
                <w:sz w:val="12"/>
                <w:szCs w:val="12"/>
              </w:rPr>
            </w:pPr>
            <w:r w:rsidRPr="00821568">
              <w:rPr>
                <w:rFonts w:ascii="Garamond" w:hAnsi="Garamond"/>
                <w:sz w:val="12"/>
                <w:szCs w:val="12"/>
              </w:rPr>
              <w:t>2.2</w:t>
            </w:r>
          </w:p>
        </w:tc>
        <w:tc>
          <w:tcPr>
            <w:tcW w:w="0" w:type="auto"/>
            <w:tcBorders>
              <w:top w:val="nil"/>
              <w:left w:val="nil"/>
              <w:bottom w:val="single" w:sz="4" w:space="0" w:color="auto"/>
              <w:right w:val="single" w:sz="4" w:space="0" w:color="auto"/>
            </w:tcBorders>
            <w:shd w:val="clear" w:color="auto" w:fill="auto"/>
            <w:hideMark/>
          </w:tcPr>
          <w:p w14:paraId="3643544C" w14:textId="0C2FCAAC" w:rsidR="00A86F37" w:rsidRPr="00821568" w:rsidRDefault="00A86F37" w:rsidP="00A86F37">
            <w:pPr>
              <w:jc w:val="center"/>
              <w:rPr>
                <w:rFonts w:ascii="Garamond" w:hAnsi="Garamond"/>
                <w:sz w:val="12"/>
                <w:szCs w:val="12"/>
              </w:rPr>
            </w:pPr>
            <w:r w:rsidRPr="00821568">
              <w:rPr>
                <w:rFonts w:ascii="Garamond" w:hAnsi="Garamond"/>
                <w:sz w:val="12"/>
                <w:szCs w:val="12"/>
              </w:rPr>
              <w:t xml:space="preserve">Objektivi </w:t>
            </w:r>
            <w:r w:rsidR="003C24AC" w:rsidRPr="00821568">
              <w:rPr>
                <w:rFonts w:ascii="Garamond" w:hAnsi="Garamond"/>
                <w:sz w:val="12"/>
                <w:szCs w:val="12"/>
              </w:rPr>
              <w:t>specifik (ko</w:t>
            </w:r>
            <w:r w:rsidRPr="00821568">
              <w:rPr>
                <w:rFonts w:ascii="Garamond" w:hAnsi="Garamond"/>
                <w:sz w:val="12"/>
                <w:szCs w:val="12"/>
              </w:rPr>
              <w:t>mponenti) 2.2 Ulja e pagesave me para në dorë në ekonomi</w:t>
            </w:r>
          </w:p>
        </w:tc>
        <w:tc>
          <w:tcPr>
            <w:tcW w:w="0" w:type="auto"/>
            <w:tcBorders>
              <w:top w:val="nil"/>
              <w:left w:val="nil"/>
              <w:bottom w:val="single" w:sz="4" w:space="0" w:color="auto"/>
              <w:right w:val="single" w:sz="4" w:space="0" w:color="auto"/>
            </w:tcBorders>
            <w:shd w:val="clear" w:color="auto" w:fill="auto"/>
            <w:hideMark/>
          </w:tcPr>
          <w:p w14:paraId="5005AD84" w14:textId="77D721C5" w:rsidR="00A86F37" w:rsidRPr="00821568" w:rsidRDefault="00A86F37" w:rsidP="00A86F37">
            <w:pPr>
              <w:jc w:val="center"/>
              <w:rPr>
                <w:rFonts w:ascii="Garamond" w:hAnsi="Garamond"/>
                <w:sz w:val="12"/>
                <w:szCs w:val="12"/>
              </w:rPr>
            </w:pPr>
            <w:r w:rsidRPr="00821568">
              <w:rPr>
                <w:rFonts w:ascii="Garamond" w:hAnsi="Garamond"/>
                <w:sz w:val="12"/>
                <w:szCs w:val="12"/>
              </w:rPr>
              <w:t>DPT</w:t>
            </w:r>
            <w:r w:rsidR="003C24AC" w:rsidRPr="00821568">
              <w:rPr>
                <w:rFonts w:ascii="Garamond" w:hAnsi="Garamond"/>
                <w:sz w:val="12"/>
                <w:szCs w:val="12"/>
              </w:rPr>
              <w:t>-ja</w:t>
            </w:r>
          </w:p>
        </w:tc>
        <w:tc>
          <w:tcPr>
            <w:tcW w:w="0" w:type="auto"/>
            <w:tcBorders>
              <w:top w:val="nil"/>
              <w:left w:val="nil"/>
              <w:bottom w:val="single" w:sz="4" w:space="0" w:color="auto"/>
              <w:right w:val="single" w:sz="4" w:space="0" w:color="auto"/>
            </w:tcBorders>
            <w:shd w:val="clear" w:color="auto" w:fill="auto"/>
            <w:hideMark/>
          </w:tcPr>
          <w:p w14:paraId="04DE8CDB" w14:textId="052259F7" w:rsidR="00A86F37" w:rsidRPr="00821568" w:rsidRDefault="00A86F37" w:rsidP="00A86F37">
            <w:pPr>
              <w:jc w:val="center"/>
              <w:rPr>
                <w:rFonts w:ascii="Garamond" w:hAnsi="Garamond"/>
                <w:sz w:val="12"/>
                <w:szCs w:val="12"/>
              </w:rPr>
            </w:pPr>
            <w:r w:rsidRPr="00821568">
              <w:rPr>
                <w:rFonts w:ascii="Garamond" w:hAnsi="Garamond"/>
                <w:sz w:val="12"/>
                <w:szCs w:val="12"/>
              </w:rPr>
              <w:t>FMN</w:t>
            </w:r>
            <w:r w:rsidR="003C24AC" w:rsidRPr="00821568">
              <w:rPr>
                <w:rFonts w:ascii="Garamond" w:hAnsi="Garamond"/>
                <w:sz w:val="12"/>
                <w:szCs w:val="12"/>
              </w:rPr>
              <w:t>-ja</w:t>
            </w:r>
            <w:r w:rsidRPr="00821568">
              <w:rPr>
                <w:rFonts w:ascii="Garamond" w:hAnsi="Garamond"/>
                <w:sz w:val="12"/>
                <w:szCs w:val="12"/>
              </w:rPr>
              <w:t>, ISSH</w:t>
            </w:r>
            <w:r w:rsidR="003C24AC" w:rsidRPr="00821568">
              <w:rPr>
                <w:rFonts w:ascii="Garamond" w:hAnsi="Garamond"/>
                <w:sz w:val="12"/>
                <w:szCs w:val="12"/>
              </w:rPr>
              <w:t>-ja</w:t>
            </w:r>
            <w:r w:rsidRPr="00821568">
              <w:rPr>
                <w:rFonts w:ascii="Garamond" w:hAnsi="Garamond"/>
                <w:sz w:val="12"/>
                <w:szCs w:val="12"/>
              </w:rPr>
              <w:t>, Inspektoriati i Punës</w:t>
            </w:r>
          </w:p>
        </w:tc>
        <w:tc>
          <w:tcPr>
            <w:tcW w:w="0" w:type="auto"/>
            <w:tcBorders>
              <w:top w:val="nil"/>
              <w:left w:val="nil"/>
              <w:bottom w:val="single" w:sz="4" w:space="0" w:color="auto"/>
              <w:right w:val="single" w:sz="4" w:space="0" w:color="auto"/>
            </w:tcBorders>
            <w:shd w:val="clear" w:color="auto" w:fill="auto"/>
            <w:hideMark/>
          </w:tcPr>
          <w:p w14:paraId="68CE5040"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T1 2024</w:t>
            </w:r>
          </w:p>
        </w:tc>
        <w:tc>
          <w:tcPr>
            <w:tcW w:w="0" w:type="auto"/>
            <w:tcBorders>
              <w:top w:val="nil"/>
              <w:left w:val="nil"/>
              <w:bottom w:val="single" w:sz="4" w:space="0" w:color="auto"/>
              <w:right w:val="single" w:sz="4" w:space="0" w:color="auto"/>
            </w:tcBorders>
            <w:shd w:val="clear" w:color="auto" w:fill="auto"/>
            <w:hideMark/>
          </w:tcPr>
          <w:p w14:paraId="4DE984E9"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T4 2027</w:t>
            </w:r>
          </w:p>
        </w:tc>
        <w:tc>
          <w:tcPr>
            <w:tcW w:w="0" w:type="auto"/>
            <w:tcBorders>
              <w:top w:val="nil"/>
              <w:left w:val="nil"/>
              <w:bottom w:val="single" w:sz="4" w:space="0" w:color="auto"/>
              <w:right w:val="single" w:sz="4" w:space="0" w:color="auto"/>
            </w:tcBorders>
            <w:shd w:val="clear" w:color="auto" w:fill="auto"/>
            <w:hideMark/>
          </w:tcPr>
          <w:p w14:paraId="129CBA6F" w14:textId="77777777" w:rsidR="00A86F37" w:rsidRPr="00821568" w:rsidRDefault="00A86F37" w:rsidP="00A86F37">
            <w:pPr>
              <w:jc w:val="center"/>
              <w:rPr>
                <w:rFonts w:ascii="Garamond" w:hAnsi="Garamond"/>
                <w:sz w:val="12"/>
                <w:szCs w:val="12"/>
              </w:rPr>
            </w:pPr>
            <w:r w:rsidRPr="00821568">
              <w:rPr>
                <w:rFonts w:ascii="Garamond" w:hAnsi="Garamond"/>
                <w:sz w:val="12"/>
                <w:szCs w:val="12"/>
              </w:rPr>
              <w:t>0</w:t>
            </w:r>
          </w:p>
        </w:tc>
        <w:tc>
          <w:tcPr>
            <w:tcW w:w="0" w:type="auto"/>
            <w:tcBorders>
              <w:top w:val="nil"/>
              <w:left w:val="nil"/>
              <w:bottom w:val="single" w:sz="4" w:space="0" w:color="auto"/>
              <w:right w:val="single" w:sz="4" w:space="0" w:color="auto"/>
            </w:tcBorders>
            <w:shd w:val="clear" w:color="auto" w:fill="auto"/>
            <w:hideMark/>
          </w:tcPr>
          <w:p w14:paraId="21A8FB5C" w14:textId="77777777" w:rsidR="00A86F37" w:rsidRPr="00821568" w:rsidRDefault="00A86F37" w:rsidP="00A86F37">
            <w:pPr>
              <w:jc w:val="center"/>
              <w:rPr>
                <w:rFonts w:ascii="Garamond" w:hAnsi="Garamond"/>
                <w:sz w:val="12"/>
                <w:szCs w:val="12"/>
              </w:rPr>
            </w:pPr>
            <w:r w:rsidRPr="00821568">
              <w:rPr>
                <w:rFonts w:ascii="Garamond" w:hAnsi="Garamond"/>
                <w:sz w:val="12"/>
                <w:szCs w:val="12"/>
              </w:rPr>
              <w:t>0</w:t>
            </w:r>
          </w:p>
        </w:tc>
        <w:tc>
          <w:tcPr>
            <w:tcW w:w="0" w:type="auto"/>
            <w:tcBorders>
              <w:top w:val="nil"/>
              <w:left w:val="nil"/>
              <w:bottom w:val="single" w:sz="4" w:space="0" w:color="auto"/>
              <w:right w:val="single" w:sz="4" w:space="0" w:color="auto"/>
            </w:tcBorders>
            <w:shd w:val="clear" w:color="auto" w:fill="auto"/>
            <w:hideMark/>
          </w:tcPr>
          <w:p w14:paraId="6ABFB363" w14:textId="77777777" w:rsidR="00A86F37" w:rsidRPr="00821568" w:rsidRDefault="00A86F37" w:rsidP="00A86F37">
            <w:pPr>
              <w:jc w:val="center"/>
              <w:rPr>
                <w:rFonts w:ascii="Garamond" w:hAnsi="Garamond"/>
                <w:sz w:val="12"/>
                <w:szCs w:val="12"/>
              </w:rPr>
            </w:pPr>
            <w:r w:rsidRPr="00821568">
              <w:rPr>
                <w:rFonts w:ascii="Garamond" w:hAnsi="Garamond"/>
                <w:sz w:val="12"/>
                <w:szCs w:val="12"/>
              </w:rPr>
              <w:t>0</w:t>
            </w:r>
          </w:p>
        </w:tc>
        <w:tc>
          <w:tcPr>
            <w:tcW w:w="0" w:type="auto"/>
            <w:tcBorders>
              <w:top w:val="nil"/>
              <w:left w:val="nil"/>
              <w:bottom w:val="single" w:sz="4" w:space="0" w:color="auto"/>
              <w:right w:val="single" w:sz="4" w:space="0" w:color="auto"/>
            </w:tcBorders>
            <w:shd w:val="clear" w:color="auto" w:fill="auto"/>
            <w:hideMark/>
          </w:tcPr>
          <w:p w14:paraId="5751DB4B" w14:textId="77777777" w:rsidR="00A86F37" w:rsidRPr="00821568" w:rsidRDefault="00A86F37" w:rsidP="00A86F37">
            <w:pPr>
              <w:jc w:val="center"/>
              <w:rPr>
                <w:rFonts w:ascii="Garamond" w:hAnsi="Garamond"/>
                <w:sz w:val="12"/>
                <w:szCs w:val="12"/>
              </w:rPr>
            </w:pPr>
            <w:r w:rsidRPr="00821568">
              <w:rPr>
                <w:rFonts w:ascii="Garamond" w:hAnsi="Garamond"/>
                <w:sz w:val="12"/>
                <w:szCs w:val="12"/>
              </w:rPr>
              <w:t>0</w:t>
            </w:r>
          </w:p>
        </w:tc>
      </w:tr>
      <w:tr w:rsidR="00723888" w:rsidRPr="00821568" w14:paraId="7FE6F969" w14:textId="77777777" w:rsidTr="00A86F37">
        <w:trPr>
          <w:trHeight w:val="20"/>
        </w:trPr>
        <w:tc>
          <w:tcPr>
            <w:tcW w:w="0" w:type="auto"/>
            <w:tcBorders>
              <w:top w:val="nil"/>
              <w:left w:val="single" w:sz="4" w:space="0" w:color="auto"/>
              <w:bottom w:val="single" w:sz="4" w:space="0" w:color="auto"/>
              <w:right w:val="single" w:sz="4" w:space="0" w:color="auto"/>
            </w:tcBorders>
            <w:shd w:val="clear" w:color="auto" w:fill="auto"/>
            <w:hideMark/>
          </w:tcPr>
          <w:p w14:paraId="6A989B5E" w14:textId="77777777" w:rsidR="00A86F37" w:rsidRPr="00821568" w:rsidRDefault="00A86F37" w:rsidP="00A86F37">
            <w:pPr>
              <w:jc w:val="center"/>
              <w:rPr>
                <w:rFonts w:ascii="Garamond" w:hAnsi="Garamond"/>
                <w:sz w:val="12"/>
                <w:szCs w:val="12"/>
              </w:rPr>
            </w:pPr>
            <w:r w:rsidRPr="00821568">
              <w:rPr>
                <w:rFonts w:ascii="Garamond" w:hAnsi="Garamond"/>
                <w:sz w:val="12"/>
                <w:szCs w:val="12"/>
              </w:rPr>
              <w:t>2.3</w:t>
            </w:r>
          </w:p>
        </w:tc>
        <w:tc>
          <w:tcPr>
            <w:tcW w:w="0" w:type="auto"/>
            <w:tcBorders>
              <w:top w:val="nil"/>
              <w:left w:val="nil"/>
              <w:bottom w:val="single" w:sz="4" w:space="0" w:color="auto"/>
              <w:right w:val="single" w:sz="4" w:space="0" w:color="auto"/>
            </w:tcBorders>
            <w:shd w:val="clear" w:color="auto" w:fill="auto"/>
            <w:hideMark/>
          </w:tcPr>
          <w:p w14:paraId="7B8D505E" w14:textId="080DEE92" w:rsidR="00A86F37" w:rsidRPr="00821568" w:rsidRDefault="00A86F37" w:rsidP="00A86F37">
            <w:pPr>
              <w:jc w:val="center"/>
              <w:rPr>
                <w:rFonts w:ascii="Garamond" w:hAnsi="Garamond"/>
                <w:sz w:val="12"/>
                <w:szCs w:val="12"/>
              </w:rPr>
            </w:pPr>
            <w:r w:rsidRPr="00821568">
              <w:rPr>
                <w:rFonts w:ascii="Garamond" w:hAnsi="Garamond"/>
                <w:sz w:val="12"/>
                <w:szCs w:val="12"/>
              </w:rPr>
              <w:t xml:space="preserve">Objektivi </w:t>
            </w:r>
            <w:r w:rsidR="003C24AC" w:rsidRPr="00821568">
              <w:rPr>
                <w:rFonts w:ascii="Garamond" w:hAnsi="Garamond"/>
                <w:sz w:val="12"/>
                <w:szCs w:val="12"/>
              </w:rPr>
              <w:t>specifik (komponenti</w:t>
            </w:r>
            <w:r w:rsidRPr="00821568">
              <w:rPr>
                <w:rFonts w:ascii="Garamond" w:hAnsi="Garamond"/>
                <w:sz w:val="12"/>
                <w:szCs w:val="12"/>
              </w:rPr>
              <w:t>) 2.3</w:t>
            </w:r>
            <w:r w:rsidR="003C24AC" w:rsidRPr="00821568">
              <w:rPr>
                <w:rFonts w:ascii="Garamond" w:hAnsi="Garamond"/>
                <w:sz w:val="12"/>
                <w:szCs w:val="12"/>
              </w:rPr>
              <w:t xml:space="preserve"> </w:t>
            </w:r>
            <w:r w:rsidRPr="00821568">
              <w:rPr>
                <w:rFonts w:ascii="Garamond" w:hAnsi="Garamond"/>
                <w:sz w:val="12"/>
                <w:szCs w:val="12"/>
              </w:rPr>
              <w:t>Verifikimi i të ardhurave dhe kontrolli i</w:t>
            </w:r>
            <w:r w:rsidR="00D22EA5" w:rsidRPr="00821568">
              <w:rPr>
                <w:rFonts w:ascii="Garamond" w:hAnsi="Garamond"/>
                <w:sz w:val="12"/>
                <w:szCs w:val="12"/>
              </w:rPr>
              <w:t xml:space="preserve"> </w:t>
            </w:r>
            <w:r w:rsidRPr="00821568">
              <w:rPr>
                <w:rFonts w:ascii="Garamond" w:hAnsi="Garamond"/>
                <w:sz w:val="12"/>
                <w:szCs w:val="12"/>
              </w:rPr>
              <w:t>pasurive të pajustifikuara</w:t>
            </w:r>
          </w:p>
        </w:tc>
        <w:tc>
          <w:tcPr>
            <w:tcW w:w="0" w:type="auto"/>
            <w:tcBorders>
              <w:top w:val="nil"/>
              <w:left w:val="nil"/>
              <w:bottom w:val="single" w:sz="4" w:space="0" w:color="auto"/>
              <w:right w:val="single" w:sz="4" w:space="0" w:color="auto"/>
            </w:tcBorders>
            <w:shd w:val="clear" w:color="auto" w:fill="auto"/>
            <w:hideMark/>
          </w:tcPr>
          <w:p w14:paraId="77512393" w14:textId="133786BE" w:rsidR="00A86F37" w:rsidRPr="00821568" w:rsidRDefault="00A86F37" w:rsidP="00A86F37">
            <w:pPr>
              <w:jc w:val="center"/>
              <w:rPr>
                <w:rFonts w:ascii="Garamond" w:hAnsi="Garamond"/>
                <w:sz w:val="12"/>
                <w:szCs w:val="12"/>
              </w:rPr>
            </w:pPr>
            <w:r w:rsidRPr="00821568">
              <w:rPr>
                <w:rFonts w:ascii="Garamond" w:hAnsi="Garamond"/>
                <w:sz w:val="12"/>
                <w:szCs w:val="12"/>
              </w:rPr>
              <w:t>DPT</w:t>
            </w:r>
            <w:r w:rsidR="003C24AC" w:rsidRPr="00821568">
              <w:rPr>
                <w:rFonts w:ascii="Garamond" w:hAnsi="Garamond"/>
                <w:sz w:val="12"/>
                <w:szCs w:val="12"/>
              </w:rPr>
              <w:t>-ja</w:t>
            </w:r>
          </w:p>
        </w:tc>
        <w:tc>
          <w:tcPr>
            <w:tcW w:w="0" w:type="auto"/>
            <w:tcBorders>
              <w:top w:val="nil"/>
              <w:left w:val="nil"/>
              <w:bottom w:val="single" w:sz="4" w:space="0" w:color="auto"/>
              <w:right w:val="single" w:sz="4" w:space="0" w:color="auto"/>
            </w:tcBorders>
            <w:shd w:val="clear" w:color="auto" w:fill="auto"/>
            <w:hideMark/>
          </w:tcPr>
          <w:p w14:paraId="7ECEC14C" w14:textId="0E23A5AC" w:rsidR="00A86F37" w:rsidRPr="00821568" w:rsidRDefault="00A86F37" w:rsidP="00A86F37">
            <w:pPr>
              <w:jc w:val="center"/>
              <w:rPr>
                <w:rFonts w:ascii="Garamond" w:hAnsi="Garamond"/>
                <w:sz w:val="12"/>
                <w:szCs w:val="12"/>
              </w:rPr>
            </w:pPr>
            <w:r w:rsidRPr="00821568">
              <w:rPr>
                <w:rFonts w:ascii="Garamond" w:hAnsi="Garamond"/>
                <w:sz w:val="12"/>
                <w:szCs w:val="12"/>
              </w:rPr>
              <w:t>FMN</w:t>
            </w:r>
            <w:r w:rsidR="003C24AC" w:rsidRPr="00821568">
              <w:rPr>
                <w:rFonts w:ascii="Garamond" w:hAnsi="Garamond"/>
                <w:sz w:val="12"/>
                <w:szCs w:val="12"/>
              </w:rPr>
              <w:t>-ja</w:t>
            </w:r>
            <w:r w:rsidRPr="00821568">
              <w:rPr>
                <w:rFonts w:ascii="Garamond" w:hAnsi="Garamond"/>
                <w:sz w:val="12"/>
                <w:szCs w:val="12"/>
              </w:rPr>
              <w:t>, BSH</w:t>
            </w:r>
            <w:r w:rsidR="003C24AC" w:rsidRPr="00821568">
              <w:rPr>
                <w:rFonts w:ascii="Garamond" w:hAnsi="Garamond"/>
                <w:sz w:val="12"/>
                <w:szCs w:val="12"/>
              </w:rPr>
              <w:t>-ja</w:t>
            </w:r>
          </w:p>
        </w:tc>
        <w:tc>
          <w:tcPr>
            <w:tcW w:w="0" w:type="auto"/>
            <w:tcBorders>
              <w:top w:val="nil"/>
              <w:left w:val="nil"/>
              <w:bottom w:val="single" w:sz="4" w:space="0" w:color="auto"/>
              <w:right w:val="single" w:sz="4" w:space="0" w:color="auto"/>
            </w:tcBorders>
            <w:shd w:val="clear" w:color="auto" w:fill="auto"/>
            <w:hideMark/>
          </w:tcPr>
          <w:p w14:paraId="5CDA8D66"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T4 2024</w:t>
            </w:r>
          </w:p>
        </w:tc>
        <w:tc>
          <w:tcPr>
            <w:tcW w:w="0" w:type="auto"/>
            <w:tcBorders>
              <w:top w:val="nil"/>
              <w:left w:val="nil"/>
              <w:bottom w:val="single" w:sz="4" w:space="0" w:color="auto"/>
              <w:right w:val="single" w:sz="4" w:space="0" w:color="auto"/>
            </w:tcBorders>
            <w:shd w:val="clear" w:color="auto" w:fill="auto"/>
            <w:hideMark/>
          </w:tcPr>
          <w:p w14:paraId="476F6795"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T4 2027</w:t>
            </w:r>
          </w:p>
        </w:tc>
        <w:tc>
          <w:tcPr>
            <w:tcW w:w="0" w:type="auto"/>
            <w:tcBorders>
              <w:top w:val="nil"/>
              <w:left w:val="nil"/>
              <w:bottom w:val="single" w:sz="4" w:space="0" w:color="auto"/>
              <w:right w:val="single" w:sz="4" w:space="0" w:color="auto"/>
            </w:tcBorders>
            <w:shd w:val="clear" w:color="auto" w:fill="auto"/>
            <w:hideMark/>
          </w:tcPr>
          <w:p w14:paraId="17E59DB1" w14:textId="77777777" w:rsidR="00A86F37" w:rsidRPr="00821568" w:rsidRDefault="00A86F37" w:rsidP="00A86F37">
            <w:pPr>
              <w:jc w:val="center"/>
              <w:rPr>
                <w:rFonts w:ascii="Garamond" w:hAnsi="Garamond"/>
                <w:sz w:val="12"/>
                <w:szCs w:val="12"/>
              </w:rPr>
            </w:pPr>
            <w:r w:rsidRPr="00821568">
              <w:rPr>
                <w:rFonts w:ascii="Garamond" w:hAnsi="Garamond"/>
                <w:sz w:val="12"/>
                <w:szCs w:val="12"/>
              </w:rPr>
              <w:t>0</w:t>
            </w:r>
          </w:p>
        </w:tc>
        <w:tc>
          <w:tcPr>
            <w:tcW w:w="0" w:type="auto"/>
            <w:tcBorders>
              <w:top w:val="nil"/>
              <w:left w:val="nil"/>
              <w:bottom w:val="single" w:sz="4" w:space="0" w:color="auto"/>
              <w:right w:val="single" w:sz="4" w:space="0" w:color="auto"/>
            </w:tcBorders>
            <w:shd w:val="clear" w:color="auto" w:fill="auto"/>
            <w:hideMark/>
          </w:tcPr>
          <w:p w14:paraId="5EDF4B9E" w14:textId="77777777" w:rsidR="00A86F37" w:rsidRPr="00821568" w:rsidRDefault="00A86F37" w:rsidP="00A86F37">
            <w:pPr>
              <w:jc w:val="center"/>
              <w:rPr>
                <w:rFonts w:ascii="Garamond" w:hAnsi="Garamond"/>
                <w:sz w:val="12"/>
                <w:szCs w:val="12"/>
              </w:rPr>
            </w:pPr>
            <w:r w:rsidRPr="00821568">
              <w:rPr>
                <w:rFonts w:ascii="Garamond" w:hAnsi="Garamond"/>
                <w:sz w:val="12"/>
                <w:szCs w:val="12"/>
              </w:rPr>
              <w:t>0</w:t>
            </w:r>
          </w:p>
        </w:tc>
        <w:tc>
          <w:tcPr>
            <w:tcW w:w="0" w:type="auto"/>
            <w:tcBorders>
              <w:top w:val="nil"/>
              <w:left w:val="nil"/>
              <w:bottom w:val="single" w:sz="4" w:space="0" w:color="auto"/>
              <w:right w:val="single" w:sz="4" w:space="0" w:color="auto"/>
            </w:tcBorders>
            <w:shd w:val="clear" w:color="auto" w:fill="auto"/>
            <w:hideMark/>
          </w:tcPr>
          <w:p w14:paraId="3764CEB5" w14:textId="77777777" w:rsidR="00A86F37" w:rsidRPr="00821568" w:rsidRDefault="00A86F37" w:rsidP="00A86F37">
            <w:pPr>
              <w:jc w:val="center"/>
              <w:rPr>
                <w:rFonts w:ascii="Garamond" w:hAnsi="Garamond"/>
                <w:sz w:val="12"/>
                <w:szCs w:val="12"/>
              </w:rPr>
            </w:pPr>
            <w:r w:rsidRPr="00821568">
              <w:rPr>
                <w:rFonts w:ascii="Garamond" w:hAnsi="Garamond"/>
                <w:sz w:val="12"/>
                <w:szCs w:val="12"/>
              </w:rPr>
              <w:t>0</w:t>
            </w:r>
          </w:p>
        </w:tc>
        <w:tc>
          <w:tcPr>
            <w:tcW w:w="0" w:type="auto"/>
            <w:tcBorders>
              <w:top w:val="nil"/>
              <w:left w:val="nil"/>
              <w:bottom w:val="single" w:sz="4" w:space="0" w:color="auto"/>
              <w:right w:val="single" w:sz="4" w:space="0" w:color="auto"/>
            </w:tcBorders>
            <w:shd w:val="clear" w:color="auto" w:fill="auto"/>
            <w:hideMark/>
          </w:tcPr>
          <w:p w14:paraId="315AB538" w14:textId="77777777" w:rsidR="00A86F37" w:rsidRPr="00821568" w:rsidRDefault="00A86F37" w:rsidP="00A86F37">
            <w:pPr>
              <w:jc w:val="center"/>
              <w:rPr>
                <w:rFonts w:ascii="Garamond" w:hAnsi="Garamond"/>
                <w:sz w:val="12"/>
                <w:szCs w:val="12"/>
              </w:rPr>
            </w:pPr>
            <w:r w:rsidRPr="00821568">
              <w:rPr>
                <w:rFonts w:ascii="Garamond" w:hAnsi="Garamond"/>
                <w:sz w:val="12"/>
                <w:szCs w:val="12"/>
              </w:rPr>
              <w:t>0</w:t>
            </w:r>
          </w:p>
        </w:tc>
      </w:tr>
      <w:tr w:rsidR="00723888" w:rsidRPr="00821568" w14:paraId="7D06C314" w14:textId="77777777" w:rsidTr="00A86F37">
        <w:trPr>
          <w:trHeight w:val="20"/>
        </w:trPr>
        <w:tc>
          <w:tcPr>
            <w:tcW w:w="0" w:type="auto"/>
            <w:tcBorders>
              <w:top w:val="nil"/>
              <w:left w:val="single" w:sz="4" w:space="0" w:color="auto"/>
              <w:bottom w:val="single" w:sz="4" w:space="0" w:color="auto"/>
              <w:right w:val="single" w:sz="4" w:space="0" w:color="auto"/>
            </w:tcBorders>
            <w:shd w:val="clear" w:color="auto" w:fill="auto"/>
            <w:hideMark/>
          </w:tcPr>
          <w:p w14:paraId="5AFB29B4" w14:textId="77777777" w:rsidR="00A86F37" w:rsidRPr="00821568" w:rsidRDefault="00A86F37" w:rsidP="00A86F37">
            <w:pPr>
              <w:jc w:val="center"/>
              <w:rPr>
                <w:rFonts w:ascii="Garamond" w:hAnsi="Garamond"/>
                <w:sz w:val="12"/>
                <w:szCs w:val="12"/>
              </w:rPr>
            </w:pPr>
            <w:r w:rsidRPr="00821568">
              <w:rPr>
                <w:rFonts w:ascii="Garamond" w:hAnsi="Garamond"/>
                <w:sz w:val="12"/>
                <w:szCs w:val="12"/>
              </w:rPr>
              <w:t>2.4</w:t>
            </w:r>
          </w:p>
        </w:tc>
        <w:tc>
          <w:tcPr>
            <w:tcW w:w="0" w:type="auto"/>
            <w:tcBorders>
              <w:top w:val="nil"/>
              <w:left w:val="nil"/>
              <w:bottom w:val="single" w:sz="4" w:space="0" w:color="auto"/>
              <w:right w:val="single" w:sz="4" w:space="0" w:color="auto"/>
            </w:tcBorders>
            <w:shd w:val="clear" w:color="auto" w:fill="auto"/>
            <w:hideMark/>
          </w:tcPr>
          <w:p w14:paraId="707BC244" w14:textId="19861D8D" w:rsidR="00A86F37" w:rsidRPr="00821568" w:rsidRDefault="00A86F37" w:rsidP="00A86F37">
            <w:pPr>
              <w:jc w:val="center"/>
              <w:rPr>
                <w:rFonts w:ascii="Garamond" w:hAnsi="Garamond"/>
                <w:sz w:val="12"/>
                <w:szCs w:val="12"/>
              </w:rPr>
            </w:pPr>
            <w:r w:rsidRPr="00821568">
              <w:rPr>
                <w:rFonts w:ascii="Garamond" w:hAnsi="Garamond"/>
                <w:sz w:val="12"/>
                <w:szCs w:val="12"/>
              </w:rPr>
              <w:t xml:space="preserve">Objektivi </w:t>
            </w:r>
            <w:r w:rsidR="003C24AC" w:rsidRPr="00821568">
              <w:rPr>
                <w:rFonts w:ascii="Garamond" w:hAnsi="Garamond"/>
                <w:sz w:val="12"/>
                <w:szCs w:val="12"/>
              </w:rPr>
              <w:t>specifik (komponenti</w:t>
            </w:r>
            <w:r w:rsidRPr="00821568">
              <w:rPr>
                <w:rFonts w:ascii="Garamond" w:hAnsi="Garamond"/>
                <w:sz w:val="12"/>
                <w:szCs w:val="12"/>
              </w:rPr>
              <w:t>) 2 Zvogëlimi i shmangies tatimore</w:t>
            </w:r>
          </w:p>
        </w:tc>
        <w:tc>
          <w:tcPr>
            <w:tcW w:w="0" w:type="auto"/>
            <w:tcBorders>
              <w:top w:val="nil"/>
              <w:left w:val="nil"/>
              <w:bottom w:val="single" w:sz="4" w:space="0" w:color="auto"/>
              <w:right w:val="single" w:sz="4" w:space="0" w:color="auto"/>
            </w:tcBorders>
            <w:shd w:val="clear" w:color="auto" w:fill="auto"/>
            <w:hideMark/>
          </w:tcPr>
          <w:p w14:paraId="56D8AFC6" w14:textId="5438EA62" w:rsidR="00A86F37" w:rsidRPr="00821568" w:rsidRDefault="00A86F37" w:rsidP="00A86F37">
            <w:pPr>
              <w:jc w:val="center"/>
              <w:rPr>
                <w:rFonts w:ascii="Garamond" w:hAnsi="Garamond"/>
                <w:sz w:val="12"/>
                <w:szCs w:val="12"/>
              </w:rPr>
            </w:pPr>
            <w:r w:rsidRPr="00821568">
              <w:rPr>
                <w:rFonts w:ascii="Garamond" w:hAnsi="Garamond"/>
                <w:sz w:val="12"/>
                <w:szCs w:val="12"/>
              </w:rPr>
              <w:t>DPT</w:t>
            </w:r>
            <w:r w:rsidR="003C24AC" w:rsidRPr="00821568">
              <w:rPr>
                <w:rFonts w:ascii="Garamond" w:hAnsi="Garamond"/>
                <w:sz w:val="12"/>
                <w:szCs w:val="12"/>
              </w:rPr>
              <w:t>-ja</w:t>
            </w:r>
          </w:p>
        </w:tc>
        <w:tc>
          <w:tcPr>
            <w:tcW w:w="0" w:type="auto"/>
            <w:tcBorders>
              <w:top w:val="nil"/>
              <w:left w:val="nil"/>
              <w:bottom w:val="single" w:sz="4" w:space="0" w:color="auto"/>
              <w:right w:val="single" w:sz="4" w:space="0" w:color="auto"/>
            </w:tcBorders>
            <w:shd w:val="clear" w:color="auto" w:fill="auto"/>
          </w:tcPr>
          <w:p w14:paraId="51DC2F8C" w14:textId="77777777" w:rsidR="00A86F37" w:rsidRPr="00821568" w:rsidRDefault="00A86F37" w:rsidP="00A86F37">
            <w:pPr>
              <w:jc w:val="center"/>
              <w:rPr>
                <w:rFonts w:ascii="Garamond" w:hAnsi="Garamond"/>
                <w:sz w:val="12"/>
                <w:szCs w:val="12"/>
              </w:rPr>
            </w:pPr>
          </w:p>
        </w:tc>
        <w:tc>
          <w:tcPr>
            <w:tcW w:w="0" w:type="auto"/>
            <w:tcBorders>
              <w:top w:val="nil"/>
              <w:left w:val="nil"/>
              <w:bottom w:val="single" w:sz="4" w:space="0" w:color="auto"/>
              <w:right w:val="single" w:sz="4" w:space="0" w:color="auto"/>
            </w:tcBorders>
            <w:shd w:val="clear" w:color="auto" w:fill="auto"/>
            <w:hideMark/>
          </w:tcPr>
          <w:p w14:paraId="0718E7ED"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T1 2024</w:t>
            </w:r>
          </w:p>
        </w:tc>
        <w:tc>
          <w:tcPr>
            <w:tcW w:w="0" w:type="auto"/>
            <w:tcBorders>
              <w:top w:val="nil"/>
              <w:left w:val="nil"/>
              <w:bottom w:val="single" w:sz="4" w:space="0" w:color="auto"/>
              <w:right w:val="single" w:sz="4" w:space="0" w:color="auto"/>
            </w:tcBorders>
            <w:shd w:val="clear" w:color="auto" w:fill="auto"/>
            <w:hideMark/>
          </w:tcPr>
          <w:p w14:paraId="61862F4F"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T4 2027</w:t>
            </w:r>
          </w:p>
        </w:tc>
        <w:tc>
          <w:tcPr>
            <w:tcW w:w="0" w:type="auto"/>
            <w:tcBorders>
              <w:top w:val="nil"/>
              <w:left w:val="nil"/>
              <w:bottom w:val="single" w:sz="4" w:space="0" w:color="auto"/>
              <w:right w:val="single" w:sz="4" w:space="0" w:color="auto"/>
            </w:tcBorders>
            <w:shd w:val="clear" w:color="auto" w:fill="auto"/>
            <w:hideMark/>
          </w:tcPr>
          <w:p w14:paraId="73D1DD16" w14:textId="77777777" w:rsidR="00A86F37" w:rsidRPr="00821568" w:rsidRDefault="00A86F37" w:rsidP="00A86F37">
            <w:pPr>
              <w:jc w:val="center"/>
              <w:rPr>
                <w:rFonts w:ascii="Garamond" w:hAnsi="Garamond"/>
                <w:sz w:val="12"/>
                <w:szCs w:val="12"/>
              </w:rPr>
            </w:pPr>
            <w:r w:rsidRPr="00821568">
              <w:rPr>
                <w:rFonts w:ascii="Garamond" w:hAnsi="Garamond"/>
                <w:sz w:val="12"/>
                <w:szCs w:val="12"/>
              </w:rPr>
              <w:t>-</w:t>
            </w:r>
          </w:p>
        </w:tc>
        <w:tc>
          <w:tcPr>
            <w:tcW w:w="0" w:type="auto"/>
            <w:tcBorders>
              <w:top w:val="nil"/>
              <w:left w:val="nil"/>
              <w:bottom w:val="single" w:sz="4" w:space="0" w:color="auto"/>
              <w:right w:val="single" w:sz="4" w:space="0" w:color="auto"/>
            </w:tcBorders>
            <w:shd w:val="clear" w:color="auto" w:fill="auto"/>
            <w:hideMark/>
          </w:tcPr>
          <w:p w14:paraId="551B8AB4" w14:textId="77777777" w:rsidR="00A86F37" w:rsidRPr="00821568" w:rsidRDefault="00A86F37" w:rsidP="00A86F37">
            <w:pPr>
              <w:jc w:val="center"/>
              <w:rPr>
                <w:rFonts w:ascii="Garamond" w:hAnsi="Garamond"/>
                <w:sz w:val="12"/>
                <w:szCs w:val="12"/>
              </w:rPr>
            </w:pPr>
            <w:r w:rsidRPr="00821568">
              <w:rPr>
                <w:rFonts w:ascii="Garamond" w:hAnsi="Garamond"/>
                <w:sz w:val="12"/>
                <w:szCs w:val="12"/>
              </w:rPr>
              <w:t>-</w:t>
            </w:r>
          </w:p>
        </w:tc>
        <w:tc>
          <w:tcPr>
            <w:tcW w:w="0" w:type="auto"/>
            <w:tcBorders>
              <w:top w:val="nil"/>
              <w:left w:val="nil"/>
              <w:bottom w:val="single" w:sz="4" w:space="0" w:color="auto"/>
              <w:right w:val="single" w:sz="4" w:space="0" w:color="auto"/>
            </w:tcBorders>
            <w:shd w:val="clear" w:color="auto" w:fill="auto"/>
            <w:hideMark/>
          </w:tcPr>
          <w:p w14:paraId="1CA50305" w14:textId="77777777" w:rsidR="00A86F37" w:rsidRPr="00821568" w:rsidRDefault="00A86F37" w:rsidP="00A86F37">
            <w:pPr>
              <w:jc w:val="center"/>
              <w:rPr>
                <w:rFonts w:ascii="Garamond" w:hAnsi="Garamond"/>
                <w:sz w:val="12"/>
                <w:szCs w:val="12"/>
              </w:rPr>
            </w:pPr>
            <w:r w:rsidRPr="00821568">
              <w:rPr>
                <w:rFonts w:ascii="Garamond" w:hAnsi="Garamond"/>
                <w:sz w:val="12"/>
                <w:szCs w:val="12"/>
              </w:rPr>
              <w:t>-</w:t>
            </w:r>
          </w:p>
        </w:tc>
        <w:tc>
          <w:tcPr>
            <w:tcW w:w="0" w:type="auto"/>
            <w:tcBorders>
              <w:top w:val="nil"/>
              <w:left w:val="nil"/>
              <w:bottom w:val="single" w:sz="4" w:space="0" w:color="auto"/>
              <w:right w:val="single" w:sz="4" w:space="0" w:color="auto"/>
            </w:tcBorders>
            <w:shd w:val="clear" w:color="auto" w:fill="auto"/>
            <w:hideMark/>
          </w:tcPr>
          <w:p w14:paraId="01719250" w14:textId="77777777" w:rsidR="00A86F37" w:rsidRPr="00821568" w:rsidRDefault="00A86F37" w:rsidP="00A86F37">
            <w:pPr>
              <w:jc w:val="center"/>
              <w:rPr>
                <w:rFonts w:ascii="Garamond" w:hAnsi="Garamond"/>
                <w:sz w:val="12"/>
                <w:szCs w:val="12"/>
              </w:rPr>
            </w:pPr>
            <w:r w:rsidRPr="00821568">
              <w:rPr>
                <w:rFonts w:ascii="Garamond" w:hAnsi="Garamond"/>
                <w:sz w:val="12"/>
                <w:szCs w:val="12"/>
              </w:rPr>
              <w:t>-</w:t>
            </w:r>
          </w:p>
        </w:tc>
      </w:tr>
      <w:tr w:rsidR="00723888" w:rsidRPr="00821568" w14:paraId="427B1EC1" w14:textId="77777777" w:rsidTr="00A86F37">
        <w:trPr>
          <w:trHeight w:val="20"/>
        </w:trPr>
        <w:tc>
          <w:tcPr>
            <w:tcW w:w="0" w:type="auto"/>
            <w:tcBorders>
              <w:top w:val="nil"/>
              <w:left w:val="single" w:sz="4" w:space="0" w:color="auto"/>
              <w:bottom w:val="single" w:sz="4" w:space="0" w:color="auto"/>
              <w:right w:val="single" w:sz="4" w:space="0" w:color="auto"/>
            </w:tcBorders>
            <w:shd w:val="clear" w:color="auto" w:fill="auto"/>
            <w:hideMark/>
          </w:tcPr>
          <w:p w14:paraId="0776C311" w14:textId="77777777" w:rsidR="00A86F37" w:rsidRPr="00821568" w:rsidRDefault="00A86F37" w:rsidP="00A86F37">
            <w:pPr>
              <w:jc w:val="center"/>
              <w:rPr>
                <w:rFonts w:ascii="Garamond" w:hAnsi="Garamond"/>
                <w:sz w:val="12"/>
                <w:szCs w:val="12"/>
              </w:rPr>
            </w:pPr>
            <w:r w:rsidRPr="00821568">
              <w:rPr>
                <w:rFonts w:ascii="Garamond" w:hAnsi="Garamond"/>
                <w:sz w:val="12"/>
                <w:szCs w:val="12"/>
              </w:rPr>
              <w:t>2.5</w:t>
            </w:r>
          </w:p>
        </w:tc>
        <w:tc>
          <w:tcPr>
            <w:tcW w:w="0" w:type="auto"/>
            <w:tcBorders>
              <w:top w:val="nil"/>
              <w:left w:val="nil"/>
              <w:bottom w:val="single" w:sz="4" w:space="0" w:color="auto"/>
              <w:right w:val="single" w:sz="4" w:space="0" w:color="auto"/>
            </w:tcBorders>
            <w:shd w:val="clear" w:color="auto" w:fill="auto"/>
            <w:hideMark/>
          </w:tcPr>
          <w:p w14:paraId="7226184C" w14:textId="49285AC7" w:rsidR="00A86F37" w:rsidRPr="00821568" w:rsidRDefault="00A86F37" w:rsidP="00A86F37">
            <w:pPr>
              <w:jc w:val="center"/>
              <w:rPr>
                <w:rFonts w:ascii="Garamond" w:hAnsi="Garamond"/>
                <w:sz w:val="12"/>
                <w:szCs w:val="12"/>
              </w:rPr>
            </w:pPr>
            <w:r w:rsidRPr="00821568">
              <w:rPr>
                <w:rFonts w:ascii="Garamond" w:hAnsi="Garamond"/>
                <w:sz w:val="12"/>
                <w:szCs w:val="12"/>
              </w:rPr>
              <w:t xml:space="preserve">Objektivi </w:t>
            </w:r>
            <w:r w:rsidR="003C24AC" w:rsidRPr="00821568">
              <w:rPr>
                <w:rFonts w:ascii="Garamond" w:hAnsi="Garamond"/>
                <w:sz w:val="12"/>
                <w:szCs w:val="12"/>
              </w:rPr>
              <w:t>specifik (komponenti</w:t>
            </w:r>
            <w:r w:rsidRPr="00821568">
              <w:rPr>
                <w:rFonts w:ascii="Garamond" w:hAnsi="Garamond"/>
                <w:sz w:val="12"/>
                <w:szCs w:val="12"/>
              </w:rPr>
              <w:t>) 2.5 Reduktimi i punës së padeklaruar dhe të nëndeklaruar</w:t>
            </w:r>
          </w:p>
        </w:tc>
        <w:tc>
          <w:tcPr>
            <w:tcW w:w="0" w:type="auto"/>
            <w:tcBorders>
              <w:top w:val="nil"/>
              <w:left w:val="nil"/>
              <w:bottom w:val="single" w:sz="4" w:space="0" w:color="auto"/>
              <w:right w:val="single" w:sz="4" w:space="0" w:color="auto"/>
            </w:tcBorders>
            <w:shd w:val="clear" w:color="auto" w:fill="auto"/>
            <w:hideMark/>
          </w:tcPr>
          <w:p w14:paraId="3A7F137F" w14:textId="268496C2" w:rsidR="00A86F37" w:rsidRPr="00821568" w:rsidRDefault="00A86F37" w:rsidP="00A86F37">
            <w:pPr>
              <w:jc w:val="center"/>
              <w:rPr>
                <w:rFonts w:ascii="Garamond" w:hAnsi="Garamond"/>
                <w:sz w:val="12"/>
                <w:szCs w:val="12"/>
              </w:rPr>
            </w:pPr>
            <w:r w:rsidRPr="00821568">
              <w:rPr>
                <w:rFonts w:ascii="Garamond" w:hAnsi="Garamond"/>
                <w:sz w:val="12"/>
                <w:szCs w:val="12"/>
              </w:rPr>
              <w:t>DPT</w:t>
            </w:r>
            <w:r w:rsidR="003C24AC" w:rsidRPr="00821568">
              <w:rPr>
                <w:rFonts w:ascii="Garamond" w:hAnsi="Garamond"/>
                <w:sz w:val="12"/>
                <w:szCs w:val="12"/>
              </w:rPr>
              <w:t>-ja</w:t>
            </w:r>
          </w:p>
        </w:tc>
        <w:tc>
          <w:tcPr>
            <w:tcW w:w="0" w:type="auto"/>
            <w:tcBorders>
              <w:top w:val="nil"/>
              <w:left w:val="nil"/>
              <w:bottom w:val="single" w:sz="4" w:space="0" w:color="auto"/>
              <w:right w:val="single" w:sz="4" w:space="0" w:color="auto"/>
            </w:tcBorders>
            <w:shd w:val="clear" w:color="auto" w:fill="auto"/>
          </w:tcPr>
          <w:p w14:paraId="381BBA97" w14:textId="77777777" w:rsidR="00A86F37" w:rsidRPr="00821568" w:rsidRDefault="00A86F37" w:rsidP="00A86F37">
            <w:pPr>
              <w:jc w:val="center"/>
              <w:rPr>
                <w:rFonts w:ascii="Garamond" w:hAnsi="Garamond"/>
                <w:sz w:val="12"/>
                <w:szCs w:val="12"/>
              </w:rPr>
            </w:pPr>
          </w:p>
        </w:tc>
        <w:tc>
          <w:tcPr>
            <w:tcW w:w="0" w:type="auto"/>
            <w:tcBorders>
              <w:top w:val="nil"/>
              <w:left w:val="nil"/>
              <w:bottom w:val="single" w:sz="4" w:space="0" w:color="auto"/>
              <w:right w:val="single" w:sz="4" w:space="0" w:color="auto"/>
            </w:tcBorders>
            <w:shd w:val="clear" w:color="auto" w:fill="auto"/>
            <w:hideMark/>
          </w:tcPr>
          <w:p w14:paraId="1AD20953"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T4 2024</w:t>
            </w:r>
          </w:p>
        </w:tc>
        <w:tc>
          <w:tcPr>
            <w:tcW w:w="0" w:type="auto"/>
            <w:tcBorders>
              <w:top w:val="nil"/>
              <w:left w:val="nil"/>
              <w:bottom w:val="single" w:sz="4" w:space="0" w:color="auto"/>
              <w:right w:val="single" w:sz="4" w:space="0" w:color="auto"/>
            </w:tcBorders>
            <w:shd w:val="clear" w:color="auto" w:fill="auto"/>
            <w:hideMark/>
          </w:tcPr>
          <w:p w14:paraId="06BC8029"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T4 2027</w:t>
            </w:r>
          </w:p>
        </w:tc>
        <w:tc>
          <w:tcPr>
            <w:tcW w:w="0" w:type="auto"/>
            <w:tcBorders>
              <w:top w:val="nil"/>
              <w:left w:val="nil"/>
              <w:bottom w:val="single" w:sz="4" w:space="0" w:color="auto"/>
              <w:right w:val="single" w:sz="4" w:space="0" w:color="auto"/>
            </w:tcBorders>
            <w:shd w:val="clear" w:color="auto" w:fill="auto"/>
            <w:hideMark/>
          </w:tcPr>
          <w:p w14:paraId="088D518E" w14:textId="77777777" w:rsidR="00A86F37" w:rsidRPr="00821568" w:rsidRDefault="00A86F37" w:rsidP="00A86F37">
            <w:pPr>
              <w:jc w:val="center"/>
              <w:rPr>
                <w:rFonts w:ascii="Garamond" w:hAnsi="Garamond"/>
                <w:sz w:val="12"/>
                <w:szCs w:val="12"/>
              </w:rPr>
            </w:pPr>
            <w:r w:rsidRPr="00821568">
              <w:rPr>
                <w:rFonts w:ascii="Garamond" w:hAnsi="Garamond"/>
                <w:sz w:val="12"/>
                <w:szCs w:val="12"/>
              </w:rPr>
              <w:t>-</w:t>
            </w:r>
          </w:p>
        </w:tc>
        <w:tc>
          <w:tcPr>
            <w:tcW w:w="0" w:type="auto"/>
            <w:tcBorders>
              <w:top w:val="nil"/>
              <w:left w:val="nil"/>
              <w:bottom w:val="single" w:sz="4" w:space="0" w:color="auto"/>
              <w:right w:val="single" w:sz="4" w:space="0" w:color="auto"/>
            </w:tcBorders>
            <w:shd w:val="clear" w:color="auto" w:fill="auto"/>
            <w:hideMark/>
          </w:tcPr>
          <w:p w14:paraId="307E71F4" w14:textId="77777777" w:rsidR="00A86F37" w:rsidRPr="00821568" w:rsidRDefault="00A86F37" w:rsidP="00A86F37">
            <w:pPr>
              <w:jc w:val="center"/>
              <w:rPr>
                <w:rFonts w:ascii="Garamond" w:hAnsi="Garamond"/>
                <w:sz w:val="12"/>
                <w:szCs w:val="12"/>
              </w:rPr>
            </w:pPr>
            <w:r w:rsidRPr="00821568">
              <w:rPr>
                <w:rFonts w:ascii="Garamond" w:hAnsi="Garamond"/>
                <w:sz w:val="12"/>
                <w:szCs w:val="12"/>
              </w:rPr>
              <w:t>-</w:t>
            </w:r>
          </w:p>
        </w:tc>
        <w:tc>
          <w:tcPr>
            <w:tcW w:w="0" w:type="auto"/>
            <w:tcBorders>
              <w:top w:val="nil"/>
              <w:left w:val="nil"/>
              <w:bottom w:val="single" w:sz="4" w:space="0" w:color="auto"/>
              <w:right w:val="single" w:sz="4" w:space="0" w:color="auto"/>
            </w:tcBorders>
            <w:shd w:val="clear" w:color="auto" w:fill="auto"/>
            <w:hideMark/>
          </w:tcPr>
          <w:p w14:paraId="7DE66E69" w14:textId="77777777" w:rsidR="00A86F37" w:rsidRPr="00821568" w:rsidRDefault="00A86F37" w:rsidP="00A86F37">
            <w:pPr>
              <w:jc w:val="center"/>
              <w:rPr>
                <w:rFonts w:ascii="Garamond" w:hAnsi="Garamond"/>
                <w:sz w:val="12"/>
                <w:szCs w:val="12"/>
              </w:rPr>
            </w:pPr>
            <w:r w:rsidRPr="00821568">
              <w:rPr>
                <w:rFonts w:ascii="Garamond" w:hAnsi="Garamond"/>
                <w:sz w:val="12"/>
                <w:szCs w:val="12"/>
              </w:rPr>
              <w:t>-</w:t>
            </w:r>
          </w:p>
        </w:tc>
        <w:tc>
          <w:tcPr>
            <w:tcW w:w="0" w:type="auto"/>
            <w:tcBorders>
              <w:top w:val="nil"/>
              <w:left w:val="nil"/>
              <w:bottom w:val="single" w:sz="4" w:space="0" w:color="auto"/>
              <w:right w:val="single" w:sz="4" w:space="0" w:color="auto"/>
            </w:tcBorders>
            <w:shd w:val="clear" w:color="auto" w:fill="auto"/>
            <w:hideMark/>
          </w:tcPr>
          <w:p w14:paraId="0C26AB02" w14:textId="77777777" w:rsidR="00A86F37" w:rsidRPr="00821568" w:rsidRDefault="00A86F37" w:rsidP="00A86F37">
            <w:pPr>
              <w:jc w:val="center"/>
              <w:rPr>
                <w:rFonts w:ascii="Garamond" w:hAnsi="Garamond"/>
                <w:sz w:val="12"/>
                <w:szCs w:val="12"/>
              </w:rPr>
            </w:pPr>
            <w:r w:rsidRPr="00821568">
              <w:rPr>
                <w:rFonts w:ascii="Garamond" w:hAnsi="Garamond"/>
                <w:sz w:val="12"/>
                <w:szCs w:val="12"/>
              </w:rPr>
              <w:t>-</w:t>
            </w:r>
          </w:p>
        </w:tc>
      </w:tr>
      <w:tr w:rsidR="00723888" w:rsidRPr="00821568" w14:paraId="3E799442" w14:textId="77777777" w:rsidTr="00A86F37">
        <w:trPr>
          <w:trHeight w:val="20"/>
        </w:trPr>
        <w:tc>
          <w:tcPr>
            <w:tcW w:w="0" w:type="auto"/>
            <w:tcBorders>
              <w:top w:val="nil"/>
              <w:left w:val="single" w:sz="4" w:space="0" w:color="auto"/>
              <w:bottom w:val="single" w:sz="4" w:space="0" w:color="auto"/>
              <w:right w:val="single" w:sz="4" w:space="0" w:color="auto"/>
            </w:tcBorders>
            <w:shd w:val="clear" w:color="auto" w:fill="auto"/>
            <w:hideMark/>
          </w:tcPr>
          <w:p w14:paraId="0857A058" w14:textId="77777777" w:rsidR="00A86F37" w:rsidRPr="00821568" w:rsidRDefault="00A86F37" w:rsidP="00A86F37">
            <w:pPr>
              <w:jc w:val="center"/>
              <w:rPr>
                <w:rFonts w:ascii="Garamond" w:hAnsi="Garamond"/>
                <w:sz w:val="12"/>
                <w:szCs w:val="12"/>
              </w:rPr>
            </w:pPr>
            <w:r w:rsidRPr="00821568">
              <w:rPr>
                <w:rFonts w:ascii="Garamond" w:hAnsi="Garamond"/>
                <w:sz w:val="12"/>
                <w:szCs w:val="12"/>
              </w:rPr>
              <w:t>2.6</w:t>
            </w:r>
          </w:p>
        </w:tc>
        <w:tc>
          <w:tcPr>
            <w:tcW w:w="0" w:type="auto"/>
            <w:tcBorders>
              <w:top w:val="nil"/>
              <w:left w:val="nil"/>
              <w:bottom w:val="single" w:sz="4" w:space="0" w:color="auto"/>
              <w:right w:val="single" w:sz="4" w:space="0" w:color="auto"/>
            </w:tcBorders>
            <w:shd w:val="clear" w:color="auto" w:fill="auto"/>
            <w:hideMark/>
          </w:tcPr>
          <w:p w14:paraId="24AEF55C" w14:textId="2C2F52BF" w:rsidR="00A86F37" w:rsidRPr="00821568" w:rsidRDefault="00A86F37" w:rsidP="00A86F37">
            <w:pPr>
              <w:jc w:val="center"/>
              <w:rPr>
                <w:rFonts w:ascii="Garamond" w:hAnsi="Garamond"/>
                <w:sz w:val="12"/>
                <w:szCs w:val="12"/>
              </w:rPr>
            </w:pPr>
            <w:r w:rsidRPr="00821568">
              <w:rPr>
                <w:rFonts w:ascii="Garamond" w:hAnsi="Garamond"/>
                <w:sz w:val="12"/>
                <w:szCs w:val="12"/>
              </w:rPr>
              <w:t xml:space="preserve">Objektivi </w:t>
            </w:r>
            <w:r w:rsidR="003C24AC" w:rsidRPr="00821568">
              <w:rPr>
                <w:rFonts w:ascii="Garamond" w:hAnsi="Garamond"/>
                <w:sz w:val="12"/>
                <w:szCs w:val="12"/>
              </w:rPr>
              <w:t>specifik (komponenti</w:t>
            </w:r>
            <w:r w:rsidRPr="00821568">
              <w:rPr>
                <w:rFonts w:ascii="Garamond" w:hAnsi="Garamond"/>
                <w:sz w:val="12"/>
                <w:szCs w:val="12"/>
              </w:rPr>
              <w:t>) 2.6 Reduktimi</w:t>
            </w:r>
            <w:r w:rsidR="00D22EA5" w:rsidRPr="00821568">
              <w:rPr>
                <w:rFonts w:ascii="Garamond" w:hAnsi="Garamond"/>
                <w:sz w:val="12"/>
                <w:szCs w:val="12"/>
              </w:rPr>
              <w:t xml:space="preserve"> </w:t>
            </w:r>
            <w:r w:rsidRPr="00821568">
              <w:rPr>
                <w:rFonts w:ascii="Garamond" w:hAnsi="Garamond"/>
                <w:sz w:val="12"/>
                <w:szCs w:val="12"/>
              </w:rPr>
              <w:t>i kostove të pajtueshmërisë dhe rritja e</w:t>
            </w:r>
            <w:r w:rsidR="00D22EA5" w:rsidRPr="00821568">
              <w:rPr>
                <w:rFonts w:ascii="Garamond" w:hAnsi="Garamond"/>
                <w:sz w:val="12"/>
                <w:szCs w:val="12"/>
              </w:rPr>
              <w:t xml:space="preserve"> </w:t>
            </w:r>
            <w:r w:rsidRPr="00821568">
              <w:rPr>
                <w:rFonts w:ascii="Garamond" w:hAnsi="Garamond"/>
                <w:sz w:val="12"/>
                <w:szCs w:val="12"/>
              </w:rPr>
              <w:t>besimit tek administrata tatimore</w:t>
            </w:r>
          </w:p>
        </w:tc>
        <w:tc>
          <w:tcPr>
            <w:tcW w:w="0" w:type="auto"/>
            <w:tcBorders>
              <w:top w:val="nil"/>
              <w:left w:val="nil"/>
              <w:bottom w:val="single" w:sz="4" w:space="0" w:color="auto"/>
              <w:right w:val="single" w:sz="4" w:space="0" w:color="auto"/>
            </w:tcBorders>
            <w:shd w:val="clear" w:color="auto" w:fill="auto"/>
            <w:hideMark/>
          </w:tcPr>
          <w:p w14:paraId="67079666" w14:textId="47984C32" w:rsidR="00A86F37" w:rsidRPr="00821568" w:rsidRDefault="00A86F37" w:rsidP="00A86F37">
            <w:pPr>
              <w:jc w:val="center"/>
              <w:rPr>
                <w:rFonts w:ascii="Garamond" w:hAnsi="Garamond"/>
                <w:sz w:val="12"/>
                <w:szCs w:val="12"/>
              </w:rPr>
            </w:pPr>
            <w:r w:rsidRPr="00821568">
              <w:rPr>
                <w:rFonts w:ascii="Garamond" w:hAnsi="Garamond"/>
                <w:sz w:val="12"/>
                <w:szCs w:val="12"/>
              </w:rPr>
              <w:t>DPT</w:t>
            </w:r>
            <w:r w:rsidR="003C24AC" w:rsidRPr="00821568">
              <w:rPr>
                <w:rFonts w:ascii="Garamond" w:hAnsi="Garamond"/>
                <w:sz w:val="12"/>
                <w:szCs w:val="12"/>
              </w:rPr>
              <w:t>-ja</w:t>
            </w:r>
          </w:p>
        </w:tc>
        <w:tc>
          <w:tcPr>
            <w:tcW w:w="0" w:type="auto"/>
            <w:tcBorders>
              <w:top w:val="nil"/>
              <w:left w:val="nil"/>
              <w:bottom w:val="single" w:sz="4" w:space="0" w:color="auto"/>
              <w:right w:val="single" w:sz="4" w:space="0" w:color="auto"/>
            </w:tcBorders>
            <w:shd w:val="clear" w:color="auto" w:fill="auto"/>
          </w:tcPr>
          <w:p w14:paraId="2921A7F0" w14:textId="77777777" w:rsidR="00A86F37" w:rsidRPr="00821568" w:rsidRDefault="00A86F37" w:rsidP="00A86F37">
            <w:pPr>
              <w:jc w:val="center"/>
              <w:rPr>
                <w:rFonts w:ascii="Garamond" w:hAnsi="Garamond"/>
                <w:sz w:val="12"/>
                <w:szCs w:val="12"/>
              </w:rPr>
            </w:pPr>
          </w:p>
        </w:tc>
        <w:tc>
          <w:tcPr>
            <w:tcW w:w="0" w:type="auto"/>
            <w:tcBorders>
              <w:top w:val="nil"/>
              <w:left w:val="nil"/>
              <w:bottom w:val="single" w:sz="4" w:space="0" w:color="auto"/>
              <w:right w:val="single" w:sz="4" w:space="0" w:color="auto"/>
            </w:tcBorders>
            <w:shd w:val="clear" w:color="auto" w:fill="auto"/>
            <w:hideMark/>
          </w:tcPr>
          <w:p w14:paraId="0B3476B6"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T4 2024</w:t>
            </w:r>
          </w:p>
        </w:tc>
        <w:tc>
          <w:tcPr>
            <w:tcW w:w="0" w:type="auto"/>
            <w:tcBorders>
              <w:top w:val="nil"/>
              <w:left w:val="nil"/>
              <w:bottom w:val="single" w:sz="4" w:space="0" w:color="auto"/>
              <w:right w:val="single" w:sz="4" w:space="0" w:color="auto"/>
            </w:tcBorders>
            <w:shd w:val="clear" w:color="auto" w:fill="auto"/>
            <w:hideMark/>
          </w:tcPr>
          <w:p w14:paraId="76BAD365"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T4 2027</w:t>
            </w:r>
          </w:p>
        </w:tc>
        <w:tc>
          <w:tcPr>
            <w:tcW w:w="0" w:type="auto"/>
            <w:tcBorders>
              <w:top w:val="nil"/>
              <w:left w:val="nil"/>
              <w:bottom w:val="single" w:sz="4" w:space="0" w:color="auto"/>
              <w:right w:val="single" w:sz="4" w:space="0" w:color="auto"/>
            </w:tcBorders>
            <w:shd w:val="clear" w:color="auto" w:fill="auto"/>
            <w:hideMark/>
          </w:tcPr>
          <w:p w14:paraId="784CBB21" w14:textId="77777777" w:rsidR="00A86F37" w:rsidRPr="00821568" w:rsidRDefault="00A86F37" w:rsidP="00A86F37">
            <w:pPr>
              <w:jc w:val="center"/>
              <w:rPr>
                <w:rFonts w:ascii="Garamond" w:hAnsi="Garamond"/>
                <w:sz w:val="12"/>
                <w:szCs w:val="12"/>
              </w:rPr>
            </w:pPr>
            <w:r w:rsidRPr="00821568">
              <w:rPr>
                <w:rFonts w:ascii="Garamond" w:hAnsi="Garamond"/>
                <w:sz w:val="12"/>
                <w:szCs w:val="12"/>
              </w:rPr>
              <w:t>-</w:t>
            </w:r>
          </w:p>
        </w:tc>
        <w:tc>
          <w:tcPr>
            <w:tcW w:w="0" w:type="auto"/>
            <w:tcBorders>
              <w:top w:val="nil"/>
              <w:left w:val="nil"/>
              <w:bottom w:val="single" w:sz="4" w:space="0" w:color="auto"/>
              <w:right w:val="single" w:sz="4" w:space="0" w:color="auto"/>
            </w:tcBorders>
            <w:shd w:val="clear" w:color="auto" w:fill="auto"/>
            <w:hideMark/>
          </w:tcPr>
          <w:p w14:paraId="32B3E17E" w14:textId="77777777" w:rsidR="00A86F37" w:rsidRPr="00821568" w:rsidRDefault="00A86F37" w:rsidP="00A86F37">
            <w:pPr>
              <w:jc w:val="center"/>
              <w:rPr>
                <w:rFonts w:ascii="Garamond" w:hAnsi="Garamond"/>
                <w:sz w:val="12"/>
                <w:szCs w:val="12"/>
              </w:rPr>
            </w:pPr>
            <w:r w:rsidRPr="00821568">
              <w:rPr>
                <w:rFonts w:ascii="Garamond" w:hAnsi="Garamond"/>
                <w:sz w:val="12"/>
                <w:szCs w:val="12"/>
              </w:rPr>
              <w:t>40,000</w:t>
            </w:r>
          </w:p>
        </w:tc>
        <w:tc>
          <w:tcPr>
            <w:tcW w:w="0" w:type="auto"/>
            <w:tcBorders>
              <w:top w:val="nil"/>
              <w:left w:val="nil"/>
              <w:bottom w:val="single" w:sz="4" w:space="0" w:color="auto"/>
              <w:right w:val="single" w:sz="4" w:space="0" w:color="auto"/>
            </w:tcBorders>
            <w:shd w:val="clear" w:color="auto" w:fill="auto"/>
            <w:hideMark/>
          </w:tcPr>
          <w:p w14:paraId="39DE6608" w14:textId="77777777" w:rsidR="00A86F37" w:rsidRPr="00821568" w:rsidRDefault="00A86F37" w:rsidP="00A86F37">
            <w:pPr>
              <w:jc w:val="center"/>
              <w:rPr>
                <w:rFonts w:ascii="Garamond" w:hAnsi="Garamond"/>
                <w:sz w:val="12"/>
                <w:szCs w:val="12"/>
              </w:rPr>
            </w:pPr>
            <w:r w:rsidRPr="00821568">
              <w:rPr>
                <w:rFonts w:ascii="Garamond" w:hAnsi="Garamond"/>
                <w:sz w:val="12"/>
                <w:szCs w:val="12"/>
              </w:rPr>
              <w:t>-</w:t>
            </w:r>
          </w:p>
        </w:tc>
        <w:tc>
          <w:tcPr>
            <w:tcW w:w="0" w:type="auto"/>
            <w:tcBorders>
              <w:top w:val="nil"/>
              <w:left w:val="nil"/>
              <w:bottom w:val="single" w:sz="4" w:space="0" w:color="auto"/>
              <w:right w:val="single" w:sz="4" w:space="0" w:color="auto"/>
            </w:tcBorders>
            <w:shd w:val="clear" w:color="auto" w:fill="auto"/>
            <w:hideMark/>
          </w:tcPr>
          <w:p w14:paraId="23FD10C8" w14:textId="77777777" w:rsidR="00A86F37" w:rsidRPr="00821568" w:rsidRDefault="00A86F37" w:rsidP="00A86F37">
            <w:pPr>
              <w:jc w:val="center"/>
              <w:rPr>
                <w:rFonts w:ascii="Garamond" w:hAnsi="Garamond"/>
                <w:sz w:val="12"/>
                <w:szCs w:val="12"/>
              </w:rPr>
            </w:pPr>
            <w:r w:rsidRPr="00821568">
              <w:rPr>
                <w:rFonts w:ascii="Garamond" w:hAnsi="Garamond"/>
                <w:sz w:val="12"/>
                <w:szCs w:val="12"/>
              </w:rPr>
              <w:t>40,000</w:t>
            </w:r>
          </w:p>
        </w:tc>
      </w:tr>
      <w:tr w:rsidR="00723888" w:rsidRPr="00821568" w14:paraId="2473C9CC" w14:textId="77777777" w:rsidTr="00A86F37">
        <w:trPr>
          <w:trHeight w:val="20"/>
        </w:trPr>
        <w:tc>
          <w:tcPr>
            <w:tcW w:w="0" w:type="auto"/>
            <w:tcBorders>
              <w:top w:val="nil"/>
              <w:left w:val="single" w:sz="4" w:space="0" w:color="auto"/>
              <w:bottom w:val="single" w:sz="4" w:space="0" w:color="auto"/>
              <w:right w:val="single" w:sz="4" w:space="0" w:color="auto"/>
            </w:tcBorders>
            <w:shd w:val="clear" w:color="auto" w:fill="auto"/>
            <w:hideMark/>
          </w:tcPr>
          <w:p w14:paraId="59398C61" w14:textId="77777777" w:rsidR="00A86F37" w:rsidRPr="00821568" w:rsidRDefault="00A86F37" w:rsidP="00A86F37">
            <w:pPr>
              <w:jc w:val="center"/>
              <w:rPr>
                <w:rFonts w:ascii="Garamond" w:hAnsi="Garamond"/>
                <w:sz w:val="12"/>
                <w:szCs w:val="12"/>
              </w:rPr>
            </w:pPr>
            <w:r w:rsidRPr="00821568">
              <w:rPr>
                <w:rFonts w:ascii="Garamond" w:hAnsi="Garamond"/>
                <w:sz w:val="12"/>
                <w:szCs w:val="12"/>
              </w:rPr>
              <w:t>2.7</w:t>
            </w:r>
          </w:p>
        </w:tc>
        <w:tc>
          <w:tcPr>
            <w:tcW w:w="0" w:type="auto"/>
            <w:tcBorders>
              <w:top w:val="nil"/>
              <w:left w:val="nil"/>
              <w:bottom w:val="single" w:sz="4" w:space="0" w:color="auto"/>
              <w:right w:val="single" w:sz="4" w:space="0" w:color="auto"/>
            </w:tcBorders>
            <w:shd w:val="clear" w:color="auto" w:fill="auto"/>
            <w:hideMark/>
          </w:tcPr>
          <w:p w14:paraId="0FCB4E5E" w14:textId="2E8623AF" w:rsidR="00A86F37" w:rsidRPr="00821568" w:rsidRDefault="00A86F37" w:rsidP="00A86F37">
            <w:pPr>
              <w:jc w:val="center"/>
              <w:rPr>
                <w:rFonts w:ascii="Garamond" w:hAnsi="Garamond"/>
                <w:sz w:val="12"/>
                <w:szCs w:val="12"/>
              </w:rPr>
            </w:pPr>
            <w:r w:rsidRPr="00821568">
              <w:rPr>
                <w:rFonts w:ascii="Garamond" w:hAnsi="Garamond"/>
                <w:sz w:val="12"/>
                <w:szCs w:val="12"/>
              </w:rPr>
              <w:t xml:space="preserve">Objektivi </w:t>
            </w:r>
            <w:r w:rsidR="003C24AC" w:rsidRPr="00821568">
              <w:rPr>
                <w:rFonts w:ascii="Garamond" w:hAnsi="Garamond"/>
                <w:sz w:val="12"/>
                <w:szCs w:val="12"/>
              </w:rPr>
              <w:t>specifik (komponenti</w:t>
            </w:r>
            <w:r w:rsidRPr="00821568">
              <w:rPr>
                <w:rFonts w:ascii="Garamond" w:hAnsi="Garamond"/>
                <w:sz w:val="12"/>
                <w:szCs w:val="12"/>
              </w:rPr>
              <w:t>) 2.7 Përmirësimi i cilësisë së shërbimit të ofruar nga administratës tatimore nëpërmjet zhvillimit të kapaciteteve institucionale</w:t>
            </w:r>
          </w:p>
        </w:tc>
        <w:tc>
          <w:tcPr>
            <w:tcW w:w="0" w:type="auto"/>
            <w:tcBorders>
              <w:top w:val="nil"/>
              <w:left w:val="nil"/>
              <w:bottom w:val="single" w:sz="4" w:space="0" w:color="auto"/>
              <w:right w:val="single" w:sz="4" w:space="0" w:color="auto"/>
            </w:tcBorders>
            <w:shd w:val="clear" w:color="auto" w:fill="auto"/>
            <w:hideMark/>
          </w:tcPr>
          <w:p w14:paraId="058A198F" w14:textId="38AFEB16" w:rsidR="00A86F37" w:rsidRPr="00821568" w:rsidRDefault="00A86F37" w:rsidP="00A86F37">
            <w:pPr>
              <w:jc w:val="center"/>
              <w:rPr>
                <w:rFonts w:ascii="Garamond" w:hAnsi="Garamond"/>
                <w:sz w:val="12"/>
                <w:szCs w:val="12"/>
              </w:rPr>
            </w:pPr>
            <w:r w:rsidRPr="00821568">
              <w:rPr>
                <w:rFonts w:ascii="Garamond" w:hAnsi="Garamond"/>
                <w:sz w:val="12"/>
                <w:szCs w:val="12"/>
              </w:rPr>
              <w:t>DPT</w:t>
            </w:r>
            <w:r w:rsidR="003C24AC" w:rsidRPr="00821568">
              <w:rPr>
                <w:rFonts w:ascii="Garamond" w:hAnsi="Garamond"/>
                <w:sz w:val="12"/>
                <w:szCs w:val="12"/>
              </w:rPr>
              <w:t>-ja</w:t>
            </w:r>
          </w:p>
        </w:tc>
        <w:tc>
          <w:tcPr>
            <w:tcW w:w="0" w:type="auto"/>
            <w:tcBorders>
              <w:top w:val="nil"/>
              <w:left w:val="nil"/>
              <w:bottom w:val="single" w:sz="4" w:space="0" w:color="auto"/>
              <w:right w:val="single" w:sz="4" w:space="0" w:color="auto"/>
            </w:tcBorders>
            <w:shd w:val="clear" w:color="auto" w:fill="auto"/>
            <w:hideMark/>
          </w:tcPr>
          <w:p w14:paraId="1E033946" w14:textId="77777777" w:rsidR="00A86F37" w:rsidRPr="00821568" w:rsidRDefault="00A86F37" w:rsidP="00A86F37">
            <w:pPr>
              <w:jc w:val="center"/>
              <w:rPr>
                <w:rFonts w:ascii="Garamond" w:hAnsi="Garamond"/>
                <w:sz w:val="12"/>
                <w:szCs w:val="12"/>
              </w:rPr>
            </w:pPr>
          </w:p>
        </w:tc>
        <w:tc>
          <w:tcPr>
            <w:tcW w:w="0" w:type="auto"/>
            <w:tcBorders>
              <w:top w:val="nil"/>
              <w:left w:val="nil"/>
              <w:bottom w:val="single" w:sz="4" w:space="0" w:color="auto"/>
              <w:right w:val="single" w:sz="4" w:space="0" w:color="auto"/>
            </w:tcBorders>
            <w:shd w:val="clear" w:color="auto" w:fill="auto"/>
            <w:hideMark/>
          </w:tcPr>
          <w:p w14:paraId="7CB9005A"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T4 2024</w:t>
            </w:r>
          </w:p>
        </w:tc>
        <w:tc>
          <w:tcPr>
            <w:tcW w:w="0" w:type="auto"/>
            <w:tcBorders>
              <w:top w:val="nil"/>
              <w:left w:val="nil"/>
              <w:bottom w:val="single" w:sz="4" w:space="0" w:color="auto"/>
              <w:right w:val="single" w:sz="4" w:space="0" w:color="auto"/>
            </w:tcBorders>
            <w:shd w:val="clear" w:color="auto" w:fill="auto"/>
            <w:hideMark/>
          </w:tcPr>
          <w:p w14:paraId="604F794D"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T4 2027</w:t>
            </w:r>
          </w:p>
        </w:tc>
        <w:tc>
          <w:tcPr>
            <w:tcW w:w="0" w:type="auto"/>
            <w:tcBorders>
              <w:top w:val="nil"/>
              <w:left w:val="nil"/>
              <w:bottom w:val="single" w:sz="4" w:space="0" w:color="auto"/>
              <w:right w:val="single" w:sz="4" w:space="0" w:color="auto"/>
            </w:tcBorders>
            <w:shd w:val="clear" w:color="auto" w:fill="auto"/>
            <w:hideMark/>
          </w:tcPr>
          <w:p w14:paraId="63ED5B82" w14:textId="77777777" w:rsidR="00A86F37" w:rsidRPr="00821568" w:rsidRDefault="00A86F37" w:rsidP="00A86F37">
            <w:pPr>
              <w:jc w:val="center"/>
              <w:rPr>
                <w:rFonts w:ascii="Garamond" w:hAnsi="Garamond"/>
                <w:sz w:val="12"/>
                <w:szCs w:val="12"/>
              </w:rPr>
            </w:pPr>
            <w:r w:rsidRPr="00821568">
              <w:rPr>
                <w:rFonts w:ascii="Garamond" w:hAnsi="Garamond"/>
                <w:sz w:val="12"/>
                <w:szCs w:val="12"/>
              </w:rPr>
              <w:t>-</w:t>
            </w:r>
          </w:p>
        </w:tc>
        <w:tc>
          <w:tcPr>
            <w:tcW w:w="0" w:type="auto"/>
            <w:tcBorders>
              <w:top w:val="nil"/>
              <w:left w:val="nil"/>
              <w:bottom w:val="single" w:sz="4" w:space="0" w:color="auto"/>
              <w:right w:val="single" w:sz="4" w:space="0" w:color="auto"/>
            </w:tcBorders>
            <w:shd w:val="clear" w:color="auto" w:fill="auto"/>
            <w:hideMark/>
          </w:tcPr>
          <w:p w14:paraId="23DC7095" w14:textId="77777777" w:rsidR="00A86F37" w:rsidRPr="00821568" w:rsidRDefault="00A86F37" w:rsidP="00A86F37">
            <w:pPr>
              <w:jc w:val="center"/>
              <w:rPr>
                <w:rFonts w:ascii="Garamond" w:hAnsi="Garamond"/>
                <w:sz w:val="12"/>
                <w:szCs w:val="12"/>
              </w:rPr>
            </w:pPr>
            <w:r w:rsidRPr="00821568">
              <w:rPr>
                <w:rFonts w:ascii="Garamond" w:hAnsi="Garamond"/>
                <w:sz w:val="12"/>
                <w:szCs w:val="12"/>
              </w:rPr>
              <w:t>60,000</w:t>
            </w:r>
          </w:p>
        </w:tc>
        <w:tc>
          <w:tcPr>
            <w:tcW w:w="0" w:type="auto"/>
            <w:tcBorders>
              <w:top w:val="nil"/>
              <w:left w:val="nil"/>
              <w:bottom w:val="single" w:sz="4" w:space="0" w:color="auto"/>
              <w:right w:val="single" w:sz="4" w:space="0" w:color="auto"/>
            </w:tcBorders>
            <w:shd w:val="clear" w:color="auto" w:fill="auto"/>
            <w:hideMark/>
          </w:tcPr>
          <w:p w14:paraId="5AD7BC40" w14:textId="77777777" w:rsidR="00A86F37" w:rsidRPr="00821568" w:rsidRDefault="00A86F37" w:rsidP="00A86F37">
            <w:pPr>
              <w:jc w:val="center"/>
              <w:rPr>
                <w:rFonts w:ascii="Garamond" w:hAnsi="Garamond"/>
                <w:sz w:val="12"/>
                <w:szCs w:val="12"/>
              </w:rPr>
            </w:pPr>
            <w:r w:rsidRPr="00821568">
              <w:rPr>
                <w:rFonts w:ascii="Garamond" w:hAnsi="Garamond"/>
                <w:sz w:val="12"/>
                <w:szCs w:val="12"/>
              </w:rPr>
              <w:t>-</w:t>
            </w:r>
          </w:p>
        </w:tc>
        <w:tc>
          <w:tcPr>
            <w:tcW w:w="0" w:type="auto"/>
            <w:tcBorders>
              <w:top w:val="nil"/>
              <w:left w:val="nil"/>
              <w:bottom w:val="single" w:sz="4" w:space="0" w:color="auto"/>
              <w:right w:val="single" w:sz="4" w:space="0" w:color="auto"/>
            </w:tcBorders>
            <w:shd w:val="clear" w:color="auto" w:fill="auto"/>
            <w:hideMark/>
          </w:tcPr>
          <w:p w14:paraId="215DBEF7" w14:textId="77777777" w:rsidR="00A86F37" w:rsidRPr="00821568" w:rsidRDefault="00A86F37" w:rsidP="00A86F37">
            <w:pPr>
              <w:jc w:val="center"/>
              <w:rPr>
                <w:rFonts w:ascii="Garamond" w:hAnsi="Garamond"/>
                <w:sz w:val="12"/>
                <w:szCs w:val="12"/>
              </w:rPr>
            </w:pPr>
            <w:r w:rsidRPr="00821568">
              <w:rPr>
                <w:rFonts w:ascii="Garamond" w:hAnsi="Garamond"/>
                <w:sz w:val="12"/>
                <w:szCs w:val="12"/>
              </w:rPr>
              <w:t>60,000</w:t>
            </w:r>
          </w:p>
        </w:tc>
      </w:tr>
      <w:tr w:rsidR="00723888" w:rsidRPr="00821568" w14:paraId="3DAE2850" w14:textId="77777777" w:rsidTr="00A86F37">
        <w:trPr>
          <w:trHeight w:val="20"/>
        </w:trPr>
        <w:tc>
          <w:tcPr>
            <w:tcW w:w="0" w:type="auto"/>
            <w:tcBorders>
              <w:top w:val="nil"/>
              <w:left w:val="single" w:sz="4" w:space="0" w:color="auto"/>
              <w:bottom w:val="single" w:sz="4" w:space="0" w:color="auto"/>
              <w:right w:val="single" w:sz="4" w:space="0" w:color="auto"/>
            </w:tcBorders>
            <w:shd w:val="clear" w:color="auto" w:fill="auto"/>
            <w:hideMark/>
          </w:tcPr>
          <w:p w14:paraId="09115634" w14:textId="77777777" w:rsidR="00A86F37" w:rsidRPr="00821568" w:rsidRDefault="00A86F37" w:rsidP="00A86F37">
            <w:pPr>
              <w:jc w:val="center"/>
              <w:rPr>
                <w:rFonts w:ascii="Garamond" w:hAnsi="Garamond"/>
                <w:sz w:val="12"/>
                <w:szCs w:val="12"/>
              </w:rPr>
            </w:pPr>
          </w:p>
        </w:tc>
        <w:tc>
          <w:tcPr>
            <w:tcW w:w="0" w:type="auto"/>
            <w:tcBorders>
              <w:top w:val="nil"/>
              <w:left w:val="nil"/>
              <w:bottom w:val="single" w:sz="4" w:space="0" w:color="auto"/>
              <w:right w:val="single" w:sz="4" w:space="0" w:color="auto"/>
            </w:tcBorders>
            <w:shd w:val="clear" w:color="auto" w:fill="auto"/>
            <w:hideMark/>
          </w:tcPr>
          <w:p w14:paraId="7924BA1E" w14:textId="0D34BEF3" w:rsidR="00A86F37" w:rsidRPr="00821568" w:rsidRDefault="003C24AC" w:rsidP="00A86F37">
            <w:pPr>
              <w:jc w:val="center"/>
              <w:rPr>
                <w:rFonts w:ascii="Garamond" w:hAnsi="Garamond"/>
                <w:b/>
                <w:sz w:val="12"/>
                <w:szCs w:val="12"/>
              </w:rPr>
            </w:pPr>
            <w:r w:rsidRPr="00821568">
              <w:rPr>
                <w:rFonts w:ascii="Garamond" w:hAnsi="Garamond"/>
                <w:b/>
                <w:sz w:val="12"/>
                <w:szCs w:val="12"/>
              </w:rPr>
              <w:t xml:space="preserve">Kostoja indikative e qëllimit të politikës </w:t>
            </w:r>
            <w:r w:rsidR="00A86F37" w:rsidRPr="00821568">
              <w:rPr>
                <w:rFonts w:ascii="Garamond" w:hAnsi="Garamond"/>
                <w:b/>
                <w:sz w:val="12"/>
                <w:szCs w:val="12"/>
              </w:rPr>
              <w:t>(</w:t>
            </w:r>
            <w:r w:rsidRPr="00821568">
              <w:rPr>
                <w:rFonts w:ascii="Garamond" w:hAnsi="Garamond"/>
                <w:b/>
                <w:sz w:val="12"/>
                <w:szCs w:val="12"/>
              </w:rPr>
              <w:t>s</w:t>
            </w:r>
            <w:r w:rsidR="00A86F37" w:rsidRPr="00821568">
              <w:rPr>
                <w:rFonts w:ascii="Garamond" w:hAnsi="Garamond"/>
                <w:b/>
                <w:sz w:val="12"/>
                <w:szCs w:val="12"/>
              </w:rPr>
              <w:t>htylla) 2</w:t>
            </w:r>
          </w:p>
        </w:tc>
        <w:tc>
          <w:tcPr>
            <w:tcW w:w="0" w:type="auto"/>
            <w:tcBorders>
              <w:top w:val="nil"/>
              <w:left w:val="nil"/>
              <w:bottom w:val="single" w:sz="4" w:space="0" w:color="auto"/>
              <w:right w:val="single" w:sz="4" w:space="0" w:color="auto"/>
            </w:tcBorders>
            <w:shd w:val="clear" w:color="auto" w:fill="auto"/>
            <w:hideMark/>
          </w:tcPr>
          <w:p w14:paraId="1104F7B4" w14:textId="77777777" w:rsidR="00A86F37" w:rsidRPr="00821568" w:rsidRDefault="00A86F37" w:rsidP="00A86F37">
            <w:pPr>
              <w:jc w:val="center"/>
              <w:rPr>
                <w:rFonts w:ascii="Garamond" w:hAnsi="Garamond"/>
                <w:sz w:val="12"/>
                <w:szCs w:val="12"/>
              </w:rPr>
            </w:pPr>
          </w:p>
        </w:tc>
        <w:tc>
          <w:tcPr>
            <w:tcW w:w="0" w:type="auto"/>
            <w:tcBorders>
              <w:top w:val="nil"/>
              <w:left w:val="nil"/>
              <w:bottom w:val="single" w:sz="4" w:space="0" w:color="auto"/>
              <w:right w:val="single" w:sz="4" w:space="0" w:color="auto"/>
            </w:tcBorders>
            <w:shd w:val="clear" w:color="auto" w:fill="auto"/>
            <w:hideMark/>
          </w:tcPr>
          <w:p w14:paraId="069F6FF6" w14:textId="77777777" w:rsidR="00A86F37" w:rsidRPr="00821568" w:rsidRDefault="00A86F37" w:rsidP="00A86F37">
            <w:pPr>
              <w:jc w:val="center"/>
              <w:rPr>
                <w:rFonts w:ascii="Garamond" w:hAnsi="Garamond"/>
                <w:sz w:val="12"/>
                <w:szCs w:val="12"/>
              </w:rPr>
            </w:pPr>
          </w:p>
        </w:tc>
        <w:tc>
          <w:tcPr>
            <w:tcW w:w="0" w:type="auto"/>
            <w:tcBorders>
              <w:top w:val="nil"/>
              <w:left w:val="nil"/>
              <w:bottom w:val="single" w:sz="4" w:space="0" w:color="auto"/>
              <w:right w:val="single" w:sz="4" w:space="0" w:color="auto"/>
            </w:tcBorders>
            <w:shd w:val="clear" w:color="auto" w:fill="auto"/>
            <w:hideMark/>
          </w:tcPr>
          <w:p w14:paraId="2D96F35B" w14:textId="77777777" w:rsidR="00A86F37" w:rsidRPr="00821568" w:rsidRDefault="00A86F37" w:rsidP="00A86F37">
            <w:pPr>
              <w:jc w:val="center"/>
              <w:rPr>
                <w:rFonts w:ascii="Garamond" w:hAnsi="Garamond"/>
                <w:sz w:val="12"/>
                <w:szCs w:val="12"/>
              </w:rPr>
            </w:pPr>
          </w:p>
        </w:tc>
        <w:tc>
          <w:tcPr>
            <w:tcW w:w="0" w:type="auto"/>
            <w:tcBorders>
              <w:top w:val="nil"/>
              <w:left w:val="nil"/>
              <w:bottom w:val="single" w:sz="4" w:space="0" w:color="auto"/>
              <w:right w:val="single" w:sz="4" w:space="0" w:color="auto"/>
            </w:tcBorders>
            <w:shd w:val="clear" w:color="auto" w:fill="auto"/>
            <w:hideMark/>
          </w:tcPr>
          <w:p w14:paraId="1302AC60" w14:textId="77777777" w:rsidR="00A86F37" w:rsidRPr="00821568" w:rsidRDefault="00A86F37" w:rsidP="00A86F37">
            <w:pPr>
              <w:jc w:val="center"/>
              <w:rPr>
                <w:rFonts w:ascii="Garamond" w:hAnsi="Garamond"/>
                <w:sz w:val="12"/>
                <w:szCs w:val="12"/>
              </w:rPr>
            </w:pPr>
          </w:p>
        </w:tc>
        <w:tc>
          <w:tcPr>
            <w:tcW w:w="0" w:type="auto"/>
            <w:tcBorders>
              <w:top w:val="nil"/>
              <w:left w:val="nil"/>
              <w:bottom w:val="single" w:sz="4" w:space="0" w:color="auto"/>
              <w:right w:val="single" w:sz="4" w:space="0" w:color="auto"/>
            </w:tcBorders>
            <w:shd w:val="clear" w:color="auto" w:fill="auto"/>
            <w:hideMark/>
          </w:tcPr>
          <w:p w14:paraId="689B88D5" w14:textId="77777777" w:rsidR="00A86F37" w:rsidRPr="00821568" w:rsidRDefault="00A86F37" w:rsidP="00A86F37">
            <w:pPr>
              <w:jc w:val="center"/>
              <w:rPr>
                <w:rFonts w:ascii="Garamond" w:hAnsi="Garamond"/>
                <w:b/>
                <w:sz w:val="12"/>
                <w:szCs w:val="12"/>
              </w:rPr>
            </w:pPr>
            <w:r w:rsidRPr="00821568">
              <w:rPr>
                <w:rFonts w:ascii="Garamond" w:hAnsi="Garamond"/>
                <w:b/>
                <w:sz w:val="12"/>
                <w:szCs w:val="12"/>
              </w:rPr>
              <w:t>-</w:t>
            </w:r>
          </w:p>
        </w:tc>
        <w:tc>
          <w:tcPr>
            <w:tcW w:w="0" w:type="auto"/>
            <w:tcBorders>
              <w:top w:val="nil"/>
              <w:left w:val="nil"/>
              <w:bottom w:val="single" w:sz="4" w:space="0" w:color="auto"/>
              <w:right w:val="single" w:sz="4" w:space="0" w:color="auto"/>
            </w:tcBorders>
            <w:shd w:val="clear" w:color="auto" w:fill="auto"/>
            <w:hideMark/>
          </w:tcPr>
          <w:p w14:paraId="31DD48CB" w14:textId="77777777" w:rsidR="00A86F37" w:rsidRPr="00821568" w:rsidRDefault="00A86F37" w:rsidP="00A86F37">
            <w:pPr>
              <w:jc w:val="center"/>
              <w:rPr>
                <w:rFonts w:ascii="Garamond" w:hAnsi="Garamond"/>
                <w:b/>
                <w:sz w:val="12"/>
                <w:szCs w:val="12"/>
              </w:rPr>
            </w:pPr>
            <w:r w:rsidRPr="00821568">
              <w:rPr>
                <w:rFonts w:ascii="Garamond" w:hAnsi="Garamond"/>
                <w:b/>
                <w:sz w:val="12"/>
                <w:szCs w:val="12"/>
              </w:rPr>
              <w:t>100,000</w:t>
            </w:r>
          </w:p>
        </w:tc>
        <w:tc>
          <w:tcPr>
            <w:tcW w:w="0" w:type="auto"/>
            <w:tcBorders>
              <w:top w:val="nil"/>
              <w:left w:val="nil"/>
              <w:bottom w:val="single" w:sz="4" w:space="0" w:color="auto"/>
              <w:right w:val="single" w:sz="4" w:space="0" w:color="auto"/>
            </w:tcBorders>
            <w:shd w:val="clear" w:color="auto" w:fill="auto"/>
            <w:hideMark/>
          </w:tcPr>
          <w:p w14:paraId="113E5F6D" w14:textId="77777777" w:rsidR="00A86F37" w:rsidRPr="00821568" w:rsidRDefault="00A86F37" w:rsidP="00A86F37">
            <w:pPr>
              <w:jc w:val="center"/>
              <w:rPr>
                <w:rFonts w:ascii="Garamond" w:hAnsi="Garamond"/>
                <w:b/>
                <w:sz w:val="12"/>
                <w:szCs w:val="12"/>
              </w:rPr>
            </w:pPr>
            <w:r w:rsidRPr="00821568">
              <w:rPr>
                <w:rFonts w:ascii="Garamond" w:hAnsi="Garamond"/>
                <w:b/>
                <w:sz w:val="12"/>
                <w:szCs w:val="12"/>
              </w:rPr>
              <w:t>-</w:t>
            </w:r>
          </w:p>
        </w:tc>
        <w:tc>
          <w:tcPr>
            <w:tcW w:w="0" w:type="auto"/>
            <w:tcBorders>
              <w:top w:val="nil"/>
              <w:left w:val="nil"/>
              <w:bottom w:val="single" w:sz="4" w:space="0" w:color="auto"/>
              <w:right w:val="single" w:sz="4" w:space="0" w:color="auto"/>
            </w:tcBorders>
            <w:shd w:val="clear" w:color="auto" w:fill="auto"/>
            <w:hideMark/>
          </w:tcPr>
          <w:p w14:paraId="20DF9D9C" w14:textId="77777777" w:rsidR="00A86F37" w:rsidRPr="00821568" w:rsidRDefault="00A86F37" w:rsidP="00A86F37">
            <w:pPr>
              <w:jc w:val="center"/>
              <w:rPr>
                <w:rFonts w:ascii="Garamond" w:hAnsi="Garamond"/>
                <w:b/>
                <w:sz w:val="12"/>
                <w:szCs w:val="12"/>
              </w:rPr>
            </w:pPr>
            <w:r w:rsidRPr="00821568">
              <w:rPr>
                <w:rFonts w:ascii="Garamond" w:hAnsi="Garamond"/>
                <w:b/>
                <w:sz w:val="12"/>
                <w:szCs w:val="12"/>
              </w:rPr>
              <w:t>100,000</w:t>
            </w:r>
          </w:p>
        </w:tc>
      </w:tr>
    </w:tbl>
    <w:p w14:paraId="5D4D5935" w14:textId="77777777" w:rsidR="00A86F37" w:rsidRPr="00830F4C" w:rsidRDefault="00A86F37" w:rsidP="00A86F37">
      <w:pPr>
        <w:rPr>
          <w:rFonts w:ascii="Garamond" w:hAnsi="Garamond"/>
        </w:rPr>
      </w:pPr>
    </w:p>
    <w:tbl>
      <w:tblPr>
        <w:tblW w:w="10224" w:type="dxa"/>
        <w:tblLook w:val="04A0" w:firstRow="1" w:lastRow="0" w:firstColumn="1" w:lastColumn="0" w:noHBand="0" w:noVBand="1"/>
      </w:tblPr>
      <w:tblGrid>
        <w:gridCol w:w="456"/>
        <w:gridCol w:w="1229"/>
        <w:gridCol w:w="1194"/>
        <w:gridCol w:w="2207"/>
        <w:gridCol w:w="679"/>
        <w:gridCol w:w="865"/>
        <w:gridCol w:w="736"/>
        <w:gridCol w:w="883"/>
        <w:gridCol w:w="883"/>
        <w:gridCol w:w="856"/>
        <w:gridCol w:w="236"/>
      </w:tblGrid>
      <w:tr w:rsidR="00723888" w:rsidRPr="00821568" w14:paraId="4B162B8E" w14:textId="77777777" w:rsidTr="00A86F37">
        <w:trPr>
          <w:gridAfter w:val="1"/>
          <w:wAfter w:w="236" w:type="dxa"/>
          <w:trHeight w:val="20"/>
        </w:trPr>
        <w:tc>
          <w:tcPr>
            <w:tcW w:w="9988"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7B641F6A" w14:textId="5454E4FA" w:rsidR="00A86F37" w:rsidRPr="00821568" w:rsidRDefault="00A86F37" w:rsidP="00A86F37">
            <w:pPr>
              <w:jc w:val="center"/>
              <w:rPr>
                <w:rFonts w:ascii="Garamond" w:hAnsi="Garamond"/>
                <w:b/>
                <w:bCs/>
                <w:sz w:val="12"/>
                <w:szCs w:val="12"/>
              </w:rPr>
            </w:pPr>
            <w:r w:rsidRPr="00821568">
              <w:rPr>
                <w:rFonts w:ascii="Garamond" w:hAnsi="Garamond"/>
                <w:b/>
                <w:bCs/>
                <w:sz w:val="12"/>
                <w:szCs w:val="12"/>
              </w:rPr>
              <w:t xml:space="preserve">Qëllimi i </w:t>
            </w:r>
            <w:r w:rsidR="00821568" w:rsidRPr="00821568">
              <w:rPr>
                <w:rFonts w:ascii="Garamond" w:hAnsi="Garamond"/>
                <w:b/>
                <w:bCs/>
                <w:sz w:val="12"/>
                <w:szCs w:val="12"/>
              </w:rPr>
              <w:t>politikës (shtylla</w:t>
            </w:r>
            <w:r w:rsidRPr="00821568">
              <w:rPr>
                <w:rFonts w:ascii="Garamond" w:hAnsi="Garamond"/>
                <w:b/>
                <w:bCs/>
                <w:sz w:val="12"/>
                <w:szCs w:val="12"/>
              </w:rPr>
              <w:t>) 3: Mirëadministrimi doganor</w:t>
            </w:r>
            <w:r w:rsidRPr="00821568">
              <w:rPr>
                <w:rFonts w:ascii="Garamond" w:hAnsi="Garamond"/>
                <w:b/>
                <w:bCs/>
                <w:sz w:val="12"/>
                <w:szCs w:val="12"/>
              </w:rPr>
              <w:br/>
              <w:t>Programet buxhetore që kontribuojnë në objektivin politik:</w:t>
            </w:r>
            <w:r w:rsidR="00D22EA5" w:rsidRPr="00821568">
              <w:rPr>
                <w:rFonts w:ascii="Garamond" w:hAnsi="Garamond"/>
                <w:b/>
                <w:bCs/>
                <w:sz w:val="12"/>
                <w:szCs w:val="12"/>
              </w:rPr>
              <w:t xml:space="preserve"> </w:t>
            </w:r>
            <w:r w:rsidRPr="00821568">
              <w:rPr>
                <w:rFonts w:ascii="Garamond" w:hAnsi="Garamond"/>
                <w:b/>
                <w:bCs/>
                <w:sz w:val="12"/>
                <w:szCs w:val="12"/>
              </w:rPr>
              <w:t>01150 - Menaxhimi i të Ardhurave Doganore</w:t>
            </w:r>
          </w:p>
        </w:tc>
      </w:tr>
      <w:tr w:rsidR="00723888" w:rsidRPr="00821568" w14:paraId="562DCFDD" w14:textId="77777777" w:rsidTr="00A86F37">
        <w:trPr>
          <w:gridAfter w:val="1"/>
          <w:wAfter w:w="236" w:type="dxa"/>
          <w:trHeight w:val="20"/>
        </w:trPr>
        <w:tc>
          <w:tcPr>
            <w:tcW w:w="4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C91BEC7" w14:textId="77777777" w:rsidR="00A86F37" w:rsidRPr="00821568" w:rsidRDefault="00A86F37" w:rsidP="00A86F37">
            <w:pPr>
              <w:jc w:val="center"/>
              <w:rPr>
                <w:rFonts w:ascii="Garamond" w:hAnsi="Garamond"/>
                <w:b/>
                <w:sz w:val="12"/>
                <w:szCs w:val="12"/>
              </w:rPr>
            </w:pPr>
            <w:r w:rsidRPr="00821568">
              <w:rPr>
                <w:rFonts w:ascii="Garamond" w:hAnsi="Garamond"/>
                <w:b/>
                <w:sz w:val="12"/>
                <w:szCs w:val="12"/>
              </w:rPr>
              <w:t>Nr.</w:t>
            </w:r>
          </w:p>
        </w:tc>
        <w:tc>
          <w:tcPr>
            <w:tcW w:w="122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E50AA1D" w14:textId="77777777" w:rsidR="00A86F37" w:rsidRPr="00821568" w:rsidRDefault="00A86F37" w:rsidP="00A86F37">
            <w:pPr>
              <w:jc w:val="center"/>
              <w:rPr>
                <w:rFonts w:ascii="Garamond" w:hAnsi="Garamond"/>
                <w:b/>
                <w:sz w:val="12"/>
                <w:szCs w:val="12"/>
              </w:rPr>
            </w:pPr>
            <w:r w:rsidRPr="00821568">
              <w:rPr>
                <w:rFonts w:ascii="Garamond" w:hAnsi="Garamond"/>
                <w:b/>
                <w:sz w:val="12"/>
                <w:szCs w:val="12"/>
              </w:rPr>
              <w:t>Titulli</w:t>
            </w:r>
          </w:p>
        </w:tc>
        <w:tc>
          <w:tcPr>
            <w:tcW w:w="3401" w:type="dxa"/>
            <w:gridSpan w:val="2"/>
            <w:tcBorders>
              <w:top w:val="single" w:sz="4" w:space="0" w:color="auto"/>
              <w:left w:val="nil"/>
              <w:bottom w:val="single" w:sz="4" w:space="0" w:color="auto"/>
              <w:right w:val="single" w:sz="4" w:space="0" w:color="auto"/>
            </w:tcBorders>
            <w:shd w:val="clear" w:color="auto" w:fill="auto"/>
            <w:vAlign w:val="center"/>
            <w:hideMark/>
          </w:tcPr>
          <w:p w14:paraId="279B01DD" w14:textId="77777777" w:rsidR="00A86F37" w:rsidRPr="00821568" w:rsidRDefault="00A86F37" w:rsidP="00A86F37">
            <w:pPr>
              <w:jc w:val="center"/>
              <w:rPr>
                <w:rFonts w:ascii="Garamond" w:hAnsi="Garamond"/>
                <w:b/>
                <w:sz w:val="12"/>
                <w:szCs w:val="12"/>
              </w:rPr>
            </w:pPr>
            <w:r w:rsidRPr="00821568">
              <w:rPr>
                <w:rFonts w:ascii="Garamond" w:hAnsi="Garamond"/>
                <w:b/>
                <w:sz w:val="12"/>
                <w:szCs w:val="12"/>
              </w:rPr>
              <w:t>Institucionet</w:t>
            </w:r>
          </w:p>
        </w:tc>
        <w:tc>
          <w:tcPr>
            <w:tcW w:w="1544" w:type="dxa"/>
            <w:gridSpan w:val="2"/>
            <w:tcBorders>
              <w:top w:val="single" w:sz="4" w:space="0" w:color="auto"/>
              <w:left w:val="nil"/>
              <w:bottom w:val="single" w:sz="4" w:space="0" w:color="auto"/>
              <w:right w:val="single" w:sz="4" w:space="0" w:color="auto"/>
            </w:tcBorders>
            <w:shd w:val="clear" w:color="auto" w:fill="auto"/>
            <w:vAlign w:val="center"/>
            <w:hideMark/>
          </w:tcPr>
          <w:p w14:paraId="00A34159" w14:textId="77777777" w:rsidR="00A86F37" w:rsidRPr="00821568" w:rsidRDefault="00A86F37" w:rsidP="00A86F37">
            <w:pPr>
              <w:jc w:val="center"/>
              <w:rPr>
                <w:rFonts w:ascii="Garamond" w:hAnsi="Garamond"/>
                <w:b/>
                <w:sz w:val="12"/>
                <w:szCs w:val="12"/>
              </w:rPr>
            </w:pPr>
            <w:r w:rsidRPr="00821568">
              <w:rPr>
                <w:rFonts w:ascii="Garamond" w:hAnsi="Garamond"/>
                <w:b/>
                <w:sz w:val="12"/>
                <w:szCs w:val="12"/>
              </w:rPr>
              <w:t>Periudha e zbatimit</w:t>
            </w:r>
          </w:p>
        </w:tc>
        <w:tc>
          <w:tcPr>
            <w:tcW w:w="3358" w:type="dxa"/>
            <w:gridSpan w:val="4"/>
            <w:tcBorders>
              <w:top w:val="single" w:sz="4" w:space="0" w:color="auto"/>
              <w:left w:val="nil"/>
              <w:bottom w:val="single" w:sz="4" w:space="0" w:color="auto"/>
              <w:right w:val="single" w:sz="4" w:space="0" w:color="auto"/>
            </w:tcBorders>
            <w:shd w:val="clear" w:color="auto" w:fill="auto"/>
            <w:vAlign w:val="center"/>
            <w:hideMark/>
          </w:tcPr>
          <w:p w14:paraId="120EA071" w14:textId="1A8970BC" w:rsidR="00A86F37" w:rsidRPr="00821568" w:rsidRDefault="00A86F37" w:rsidP="00A86F37">
            <w:pPr>
              <w:jc w:val="center"/>
              <w:rPr>
                <w:rFonts w:ascii="Garamond" w:hAnsi="Garamond"/>
                <w:b/>
                <w:sz w:val="12"/>
                <w:szCs w:val="12"/>
              </w:rPr>
            </w:pPr>
            <w:r w:rsidRPr="00821568">
              <w:rPr>
                <w:rFonts w:ascii="Garamond" w:hAnsi="Garamond"/>
                <w:b/>
                <w:sz w:val="12"/>
                <w:szCs w:val="12"/>
              </w:rPr>
              <w:t>Kosto</w:t>
            </w:r>
            <w:r w:rsidR="00821568" w:rsidRPr="00821568">
              <w:rPr>
                <w:rFonts w:ascii="Garamond" w:hAnsi="Garamond"/>
                <w:b/>
                <w:sz w:val="12"/>
                <w:szCs w:val="12"/>
              </w:rPr>
              <w:t>ja</w:t>
            </w:r>
            <w:r w:rsidRPr="00821568">
              <w:rPr>
                <w:rFonts w:ascii="Garamond" w:hAnsi="Garamond"/>
                <w:b/>
                <w:sz w:val="12"/>
                <w:szCs w:val="12"/>
              </w:rPr>
              <w:t xml:space="preserve"> </w:t>
            </w:r>
            <w:r w:rsidR="00821568" w:rsidRPr="00821568">
              <w:rPr>
                <w:rFonts w:ascii="Garamond" w:hAnsi="Garamond"/>
                <w:b/>
                <w:sz w:val="12"/>
                <w:szCs w:val="12"/>
              </w:rPr>
              <w:t>t</w:t>
            </w:r>
            <w:r w:rsidRPr="00821568">
              <w:rPr>
                <w:rFonts w:ascii="Garamond" w:hAnsi="Garamond"/>
                <w:b/>
                <w:sz w:val="12"/>
                <w:szCs w:val="12"/>
              </w:rPr>
              <w:t xml:space="preserve">otale </w:t>
            </w:r>
            <w:r w:rsidR="00821568" w:rsidRPr="00821568">
              <w:rPr>
                <w:rFonts w:ascii="Garamond" w:hAnsi="Garamond"/>
                <w:b/>
                <w:sz w:val="12"/>
                <w:szCs w:val="12"/>
              </w:rPr>
              <w:t>i</w:t>
            </w:r>
            <w:r w:rsidRPr="00821568">
              <w:rPr>
                <w:rFonts w:ascii="Garamond" w:hAnsi="Garamond"/>
                <w:b/>
                <w:sz w:val="12"/>
                <w:szCs w:val="12"/>
              </w:rPr>
              <w:t>ndikative</w:t>
            </w:r>
          </w:p>
        </w:tc>
      </w:tr>
      <w:tr w:rsidR="00723888" w:rsidRPr="00821568" w14:paraId="4AA8888A" w14:textId="77777777" w:rsidTr="00A86F37">
        <w:trPr>
          <w:gridAfter w:val="1"/>
          <w:wAfter w:w="236" w:type="dxa"/>
          <w:trHeight w:val="517"/>
        </w:trPr>
        <w:tc>
          <w:tcPr>
            <w:tcW w:w="456" w:type="dxa"/>
            <w:vMerge/>
            <w:tcBorders>
              <w:top w:val="nil"/>
              <w:left w:val="single" w:sz="4" w:space="0" w:color="auto"/>
              <w:bottom w:val="single" w:sz="4" w:space="0" w:color="auto"/>
              <w:right w:val="single" w:sz="4" w:space="0" w:color="auto"/>
            </w:tcBorders>
            <w:vAlign w:val="center"/>
            <w:hideMark/>
          </w:tcPr>
          <w:p w14:paraId="368C3B32" w14:textId="77777777" w:rsidR="00A86F37" w:rsidRPr="00821568" w:rsidRDefault="00A86F37" w:rsidP="00A86F37">
            <w:pPr>
              <w:jc w:val="center"/>
              <w:rPr>
                <w:rFonts w:ascii="Garamond" w:hAnsi="Garamond"/>
                <w:b/>
                <w:sz w:val="12"/>
                <w:szCs w:val="12"/>
              </w:rPr>
            </w:pPr>
          </w:p>
        </w:tc>
        <w:tc>
          <w:tcPr>
            <w:tcW w:w="1229" w:type="dxa"/>
            <w:vMerge/>
            <w:tcBorders>
              <w:top w:val="nil"/>
              <w:left w:val="single" w:sz="4" w:space="0" w:color="auto"/>
              <w:bottom w:val="single" w:sz="4" w:space="0" w:color="auto"/>
              <w:right w:val="single" w:sz="4" w:space="0" w:color="auto"/>
            </w:tcBorders>
            <w:vAlign w:val="center"/>
            <w:hideMark/>
          </w:tcPr>
          <w:p w14:paraId="3CC7D085" w14:textId="77777777" w:rsidR="00A86F37" w:rsidRPr="00821568" w:rsidRDefault="00A86F37" w:rsidP="00A86F37">
            <w:pPr>
              <w:jc w:val="center"/>
              <w:rPr>
                <w:rFonts w:ascii="Garamond" w:hAnsi="Garamond"/>
                <w:b/>
                <w:sz w:val="12"/>
                <w:szCs w:val="12"/>
              </w:rPr>
            </w:pPr>
          </w:p>
        </w:tc>
        <w:tc>
          <w:tcPr>
            <w:tcW w:w="1194" w:type="dxa"/>
            <w:vMerge w:val="restart"/>
            <w:tcBorders>
              <w:top w:val="nil"/>
              <w:left w:val="single" w:sz="4" w:space="0" w:color="auto"/>
              <w:bottom w:val="single" w:sz="4" w:space="0" w:color="auto"/>
              <w:right w:val="single" w:sz="4" w:space="0" w:color="auto"/>
            </w:tcBorders>
            <w:shd w:val="clear" w:color="auto" w:fill="auto"/>
            <w:vAlign w:val="center"/>
            <w:hideMark/>
          </w:tcPr>
          <w:p w14:paraId="5897529C" w14:textId="77777777" w:rsidR="00A86F37" w:rsidRPr="00821568" w:rsidRDefault="00A86F37" w:rsidP="00A86F37">
            <w:pPr>
              <w:jc w:val="center"/>
              <w:rPr>
                <w:rFonts w:ascii="Garamond" w:hAnsi="Garamond"/>
                <w:b/>
                <w:sz w:val="12"/>
                <w:szCs w:val="12"/>
              </w:rPr>
            </w:pPr>
            <w:r w:rsidRPr="00821568">
              <w:rPr>
                <w:rFonts w:ascii="Garamond" w:hAnsi="Garamond"/>
                <w:b/>
                <w:sz w:val="12"/>
                <w:szCs w:val="12"/>
              </w:rPr>
              <w:t>Institucionet përgjegjëse</w:t>
            </w:r>
          </w:p>
        </w:tc>
        <w:tc>
          <w:tcPr>
            <w:tcW w:w="2207" w:type="dxa"/>
            <w:vMerge w:val="restart"/>
            <w:tcBorders>
              <w:top w:val="nil"/>
              <w:left w:val="single" w:sz="4" w:space="0" w:color="auto"/>
              <w:bottom w:val="single" w:sz="4" w:space="0" w:color="auto"/>
              <w:right w:val="single" w:sz="4" w:space="0" w:color="auto"/>
            </w:tcBorders>
            <w:shd w:val="clear" w:color="auto" w:fill="auto"/>
            <w:vAlign w:val="center"/>
            <w:hideMark/>
          </w:tcPr>
          <w:p w14:paraId="404911C6" w14:textId="77777777" w:rsidR="00A86F37" w:rsidRPr="00821568" w:rsidRDefault="00A86F37" w:rsidP="00A86F37">
            <w:pPr>
              <w:jc w:val="center"/>
              <w:rPr>
                <w:rFonts w:ascii="Garamond" w:hAnsi="Garamond"/>
                <w:b/>
                <w:sz w:val="12"/>
                <w:szCs w:val="12"/>
              </w:rPr>
            </w:pPr>
            <w:r w:rsidRPr="00821568">
              <w:rPr>
                <w:rFonts w:ascii="Garamond" w:hAnsi="Garamond"/>
                <w:b/>
                <w:sz w:val="12"/>
                <w:szCs w:val="12"/>
              </w:rPr>
              <w:t>Institucionet kontribuese</w:t>
            </w:r>
          </w:p>
        </w:tc>
        <w:tc>
          <w:tcPr>
            <w:tcW w:w="679" w:type="dxa"/>
            <w:vMerge w:val="restart"/>
            <w:tcBorders>
              <w:top w:val="nil"/>
              <w:left w:val="single" w:sz="4" w:space="0" w:color="auto"/>
              <w:bottom w:val="single" w:sz="4" w:space="0" w:color="auto"/>
              <w:right w:val="single" w:sz="4" w:space="0" w:color="auto"/>
            </w:tcBorders>
            <w:shd w:val="clear" w:color="auto" w:fill="auto"/>
            <w:vAlign w:val="center"/>
            <w:hideMark/>
          </w:tcPr>
          <w:p w14:paraId="4E3BB05F" w14:textId="77777777" w:rsidR="00A86F37" w:rsidRPr="00821568" w:rsidRDefault="00A86F37" w:rsidP="00A86F37">
            <w:pPr>
              <w:jc w:val="center"/>
              <w:rPr>
                <w:rFonts w:ascii="Garamond" w:hAnsi="Garamond"/>
                <w:b/>
                <w:sz w:val="12"/>
                <w:szCs w:val="12"/>
              </w:rPr>
            </w:pPr>
            <w:r w:rsidRPr="00821568">
              <w:rPr>
                <w:rFonts w:ascii="Garamond" w:hAnsi="Garamond"/>
                <w:b/>
                <w:sz w:val="12"/>
                <w:szCs w:val="12"/>
              </w:rPr>
              <w:t>Data e fillimit</w:t>
            </w:r>
          </w:p>
        </w:tc>
        <w:tc>
          <w:tcPr>
            <w:tcW w:w="865" w:type="dxa"/>
            <w:vMerge w:val="restart"/>
            <w:tcBorders>
              <w:top w:val="nil"/>
              <w:left w:val="single" w:sz="4" w:space="0" w:color="auto"/>
              <w:bottom w:val="single" w:sz="4" w:space="0" w:color="auto"/>
              <w:right w:val="single" w:sz="4" w:space="0" w:color="auto"/>
            </w:tcBorders>
            <w:shd w:val="clear" w:color="auto" w:fill="auto"/>
            <w:vAlign w:val="center"/>
            <w:hideMark/>
          </w:tcPr>
          <w:p w14:paraId="62EA0560" w14:textId="77777777" w:rsidR="00A86F37" w:rsidRPr="00821568" w:rsidRDefault="00A86F37" w:rsidP="00A86F37">
            <w:pPr>
              <w:jc w:val="center"/>
              <w:rPr>
                <w:rFonts w:ascii="Garamond" w:hAnsi="Garamond"/>
                <w:b/>
                <w:sz w:val="12"/>
                <w:szCs w:val="12"/>
              </w:rPr>
            </w:pPr>
            <w:r w:rsidRPr="00821568">
              <w:rPr>
                <w:rFonts w:ascii="Garamond" w:hAnsi="Garamond"/>
                <w:b/>
                <w:sz w:val="12"/>
                <w:szCs w:val="12"/>
              </w:rPr>
              <w:t>Data e mbarimit</w:t>
            </w:r>
          </w:p>
        </w:tc>
        <w:tc>
          <w:tcPr>
            <w:tcW w:w="736" w:type="dxa"/>
            <w:vMerge w:val="restart"/>
            <w:tcBorders>
              <w:top w:val="nil"/>
              <w:left w:val="single" w:sz="4" w:space="0" w:color="auto"/>
              <w:bottom w:val="single" w:sz="4" w:space="0" w:color="auto"/>
              <w:right w:val="single" w:sz="4" w:space="0" w:color="auto"/>
            </w:tcBorders>
            <w:shd w:val="clear" w:color="auto" w:fill="auto"/>
            <w:vAlign w:val="center"/>
            <w:hideMark/>
          </w:tcPr>
          <w:p w14:paraId="46DD1E0C" w14:textId="3D26FF08" w:rsidR="00A86F37" w:rsidRPr="00821568" w:rsidRDefault="00A86F37" w:rsidP="00A86F37">
            <w:pPr>
              <w:jc w:val="center"/>
              <w:rPr>
                <w:rFonts w:ascii="Garamond" w:hAnsi="Garamond"/>
                <w:b/>
                <w:sz w:val="12"/>
                <w:szCs w:val="12"/>
              </w:rPr>
            </w:pPr>
            <w:r w:rsidRPr="00821568">
              <w:rPr>
                <w:rFonts w:ascii="Garamond" w:hAnsi="Garamond"/>
                <w:b/>
                <w:sz w:val="12"/>
                <w:szCs w:val="12"/>
              </w:rPr>
              <w:t>PBA</w:t>
            </w:r>
            <w:r w:rsidR="00821568" w:rsidRPr="00821568">
              <w:rPr>
                <w:rFonts w:ascii="Garamond" w:hAnsi="Garamond"/>
                <w:b/>
                <w:sz w:val="12"/>
                <w:szCs w:val="12"/>
              </w:rPr>
              <w:t>-ja</w:t>
            </w:r>
          </w:p>
        </w:tc>
        <w:tc>
          <w:tcPr>
            <w:tcW w:w="883" w:type="dxa"/>
            <w:vMerge w:val="restart"/>
            <w:tcBorders>
              <w:top w:val="nil"/>
              <w:left w:val="single" w:sz="4" w:space="0" w:color="auto"/>
              <w:bottom w:val="single" w:sz="4" w:space="0" w:color="auto"/>
              <w:right w:val="single" w:sz="4" w:space="0" w:color="auto"/>
            </w:tcBorders>
            <w:shd w:val="clear" w:color="auto" w:fill="auto"/>
            <w:vAlign w:val="center"/>
            <w:hideMark/>
          </w:tcPr>
          <w:p w14:paraId="2BD69AF6" w14:textId="77777777" w:rsidR="00A86F37" w:rsidRPr="00821568" w:rsidRDefault="00A86F37" w:rsidP="00A86F37">
            <w:pPr>
              <w:jc w:val="center"/>
              <w:rPr>
                <w:rFonts w:ascii="Garamond" w:hAnsi="Garamond"/>
                <w:b/>
                <w:sz w:val="12"/>
                <w:szCs w:val="12"/>
              </w:rPr>
            </w:pPr>
            <w:r w:rsidRPr="00821568">
              <w:rPr>
                <w:rFonts w:ascii="Garamond" w:hAnsi="Garamond"/>
                <w:b/>
                <w:sz w:val="12"/>
                <w:szCs w:val="12"/>
              </w:rPr>
              <w:t>Financim nga donatorët</w:t>
            </w:r>
          </w:p>
        </w:tc>
        <w:tc>
          <w:tcPr>
            <w:tcW w:w="883" w:type="dxa"/>
            <w:vMerge w:val="restart"/>
            <w:tcBorders>
              <w:top w:val="nil"/>
              <w:left w:val="single" w:sz="4" w:space="0" w:color="auto"/>
              <w:bottom w:val="single" w:sz="4" w:space="0" w:color="000000"/>
              <w:right w:val="single" w:sz="4" w:space="0" w:color="auto"/>
            </w:tcBorders>
            <w:shd w:val="clear" w:color="auto" w:fill="auto"/>
            <w:vAlign w:val="center"/>
            <w:hideMark/>
          </w:tcPr>
          <w:p w14:paraId="630398B8" w14:textId="1223F8A0" w:rsidR="00A86F37" w:rsidRPr="00821568" w:rsidRDefault="00A86F37" w:rsidP="00A86F37">
            <w:pPr>
              <w:jc w:val="center"/>
              <w:rPr>
                <w:rFonts w:ascii="Garamond" w:hAnsi="Garamond"/>
                <w:b/>
                <w:sz w:val="12"/>
                <w:szCs w:val="12"/>
              </w:rPr>
            </w:pPr>
            <w:r w:rsidRPr="00821568">
              <w:rPr>
                <w:rFonts w:ascii="Garamond" w:hAnsi="Garamond"/>
                <w:b/>
                <w:sz w:val="12"/>
                <w:szCs w:val="12"/>
              </w:rPr>
              <w:t xml:space="preserve">Hendeku </w:t>
            </w:r>
            <w:r w:rsidR="00821568" w:rsidRPr="00821568">
              <w:rPr>
                <w:rFonts w:ascii="Garamond" w:hAnsi="Garamond"/>
                <w:b/>
                <w:sz w:val="12"/>
                <w:szCs w:val="12"/>
              </w:rPr>
              <w:t>f</w:t>
            </w:r>
            <w:r w:rsidRPr="00821568">
              <w:rPr>
                <w:rFonts w:ascii="Garamond" w:hAnsi="Garamond"/>
                <w:b/>
                <w:sz w:val="12"/>
                <w:szCs w:val="12"/>
              </w:rPr>
              <w:t>inanciar</w:t>
            </w:r>
          </w:p>
        </w:tc>
        <w:tc>
          <w:tcPr>
            <w:tcW w:w="856" w:type="dxa"/>
            <w:vMerge w:val="restart"/>
            <w:tcBorders>
              <w:top w:val="nil"/>
              <w:left w:val="single" w:sz="4" w:space="0" w:color="auto"/>
              <w:bottom w:val="single" w:sz="4" w:space="0" w:color="auto"/>
              <w:right w:val="single" w:sz="4" w:space="0" w:color="auto"/>
            </w:tcBorders>
            <w:shd w:val="clear" w:color="auto" w:fill="auto"/>
            <w:vAlign w:val="center"/>
            <w:hideMark/>
          </w:tcPr>
          <w:p w14:paraId="1C06C461" w14:textId="3DDF1217" w:rsidR="00A86F37" w:rsidRPr="00821568" w:rsidRDefault="00A86F37" w:rsidP="00A86F37">
            <w:pPr>
              <w:jc w:val="center"/>
              <w:rPr>
                <w:rFonts w:ascii="Garamond" w:hAnsi="Garamond"/>
                <w:b/>
                <w:sz w:val="12"/>
                <w:szCs w:val="12"/>
              </w:rPr>
            </w:pPr>
            <w:r w:rsidRPr="00821568">
              <w:rPr>
                <w:rFonts w:ascii="Garamond" w:hAnsi="Garamond"/>
                <w:b/>
                <w:sz w:val="12"/>
                <w:szCs w:val="12"/>
              </w:rPr>
              <w:t>Kosto</w:t>
            </w:r>
            <w:r w:rsidR="00821568" w:rsidRPr="00821568">
              <w:rPr>
                <w:rFonts w:ascii="Garamond" w:hAnsi="Garamond"/>
                <w:b/>
                <w:sz w:val="12"/>
                <w:szCs w:val="12"/>
              </w:rPr>
              <w:t>ja</w:t>
            </w:r>
            <w:r w:rsidRPr="00821568">
              <w:rPr>
                <w:rFonts w:ascii="Garamond" w:hAnsi="Garamond"/>
                <w:b/>
                <w:sz w:val="12"/>
                <w:szCs w:val="12"/>
              </w:rPr>
              <w:t xml:space="preserve"> totale</w:t>
            </w:r>
          </w:p>
        </w:tc>
      </w:tr>
      <w:tr w:rsidR="00723888" w:rsidRPr="00821568" w14:paraId="2D203F88" w14:textId="77777777" w:rsidTr="00A86F37">
        <w:trPr>
          <w:trHeight w:val="20"/>
        </w:trPr>
        <w:tc>
          <w:tcPr>
            <w:tcW w:w="456" w:type="dxa"/>
            <w:vMerge/>
            <w:tcBorders>
              <w:top w:val="nil"/>
              <w:left w:val="single" w:sz="4" w:space="0" w:color="auto"/>
              <w:bottom w:val="single" w:sz="4" w:space="0" w:color="auto"/>
              <w:right w:val="single" w:sz="4" w:space="0" w:color="auto"/>
            </w:tcBorders>
            <w:vAlign w:val="center"/>
            <w:hideMark/>
          </w:tcPr>
          <w:p w14:paraId="3E8B0507" w14:textId="77777777" w:rsidR="00A86F37" w:rsidRPr="00821568" w:rsidRDefault="00A86F37" w:rsidP="00A86F37">
            <w:pPr>
              <w:jc w:val="center"/>
              <w:rPr>
                <w:rFonts w:ascii="Garamond" w:hAnsi="Garamond"/>
                <w:sz w:val="12"/>
                <w:szCs w:val="12"/>
              </w:rPr>
            </w:pPr>
          </w:p>
        </w:tc>
        <w:tc>
          <w:tcPr>
            <w:tcW w:w="1229" w:type="dxa"/>
            <w:vMerge/>
            <w:tcBorders>
              <w:top w:val="nil"/>
              <w:left w:val="single" w:sz="4" w:space="0" w:color="auto"/>
              <w:bottom w:val="single" w:sz="4" w:space="0" w:color="auto"/>
              <w:right w:val="single" w:sz="4" w:space="0" w:color="auto"/>
            </w:tcBorders>
            <w:vAlign w:val="center"/>
            <w:hideMark/>
          </w:tcPr>
          <w:p w14:paraId="764CB0C9" w14:textId="77777777" w:rsidR="00A86F37" w:rsidRPr="00821568" w:rsidRDefault="00A86F37" w:rsidP="00A86F37">
            <w:pPr>
              <w:jc w:val="center"/>
              <w:rPr>
                <w:rFonts w:ascii="Garamond" w:hAnsi="Garamond"/>
                <w:sz w:val="12"/>
                <w:szCs w:val="12"/>
              </w:rPr>
            </w:pPr>
          </w:p>
        </w:tc>
        <w:tc>
          <w:tcPr>
            <w:tcW w:w="1194" w:type="dxa"/>
            <w:vMerge/>
            <w:tcBorders>
              <w:top w:val="nil"/>
              <w:left w:val="single" w:sz="4" w:space="0" w:color="auto"/>
              <w:bottom w:val="single" w:sz="4" w:space="0" w:color="auto"/>
              <w:right w:val="single" w:sz="4" w:space="0" w:color="auto"/>
            </w:tcBorders>
            <w:vAlign w:val="center"/>
            <w:hideMark/>
          </w:tcPr>
          <w:p w14:paraId="772707A7" w14:textId="77777777" w:rsidR="00A86F37" w:rsidRPr="00821568" w:rsidRDefault="00A86F37" w:rsidP="00A86F37">
            <w:pPr>
              <w:jc w:val="center"/>
              <w:rPr>
                <w:rFonts w:ascii="Garamond" w:hAnsi="Garamond"/>
                <w:sz w:val="12"/>
                <w:szCs w:val="12"/>
              </w:rPr>
            </w:pPr>
          </w:p>
        </w:tc>
        <w:tc>
          <w:tcPr>
            <w:tcW w:w="2207" w:type="dxa"/>
            <w:vMerge/>
            <w:tcBorders>
              <w:top w:val="nil"/>
              <w:left w:val="single" w:sz="4" w:space="0" w:color="auto"/>
              <w:bottom w:val="single" w:sz="4" w:space="0" w:color="auto"/>
              <w:right w:val="single" w:sz="4" w:space="0" w:color="auto"/>
            </w:tcBorders>
            <w:vAlign w:val="center"/>
            <w:hideMark/>
          </w:tcPr>
          <w:p w14:paraId="2F5D7C98" w14:textId="77777777" w:rsidR="00A86F37" w:rsidRPr="00821568" w:rsidRDefault="00A86F37" w:rsidP="00A86F37">
            <w:pPr>
              <w:jc w:val="center"/>
              <w:rPr>
                <w:rFonts w:ascii="Garamond" w:hAnsi="Garamond"/>
                <w:sz w:val="12"/>
                <w:szCs w:val="12"/>
              </w:rPr>
            </w:pPr>
          </w:p>
        </w:tc>
        <w:tc>
          <w:tcPr>
            <w:tcW w:w="679" w:type="dxa"/>
            <w:vMerge/>
            <w:tcBorders>
              <w:top w:val="nil"/>
              <w:left w:val="single" w:sz="4" w:space="0" w:color="auto"/>
              <w:bottom w:val="single" w:sz="4" w:space="0" w:color="auto"/>
              <w:right w:val="single" w:sz="4" w:space="0" w:color="auto"/>
            </w:tcBorders>
            <w:vAlign w:val="center"/>
            <w:hideMark/>
          </w:tcPr>
          <w:p w14:paraId="30818E7D" w14:textId="77777777" w:rsidR="00A86F37" w:rsidRPr="00821568" w:rsidRDefault="00A86F37" w:rsidP="00A86F37">
            <w:pPr>
              <w:jc w:val="center"/>
              <w:rPr>
                <w:rFonts w:ascii="Garamond" w:hAnsi="Garamond"/>
                <w:sz w:val="12"/>
                <w:szCs w:val="12"/>
              </w:rPr>
            </w:pPr>
          </w:p>
        </w:tc>
        <w:tc>
          <w:tcPr>
            <w:tcW w:w="865" w:type="dxa"/>
            <w:vMerge/>
            <w:tcBorders>
              <w:top w:val="nil"/>
              <w:left w:val="single" w:sz="4" w:space="0" w:color="auto"/>
              <w:bottom w:val="single" w:sz="4" w:space="0" w:color="auto"/>
              <w:right w:val="single" w:sz="4" w:space="0" w:color="auto"/>
            </w:tcBorders>
            <w:vAlign w:val="center"/>
            <w:hideMark/>
          </w:tcPr>
          <w:p w14:paraId="75441EE2" w14:textId="77777777" w:rsidR="00A86F37" w:rsidRPr="00821568" w:rsidRDefault="00A86F37" w:rsidP="00A86F37">
            <w:pPr>
              <w:jc w:val="center"/>
              <w:rPr>
                <w:rFonts w:ascii="Garamond" w:hAnsi="Garamond"/>
                <w:sz w:val="12"/>
                <w:szCs w:val="12"/>
              </w:rPr>
            </w:pPr>
          </w:p>
        </w:tc>
        <w:tc>
          <w:tcPr>
            <w:tcW w:w="736" w:type="dxa"/>
            <w:vMerge/>
            <w:tcBorders>
              <w:top w:val="nil"/>
              <w:left w:val="single" w:sz="4" w:space="0" w:color="auto"/>
              <w:bottom w:val="single" w:sz="4" w:space="0" w:color="auto"/>
              <w:right w:val="single" w:sz="4" w:space="0" w:color="auto"/>
            </w:tcBorders>
            <w:vAlign w:val="center"/>
            <w:hideMark/>
          </w:tcPr>
          <w:p w14:paraId="5161BD43" w14:textId="77777777" w:rsidR="00A86F37" w:rsidRPr="00821568" w:rsidRDefault="00A86F37" w:rsidP="00A86F37">
            <w:pPr>
              <w:jc w:val="center"/>
              <w:rPr>
                <w:rFonts w:ascii="Garamond" w:hAnsi="Garamond"/>
                <w:sz w:val="12"/>
                <w:szCs w:val="12"/>
              </w:rPr>
            </w:pPr>
          </w:p>
        </w:tc>
        <w:tc>
          <w:tcPr>
            <w:tcW w:w="883" w:type="dxa"/>
            <w:vMerge/>
            <w:tcBorders>
              <w:top w:val="nil"/>
              <w:left w:val="single" w:sz="4" w:space="0" w:color="auto"/>
              <w:bottom w:val="single" w:sz="4" w:space="0" w:color="auto"/>
              <w:right w:val="single" w:sz="4" w:space="0" w:color="auto"/>
            </w:tcBorders>
            <w:vAlign w:val="center"/>
            <w:hideMark/>
          </w:tcPr>
          <w:p w14:paraId="2DA6823E" w14:textId="77777777" w:rsidR="00A86F37" w:rsidRPr="00821568" w:rsidRDefault="00A86F37" w:rsidP="00A86F37">
            <w:pPr>
              <w:jc w:val="center"/>
              <w:rPr>
                <w:rFonts w:ascii="Garamond" w:hAnsi="Garamond"/>
                <w:sz w:val="12"/>
                <w:szCs w:val="12"/>
              </w:rPr>
            </w:pPr>
          </w:p>
        </w:tc>
        <w:tc>
          <w:tcPr>
            <w:tcW w:w="883" w:type="dxa"/>
            <w:vMerge/>
            <w:tcBorders>
              <w:top w:val="nil"/>
              <w:left w:val="single" w:sz="4" w:space="0" w:color="auto"/>
              <w:bottom w:val="single" w:sz="4" w:space="0" w:color="000000"/>
              <w:right w:val="single" w:sz="4" w:space="0" w:color="auto"/>
            </w:tcBorders>
            <w:vAlign w:val="center"/>
            <w:hideMark/>
          </w:tcPr>
          <w:p w14:paraId="67DF4243" w14:textId="77777777" w:rsidR="00A86F37" w:rsidRPr="00821568" w:rsidRDefault="00A86F37" w:rsidP="00A86F37">
            <w:pPr>
              <w:jc w:val="center"/>
              <w:rPr>
                <w:rFonts w:ascii="Garamond" w:hAnsi="Garamond"/>
                <w:sz w:val="12"/>
                <w:szCs w:val="12"/>
              </w:rPr>
            </w:pPr>
          </w:p>
        </w:tc>
        <w:tc>
          <w:tcPr>
            <w:tcW w:w="856" w:type="dxa"/>
            <w:vMerge/>
            <w:tcBorders>
              <w:top w:val="nil"/>
              <w:left w:val="single" w:sz="4" w:space="0" w:color="auto"/>
              <w:bottom w:val="single" w:sz="4" w:space="0" w:color="auto"/>
              <w:right w:val="single" w:sz="4" w:space="0" w:color="auto"/>
            </w:tcBorders>
            <w:vAlign w:val="center"/>
            <w:hideMark/>
          </w:tcPr>
          <w:p w14:paraId="7AFDF7F3" w14:textId="77777777" w:rsidR="00A86F37" w:rsidRPr="00821568" w:rsidRDefault="00A86F37" w:rsidP="00A86F37">
            <w:pPr>
              <w:jc w:val="center"/>
              <w:rPr>
                <w:rFonts w:ascii="Garamond" w:hAnsi="Garamond"/>
                <w:sz w:val="12"/>
                <w:szCs w:val="12"/>
              </w:rPr>
            </w:pPr>
          </w:p>
        </w:tc>
        <w:tc>
          <w:tcPr>
            <w:tcW w:w="236" w:type="dxa"/>
            <w:tcBorders>
              <w:top w:val="nil"/>
              <w:left w:val="nil"/>
              <w:bottom w:val="nil"/>
              <w:right w:val="nil"/>
            </w:tcBorders>
            <w:shd w:val="clear" w:color="auto" w:fill="auto"/>
            <w:noWrap/>
            <w:vAlign w:val="bottom"/>
            <w:hideMark/>
          </w:tcPr>
          <w:p w14:paraId="7C1E2FE4" w14:textId="77777777" w:rsidR="00A86F37" w:rsidRPr="00821568" w:rsidRDefault="00A86F37" w:rsidP="00723888">
            <w:pPr>
              <w:jc w:val="center"/>
              <w:rPr>
                <w:rFonts w:ascii="Garamond" w:hAnsi="Garamond"/>
                <w:b/>
                <w:sz w:val="12"/>
                <w:szCs w:val="12"/>
              </w:rPr>
            </w:pPr>
          </w:p>
        </w:tc>
      </w:tr>
      <w:tr w:rsidR="00723888" w:rsidRPr="00821568" w14:paraId="66C6A9B2" w14:textId="77777777" w:rsidTr="00A86F37">
        <w:trPr>
          <w:trHeight w:val="2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49320811" w14:textId="77777777" w:rsidR="00A86F37" w:rsidRPr="00821568" w:rsidRDefault="00A86F37" w:rsidP="00A86F37">
            <w:pPr>
              <w:jc w:val="center"/>
              <w:rPr>
                <w:rFonts w:ascii="Garamond" w:hAnsi="Garamond"/>
                <w:sz w:val="12"/>
                <w:szCs w:val="12"/>
              </w:rPr>
            </w:pPr>
            <w:r w:rsidRPr="00821568">
              <w:rPr>
                <w:rFonts w:ascii="Garamond" w:hAnsi="Garamond"/>
                <w:sz w:val="12"/>
                <w:szCs w:val="12"/>
              </w:rPr>
              <w:t>3.1</w:t>
            </w:r>
          </w:p>
        </w:tc>
        <w:tc>
          <w:tcPr>
            <w:tcW w:w="1229" w:type="dxa"/>
            <w:tcBorders>
              <w:top w:val="nil"/>
              <w:left w:val="nil"/>
              <w:bottom w:val="single" w:sz="4" w:space="0" w:color="auto"/>
              <w:right w:val="single" w:sz="4" w:space="0" w:color="auto"/>
            </w:tcBorders>
            <w:shd w:val="clear" w:color="auto" w:fill="auto"/>
            <w:vAlign w:val="center"/>
            <w:hideMark/>
          </w:tcPr>
          <w:p w14:paraId="1F6C4ED7" w14:textId="0F075EB5" w:rsidR="00A86F37" w:rsidRPr="00821568" w:rsidRDefault="00A86F37" w:rsidP="00A86F37">
            <w:pPr>
              <w:jc w:val="center"/>
              <w:rPr>
                <w:rFonts w:ascii="Garamond" w:hAnsi="Garamond"/>
                <w:sz w:val="12"/>
                <w:szCs w:val="12"/>
              </w:rPr>
            </w:pPr>
            <w:r w:rsidRPr="00821568">
              <w:rPr>
                <w:rFonts w:ascii="Garamond" w:hAnsi="Garamond"/>
                <w:sz w:val="12"/>
                <w:szCs w:val="12"/>
              </w:rPr>
              <w:t xml:space="preserve">Objektivi </w:t>
            </w:r>
            <w:r w:rsidR="003C24AC" w:rsidRPr="00821568">
              <w:rPr>
                <w:rFonts w:ascii="Garamond" w:hAnsi="Garamond"/>
                <w:sz w:val="12"/>
                <w:szCs w:val="12"/>
              </w:rPr>
              <w:t>specifik (kompon</w:t>
            </w:r>
            <w:r w:rsidRPr="00821568">
              <w:rPr>
                <w:rFonts w:ascii="Garamond" w:hAnsi="Garamond"/>
                <w:sz w:val="12"/>
                <w:szCs w:val="12"/>
              </w:rPr>
              <w:t>enti) 3.1</w:t>
            </w:r>
            <w:r w:rsidR="00821568" w:rsidRPr="00821568">
              <w:rPr>
                <w:rFonts w:ascii="Garamond" w:hAnsi="Garamond"/>
                <w:sz w:val="12"/>
                <w:szCs w:val="12"/>
              </w:rPr>
              <w:t xml:space="preserve"> </w:t>
            </w:r>
            <w:r w:rsidRPr="00821568">
              <w:rPr>
                <w:rFonts w:ascii="Garamond" w:hAnsi="Garamond"/>
                <w:sz w:val="12"/>
                <w:szCs w:val="12"/>
              </w:rPr>
              <w:t>Modernizimi i proceseve të biznesit, duke përfshirë centralizimin e funksionit të profilizimit të rrezikut</w:t>
            </w:r>
          </w:p>
        </w:tc>
        <w:tc>
          <w:tcPr>
            <w:tcW w:w="1194" w:type="dxa"/>
            <w:tcBorders>
              <w:top w:val="nil"/>
              <w:left w:val="nil"/>
              <w:bottom w:val="single" w:sz="4" w:space="0" w:color="auto"/>
              <w:right w:val="single" w:sz="4" w:space="0" w:color="auto"/>
            </w:tcBorders>
            <w:shd w:val="clear" w:color="auto" w:fill="auto"/>
            <w:vAlign w:val="center"/>
            <w:hideMark/>
          </w:tcPr>
          <w:p w14:paraId="19195FB5" w14:textId="77777777" w:rsidR="00A86F37" w:rsidRPr="00821568" w:rsidRDefault="00A86F37" w:rsidP="00A86F37">
            <w:pPr>
              <w:jc w:val="center"/>
              <w:rPr>
                <w:rFonts w:ascii="Garamond" w:hAnsi="Garamond"/>
                <w:sz w:val="12"/>
                <w:szCs w:val="12"/>
              </w:rPr>
            </w:pPr>
            <w:r w:rsidRPr="00821568">
              <w:rPr>
                <w:rFonts w:ascii="Garamond" w:hAnsi="Garamond"/>
                <w:sz w:val="12"/>
                <w:szCs w:val="12"/>
              </w:rPr>
              <w:t>DPD</w:t>
            </w:r>
          </w:p>
        </w:tc>
        <w:tc>
          <w:tcPr>
            <w:tcW w:w="2207" w:type="dxa"/>
            <w:tcBorders>
              <w:top w:val="nil"/>
              <w:left w:val="nil"/>
              <w:bottom w:val="single" w:sz="4" w:space="0" w:color="auto"/>
              <w:right w:val="single" w:sz="4" w:space="0" w:color="auto"/>
            </w:tcBorders>
            <w:shd w:val="clear" w:color="auto" w:fill="auto"/>
            <w:vAlign w:val="center"/>
            <w:hideMark/>
          </w:tcPr>
          <w:p w14:paraId="7D794ECF" w14:textId="7F466C7B" w:rsidR="00A86F37" w:rsidRPr="00821568" w:rsidRDefault="00A86F37" w:rsidP="00A86F37">
            <w:pPr>
              <w:jc w:val="center"/>
              <w:rPr>
                <w:rFonts w:ascii="Garamond" w:hAnsi="Garamond"/>
                <w:sz w:val="12"/>
                <w:szCs w:val="12"/>
              </w:rPr>
            </w:pPr>
            <w:r w:rsidRPr="00821568">
              <w:rPr>
                <w:rFonts w:ascii="Garamond" w:hAnsi="Garamond"/>
                <w:sz w:val="12"/>
                <w:szCs w:val="12"/>
              </w:rPr>
              <w:t xml:space="preserve">Komisioni </w:t>
            </w:r>
            <w:r w:rsidR="00821568" w:rsidRPr="00821568">
              <w:rPr>
                <w:rFonts w:ascii="Garamond" w:hAnsi="Garamond"/>
                <w:sz w:val="12"/>
                <w:szCs w:val="12"/>
              </w:rPr>
              <w:t>Evropian</w:t>
            </w:r>
            <w:r w:rsidRPr="00821568">
              <w:rPr>
                <w:rFonts w:ascii="Garamond" w:hAnsi="Garamond"/>
                <w:sz w:val="12"/>
                <w:szCs w:val="12"/>
              </w:rPr>
              <w:t>/AKSHI</w:t>
            </w:r>
          </w:p>
        </w:tc>
        <w:tc>
          <w:tcPr>
            <w:tcW w:w="679" w:type="dxa"/>
            <w:tcBorders>
              <w:top w:val="nil"/>
              <w:left w:val="nil"/>
              <w:bottom w:val="single" w:sz="4" w:space="0" w:color="auto"/>
              <w:right w:val="single" w:sz="4" w:space="0" w:color="auto"/>
            </w:tcBorders>
            <w:shd w:val="clear" w:color="auto" w:fill="auto"/>
            <w:vAlign w:val="center"/>
            <w:hideMark/>
          </w:tcPr>
          <w:p w14:paraId="31D153E9"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T1 2024</w:t>
            </w:r>
          </w:p>
        </w:tc>
        <w:tc>
          <w:tcPr>
            <w:tcW w:w="865" w:type="dxa"/>
            <w:tcBorders>
              <w:top w:val="nil"/>
              <w:left w:val="nil"/>
              <w:bottom w:val="single" w:sz="4" w:space="0" w:color="auto"/>
              <w:right w:val="single" w:sz="4" w:space="0" w:color="auto"/>
            </w:tcBorders>
            <w:shd w:val="clear" w:color="auto" w:fill="auto"/>
            <w:vAlign w:val="center"/>
            <w:hideMark/>
          </w:tcPr>
          <w:p w14:paraId="468CDD19"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T4 2026</w:t>
            </w:r>
          </w:p>
        </w:tc>
        <w:tc>
          <w:tcPr>
            <w:tcW w:w="736" w:type="dxa"/>
            <w:tcBorders>
              <w:top w:val="nil"/>
              <w:left w:val="nil"/>
              <w:bottom w:val="single" w:sz="4" w:space="0" w:color="auto"/>
              <w:right w:val="single" w:sz="4" w:space="0" w:color="auto"/>
            </w:tcBorders>
            <w:shd w:val="clear" w:color="auto" w:fill="auto"/>
            <w:vAlign w:val="center"/>
            <w:hideMark/>
          </w:tcPr>
          <w:p w14:paraId="250ADE8D" w14:textId="77777777" w:rsidR="00A86F37" w:rsidRPr="00821568" w:rsidRDefault="00A86F37" w:rsidP="00A86F37">
            <w:pPr>
              <w:jc w:val="center"/>
              <w:rPr>
                <w:rFonts w:ascii="Garamond" w:hAnsi="Garamond"/>
                <w:sz w:val="12"/>
                <w:szCs w:val="12"/>
              </w:rPr>
            </w:pPr>
            <w:r w:rsidRPr="00821568">
              <w:rPr>
                <w:rFonts w:ascii="Garamond" w:hAnsi="Garamond"/>
                <w:sz w:val="12"/>
                <w:szCs w:val="12"/>
              </w:rPr>
              <w:t>49,620</w:t>
            </w:r>
          </w:p>
        </w:tc>
        <w:tc>
          <w:tcPr>
            <w:tcW w:w="883" w:type="dxa"/>
            <w:tcBorders>
              <w:top w:val="nil"/>
              <w:left w:val="nil"/>
              <w:bottom w:val="single" w:sz="4" w:space="0" w:color="auto"/>
              <w:right w:val="single" w:sz="4" w:space="0" w:color="auto"/>
            </w:tcBorders>
            <w:shd w:val="clear" w:color="auto" w:fill="auto"/>
            <w:vAlign w:val="center"/>
            <w:hideMark/>
          </w:tcPr>
          <w:p w14:paraId="2D08923A" w14:textId="77777777" w:rsidR="00A86F37" w:rsidRPr="00821568" w:rsidRDefault="00A86F37" w:rsidP="00A86F37">
            <w:pPr>
              <w:jc w:val="center"/>
              <w:rPr>
                <w:rFonts w:ascii="Garamond" w:hAnsi="Garamond"/>
                <w:sz w:val="12"/>
                <w:szCs w:val="12"/>
              </w:rPr>
            </w:pPr>
            <w:r w:rsidRPr="00821568">
              <w:rPr>
                <w:rFonts w:ascii="Garamond" w:hAnsi="Garamond"/>
                <w:sz w:val="12"/>
                <w:szCs w:val="12"/>
              </w:rPr>
              <w:t>11,664</w:t>
            </w:r>
          </w:p>
        </w:tc>
        <w:tc>
          <w:tcPr>
            <w:tcW w:w="883" w:type="dxa"/>
            <w:tcBorders>
              <w:top w:val="nil"/>
              <w:left w:val="nil"/>
              <w:bottom w:val="single" w:sz="4" w:space="0" w:color="auto"/>
              <w:right w:val="single" w:sz="4" w:space="0" w:color="auto"/>
            </w:tcBorders>
            <w:shd w:val="clear" w:color="auto" w:fill="auto"/>
            <w:vAlign w:val="center"/>
            <w:hideMark/>
          </w:tcPr>
          <w:p w14:paraId="3CDE8E17" w14:textId="77777777" w:rsidR="00A86F37" w:rsidRPr="00821568" w:rsidRDefault="00A86F37" w:rsidP="00A86F37">
            <w:pPr>
              <w:jc w:val="center"/>
              <w:rPr>
                <w:rFonts w:ascii="Garamond" w:hAnsi="Garamond"/>
                <w:sz w:val="12"/>
                <w:szCs w:val="12"/>
              </w:rPr>
            </w:pPr>
            <w:r w:rsidRPr="00821568">
              <w:rPr>
                <w:rFonts w:ascii="Garamond" w:hAnsi="Garamond"/>
                <w:sz w:val="12"/>
                <w:szCs w:val="12"/>
              </w:rPr>
              <w:t>0</w:t>
            </w:r>
          </w:p>
        </w:tc>
        <w:tc>
          <w:tcPr>
            <w:tcW w:w="856" w:type="dxa"/>
            <w:tcBorders>
              <w:top w:val="nil"/>
              <w:left w:val="nil"/>
              <w:bottom w:val="single" w:sz="4" w:space="0" w:color="auto"/>
              <w:right w:val="single" w:sz="4" w:space="0" w:color="auto"/>
            </w:tcBorders>
            <w:shd w:val="clear" w:color="auto" w:fill="auto"/>
            <w:vAlign w:val="center"/>
            <w:hideMark/>
          </w:tcPr>
          <w:p w14:paraId="40FDEC16" w14:textId="77777777" w:rsidR="00A86F37" w:rsidRPr="00821568" w:rsidRDefault="00A86F37" w:rsidP="00A86F37">
            <w:pPr>
              <w:jc w:val="center"/>
              <w:rPr>
                <w:rFonts w:ascii="Garamond" w:hAnsi="Garamond"/>
                <w:sz w:val="12"/>
                <w:szCs w:val="12"/>
              </w:rPr>
            </w:pPr>
            <w:r w:rsidRPr="00821568">
              <w:rPr>
                <w:rFonts w:ascii="Garamond" w:hAnsi="Garamond"/>
                <w:sz w:val="12"/>
                <w:szCs w:val="12"/>
              </w:rPr>
              <w:t>61,285</w:t>
            </w:r>
          </w:p>
        </w:tc>
        <w:tc>
          <w:tcPr>
            <w:tcW w:w="236" w:type="dxa"/>
            <w:vAlign w:val="center"/>
            <w:hideMark/>
          </w:tcPr>
          <w:p w14:paraId="6856D8C3" w14:textId="77777777" w:rsidR="00A86F37" w:rsidRPr="00821568" w:rsidRDefault="00A86F37" w:rsidP="00723888">
            <w:pPr>
              <w:rPr>
                <w:rFonts w:ascii="Garamond" w:hAnsi="Garamond"/>
                <w:sz w:val="12"/>
                <w:szCs w:val="12"/>
              </w:rPr>
            </w:pPr>
          </w:p>
        </w:tc>
      </w:tr>
      <w:tr w:rsidR="00723888" w:rsidRPr="00821568" w14:paraId="2A08D5B1" w14:textId="77777777" w:rsidTr="00A86F37">
        <w:trPr>
          <w:trHeight w:val="2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6E691157" w14:textId="77777777" w:rsidR="00A86F37" w:rsidRPr="00821568" w:rsidRDefault="00A86F37" w:rsidP="00A86F37">
            <w:pPr>
              <w:jc w:val="center"/>
              <w:rPr>
                <w:rFonts w:ascii="Garamond" w:hAnsi="Garamond"/>
                <w:sz w:val="12"/>
                <w:szCs w:val="12"/>
              </w:rPr>
            </w:pPr>
            <w:r w:rsidRPr="00821568">
              <w:rPr>
                <w:rFonts w:ascii="Garamond" w:hAnsi="Garamond"/>
                <w:sz w:val="12"/>
                <w:szCs w:val="12"/>
              </w:rPr>
              <w:t>3.2</w:t>
            </w:r>
          </w:p>
        </w:tc>
        <w:tc>
          <w:tcPr>
            <w:tcW w:w="1229" w:type="dxa"/>
            <w:tcBorders>
              <w:top w:val="nil"/>
              <w:left w:val="nil"/>
              <w:bottom w:val="single" w:sz="4" w:space="0" w:color="auto"/>
              <w:right w:val="single" w:sz="4" w:space="0" w:color="auto"/>
            </w:tcBorders>
            <w:shd w:val="clear" w:color="auto" w:fill="auto"/>
            <w:vAlign w:val="center"/>
            <w:hideMark/>
          </w:tcPr>
          <w:p w14:paraId="4FCB243A" w14:textId="0237A697" w:rsidR="00A86F37" w:rsidRPr="00821568" w:rsidRDefault="00A86F37" w:rsidP="00A86F37">
            <w:pPr>
              <w:jc w:val="center"/>
              <w:rPr>
                <w:rFonts w:ascii="Garamond" w:hAnsi="Garamond"/>
                <w:sz w:val="12"/>
                <w:szCs w:val="12"/>
              </w:rPr>
            </w:pPr>
            <w:r w:rsidRPr="00821568">
              <w:rPr>
                <w:rFonts w:ascii="Garamond" w:hAnsi="Garamond"/>
                <w:sz w:val="12"/>
                <w:szCs w:val="12"/>
              </w:rPr>
              <w:t xml:space="preserve">Objektivi </w:t>
            </w:r>
            <w:r w:rsidR="00821568" w:rsidRPr="00821568">
              <w:rPr>
                <w:rFonts w:ascii="Garamond" w:hAnsi="Garamond"/>
                <w:sz w:val="12"/>
                <w:szCs w:val="12"/>
              </w:rPr>
              <w:t>specifik (kompone</w:t>
            </w:r>
            <w:r w:rsidRPr="00821568">
              <w:rPr>
                <w:rFonts w:ascii="Garamond" w:hAnsi="Garamond"/>
                <w:sz w:val="12"/>
                <w:szCs w:val="12"/>
              </w:rPr>
              <w:t>nti) 3.2</w:t>
            </w:r>
            <w:r w:rsidR="00821568" w:rsidRPr="00821568">
              <w:rPr>
                <w:rFonts w:ascii="Garamond" w:hAnsi="Garamond"/>
                <w:sz w:val="12"/>
                <w:szCs w:val="12"/>
              </w:rPr>
              <w:t xml:space="preserve"> </w:t>
            </w:r>
            <w:r w:rsidRPr="00821568">
              <w:rPr>
                <w:rFonts w:ascii="Garamond" w:hAnsi="Garamond"/>
                <w:sz w:val="12"/>
                <w:szCs w:val="12"/>
              </w:rPr>
              <w:t>Zhvillimi i aftësive të zgjeruara analitike të të dhënave</w:t>
            </w:r>
          </w:p>
        </w:tc>
        <w:tc>
          <w:tcPr>
            <w:tcW w:w="1194" w:type="dxa"/>
            <w:tcBorders>
              <w:top w:val="nil"/>
              <w:left w:val="nil"/>
              <w:bottom w:val="single" w:sz="4" w:space="0" w:color="auto"/>
              <w:right w:val="single" w:sz="4" w:space="0" w:color="auto"/>
            </w:tcBorders>
            <w:shd w:val="clear" w:color="auto" w:fill="auto"/>
            <w:vAlign w:val="center"/>
            <w:hideMark/>
          </w:tcPr>
          <w:p w14:paraId="3F399505" w14:textId="77777777" w:rsidR="00A86F37" w:rsidRPr="00821568" w:rsidRDefault="00A86F37" w:rsidP="00A86F37">
            <w:pPr>
              <w:jc w:val="center"/>
              <w:rPr>
                <w:rFonts w:ascii="Garamond" w:hAnsi="Garamond"/>
                <w:sz w:val="12"/>
                <w:szCs w:val="12"/>
              </w:rPr>
            </w:pPr>
            <w:r w:rsidRPr="00821568">
              <w:rPr>
                <w:rFonts w:ascii="Garamond" w:hAnsi="Garamond"/>
                <w:sz w:val="12"/>
                <w:szCs w:val="12"/>
              </w:rPr>
              <w:t>DPD</w:t>
            </w:r>
          </w:p>
        </w:tc>
        <w:tc>
          <w:tcPr>
            <w:tcW w:w="2207" w:type="dxa"/>
            <w:tcBorders>
              <w:top w:val="nil"/>
              <w:left w:val="nil"/>
              <w:bottom w:val="single" w:sz="4" w:space="0" w:color="auto"/>
              <w:right w:val="single" w:sz="4" w:space="0" w:color="auto"/>
            </w:tcBorders>
            <w:shd w:val="clear" w:color="auto" w:fill="auto"/>
            <w:vAlign w:val="center"/>
            <w:hideMark/>
          </w:tcPr>
          <w:p w14:paraId="1F16B364" w14:textId="77777777" w:rsidR="00A86F37" w:rsidRPr="00821568" w:rsidRDefault="00A86F37" w:rsidP="00A86F37">
            <w:pPr>
              <w:jc w:val="center"/>
              <w:rPr>
                <w:rFonts w:ascii="Garamond" w:hAnsi="Garamond"/>
                <w:sz w:val="12"/>
                <w:szCs w:val="12"/>
              </w:rPr>
            </w:pPr>
          </w:p>
        </w:tc>
        <w:tc>
          <w:tcPr>
            <w:tcW w:w="679" w:type="dxa"/>
            <w:tcBorders>
              <w:top w:val="nil"/>
              <w:left w:val="nil"/>
              <w:bottom w:val="single" w:sz="4" w:space="0" w:color="auto"/>
              <w:right w:val="single" w:sz="4" w:space="0" w:color="auto"/>
            </w:tcBorders>
            <w:shd w:val="clear" w:color="auto" w:fill="auto"/>
            <w:vAlign w:val="center"/>
            <w:hideMark/>
          </w:tcPr>
          <w:p w14:paraId="44ECBD3F"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T1 2024</w:t>
            </w:r>
          </w:p>
        </w:tc>
        <w:tc>
          <w:tcPr>
            <w:tcW w:w="865" w:type="dxa"/>
            <w:tcBorders>
              <w:top w:val="nil"/>
              <w:left w:val="nil"/>
              <w:bottom w:val="single" w:sz="4" w:space="0" w:color="auto"/>
              <w:right w:val="single" w:sz="4" w:space="0" w:color="auto"/>
            </w:tcBorders>
            <w:shd w:val="clear" w:color="auto" w:fill="auto"/>
            <w:vAlign w:val="center"/>
            <w:hideMark/>
          </w:tcPr>
          <w:p w14:paraId="49250363"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T4 2027</w:t>
            </w:r>
          </w:p>
        </w:tc>
        <w:tc>
          <w:tcPr>
            <w:tcW w:w="736" w:type="dxa"/>
            <w:tcBorders>
              <w:top w:val="nil"/>
              <w:left w:val="nil"/>
              <w:bottom w:val="single" w:sz="4" w:space="0" w:color="auto"/>
              <w:right w:val="single" w:sz="4" w:space="0" w:color="auto"/>
            </w:tcBorders>
            <w:shd w:val="clear" w:color="auto" w:fill="auto"/>
            <w:vAlign w:val="center"/>
            <w:hideMark/>
          </w:tcPr>
          <w:p w14:paraId="2BFFBD37" w14:textId="77777777" w:rsidR="00A86F37" w:rsidRPr="00821568" w:rsidRDefault="00A86F37" w:rsidP="00A86F37">
            <w:pPr>
              <w:jc w:val="center"/>
              <w:rPr>
                <w:rFonts w:ascii="Garamond" w:hAnsi="Garamond"/>
                <w:sz w:val="12"/>
                <w:szCs w:val="12"/>
              </w:rPr>
            </w:pPr>
            <w:r w:rsidRPr="00821568">
              <w:rPr>
                <w:rFonts w:ascii="Garamond" w:hAnsi="Garamond"/>
                <w:sz w:val="12"/>
                <w:szCs w:val="12"/>
              </w:rPr>
              <w:t>0</w:t>
            </w:r>
          </w:p>
        </w:tc>
        <w:tc>
          <w:tcPr>
            <w:tcW w:w="883" w:type="dxa"/>
            <w:tcBorders>
              <w:top w:val="nil"/>
              <w:left w:val="nil"/>
              <w:bottom w:val="single" w:sz="4" w:space="0" w:color="auto"/>
              <w:right w:val="single" w:sz="4" w:space="0" w:color="auto"/>
            </w:tcBorders>
            <w:shd w:val="clear" w:color="auto" w:fill="auto"/>
            <w:vAlign w:val="center"/>
            <w:hideMark/>
          </w:tcPr>
          <w:p w14:paraId="0D0AAF11" w14:textId="77777777" w:rsidR="00A86F37" w:rsidRPr="00821568" w:rsidRDefault="00A86F37" w:rsidP="00A86F37">
            <w:pPr>
              <w:jc w:val="center"/>
              <w:rPr>
                <w:rFonts w:ascii="Garamond" w:hAnsi="Garamond"/>
                <w:sz w:val="12"/>
                <w:szCs w:val="12"/>
              </w:rPr>
            </w:pPr>
            <w:r w:rsidRPr="00821568">
              <w:rPr>
                <w:rFonts w:ascii="Garamond" w:hAnsi="Garamond"/>
                <w:sz w:val="12"/>
                <w:szCs w:val="12"/>
              </w:rPr>
              <w:t>0</w:t>
            </w:r>
          </w:p>
        </w:tc>
        <w:tc>
          <w:tcPr>
            <w:tcW w:w="883" w:type="dxa"/>
            <w:tcBorders>
              <w:top w:val="nil"/>
              <w:left w:val="nil"/>
              <w:bottom w:val="single" w:sz="4" w:space="0" w:color="auto"/>
              <w:right w:val="single" w:sz="4" w:space="0" w:color="auto"/>
            </w:tcBorders>
            <w:shd w:val="clear" w:color="auto" w:fill="auto"/>
            <w:vAlign w:val="center"/>
            <w:hideMark/>
          </w:tcPr>
          <w:p w14:paraId="6DEAC89C" w14:textId="77777777" w:rsidR="00A86F37" w:rsidRPr="00821568" w:rsidRDefault="00A86F37" w:rsidP="00A86F37">
            <w:pPr>
              <w:jc w:val="center"/>
              <w:rPr>
                <w:rFonts w:ascii="Garamond" w:hAnsi="Garamond"/>
                <w:sz w:val="12"/>
                <w:szCs w:val="12"/>
              </w:rPr>
            </w:pPr>
            <w:r w:rsidRPr="00821568">
              <w:rPr>
                <w:rFonts w:ascii="Garamond" w:hAnsi="Garamond"/>
                <w:sz w:val="12"/>
                <w:szCs w:val="12"/>
              </w:rPr>
              <w:t>0</w:t>
            </w:r>
          </w:p>
        </w:tc>
        <w:tc>
          <w:tcPr>
            <w:tcW w:w="856" w:type="dxa"/>
            <w:tcBorders>
              <w:top w:val="nil"/>
              <w:left w:val="nil"/>
              <w:bottom w:val="single" w:sz="4" w:space="0" w:color="auto"/>
              <w:right w:val="single" w:sz="4" w:space="0" w:color="auto"/>
            </w:tcBorders>
            <w:shd w:val="clear" w:color="auto" w:fill="auto"/>
            <w:vAlign w:val="center"/>
            <w:hideMark/>
          </w:tcPr>
          <w:p w14:paraId="631EF3AB" w14:textId="77777777" w:rsidR="00A86F37" w:rsidRPr="00821568" w:rsidRDefault="00A86F37" w:rsidP="00A86F37">
            <w:pPr>
              <w:jc w:val="center"/>
              <w:rPr>
                <w:rFonts w:ascii="Garamond" w:hAnsi="Garamond"/>
                <w:sz w:val="12"/>
                <w:szCs w:val="12"/>
              </w:rPr>
            </w:pPr>
            <w:r w:rsidRPr="00821568">
              <w:rPr>
                <w:rFonts w:ascii="Garamond" w:hAnsi="Garamond"/>
                <w:sz w:val="12"/>
                <w:szCs w:val="12"/>
              </w:rPr>
              <w:t>0</w:t>
            </w:r>
          </w:p>
        </w:tc>
        <w:tc>
          <w:tcPr>
            <w:tcW w:w="236" w:type="dxa"/>
            <w:vAlign w:val="center"/>
            <w:hideMark/>
          </w:tcPr>
          <w:p w14:paraId="3576CFA6" w14:textId="77777777" w:rsidR="00A86F37" w:rsidRPr="00821568" w:rsidRDefault="00A86F37" w:rsidP="00723888">
            <w:pPr>
              <w:rPr>
                <w:rFonts w:ascii="Garamond" w:hAnsi="Garamond"/>
                <w:sz w:val="12"/>
                <w:szCs w:val="12"/>
              </w:rPr>
            </w:pPr>
          </w:p>
        </w:tc>
      </w:tr>
      <w:tr w:rsidR="00723888" w:rsidRPr="00821568" w14:paraId="2C96DCC5" w14:textId="77777777" w:rsidTr="00A86F37">
        <w:trPr>
          <w:trHeight w:val="2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2FFABE98" w14:textId="77777777" w:rsidR="00A86F37" w:rsidRPr="00821568" w:rsidRDefault="00A86F37" w:rsidP="00A86F37">
            <w:pPr>
              <w:jc w:val="center"/>
              <w:rPr>
                <w:rFonts w:ascii="Garamond" w:hAnsi="Garamond"/>
                <w:sz w:val="12"/>
                <w:szCs w:val="12"/>
              </w:rPr>
            </w:pPr>
            <w:r w:rsidRPr="00821568">
              <w:rPr>
                <w:rFonts w:ascii="Garamond" w:hAnsi="Garamond"/>
                <w:sz w:val="12"/>
                <w:szCs w:val="12"/>
              </w:rPr>
              <w:t>3.3</w:t>
            </w:r>
          </w:p>
        </w:tc>
        <w:tc>
          <w:tcPr>
            <w:tcW w:w="1229" w:type="dxa"/>
            <w:tcBorders>
              <w:top w:val="nil"/>
              <w:left w:val="nil"/>
              <w:bottom w:val="single" w:sz="4" w:space="0" w:color="auto"/>
              <w:right w:val="single" w:sz="4" w:space="0" w:color="auto"/>
            </w:tcBorders>
            <w:shd w:val="clear" w:color="auto" w:fill="auto"/>
            <w:vAlign w:val="center"/>
            <w:hideMark/>
          </w:tcPr>
          <w:p w14:paraId="416E9826" w14:textId="2BFEA016" w:rsidR="00A86F37" w:rsidRPr="00821568" w:rsidRDefault="00A86F37" w:rsidP="00A86F37">
            <w:pPr>
              <w:jc w:val="center"/>
              <w:rPr>
                <w:rFonts w:ascii="Garamond" w:hAnsi="Garamond"/>
                <w:sz w:val="12"/>
                <w:szCs w:val="12"/>
              </w:rPr>
            </w:pPr>
            <w:r w:rsidRPr="00821568">
              <w:rPr>
                <w:rFonts w:ascii="Garamond" w:hAnsi="Garamond"/>
                <w:sz w:val="12"/>
                <w:szCs w:val="12"/>
              </w:rPr>
              <w:t xml:space="preserve">Objektivi </w:t>
            </w:r>
            <w:r w:rsidR="00821568" w:rsidRPr="00821568">
              <w:rPr>
                <w:rFonts w:ascii="Garamond" w:hAnsi="Garamond"/>
                <w:sz w:val="12"/>
                <w:szCs w:val="12"/>
              </w:rPr>
              <w:t>specifik (komponen</w:t>
            </w:r>
            <w:r w:rsidRPr="00821568">
              <w:rPr>
                <w:rFonts w:ascii="Garamond" w:hAnsi="Garamond"/>
                <w:sz w:val="12"/>
                <w:szCs w:val="12"/>
              </w:rPr>
              <w:t>ti) 3.3 Rritja e investimeve në zhvillimin e sistemeve të Teknologjisë së Informacionit</w:t>
            </w:r>
          </w:p>
        </w:tc>
        <w:tc>
          <w:tcPr>
            <w:tcW w:w="1194" w:type="dxa"/>
            <w:tcBorders>
              <w:top w:val="nil"/>
              <w:left w:val="nil"/>
              <w:bottom w:val="single" w:sz="4" w:space="0" w:color="auto"/>
              <w:right w:val="single" w:sz="4" w:space="0" w:color="auto"/>
            </w:tcBorders>
            <w:shd w:val="clear" w:color="auto" w:fill="auto"/>
            <w:vAlign w:val="center"/>
            <w:hideMark/>
          </w:tcPr>
          <w:p w14:paraId="4ACFB5DB" w14:textId="77777777" w:rsidR="00A86F37" w:rsidRPr="00821568" w:rsidRDefault="00A86F37" w:rsidP="00A86F37">
            <w:pPr>
              <w:jc w:val="center"/>
              <w:rPr>
                <w:rFonts w:ascii="Garamond" w:hAnsi="Garamond"/>
                <w:sz w:val="12"/>
                <w:szCs w:val="12"/>
              </w:rPr>
            </w:pPr>
            <w:r w:rsidRPr="00821568">
              <w:rPr>
                <w:rFonts w:ascii="Garamond" w:hAnsi="Garamond"/>
                <w:sz w:val="12"/>
                <w:szCs w:val="12"/>
              </w:rPr>
              <w:t>DPD</w:t>
            </w:r>
          </w:p>
        </w:tc>
        <w:tc>
          <w:tcPr>
            <w:tcW w:w="2207" w:type="dxa"/>
            <w:tcBorders>
              <w:top w:val="nil"/>
              <w:left w:val="nil"/>
              <w:bottom w:val="single" w:sz="4" w:space="0" w:color="auto"/>
              <w:right w:val="single" w:sz="4" w:space="0" w:color="auto"/>
            </w:tcBorders>
            <w:shd w:val="clear" w:color="auto" w:fill="auto"/>
            <w:vAlign w:val="center"/>
            <w:hideMark/>
          </w:tcPr>
          <w:p w14:paraId="1D807A69" w14:textId="5934AED1" w:rsidR="00A86F37" w:rsidRPr="00821568" w:rsidRDefault="00A86F37" w:rsidP="00A86F37">
            <w:pPr>
              <w:jc w:val="center"/>
              <w:rPr>
                <w:rFonts w:ascii="Garamond" w:hAnsi="Garamond"/>
                <w:sz w:val="12"/>
                <w:szCs w:val="12"/>
              </w:rPr>
            </w:pPr>
            <w:r w:rsidRPr="00821568">
              <w:rPr>
                <w:rFonts w:ascii="Garamond" w:hAnsi="Garamond"/>
                <w:sz w:val="12"/>
                <w:szCs w:val="12"/>
              </w:rPr>
              <w:t xml:space="preserve">Komisioni </w:t>
            </w:r>
            <w:r w:rsidR="00821568" w:rsidRPr="00821568">
              <w:rPr>
                <w:rFonts w:ascii="Garamond" w:hAnsi="Garamond"/>
                <w:sz w:val="12"/>
                <w:szCs w:val="12"/>
              </w:rPr>
              <w:t>Evropian</w:t>
            </w:r>
            <w:r w:rsidRPr="00821568">
              <w:rPr>
                <w:rFonts w:ascii="Garamond" w:hAnsi="Garamond"/>
                <w:sz w:val="12"/>
                <w:szCs w:val="12"/>
              </w:rPr>
              <w:t>/AKSHI</w:t>
            </w:r>
          </w:p>
        </w:tc>
        <w:tc>
          <w:tcPr>
            <w:tcW w:w="679" w:type="dxa"/>
            <w:tcBorders>
              <w:top w:val="nil"/>
              <w:left w:val="nil"/>
              <w:bottom w:val="single" w:sz="4" w:space="0" w:color="auto"/>
              <w:right w:val="single" w:sz="4" w:space="0" w:color="auto"/>
            </w:tcBorders>
            <w:shd w:val="clear" w:color="auto" w:fill="auto"/>
            <w:vAlign w:val="center"/>
            <w:hideMark/>
          </w:tcPr>
          <w:p w14:paraId="64E4DE8A"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T1 2024</w:t>
            </w:r>
          </w:p>
        </w:tc>
        <w:tc>
          <w:tcPr>
            <w:tcW w:w="865" w:type="dxa"/>
            <w:tcBorders>
              <w:top w:val="nil"/>
              <w:left w:val="nil"/>
              <w:bottom w:val="single" w:sz="4" w:space="0" w:color="auto"/>
              <w:right w:val="single" w:sz="4" w:space="0" w:color="auto"/>
            </w:tcBorders>
            <w:shd w:val="clear" w:color="auto" w:fill="auto"/>
            <w:vAlign w:val="center"/>
            <w:hideMark/>
          </w:tcPr>
          <w:p w14:paraId="3B3A5084"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T4 2027</w:t>
            </w:r>
          </w:p>
        </w:tc>
        <w:tc>
          <w:tcPr>
            <w:tcW w:w="736" w:type="dxa"/>
            <w:tcBorders>
              <w:top w:val="nil"/>
              <w:left w:val="nil"/>
              <w:bottom w:val="single" w:sz="4" w:space="0" w:color="auto"/>
              <w:right w:val="single" w:sz="4" w:space="0" w:color="auto"/>
            </w:tcBorders>
            <w:shd w:val="clear" w:color="auto" w:fill="auto"/>
            <w:vAlign w:val="center"/>
            <w:hideMark/>
          </w:tcPr>
          <w:p w14:paraId="472F9F82" w14:textId="77777777" w:rsidR="00A86F37" w:rsidRPr="00821568" w:rsidRDefault="00A86F37" w:rsidP="00A86F37">
            <w:pPr>
              <w:jc w:val="center"/>
              <w:rPr>
                <w:rFonts w:ascii="Garamond" w:hAnsi="Garamond"/>
                <w:sz w:val="12"/>
                <w:szCs w:val="12"/>
              </w:rPr>
            </w:pPr>
            <w:r w:rsidRPr="00821568">
              <w:rPr>
                <w:rFonts w:ascii="Garamond" w:hAnsi="Garamond"/>
                <w:sz w:val="12"/>
                <w:szCs w:val="12"/>
              </w:rPr>
              <w:t>0</w:t>
            </w:r>
          </w:p>
        </w:tc>
        <w:tc>
          <w:tcPr>
            <w:tcW w:w="883" w:type="dxa"/>
            <w:tcBorders>
              <w:top w:val="nil"/>
              <w:left w:val="nil"/>
              <w:bottom w:val="single" w:sz="4" w:space="0" w:color="auto"/>
              <w:right w:val="single" w:sz="4" w:space="0" w:color="auto"/>
            </w:tcBorders>
            <w:shd w:val="clear" w:color="auto" w:fill="auto"/>
            <w:vAlign w:val="center"/>
            <w:hideMark/>
          </w:tcPr>
          <w:p w14:paraId="090729FA" w14:textId="77777777" w:rsidR="00A86F37" w:rsidRPr="00821568" w:rsidRDefault="00A86F37" w:rsidP="00A86F37">
            <w:pPr>
              <w:jc w:val="center"/>
              <w:rPr>
                <w:rFonts w:ascii="Garamond" w:hAnsi="Garamond"/>
                <w:sz w:val="12"/>
                <w:szCs w:val="12"/>
              </w:rPr>
            </w:pPr>
            <w:r w:rsidRPr="00821568">
              <w:rPr>
                <w:rFonts w:ascii="Garamond" w:hAnsi="Garamond"/>
                <w:sz w:val="12"/>
                <w:szCs w:val="12"/>
              </w:rPr>
              <w:t>975,916</w:t>
            </w:r>
          </w:p>
        </w:tc>
        <w:tc>
          <w:tcPr>
            <w:tcW w:w="883" w:type="dxa"/>
            <w:tcBorders>
              <w:top w:val="nil"/>
              <w:left w:val="nil"/>
              <w:bottom w:val="single" w:sz="4" w:space="0" w:color="auto"/>
              <w:right w:val="single" w:sz="4" w:space="0" w:color="auto"/>
            </w:tcBorders>
            <w:shd w:val="clear" w:color="auto" w:fill="auto"/>
            <w:vAlign w:val="center"/>
            <w:hideMark/>
          </w:tcPr>
          <w:p w14:paraId="72E216F0" w14:textId="77777777" w:rsidR="00A86F37" w:rsidRPr="00821568" w:rsidRDefault="00A86F37" w:rsidP="00A86F37">
            <w:pPr>
              <w:jc w:val="center"/>
              <w:rPr>
                <w:rFonts w:ascii="Garamond" w:hAnsi="Garamond"/>
                <w:sz w:val="12"/>
                <w:szCs w:val="12"/>
              </w:rPr>
            </w:pPr>
            <w:r w:rsidRPr="00821568">
              <w:rPr>
                <w:rFonts w:ascii="Garamond" w:hAnsi="Garamond"/>
                <w:sz w:val="12"/>
                <w:szCs w:val="12"/>
              </w:rPr>
              <w:t>0</w:t>
            </w:r>
          </w:p>
        </w:tc>
        <w:tc>
          <w:tcPr>
            <w:tcW w:w="856" w:type="dxa"/>
            <w:tcBorders>
              <w:top w:val="nil"/>
              <w:left w:val="nil"/>
              <w:bottom w:val="single" w:sz="4" w:space="0" w:color="auto"/>
              <w:right w:val="single" w:sz="4" w:space="0" w:color="auto"/>
            </w:tcBorders>
            <w:shd w:val="clear" w:color="auto" w:fill="auto"/>
            <w:vAlign w:val="center"/>
            <w:hideMark/>
          </w:tcPr>
          <w:p w14:paraId="6696DB17" w14:textId="77777777" w:rsidR="00A86F37" w:rsidRPr="00821568" w:rsidRDefault="00A86F37" w:rsidP="00A86F37">
            <w:pPr>
              <w:jc w:val="center"/>
              <w:rPr>
                <w:rFonts w:ascii="Garamond" w:hAnsi="Garamond"/>
                <w:sz w:val="12"/>
                <w:szCs w:val="12"/>
              </w:rPr>
            </w:pPr>
            <w:r w:rsidRPr="00821568">
              <w:rPr>
                <w:rFonts w:ascii="Garamond" w:hAnsi="Garamond"/>
                <w:sz w:val="12"/>
                <w:szCs w:val="12"/>
              </w:rPr>
              <w:t>975,916</w:t>
            </w:r>
          </w:p>
        </w:tc>
        <w:tc>
          <w:tcPr>
            <w:tcW w:w="236" w:type="dxa"/>
            <w:vAlign w:val="center"/>
            <w:hideMark/>
          </w:tcPr>
          <w:p w14:paraId="445FDC65" w14:textId="77777777" w:rsidR="00A86F37" w:rsidRPr="00821568" w:rsidRDefault="00A86F37" w:rsidP="00723888">
            <w:pPr>
              <w:rPr>
                <w:rFonts w:ascii="Garamond" w:hAnsi="Garamond"/>
                <w:sz w:val="12"/>
                <w:szCs w:val="12"/>
              </w:rPr>
            </w:pPr>
          </w:p>
        </w:tc>
      </w:tr>
      <w:tr w:rsidR="00723888" w:rsidRPr="00821568" w14:paraId="6425A4B9" w14:textId="77777777" w:rsidTr="00A86F37">
        <w:trPr>
          <w:trHeight w:val="2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32A02F62" w14:textId="77777777" w:rsidR="00A86F37" w:rsidRPr="00821568" w:rsidRDefault="00A86F37" w:rsidP="00A86F37">
            <w:pPr>
              <w:jc w:val="center"/>
              <w:rPr>
                <w:rFonts w:ascii="Garamond" w:hAnsi="Garamond"/>
                <w:sz w:val="12"/>
                <w:szCs w:val="12"/>
              </w:rPr>
            </w:pPr>
            <w:r w:rsidRPr="00821568">
              <w:rPr>
                <w:rFonts w:ascii="Garamond" w:hAnsi="Garamond"/>
                <w:sz w:val="12"/>
                <w:szCs w:val="12"/>
              </w:rPr>
              <w:t>3.4</w:t>
            </w:r>
          </w:p>
        </w:tc>
        <w:tc>
          <w:tcPr>
            <w:tcW w:w="1229" w:type="dxa"/>
            <w:tcBorders>
              <w:top w:val="nil"/>
              <w:left w:val="nil"/>
              <w:bottom w:val="single" w:sz="4" w:space="0" w:color="auto"/>
              <w:right w:val="single" w:sz="4" w:space="0" w:color="auto"/>
            </w:tcBorders>
            <w:shd w:val="clear" w:color="auto" w:fill="auto"/>
            <w:vAlign w:val="center"/>
            <w:hideMark/>
          </w:tcPr>
          <w:p w14:paraId="464696D2" w14:textId="0988E17A" w:rsidR="00A86F37" w:rsidRPr="00821568" w:rsidRDefault="00A86F37" w:rsidP="00A86F37">
            <w:pPr>
              <w:jc w:val="center"/>
              <w:rPr>
                <w:rFonts w:ascii="Garamond" w:hAnsi="Garamond"/>
                <w:sz w:val="12"/>
                <w:szCs w:val="12"/>
              </w:rPr>
            </w:pPr>
            <w:r w:rsidRPr="00821568">
              <w:rPr>
                <w:rFonts w:ascii="Garamond" w:hAnsi="Garamond"/>
                <w:sz w:val="12"/>
                <w:szCs w:val="12"/>
              </w:rPr>
              <w:t xml:space="preserve">Objektivi </w:t>
            </w:r>
            <w:r w:rsidR="00821568" w:rsidRPr="00821568">
              <w:rPr>
                <w:rFonts w:ascii="Garamond" w:hAnsi="Garamond"/>
                <w:sz w:val="12"/>
                <w:szCs w:val="12"/>
              </w:rPr>
              <w:t>specifik (kompone</w:t>
            </w:r>
            <w:r w:rsidRPr="00821568">
              <w:rPr>
                <w:rFonts w:ascii="Garamond" w:hAnsi="Garamond"/>
                <w:sz w:val="12"/>
                <w:szCs w:val="12"/>
              </w:rPr>
              <w:t>nti) 3.4 Zhvillimi dhe zbatimi plotësisht i një korniz</w:t>
            </w:r>
            <w:r w:rsidR="00821568" w:rsidRPr="00821568">
              <w:rPr>
                <w:rFonts w:ascii="Garamond" w:hAnsi="Garamond"/>
                <w:sz w:val="12"/>
                <w:szCs w:val="12"/>
              </w:rPr>
              <w:t>e</w:t>
            </w:r>
            <w:r w:rsidRPr="00821568">
              <w:rPr>
                <w:rFonts w:ascii="Garamond" w:hAnsi="Garamond"/>
                <w:sz w:val="12"/>
                <w:szCs w:val="12"/>
              </w:rPr>
              <w:t xml:space="preserve"> integriteti për të ndihmuar në ndërtimin e besimit të komunitetit</w:t>
            </w:r>
          </w:p>
        </w:tc>
        <w:tc>
          <w:tcPr>
            <w:tcW w:w="1194" w:type="dxa"/>
            <w:tcBorders>
              <w:top w:val="nil"/>
              <w:left w:val="nil"/>
              <w:bottom w:val="single" w:sz="4" w:space="0" w:color="auto"/>
              <w:right w:val="single" w:sz="4" w:space="0" w:color="auto"/>
            </w:tcBorders>
            <w:shd w:val="clear" w:color="auto" w:fill="auto"/>
            <w:vAlign w:val="center"/>
            <w:hideMark/>
          </w:tcPr>
          <w:p w14:paraId="1D14D66D" w14:textId="77777777" w:rsidR="00A86F37" w:rsidRPr="00821568" w:rsidRDefault="00A86F37" w:rsidP="00A86F37">
            <w:pPr>
              <w:jc w:val="center"/>
              <w:rPr>
                <w:rFonts w:ascii="Garamond" w:hAnsi="Garamond"/>
                <w:sz w:val="12"/>
                <w:szCs w:val="12"/>
              </w:rPr>
            </w:pPr>
            <w:r w:rsidRPr="00821568">
              <w:rPr>
                <w:rFonts w:ascii="Garamond" w:hAnsi="Garamond"/>
                <w:sz w:val="12"/>
                <w:szCs w:val="12"/>
              </w:rPr>
              <w:t>DPD</w:t>
            </w:r>
          </w:p>
        </w:tc>
        <w:tc>
          <w:tcPr>
            <w:tcW w:w="2207" w:type="dxa"/>
            <w:tcBorders>
              <w:top w:val="nil"/>
              <w:left w:val="nil"/>
              <w:bottom w:val="single" w:sz="4" w:space="0" w:color="auto"/>
              <w:right w:val="single" w:sz="4" w:space="0" w:color="auto"/>
            </w:tcBorders>
            <w:shd w:val="clear" w:color="auto" w:fill="auto"/>
            <w:vAlign w:val="center"/>
            <w:hideMark/>
          </w:tcPr>
          <w:p w14:paraId="4372C8CC" w14:textId="62EC5FD6" w:rsidR="00A86F37" w:rsidRPr="00821568" w:rsidRDefault="00A86F37" w:rsidP="00A86F37">
            <w:pPr>
              <w:jc w:val="center"/>
              <w:rPr>
                <w:rFonts w:ascii="Garamond" w:hAnsi="Garamond"/>
                <w:sz w:val="12"/>
                <w:szCs w:val="12"/>
              </w:rPr>
            </w:pPr>
            <w:r w:rsidRPr="00821568">
              <w:rPr>
                <w:rFonts w:ascii="Garamond" w:hAnsi="Garamond"/>
                <w:sz w:val="12"/>
                <w:szCs w:val="12"/>
              </w:rPr>
              <w:t xml:space="preserve">Komisioni </w:t>
            </w:r>
            <w:r w:rsidR="00821568" w:rsidRPr="00821568">
              <w:rPr>
                <w:rFonts w:ascii="Garamond" w:hAnsi="Garamond"/>
                <w:sz w:val="12"/>
                <w:szCs w:val="12"/>
              </w:rPr>
              <w:t>Evropian</w:t>
            </w:r>
            <w:r w:rsidRPr="00821568">
              <w:rPr>
                <w:rFonts w:ascii="Garamond" w:hAnsi="Garamond"/>
                <w:sz w:val="12"/>
                <w:szCs w:val="12"/>
              </w:rPr>
              <w:t>, në bashkëpunim me Prokurori/Gjykata/Universitete dhe</w:t>
            </w:r>
            <w:r w:rsidR="00D22EA5" w:rsidRPr="00821568">
              <w:rPr>
                <w:rFonts w:ascii="Garamond" w:hAnsi="Garamond"/>
                <w:sz w:val="12"/>
                <w:szCs w:val="12"/>
              </w:rPr>
              <w:t xml:space="preserve"> </w:t>
            </w:r>
            <w:r w:rsidRPr="00821568">
              <w:rPr>
                <w:rFonts w:ascii="Garamond" w:hAnsi="Garamond"/>
                <w:sz w:val="12"/>
                <w:szCs w:val="12"/>
              </w:rPr>
              <w:t>ILDKP</w:t>
            </w:r>
            <w:r w:rsidR="00821568" w:rsidRPr="00821568">
              <w:rPr>
                <w:rFonts w:ascii="Garamond" w:hAnsi="Garamond"/>
                <w:sz w:val="12"/>
                <w:szCs w:val="12"/>
              </w:rPr>
              <w:t>-në</w:t>
            </w:r>
          </w:p>
        </w:tc>
        <w:tc>
          <w:tcPr>
            <w:tcW w:w="679" w:type="dxa"/>
            <w:tcBorders>
              <w:top w:val="nil"/>
              <w:left w:val="nil"/>
              <w:bottom w:val="single" w:sz="4" w:space="0" w:color="auto"/>
              <w:right w:val="single" w:sz="4" w:space="0" w:color="auto"/>
            </w:tcBorders>
            <w:shd w:val="clear" w:color="auto" w:fill="auto"/>
            <w:vAlign w:val="center"/>
            <w:hideMark/>
          </w:tcPr>
          <w:p w14:paraId="258E129A"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T1 2024</w:t>
            </w:r>
          </w:p>
        </w:tc>
        <w:tc>
          <w:tcPr>
            <w:tcW w:w="865" w:type="dxa"/>
            <w:tcBorders>
              <w:top w:val="nil"/>
              <w:left w:val="nil"/>
              <w:bottom w:val="single" w:sz="4" w:space="0" w:color="auto"/>
              <w:right w:val="single" w:sz="4" w:space="0" w:color="auto"/>
            </w:tcBorders>
            <w:shd w:val="clear" w:color="auto" w:fill="auto"/>
            <w:vAlign w:val="center"/>
            <w:hideMark/>
          </w:tcPr>
          <w:p w14:paraId="566C6547"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T4 2027</w:t>
            </w:r>
          </w:p>
        </w:tc>
        <w:tc>
          <w:tcPr>
            <w:tcW w:w="736" w:type="dxa"/>
            <w:tcBorders>
              <w:top w:val="nil"/>
              <w:left w:val="nil"/>
              <w:bottom w:val="single" w:sz="4" w:space="0" w:color="auto"/>
              <w:right w:val="single" w:sz="4" w:space="0" w:color="auto"/>
            </w:tcBorders>
            <w:shd w:val="clear" w:color="auto" w:fill="auto"/>
            <w:vAlign w:val="center"/>
            <w:hideMark/>
          </w:tcPr>
          <w:p w14:paraId="17762BA3" w14:textId="77777777" w:rsidR="00A86F37" w:rsidRPr="00821568" w:rsidRDefault="00A86F37" w:rsidP="00A86F37">
            <w:pPr>
              <w:jc w:val="center"/>
              <w:rPr>
                <w:rFonts w:ascii="Garamond" w:hAnsi="Garamond"/>
                <w:sz w:val="12"/>
                <w:szCs w:val="12"/>
              </w:rPr>
            </w:pPr>
            <w:r w:rsidRPr="00821568">
              <w:rPr>
                <w:rFonts w:ascii="Garamond" w:hAnsi="Garamond"/>
                <w:sz w:val="12"/>
                <w:szCs w:val="12"/>
              </w:rPr>
              <w:t>356,077</w:t>
            </w:r>
          </w:p>
        </w:tc>
        <w:tc>
          <w:tcPr>
            <w:tcW w:w="883" w:type="dxa"/>
            <w:tcBorders>
              <w:top w:val="nil"/>
              <w:left w:val="nil"/>
              <w:bottom w:val="single" w:sz="4" w:space="0" w:color="auto"/>
              <w:right w:val="single" w:sz="4" w:space="0" w:color="auto"/>
            </w:tcBorders>
            <w:shd w:val="clear" w:color="auto" w:fill="auto"/>
            <w:vAlign w:val="center"/>
            <w:hideMark/>
          </w:tcPr>
          <w:p w14:paraId="2B74D3B3" w14:textId="77777777" w:rsidR="00A86F37" w:rsidRPr="00821568" w:rsidRDefault="00A86F37" w:rsidP="00A86F37">
            <w:pPr>
              <w:jc w:val="center"/>
              <w:rPr>
                <w:rFonts w:ascii="Garamond" w:hAnsi="Garamond"/>
                <w:sz w:val="12"/>
                <w:szCs w:val="12"/>
              </w:rPr>
            </w:pPr>
            <w:r w:rsidRPr="00821568">
              <w:rPr>
                <w:rFonts w:ascii="Garamond" w:hAnsi="Garamond"/>
                <w:sz w:val="12"/>
                <w:szCs w:val="12"/>
              </w:rPr>
              <w:t>0</w:t>
            </w:r>
          </w:p>
        </w:tc>
        <w:tc>
          <w:tcPr>
            <w:tcW w:w="883" w:type="dxa"/>
            <w:tcBorders>
              <w:top w:val="nil"/>
              <w:left w:val="nil"/>
              <w:bottom w:val="single" w:sz="4" w:space="0" w:color="auto"/>
              <w:right w:val="single" w:sz="4" w:space="0" w:color="auto"/>
            </w:tcBorders>
            <w:shd w:val="clear" w:color="auto" w:fill="auto"/>
            <w:vAlign w:val="center"/>
            <w:hideMark/>
          </w:tcPr>
          <w:p w14:paraId="3BEA3871" w14:textId="77777777" w:rsidR="00A86F37" w:rsidRPr="00821568" w:rsidRDefault="00A86F37" w:rsidP="00A86F37">
            <w:pPr>
              <w:jc w:val="center"/>
              <w:rPr>
                <w:rFonts w:ascii="Garamond" w:hAnsi="Garamond"/>
                <w:sz w:val="12"/>
                <w:szCs w:val="12"/>
              </w:rPr>
            </w:pPr>
            <w:r w:rsidRPr="00821568">
              <w:rPr>
                <w:rFonts w:ascii="Garamond" w:hAnsi="Garamond"/>
                <w:sz w:val="12"/>
                <w:szCs w:val="12"/>
              </w:rPr>
              <w:t>0</w:t>
            </w:r>
          </w:p>
        </w:tc>
        <w:tc>
          <w:tcPr>
            <w:tcW w:w="856" w:type="dxa"/>
            <w:tcBorders>
              <w:top w:val="nil"/>
              <w:left w:val="nil"/>
              <w:bottom w:val="single" w:sz="4" w:space="0" w:color="auto"/>
              <w:right w:val="single" w:sz="4" w:space="0" w:color="auto"/>
            </w:tcBorders>
            <w:shd w:val="clear" w:color="auto" w:fill="auto"/>
            <w:vAlign w:val="center"/>
            <w:hideMark/>
          </w:tcPr>
          <w:p w14:paraId="23842CA8" w14:textId="77777777" w:rsidR="00A86F37" w:rsidRPr="00821568" w:rsidRDefault="00A86F37" w:rsidP="00A86F37">
            <w:pPr>
              <w:jc w:val="center"/>
              <w:rPr>
                <w:rFonts w:ascii="Garamond" w:hAnsi="Garamond"/>
                <w:sz w:val="12"/>
                <w:szCs w:val="12"/>
              </w:rPr>
            </w:pPr>
            <w:r w:rsidRPr="00821568">
              <w:rPr>
                <w:rFonts w:ascii="Garamond" w:hAnsi="Garamond"/>
                <w:sz w:val="12"/>
                <w:szCs w:val="12"/>
              </w:rPr>
              <w:t>306,456</w:t>
            </w:r>
          </w:p>
        </w:tc>
        <w:tc>
          <w:tcPr>
            <w:tcW w:w="236" w:type="dxa"/>
            <w:vAlign w:val="center"/>
            <w:hideMark/>
          </w:tcPr>
          <w:p w14:paraId="20B1E833" w14:textId="77777777" w:rsidR="00A86F37" w:rsidRPr="00821568" w:rsidRDefault="00A86F37" w:rsidP="00723888">
            <w:pPr>
              <w:rPr>
                <w:rFonts w:ascii="Garamond" w:hAnsi="Garamond"/>
                <w:sz w:val="12"/>
                <w:szCs w:val="12"/>
              </w:rPr>
            </w:pPr>
          </w:p>
        </w:tc>
      </w:tr>
      <w:tr w:rsidR="00723888" w:rsidRPr="00821568" w14:paraId="0D555B43" w14:textId="77777777" w:rsidTr="00A86F37">
        <w:trPr>
          <w:trHeight w:val="2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132D2FE4" w14:textId="77777777" w:rsidR="00A86F37" w:rsidRPr="00821568" w:rsidRDefault="00A86F37" w:rsidP="00A86F37">
            <w:pPr>
              <w:jc w:val="center"/>
              <w:rPr>
                <w:rFonts w:ascii="Garamond" w:hAnsi="Garamond"/>
                <w:sz w:val="12"/>
                <w:szCs w:val="12"/>
              </w:rPr>
            </w:pPr>
            <w:r w:rsidRPr="00821568">
              <w:rPr>
                <w:rFonts w:ascii="Garamond" w:hAnsi="Garamond"/>
                <w:sz w:val="12"/>
                <w:szCs w:val="12"/>
              </w:rPr>
              <w:t>3.5</w:t>
            </w:r>
          </w:p>
        </w:tc>
        <w:tc>
          <w:tcPr>
            <w:tcW w:w="1229" w:type="dxa"/>
            <w:tcBorders>
              <w:top w:val="nil"/>
              <w:left w:val="nil"/>
              <w:bottom w:val="single" w:sz="4" w:space="0" w:color="auto"/>
              <w:right w:val="single" w:sz="4" w:space="0" w:color="auto"/>
            </w:tcBorders>
            <w:shd w:val="clear" w:color="auto" w:fill="auto"/>
            <w:vAlign w:val="center"/>
            <w:hideMark/>
          </w:tcPr>
          <w:p w14:paraId="4792F9C5" w14:textId="633EC874" w:rsidR="00A86F37" w:rsidRPr="00821568" w:rsidRDefault="00A86F37" w:rsidP="00A86F37">
            <w:pPr>
              <w:jc w:val="center"/>
              <w:rPr>
                <w:rFonts w:ascii="Garamond" w:hAnsi="Garamond"/>
                <w:sz w:val="12"/>
                <w:szCs w:val="12"/>
              </w:rPr>
            </w:pPr>
            <w:r w:rsidRPr="00821568">
              <w:rPr>
                <w:rFonts w:ascii="Garamond" w:hAnsi="Garamond"/>
                <w:sz w:val="12"/>
                <w:szCs w:val="12"/>
              </w:rPr>
              <w:t xml:space="preserve">Objektivi </w:t>
            </w:r>
            <w:r w:rsidR="00821568" w:rsidRPr="00821568">
              <w:rPr>
                <w:rFonts w:ascii="Garamond" w:hAnsi="Garamond"/>
                <w:sz w:val="12"/>
                <w:szCs w:val="12"/>
              </w:rPr>
              <w:t>specifik (kompone</w:t>
            </w:r>
            <w:r w:rsidRPr="00821568">
              <w:rPr>
                <w:rFonts w:ascii="Garamond" w:hAnsi="Garamond"/>
                <w:sz w:val="12"/>
                <w:szCs w:val="12"/>
              </w:rPr>
              <w:t>nti) 3.5 Rritja e numrit të operatorëve ekonomikë të autorizuar</w:t>
            </w:r>
          </w:p>
        </w:tc>
        <w:tc>
          <w:tcPr>
            <w:tcW w:w="1194" w:type="dxa"/>
            <w:tcBorders>
              <w:top w:val="nil"/>
              <w:left w:val="nil"/>
              <w:bottom w:val="single" w:sz="4" w:space="0" w:color="auto"/>
              <w:right w:val="single" w:sz="4" w:space="0" w:color="auto"/>
            </w:tcBorders>
            <w:shd w:val="clear" w:color="auto" w:fill="auto"/>
            <w:vAlign w:val="center"/>
            <w:hideMark/>
          </w:tcPr>
          <w:p w14:paraId="6C84E064" w14:textId="77777777" w:rsidR="00A86F37" w:rsidRPr="00821568" w:rsidRDefault="00A86F37" w:rsidP="00A86F37">
            <w:pPr>
              <w:jc w:val="center"/>
              <w:rPr>
                <w:rFonts w:ascii="Garamond" w:hAnsi="Garamond"/>
                <w:sz w:val="12"/>
                <w:szCs w:val="12"/>
              </w:rPr>
            </w:pPr>
            <w:r w:rsidRPr="00821568">
              <w:rPr>
                <w:rFonts w:ascii="Garamond" w:hAnsi="Garamond"/>
                <w:sz w:val="12"/>
                <w:szCs w:val="12"/>
              </w:rPr>
              <w:t>DPD</w:t>
            </w:r>
          </w:p>
        </w:tc>
        <w:tc>
          <w:tcPr>
            <w:tcW w:w="2207" w:type="dxa"/>
            <w:tcBorders>
              <w:top w:val="nil"/>
              <w:left w:val="nil"/>
              <w:bottom w:val="single" w:sz="4" w:space="0" w:color="auto"/>
              <w:right w:val="single" w:sz="4" w:space="0" w:color="auto"/>
            </w:tcBorders>
            <w:shd w:val="clear" w:color="auto" w:fill="auto"/>
            <w:vAlign w:val="center"/>
            <w:hideMark/>
          </w:tcPr>
          <w:p w14:paraId="40A156C3" w14:textId="77777777" w:rsidR="00A86F37" w:rsidRPr="00821568" w:rsidRDefault="00A86F37" w:rsidP="00A86F37">
            <w:pPr>
              <w:jc w:val="center"/>
              <w:rPr>
                <w:rFonts w:ascii="Garamond" w:hAnsi="Garamond"/>
                <w:sz w:val="12"/>
                <w:szCs w:val="12"/>
              </w:rPr>
            </w:pPr>
            <w:r w:rsidRPr="00821568">
              <w:rPr>
                <w:rFonts w:ascii="Garamond" w:hAnsi="Garamond"/>
                <w:sz w:val="12"/>
                <w:szCs w:val="12"/>
              </w:rPr>
              <w:t>Doganat në BE / jo BE</w:t>
            </w:r>
          </w:p>
        </w:tc>
        <w:tc>
          <w:tcPr>
            <w:tcW w:w="679" w:type="dxa"/>
            <w:tcBorders>
              <w:top w:val="nil"/>
              <w:left w:val="nil"/>
              <w:bottom w:val="single" w:sz="4" w:space="0" w:color="auto"/>
              <w:right w:val="single" w:sz="4" w:space="0" w:color="auto"/>
            </w:tcBorders>
            <w:shd w:val="clear" w:color="auto" w:fill="auto"/>
            <w:vAlign w:val="center"/>
            <w:hideMark/>
          </w:tcPr>
          <w:p w14:paraId="088A4931"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T1 2024</w:t>
            </w:r>
          </w:p>
        </w:tc>
        <w:tc>
          <w:tcPr>
            <w:tcW w:w="865" w:type="dxa"/>
            <w:tcBorders>
              <w:top w:val="nil"/>
              <w:left w:val="nil"/>
              <w:bottom w:val="single" w:sz="4" w:space="0" w:color="auto"/>
              <w:right w:val="single" w:sz="4" w:space="0" w:color="auto"/>
            </w:tcBorders>
            <w:shd w:val="clear" w:color="auto" w:fill="auto"/>
            <w:vAlign w:val="center"/>
            <w:hideMark/>
          </w:tcPr>
          <w:p w14:paraId="3C2681D1"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T4 2027</w:t>
            </w:r>
          </w:p>
        </w:tc>
        <w:tc>
          <w:tcPr>
            <w:tcW w:w="736" w:type="dxa"/>
            <w:tcBorders>
              <w:top w:val="nil"/>
              <w:left w:val="nil"/>
              <w:bottom w:val="single" w:sz="4" w:space="0" w:color="auto"/>
              <w:right w:val="single" w:sz="4" w:space="0" w:color="auto"/>
            </w:tcBorders>
            <w:shd w:val="clear" w:color="auto" w:fill="auto"/>
            <w:vAlign w:val="center"/>
            <w:hideMark/>
          </w:tcPr>
          <w:p w14:paraId="2C4EFE6D" w14:textId="77777777" w:rsidR="00A86F37" w:rsidRPr="00821568" w:rsidRDefault="00A86F37" w:rsidP="00A86F37">
            <w:pPr>
              <w:jc w:val="center"/>
              <w:rPr>
                <w:rFonts w:ascii="Garamond" w:hAnsi="Garamond"/>
                <w:sz w:val="12"/>
                <w:szCs w:val="12"/>
              </w:rPr>
            </w:pPr>
            <w:r w:rsidRPr="00821568">
              <w:rPr>
                <w:rFonts w:ascii="Garamond" w:hAnsi="Garamond"/>
                <w:sz w:val="12"/>
                <w:szCs w:val="12"/>
              </w:rPr>
              <w:t>4,050</w:t>
            </w:r>
          </w:p>
        </w:tc>
        <w:tc>
          <w:tcPr>
            <w:tcW w:w="883" w:type="dxa"/>
            <w:tcBorders>
              <w:top w:val="nil"/>
              <w:left w:val="nil"/>
              <w:bottom w:val="single" w:sz="4" w:space="0" w:color="auto"/>
              <w:right w:val="single" w:sz="4" w:space="0" w:color="auto"/>
            </w:tcBorders>
            <w:shd w:val="clear" w:color="auto" w:fill="auto"/>
            <w:vAlign w:val="center"/>
            <w:hideMark/>
          </w:tcPr>
          <w:p w14:paraId="6D836AB8" w14:textId="77777777" w:rsidR="00A86F37" w:rsidRPr="00821568" w:rsidRDefault="00A86F37" w:rsidP="00A86F37">
            <w:pPr>
              <w:jc w:val="center"/>
              <w:rPr>
                <w:rFonts w:ascii="Garamond" w:hAnsi="Garamond"/>
                <w:sz w:val="12"/>
                <w:szCs w:val="12"/>
              </w:rPr>
            </w:pPr>
            <w:r w:rsidRPr="00821568">
              <w:rPr>
                <w:rFonts w:ascii="Garamond" w:hAnsi="Garamond"/>
                <w:sz w:val="12"/>
                <w:szCs w:val="12"/>
              </w:rPr>
              <w:t>0</w:t>
            </w:r>
          </w:p>
        </w:tc>
        <w:tc>
          <w:tcPr>
            <w:tcW w:w="883" w:type="dxa"/>
            <w:tcBorders>
              <w:top w:val="nil"/>
              <w:left w:val="nil"/>
              <w:bottom w:val="single" w:sz="4" w:space="0" w:color="auto"/>
              <w:right w:val="single" w:sz="4" w:space="0" w:color="auto"/>
            </w:tcBorders>
            <w:shd w:val="clear" w:color="auto" w:fill="auto"/>
            <w:vAlign w:val="center"/>
            <w:hideMark/>
          </w:tcPr>
          <w:p w14:paraId="65A20DDA" w14:textId="77777777" w:rsidR="00A86F37" w:rsidRPr="00821568" w:rsidRDefault="00A86F37" w:rsidP="00A86F37">
            <w:pPr>
              <w:jc w:val="center"/>
              <w:rPr>
                <w:rFonts w:ascii="Garamond" w:hAnsi="Garamond"/>
                <w:sz w:val="12"/>
                <w:szCs w:val="12"/>
              </w:rPr>
            </w:pPr>
            <w:r w:rsidRPr="00821568">
              <w:rPr>
                <w:rFonts w:ascii="Garamond" w:hAnsi="Garamond"/>
                <w:sz w:val="12"/>
                <w:szCs w:val="12"/>
              </w:rPr>
              <w:t>0</w:t>
            </w:r>
          </w:p>
        </w:tc>
        <w:tc>
          <w:tcPr>
            <w:tcW w:w="856" w:type="dxa"/>
            <w:tcBorders>
              <w:top w:val="nil"/>
              <w:left w:val="nil"/>
              <w:bottom w:val="single" w:sz="4" w:space="0" w:color="auto"/>
              <w:right w:val="single" w:sz="4" w:space="0" w:color="auto"/>
            </w:tcBorders>
            <w:shd w:val="clear" w:color="auto" w:fill="auto"/>
            <w:vAlign w:val="center"/>
            <w:hideMark/>
          </w:tcPr>
          <w:p w14:paraId="14FA4B86" w14:textId="77777777" w:rsidR="00A86F37" w:rsidRPr="00821568" w:rsidRDefault="00A86F37" w:rsidP="00A86F37">
            <w:pPr>
              <w:jc w:val="center"/>
              <w:rPr>
                <w:rFonts w:ascii="Garamond" w:hAnsi="Garamond"/>
                <w:sz w:val="12"/>
                <w:szCs w:val="12"/>
              </w:rPr>
            </w:pPr>
            <w:r w:rsidRPr="00821568">
              <w:rPr>
                <w:rFonts w:ascii="Garamond" w:hAnsi="Garamond"/>
                <w:sz w:val="12"/>
                <w:szCs w:val="12"/>
              </w:rPr>
              <w:t>4,050</w:t>
            </w:r>
          </w:p>
        </w:tc>
        <w:tc>
          <w:tcPr>
            <w:tcW w:w="236" w:type="dxa"/>
            <w:vAlign w:val="center"/>
            <w:hideMark/>
          </w:tcPr>
          <w:p w14:paraId="613019A9" w14:textId="77777777" w:rsidR="00A86F37" w:rsidRPr="00821568" w:rsidRDefault="00A86F37" w:rsidP="00723888">
            <w:pPr>
              <w:rPr>
                <w:rFonts w:ascii="Garamond" w:hAnsi="Garamond"/>
                <w:sz w:val="12"/>
                <w:szCs w:val="12"/>
              </w:rPr>
            </w:pPr>
          </w:p>
        </w:tc>
      </w:tr>
      <w:tr w:rsidR="00723888" w:rsidRPr="00821568" w14:paraId="713F0359" w14:textId="77777777" w:rsidTr="00A86F37">
        <w:trPr>
          <w:trHeight w:val="2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1E9ADE47" w14:textId="77777777" w:rsidR="00A86F37" w:rsidRPr="00821568" w:rsidRDefault="00A86F37" w:rsidP="00A86F37">
            <w:pPr>
              <w:jc w:val="center"/>
              <w:rPr>
                <w:rFonts w:ascii="Garamond" w:hAnsi="Garamond"/>
                <w:sz w:val="12"/>
                <w:szCs w:val="12"/>
              </w:rPr>
            </w:pPr>
            <w:r w:rsidRPr="00821568">
              <w:rPr>
                <w:rFonts w:ascii="Garamond" w:hAnsi="Garamond"/>
                <w:sz w:val="12"/>
                <w:szCs w:val="12"/>
              </w:rPr>
              <w:t>3.6</w:t>
            </w:r>
          </w:p>
        </w:tc>
        <w:tc>
          <w:tcPr>
            <w:tcW w:w="1229" w:type="dxa"/>
            <w:tcBorders>
              <w:top w:val="nil"/>
              <w:left w:val="nil"/>
              <w:bottom w:val="single" w:sz="4" w:space="0" w:color="auto"/>
              <w:right w:val="single" w:sz="4" w:space="0" w:color="auto"/>
            </w:tcBorders>
            <w:shd w:val="clear" w:color="auto" w:fill="auto"/>
            <w:vAlign w:val="center"/>
            <w:hideMark/>
          </w:tcPr>
          <w:p w14:paraId="364E0177" w14:textId="7A9D00C0" w:rsidR="00A86F37" w:rsidRPr="00821568" w:rsidRDefault="00A86F37" w:rsidP="00A86F37">
            <w:pPr>
              <w:jc w:val="center"/>
              <w:rPr>
                <w:rFonts w:ascii="Garamond" w:hAnsi="Garamond"/>
                <w:sz w:val="12"/>
                <w:szCs w:val="12"/>
              </w:rPr>
            </w:pPr>
            <w:r w:rsidRPr="00821568">
              <w:rPr>
                <w:rFonts w:ascii="Garamond" w:hAnsi="Garamond"/>
                <w:sz w:val="12"/>
                <w:szCs w:val="12"/>
              </w:rPr>
              <w:t xml:space="preserve">Objektivi </w:t>
            </w:r>
            <w:r w:rsidR="00821568" w:rsidRPr="00821568">
              <w:rPr>
                <w:rFonts w:ascii="Garamond" w:hAnsi="Garamond"/>
                <w:sz w:val="12"/>
                <w:szCs w:val="12"/>
              </w:rPr>
              <w:t>specifik (kompone</w:t>
            </w:r>
            <w:r w:rsidRPr="00821568">
              <w:rPr>
                <w:rFonts w:ascii="Garamond" w:hAnsi="Garamond"/>
                <w:sz w:val="12"/>
                <w:szCs w:val="12"/>
              </w:rPr>
              <w:t>nti) 3.6 Implementimi i Dritares së Vetme Kombëtare</w:t>
            </w:r>
            <w:r w:rsidR="00D22EA5" w:rsidRPr="00821568">
              <w:rPr>
                <w:rFonts w:ascii="Garamond" w:hAnsi="Garamond"/>
                <w:sz w:val="12"/>
                <w:szCs w:val="12"/>
              </w:rPr>
              <w:t xml:space="preserve"> </w:t>
            </w:r>
            <w:r w:rsidRPr="00821568">
              <w:rPr>
                <w:rFonts w:ascii="Garamond" w:hAnsi="Garamond"/>
                <w:sz w:val="12"/>
                <w:szCs w:val="12"/>
              </w:rPr>
              <w:t>(</w:t>
            </w:r>
            <w:r w:rsidRPr="00821568">
              <w:rPr>
                <w:rFonts w:ascii="Garamond" w:hAnsi="Garamond"/>
                <w:i/>
                <w:sz w:val="12"/>
                <w:szCs w:val="12"/>
              </w:rPr>
              <w:t>National Single Window</w:t>
            </w:r>
            <w:r w:rsidRPr="00821568">
              <w:rPr>
                <w:rFonts w:ascii="Garamond" w:hAnsi="Garamond"/>
                <w:sz w:val="12"/>
                <w:szCs w:val="12"/>
              </w:rPr>
              <w:t>)</w:t>
            </w:r>
          </w:p>
        </w:tc>
        <w:tc>
          <w:tcPr>
            <w:tcW w:w="1194" w:type="dxa"/>
            <w:tcBorders>
              <w:top w:val="nil"/>
              <w:left w:val="nil"/>
              <w:bottom w:val="single" w:sz="4" w:space="0" w:color="auto"/>
              <w:right w:val="single" w:sz="4" w:space="0" w:color="auto"/>
            </w:tcBorders>
            <w:shd w:val="clear" w:color="auto" w:fill="auto"/>
            <w:vAlign w:val="center"/>
            <w:hideMark/>
          </w:tcPr>
          <w:p w14:paraId="699B0A7E" w14:textId="77777777" w:rsidR="00A86F37" w:rsidRPr="00821568" w:rsidRDefault="00A86F37" w:rsidP="00A86F37">
            <w:pPr>
              <w:jc w:val="center"/>
              <w:rPr>
                <w:rFonts w:ascii="Garamond" w:hAnsi="Garamond"/>
                <w:sz w:val="12"/>
                <w:szCs w:val="12"/>
              </w:rPr>
            </w:pPr>
            <w:r w:rsidRPr="00821568">
              <w:rPr>
                <w:rFonts w:ascii="Garamond" w:hAnsi="Garamond"/>
                <w:sz w:val="12"/>
                <w:szCs w:val="12"/>
              </w:rPr>
              <w:t>DPD</w:t>
            </w:r>
          </w:p>
        </w:tc>
        <w:tc>
          <w:tcPr>
            <w:tcW w:w="2207" w:type="dxa"/>
            <w:tcBorders>
              <w:top w:val="nil"/>
              <w:left w:val="nil"/>
              <w:bottom w:val="single" w:sz="4" w:space="0" w:color="auto"/>
              <w:right w:val="single" w:sz="4" w:space="0" w:color="auto"/>
            </w:tcBorders>
            <w:shd w:val="clear" w:color="auto" w:fill="auto"/>
            <w:vAlign w:val="center"/>
            <w:hideMark/>
          </w:tcPr>
          <w:p w14:paraId="7BEE82EC" w14:textId="77777777" w:rsidR="00A86F37" w:rsidRPr="00821568" w:rsidRDefault="00A86F37" w:rsidP="00A86F37">
            <w:pPr>
              <w:jc w:val="center"/>
              <w:rPr>
                <w:rFonts w:ascii="Garamond" w:hAnsi="Garamond"/>
                <w:sz w:val="12"/>
                <w:szCs w:val="12"/>
              </w:rPr>
            </w:pPr>
            <w:r w:rsidRPr="00821568">
              <w:rPr>
                <w:rFonts w:ascii="Garamond" w:hAnsi="Garamond"/>
                <w:sz w:val="12"/>
                <w:szCs w:val="12"/>
              </w:rPr>
              <w:t>Banka Botërore</w:t>
            </w:r>
          </w:p>
        </w:tc>
        <w:tc>
          <w:tcPr>
            <w:tcW w:w="679" w:type="dxa"/>
            <w:tcBorders>
              <w:top w:val="nil"/>
              <w:left w:val="nil"/>
              <w:bottom w:val="single" w:sz="4" w:space="0" w:color="auto"/>
              <w:right w:val="single" w:sz="4" w:space="0" w:color="auto"/>
            </w:tcBorders>
            <w:shd w:val="clear" w:color="auto" w:fill="auto"/>
            <w:vAlign w:val="center"/>
            <w:hideMark/>
          </w:tcPr>
          <w:p w14:paraId="0821A14E"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T1 2024</w:t>
            </w:r>
          </w:p>
        </w:tc>
        <w:tc>
          <w:tcPr>
            <w:tcW w:w="865" w:type="dxa"/>
            <w:tcBorders>
              <w:top w:val="nil"/>
              <w:left w:val="nil"/>
              <w:bottom w:val="single" w:sz="4" w:space="0" w:color="auto"/>
              <w:right w:val="single" w:sz="4" w:space="0" w:color="auto"/>
            </w:tcBorders>
            <w:shd w:val="clear" w:color="auto" w:fill="auto"/>
            <w:vAlign w:val="center"/>
            <w:hideMark/>
          </w:tcPr>
          <w:p w14:paraId="0D35F3B2"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T4 2027</w:t>
            </w:r>
          </w:p>
        </w:tc>
        <w:tc>
          <w:tcPr>
            <w:tcW w:w="736" w:type="dxa"/>
            <w:tcBorders>
              <w:top w:val="nil"/>
              <w:left w:val="nil"/>
              <w:bottom w:val="single" w:sz="4" w:space="0" w:color="auto"/>
              <w:right w:val="single" w:sz="4" w:space="0" w:color="auto"/>
            </w:tcBorders>
            <w:shd w:val="clear" w:color="auto" w:fill="auto"/>
            <w:vAlign w:val="center"/>
            <w:hideMark/>
          </w:tcPr>
          <w:p w14:paraId="69D2BCA4" w14:textId="77777777" w:rsidR="00A86F37" w:rsidRPr="00821568" w:rsidRDefault="00A86F37" w:rsidP="00A86F37">
            <w:pPr>
              <w:jc w:val="center"/>
              <w:rPr>
                <w:rFonts w:ascii="Garamond" w:hAnsi="Garamond"/>
                <w:sz w:val="12"/>
                <w:szCs w:val="12"/>
              </w:rPr>
            </w:pPr>
            <w:r w:rsidRPr="00821568">
              <w:rPr>
                <w:rFonts w:ascii="Garamond" w:hAnsi="Garamond"/>
                <w:sz w:val="12"/>
                <w:szCs w:val="12"/>
              </w:rPr>
              <w:t>0</w:t>
            </w:r>
          </w:p>
        </w:tc>
        <w:tc>
          <w:tcPr>
            <w:tcW w:w="883" w:type="dxa"/>
            <w:tcBorders>
              <w:top w:val="nil"/>
              <w:left w:val="nil"/>
              <w:bottom w:val="single" w:sz="4" w:space="0" w:color="auto"/>
              <w:right w:val="single" w:sz="4" w:space="0" w:color="auto"/>
            </w:tcBorders>
            <w:shd w:val="clear" w:color="auto" w:fill="auto"/>
            <w:vAlign w:val="center"/>
            <w:hideMark/>
          </w:tcPr>
          <w:p w14:paraId="549BDCA2" w14:textId="77777777" w:rsidR="00A86F37" w:rsidRPr="00821568" w:rsidRDefault="00A86F37" w:rsidP="00A86F37">
            <w:pPr>
              <w:jc w:val="center"/>
              <w:rPr>
                <w:rFonts w:ascii="Garamond" w:hAnsi="Garamond"/>
                <w:sz w:val="12"/>
                <w:szCs w:val="12"/>
              </w:rPr>
            </w:pPr>
            <w:r w:rsidRPr="00821568">
              <w:rPr>
                <w:rFonts w:ascii="Garamond" w:hAnsi="Garamond"/>
                <w:sz w:val="12"/>
                <w:szCs w:val="12"/>
              </w:rPr>
              <w:t>5,086,235</w:t>
            </w:r>
          </w:p>
        </w:tc>
        <w:tc>
          <w:tcPr>
            <w:tcW w:w="883" w:type="dxa"/>
            <w:tcBorders>
              <w:top w:val="nil"/>
              <w:left w:val="nil"/>
              <w:bottom w:val="single" w:sz="4" w:space="0" w:color="auto"/>
              <w:right w:val="single" w:sz="4" w:space="0" w:color="auto"/>
            </w:tcBorders>
            <w:shd w:val="clear" w:color="auto" w:fill="auto"/>
            <w:vAlign w:val="center"/>
            <w:hideMark/>
          </w:tcPr>
          <w:p w14:paraId="7A6C12C2" w14:textId="77777777" w:rsidR="00A86F37" w:rsidRPr="00821568" w:rsidRDefault="00A86F37" w:rsidP="00A86F37">
            <w:pPr>
              <w:jc w:val="center"/>
              <w:rPr>
                <w:rFonts w:ascii="Garamond" w:hAnsi="Garamond"/>
                <w:sz w:val="12"/>
                <w:szCs w:val="12"/>
              </w:rPr>
            </w:pPr>
            <w:r w:rsidRPr="00821568">
              <w:rPr>
                <w:rFonts w:ascii="Garamond" w:hAnsi="Garamond"/>
                <w:sz w:val="12"/>
                <w:szCs w:val="12"/>
              </w:rPr>
              <w:t>0</w:t>
            </w:r>
          </w:p>
        </w:tc>
        <w:tc>
          <w:tcPr>
            <w:tcW w:w="856" w:type="dxa"/>
            <w:tcBorders>
              <w:top w:val="nil"/>
              <w:left w:val="nil"/>
              <w:bottom w:val="single" w:sz="4" w:space="0" w:color="auto"/>
              <w:right w:val="single" w:sz="4" w:space="0" w:color="auto"/>
            </w:tcBorders>
            <w:shd w:val="clear" w:color="auto" w:fill="auto"/>
            <w:vAlign w:val="center"/>
            <w:hideMark/>
          </w:tcPr>
          <w:p w14:paraId="1F188980" w14:textId="77777777" w:rsidR="00A86F37" w:rsidRPr="00821568" w:rsidRDefault="00A86F37" w:rsidP="00A86F37">
            <w:pPr>
              <w:jc w:val="center"/>
              <w:rPr>
                <w:rFonts w:ascii="Garamond" w:hAnsi="Garamond"/>
                <w:sz w:val="12"/>
                <w:szCs w:val="12"/>
              </w:rPr>
            </w:pPr>
            <w:r w:rsidRPr="00821568">
              <w:rPr>
                <w:rFonts w:ascii="Garamond" w:hAnsi="Garamond"/>
                <w:sz w:val="12"/>
                <w:szCs w:val="12"/>
              </w:rPr>
              <w:t>5,086,235</w:t>
            </w:r>
          </w:p>
        </w:tc>
        <w:tc>
          <w:tcPr>
            <w:tcW w:w="236" w:type="dxa"/>
            <w:vAlign w:val="center"/>
            <w:hideMark/>
          </w:tcPr>
          <w:p w14:paraId="0B5FB212" w14:textId="77777777" w:rsidR="00A86F37" w:rsidRPr="00821568" w:rsidRDefault="00A86F37" w:rsidP="00723888">
            <w:pPr>
              <w:rPr>
                <w:rFonts w:ascii="Garamond" w:hAnsi="Garamond"/>
                <w:sz w:val="12"/>
                <w:szCs w:val="12"/>
              </w:rPr>
            </w:pPr>
          </w:p>
        </w:tc>
      </w:tr>
      <w:tr w:rsidR="00723888" w:rsidRPr="00821568" w14:paraId="179508F5" w14:textId="77777777" w:rsidTr="00A86F37">
        <w:trPr>
          <w:trHeight w:val="2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197070FC" w14:textId="77777777" w:rsidR="00A86F37" w:rsidRPr="00821568" w:rsidRDefault="00A86F37" w:rsidP="00A86F37">
            <w:pPr>
              <w:jc w:val="center"/>
              <w:rPr>
                <w:rFonts w:ascii="Garamond" w:hAnsi="Garamond"/>
                <w:sz w:val="12"/>
                <w:szCs w:val="12"/>
              </w:rPr>
            </w:pPr>
            <w:r w:rsidRPr="00821568">
              <w:rPr>
                <w:rFonts w:ascii="Garamond" w:hAnsi="Garamond"/>
                <w:sz w:val="12"/>
                <w:szCs w:val="12"/>
              </w:rPr>
              <w:t>3.7</w:t>
            </w:r>
          </w:p>
        </w:tc>
        <w:tc>
          <w:tcPr>
            <w:tcW w:w="1229" w:type="dxa"/>
            <w:tcBorders>
              <w:top w:val="nil"/>
              <w:left w:val="nil"/>
              <w:bottom w:val="single" w:sz="4" w:space="0" w:color="auto"/>
              <w:right w:val="single" w:sz="4" w:space="0" w:color="auto"/>
            </w:tcBorders>
            <w:shd w:val="clear" w:color="auto" w:fill="auto"/>
            <w:vAlign w:val="center"/>
            <w:hideMark/>
          </w:tcPr>
          <w:p w14:paraId="09AB2C92" w14:textId="55E4BEE5" w:rsidR="00A86F37" w:rsidRPr="00821568" w:rsidRDefault="00A86F37" w:rsidP="00A86F37">
            <w:pPr>
              <w:jc w:val="center"/>
              <w:rPr>
                <w:rFonts w:ascii="Garamond" w:hAnsi="Garamond"/>
                <w:sz w:val="12"/>
                <w:szCs w:val="12"/>
              </w:rPr>
            </w:pPr>
            <w:r w:rsidRPr="00821568">
              <w:rPr>
                <w:rFonts w:ascii="Garamond" w:hAnsi="Garamond"/>
                <w:sz w:val="12"/>
                <w:szCs w:val="12"/>
              </w:rPr>
              <w:t xml:space="preserve">Objektivi </w:t>
            </w:r>
            <w:r w:rsidR="00821568" w:rsidRPr="00821568">
              <w:rPr>
                <w:rFonts w:ascii="Garamond" w:hAnsi="Garamond"/>
                <w:sz w:val="12"/>
                <w:szCs w:val="12"/>
              </w:rPr>
              <w:t>specifik (kompone</w:t>
            </w:r>
            <w:r w:rsidRPr="00821568">
              <w:rPr>
                <w:rFonts w:ascii="Garamond" w:hAnsi="Garamond"/>
                <w:sz w:val="12"/>
                <w:szCs w:val="12"/>
              </w:rPr>
              <w:t>nti) 3.7 Implementimi i</w:t>
            </w:r>
            <w:r w:rsidR="00D22EA5" w:rsidRPr="00821568">
              <w:rPr>
                <w:rFonts w:ascii="Garamond" w:hAnsi="Garamond"/>
                <w:sz w:val="12"/>
                <w:szCs w:val="12"/>
              </w:rPr>
              <w:t xml:space="preserve"> </w:t>
            </w:r>
            <w:r w:rsidRPr="00821568">
              <w:rPr>
                <w:rFonts w:ascii="Garamond" w:hAnsi="Garamond"/>
                <w:sz w:val="12"/>
                <w:szCs w:val="12"/>
              </w:rPr>
              <w:t>Sistemit të Ri të Kompjuterizuar të Transitit (NCTS)</w:t>
            </w:r>
          </w:p>
        </w:tc>
        <w:tc>
          <w:tcPr>
            <w:tcW w:w="1194" w:type="dxa"/>
            <w:tcBorders>
              <w:top w:val="nil"/>
              <w:left w:val="nil"/>
              <w:bottom w:val="single" w:sz="4" w:space="0" w:color="auto"/>
              <w:right w:val="single" w:sz="4" w:space="0" w:color="auto"/>
            </w:tcBorders>
            <w:shd w:val="clear" w:color="auto" w:fill="auto"/>
            <w:vAlign w:val="center"/>
            <w:hideMark/>
          </w:tcPr>
          <w:p w14:paraId="06D99949" w14:textId="77777777" w:rsidR="00A86F37" w:rsidRPr="00821568" w:rsidRDefault="00A86F37" w:rsidP="00A86F37">
            <w:pPr>
              <w:jc w:val="center"/>
              <w:rPr>
                <w:rFonts w:ascii="Garamond" w:hAnsi="Garamond"/>
                <w:sz w:val="12"/>
                <w:szCs w:val="12"/>
              </w:rPr>
            </w:pPr>
            <w:r w:rsidRPr="00821568">
              <w:rPr>
                <w:rFonts w:ascii="Garamond" w:hAnsi="Garamond"/>
                <w:sz w:val="12"/>
                <w:szCs w:val="12"/>
              </w:rPr>
              <w:t>DPD</w:t>
            </w:r>
          </w:p>
        </w:tc>
        <w:tc>
          <w:tcPr>
            <w:tcW w:w="2207" w:type="dxa"/>
            <w:tcBorders>
              <w:top w:val="nil"/>
              <w:left w:val="nil"/>
              <w:bottom w:val="single" w:sz="4" w:space="0" w:color="auto"/>
              <w:right w:val="single" w:sz="4" w:space="0" w:color="auto"/>
            </w:tcBorders>
            <w:shd w:val="clear" w:color="auto" w:fill="auto"/>
            <w:vAlign w:val="center"/>
            <w:hideMark/>
          </w:tcPr>
          <w:p w14:paraId="64DA3A7E" w14:textId="77777777" w:rsidR="00A86F37" w:rsidRPr="00821568" w:rsidRDefault="00A86F37" w:rsidP="00A86F37">
            <w:pPr>
              <w:jc w:val="center"/>
              <w:rPr>
                <w:rFonts w:ascii="Garamond" w:hAnsi="Garamond"/>
                <w:sz w:val="12"/>
                <w:szCs w:val="12"/>
              </w:rPr>
            </w:pPr>
            <w:r w:rsidRPr="00821568">
              <w:rPr>
                <w:rFonts w:ascii="Garamond" w:hAnsi="Garamond"/>
                <w:sz w:val="12"/>
                <w:szCs w:val="12"/>
              </w:rPr>
              <w:t>Banka Botërore</w:t>
            </w:r>
          </w:p>
        </w:tc>
        <w:tc>
          <w:tcPr>
            <w:tcW w:w="679" w:type="dxa"/>
            <w:tcBorders>
              <w:top w:val="nil"/>
              <w:left w:val="nil"/>
              <w:bottom w:val="single" w:sz="4" w:space="0" w:color="auto"/>
              <w:right w:val="single" w:sz="4" w:space="0" w:color="auto"/>
            </w:tcBorders>
            <w:shd w:val="clear" w:color="auto" w:fill="auto"/>
            <w:vAlign w:val="center"/>
            <w:hideMark/>
          </w:tcPr>
          <w:p w14:paraId="2302DDB9"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T1 2024</w:t>
            </w:r>
          </w:p>
        </w:tc>
        <w:tc>
          <w:tcPr>
            <w:tcW w:w="865" w:type="dxa"/>
            <w:tcBorders>
              <w:top w:val="nil"/>
              <w:left w:val="nil"/>
              <w:bottom w:val="single" w:sz="4" w:space="0" w:color="auto"/>
              <w:right w:val="single" w:sz="4" w:space="0" w:color="auto"/>
            </w:tcBorders>
            <w:shd w:val="clear" w:color="auto" w:fill="auto"/>
            <w:vAlign w:val="center"/>
            <w:hideMark/>
          </w:tcPr>
          <w:p w14:paraId="4000D5E7"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T4 2027</w:t>
            </w:r>
          </w:p>
        </w:tc>
        <w:tc>
          <w:tcPr>
            <w:tcW w:w="736" w:type="dxa"/>
            <w:tcBorders>
              <w:top w:val="nil"/>
              <w:left w:val="nil"/>
              <w:bottom w:val="single" w:sz="4" w:space="0" w:color="auto"/>
              <w:right w:val="single" w:sz="4" w:space="0" w:color="auto"/>
            </w:tcBorders>
            <w:shd w:val="clear" w:color="auto" w:fill="auto"/>
            <w:vAlign w:val="center"/>
            <w:hideMark/>
          </w:tcPr>
          <w:p w14:paraId="7B1AD4A2" w14:textId="77777777" w:rsidR="00A86F37" w:rsidRPr="00821568" w:rsidRDefault="00A86F37" w:rsidP="00A86F37">
            <w:pPr>
              <w:jc w:val="center"/>
              <w:rPr>
                <w:rFonts w:ascii="Garamond" w:hAnsi="Garamond"/>
                <w:sz w:val="12"/>
                <w:szCs w:val="12"/>
              </w:rPr>
            </w:pPr>
            <w:r w:rsidRPr="00821568">
              <w:rPr>
                <w:rFonts w:ascii="Garamond" w:hAnsi="Garamond"/>
                <w:sz w:val="12"/>
                <w:szCs w:val="12"/>
              </w:rPr>
              <w:t>0</w:t>
            </w:r>
          </w:p>
        </w:tc>
        <w:tc>
          <w:tcPr>
            <w:tcW w:w="883" w:type="dxa"/>
            <w:tcBorders>
              <w:top w:val="nil"/>
              <w:left w:val="nil"/>
              <w:bottom w:val="single" w:sz="4" w:space="0" w:color="auto"/>
              <w:right w:val="single" w:sz="4" w:space="0" w:color="auto"/>
            </w:tcBorders>
            <w:shd w:val="clear" w:color="auto" w:fill="auto"/>
            <w:vAlign w:val="center"/>
            <w:hideMark/>
          </w:tcPr>
          <w:p w14:paraId="4F5C4343" w14:textId="77777777" w:rsidR="00A86F37" w:rsidRPr="00821568" w:rsidRDefault="00A86F37" w:rsidP="00A86F37">
            <w:pPr>
              <w:jc w:val="center"/>
              <w:rPr>
                <w:rFonts w:ascii="Garamond" w:hAnsi="Garamond"/>
                <w:sz w:val="12"/>
                <w:szCs w:val="12"/>
              </w:rPr>
            </w:pPr>
            <w:r w:rsidRPr="00821568">
              <w:rPr>
                <w:rFonts w:ascii="Garamond" w:hAnsi="Garamond"/>
                <w:sz w:val="12"/>
                <w:szCs w:val="12"/>
              </w:rPr>
              <w:t>1,099,992</w:t>
            </w:r>
          </w:p>
        </w:tc>
        <w:tc>
          <w:tcPr>
            <w:tcW w:w="883" w:type="dxa"/>
            <w:tcBorders>
              <w:top w:val="nil"/>
              <w:left w:val="nil"/>
              <w:bottom w:val="single" w:sz="4" w:space="0" w:color="auto"/>
              <w:right w:val="single" w:sz="4" w:space="0" w:color="auto"/>
            </w:tcBorders>
            <w:shd w:val="clear" w:color="auto" w:fill="auto"/>
            <w:vAlign w:val="center"/>
            <w:hideMark/>
          </w:tcPr>
          <w:p w14:paraId="218D3749" w14:textId="77777777" w:rsidR="00A86F37" w:rsidRPr="00821568" w:rsidRDefault="00A86F37" w:rsidP="00A86F37">
            <w:pPr>
              <w:jc w:val="center"/>
              <w:rPr>
                <w:rFonts w:ascii="Garamond" w:hAnsi="Garamond"/>
                <w:sz w:val="12"/>
                <w:szCs w:val="12"/>
              </w:rPr>
            </w:pPr>
            <w:r w:rsidRPr="00821568">
              <w:rPr>
                <w:rFonts w:ascii="Garamond" w:hAnsi="Garamond"/>
                <w:sz w:val="12"/>
                <w:szCs w:val="12"/>
              </w:rPr>
              <w:t>0</w:t>
            </w:r>
          </w:p>
        </w:tc>
        <w:tc>
          <w:tcPr>
            <w:tcW w:w="856" w:type="dxa"/>
            <w:tcBorders>
              <w:top w:val="nil"/>
              <w:left w:val="nil"/>
              <w:bottom w:val="single" w:sz="4" w:space="0" w:color="auto"/>
              <w:right w:val="single" w:sz="4" w:space="0" w:color="auto"/>
            </w:tcBorders>
            <w:shd w:val="clear" w:color="auto" w:fill="auto"/>
            <w:vAlign w:val="center"/>
            <w:hideMark/>
          </w:tcPr>
          <w:p w14:paraId="418EAC1C" w14:textId="77777777" w:rsidR="00A86F37" w:rsidRPr="00821568" w:rsidRDefault="00A86F37" w:rsidP="00A86F37">
            <w:pPr>
              <w:jc w:val="center"/>
              <w:rPr>
                <w:rFonts w:ascii="Garamond" w:hAnsi="Garamond"/>
                <w:sz w:val="12"/>
                <w:szCs w:val="12"/>
              </w:rPr>
            </w:pPr>
            <w:r w:rsidRPr="00821568">
              <w:rPr>
                <w:rFonts w:ascii="Garamond" w:hAnsi="Garamond"/>
                <w:sz w:val="12"/>
                <w:szCs w:val="12"/>
              </w:rPr>
              <w:t>1,099,992</w:t>
            </w:r>
          </w:p>
        </w:tc>
        <w:tc>
          <w:tcPr>
            <w:tcW w:w="236" w:type="dxa"/>
            <w:vAlign w:val="center"/>
            <w:hideMark/>
          </w:tcPr>
          <w:p w14:paraId="196D77AE" w14:textId="77777777" w:rsidR="00A86F37" w:rsidRPr="00821568" w:rsidRDefault="00A86F37" w:rsidP="00723888">
            <w:pPr>
              <w:rPr>
                <w:rFonts w:ascii="Garamond" w:hAnsi="Garamond"/>
                <w:sz w:val="12"/>
                <w:szCs w:val="12"/>
              </w:rPr>
            </w:pPr>
          </w:p>
        </w:tc>
      </w:tr>
      <w:tr w:rsidR="00723888" w:rsidRPr="00821568" w14:paraId="4943421F" w14:textId="77777777" w:rsidTr="00A86F37">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14:paraId="4B856210" w14:textId="77777777" w:rsidR="00A86F37" w:rsidRPr="00821568" w:rsidRDefault="00A86F37" w:rsidP="00A86F37">
            <w:pPr>
              <w:jc w:val="center"/>
              <w:rPr>
                <w:rFonts w:ascii="Garamond" w:hAnsi="Garamond"/>
                <w:sz w:val="12"/>
                <w:szCs w:val="12"/>
              </w:rPr>
            </w:pPr>
            <w:r w:rsidRPr="00821568">
              <w:rPr>
                <w:rFonts w:ascii="Garamond" w:hAnsi="Garamond"/>
                <w:sz w:val="12"/>
                <w:szCs w:val="12"/>
              </w:rPr>
              <w:t>3.8</w:t>
            </w:r>
          </w:p>
        </w:tc>
        <w:tc>
          <w:tcPr>
            <w:tcW w:w="1229" w:type="dxa"/>
            <w:tcBorders>
              <w:top w:val="nil"/>
              <w:left w:val="nil"/>
              <w:bottom w:val="single" w:sz="4" w:space="0" w:color="auto"/>
              <w:right w:val="single" w:sz="4" w:space="0" w:color="auto"/>
            </w:tcBorders>
            <w:shd w:val="clear" w:color="auto" w:fill="auto"/>
            <w:vAlign w:val="center"/>
            <w:hideMark/>
          </w:tcPr>
          <w:p w14:paraId="570FEF74" w14:textId="0F26E96F" w:rsidR="00A86F37" w:rsidRPr="00821568" w:rsidRDefault="00A86F37" w:rsidP="00A86F37">
            <w:pPr>
              <w:jc w:val="center"/>
              <w:rPr>
                <w:rFonts w:ascii="Garamond" w:hAnsi="Garamond"/>
                <w:sz w:val="12"/>
                <w:szCs w:val="12"/>
              </w:rPr>
            </w:pPr>
            <w:r w:rsidRPr="00821568">
              <w:rPr>
                <w:rFonts w:ascii="Garamond" w:hAnsi="Garamond"/>
                <w:sz w:val="12"/>
                <w:szCs w:val="12"/>
              </w:rPr>
              <w:t xml:space="preserve">Objektivi </w:t>
            </w:r>
            <w:r w:rsidR="00821568" w:rsidRPr="00821568">
              <w:rPr>
                <w:rFonts w:ascii="Garamond" w:hAnsi="Garamond"/>
                <w:sz w:val="12"/>
                <w:szCs w:val="12"/>
              </w:rPr>
              <w:t>specifik (komponenti</w:t>
            </w:r>
            <w:r w:rsidRPr="00821568">
              <w:rPr>
                <w:rFonts w:ascii="Garamond" w:hAnsi="Garamond"/>
                <w:sz w:val="12"/>
                <w:szCs w:val="12"/>
              </w:rPr>
              <w:t>) 3.8. Rritja e bashkëpunimit në luftën kundër informalitetit, kontrabandës, korrupsionit dhe importit të mallrave të falsifikuara</w:t>
            </w:r>
          </w:p>
        </w:tc>
        <w:tc>
          <w:tcPr>
            <w:tcW w:w="1194" w:type="dxa"/>
            <w:tcBorders>
              <w:top w:val="nil"/>
              <w:left w:val="nil"/>
              <w:bottom w:val="single" w:sz="4" w:space="0" w:color="auto"/>
              <w:right w:val="single" w:sz="4" w:space="0" w:color="auto"/>
            </w:tcBorders>
            <w:shd w:val="clear" w:color="auto" w:fill="auto"/>
            <w:vAlign w:val="center"/>
            <w:hideMark/>
          </w:tcPr>
          <w:p w14:paraId="196227B5" w14:textId="77777777" w:rsidR="00A86F37" w:rsidRPr="00821568" w:rsidRDefault="00A86F37" w:rsidP="00A86F37">
            <w:pPr>
              <w:jc w:val="center"/>
              <w:rPr>
                <w:rFonts w:ascii="Garamond" w:hAnsi="Garamond"/>
                <w:sz w:val="12"/>
                <w:szCs w:val="12"/>
              </w:rPr>
            </w:pPr>
            <w:r w:rsidRPr="00821568">
              <w:rPr>
                <w:rFonts w:ascii="Garamond" w:hAnsi="Garamond"/>
                <w:sz w:val="12"/>
                <w:szCs w:val="12"/>
              </w:rPr>
              <w:t>DPD</w:t>
            </w:r>
          </w:p>
        </w:tc>
        <w:tc>
          <w:tcPr>
            <w:tcW w:w="2207" w:type="dxa"/>
            <w:tcBorders>
              <w:top w:val="nil"/>
              <w:left w:val="nil"/>
              <w:bottom w:val="single" w:sz="4" w:space="0" w:color="auto"/>
              <w:right w:val="single" w:sz="4" w:space="0" w:color="auto"/>
            </w:tcBorders>
            <w:shd w:val="clear" w:color="auto" w:fill="auto"/>
            <w:vAlign w:val="center"/>
            <w:hideMark/>
          </w:tcPr>
          <w:p w14:paraId="659A1A2D" w14:textId="77777777" w:rsidR="00A86F37" w:rsidRPr="00821568" w:rsidRDefault="00A86F37" w:rsidP="00A86F37">
            <w:pPr>
              <w:jc w:val="center"/>
              <w:rPr>
                <w:rFonts w:ascii="Garamond" w:hAnsi="Garamond"/>
                <w:sz w:val="12"/>
                <w:szCs w:val="12"/>
              </w:rPr>
            </w:pPr>
          </w:p>
        </w:tc>
        <w:tc>
          <w:tcPr>
            <w:tcW w:w="679" w:type="dxa"/>
            <w:tcBorders>
              <w:top w:val="nil"/>
              <w:left w:val="nil"/>
              <w:bottom w:val="single" w:sz="4" w:space="0" w:color="auto"/>
              <w:right w:val="single" w:sz="4" w:space="0" w:color="auto"/>
            </w:tcBorders>
            <w:shd w:val="clear" w:color="auto" w:fill="auto"/>
            <w:vAlign w:val="center"/>
            <w:hideMark/>
          </w:tcPr>
          <w:p w14:paraId="63EB1EDD"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T1 2024</w:t>
            </w:r>
          </w:p>
        </w:tc>
        <w:tc>
          <w:tcPr>
            <w:tcW w:w="865" w:type="dxa"/>
            <w:tcBorders>
              <w:top w:val="nil"/>
              <w:left w:val="nil"/>
              <w:bottom w:val="single" w:sz="4" w:space="0" w:color="auto"/>
              <w:right w:val="single" w:sz="4" w:space="0" w:color="auto"/>
            </w:tcBorders>
            <w:shd w:val="clear" w:color="auto" w:fill="auto"/>
            <w:vAlign w:val="center"/>
            <w:hideMark/>
          </w:tcPr>
          <w:p w14:paraId="4E0C016A"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T4 2027</w:t>
            </w:r>
          </w:p>
        </w:tc>
        <w:tc>
          <w:tcPr>
            <w:tcW w:w="736" w:type="dxa"/>
            <w:tcBorders>
              <w:top w:val="nil"/>
              <w:left w:val="nil"/>
              <w:bottom w:val="single" w:sz="4" w:space="0" w:color="auto"/>
              <w:right w:val="single" w:sz="4" w:space="0" w:color="auto"/>
            </w:tcBorders>
            <w:shd w:val="clear" w:color="auto" w:fill="auto"/>
            <w:vAlign w:val="center"/>
            <w:hideMark/>
          </w:tcPr>
          <w:p w14:paraId="3D9F2663" w14:textId="77777777" w:rsidR="00A86F37" w:rsidRPr="00821568" w:rsidRDefault="00A86F37" w:rsidP="00A86F37">
            <w:pPr>
              <w:jc w:val="center"/>
              <w:rPr>
                <w:rFonts w:ascii="Garamond" w:hAnsi="Garamond"/>
                <w:sz w:val="12"/>
                <w:szCs w:val="12"/>
              </w:rPr>
            </w:pPr>
            <w:r w:rsidRPr="00821568">
              <w:rPr>
                <w:rFonts w:ascii="Garamond" w:hAnsi="Garamond"/>
                <w:sz w:val="12"/>
                <w:szCs w:val="12"/>
              </w:rPr>
              <w:t>-</w:t>
            </w:r>
          </w:p>
        </w:tc>
        <w:tc>
          <w:tcPr>
            <w:tcW w:w="883" w:type="dxa"/>
            <w:tcBorders>
              <w:top w:val="nil"/>
              <w:left w:val="nil"/>
              <w:bottom w:val="single" w:sz="4" w:space="0" w:color="auto"/>
              <w:right w:val="single" w:sz="4" w:space="0" w:color="auto"/>
            </w:tcBorders>
            <w:shd w:val="clear" w:color="auto" w:fill="auto"/>
            <w:vAlign w:val="center"/>
            <w:hideMark/>
          </w:tcPr>
          <w:p w14:paraId="1D906681" w14:textId="77777777" w:rsidR="00A86F37" w:rsidRPr="00821568" w:rsidRDefault="00A86F37" w:rsidP="00A86F37">
            <w:pPr>
              <w:jc w:val="center"/>
              <w:rPr>
                <w:rFonts w:ascii="Garamond" w:hAnsi="Garamond"/>
                <w:sz w:val="12"/>
                <w:szCs w:val="12"/>
              </w:rPr>
            </w:pPr>
            <w:r w:rsidRPr="00821568">
              <w:rPr>
                <w:rFonts w:ascii="Garamond" w:hAnsi="Garamond"/>
                <w:sz w:val="12"/>
                <w:szCs w:val="12"/>
              </w:rPr>
              <w:t>-</w:t>
            </w:r>
          </w:p>
        </w:tc>
        <w:tc>
          <w:tcPr>
            <w:tcW w:w="883" w:type="dxa"/>
            <w:tcBorders>
              <w:top w:val="nil"/>
              <w:left w:val="nil"/>
              <w:bottom w:val="single" w:sz="4" w:space="0" w:color="auto"/>
              <w:right w:val="single" w:sz="4" w:space="0" w:color="auto"/>
            </w:tcBorders>
            <w:shd w:val="clear" w:color="auto" w:fill="auto"/>
            <w:vAlign w:val="center"/>
            <w:hideMark/>
          </w:tcPr>
          <w:p w14:paraId="47B921BA" w14:textId="77777777" w:rsidR="00A86F37" w:rsidRPr="00821568" w:rsidRDefault="00A86F37" w:rsidP="00A86F37">
            <w:pPr>
              <w:jc w:val="center"/>
              <w:rPr>
                <w:rFonts w:ascii="Garamond" w:hAnsi="Garamond"/>
                <w:sz w:val="12"/>
                <w:szCs w:val="12"/>
              </w:rPr>
            </w:pPr>
            <w:r w:rsidRPr="00821568">
              <w:rPr>
                <w:rFonts w:ascii="Garamond" w:hAnsi="Garamond"/>
                <w:sz w:val="12"/>
                <w:szCs w:val="12"/>
              </w:rPr>
              <w:t>-</w:t>
            </w:r>
          </w:p>
        </w:tc>
        <w:tc>
          <w:tcPr>
            <w:tcW w:w="856" w:type="dxa"/>
            <w:tcBorders>
              <w:top w:val="nil"/>
              <w:left w:val="nil"/>
              <w:bottom w:val="single" w:sz="4" w:space="0" w:color="auto"/>
              <w:right w:val="single" w:sz="4" w:space="0" w:color="auto"/>
            </w:tcBorders>
            <w:shd w:val="clear" w:color="auto" w:fill="auto"/>
            <w:vAlign w:val="center"/>
            <w:hideMark/>
          </w:tcPr>
          <w:p w14:paraId="244FC59F" w14:textId="77777777" w:rsidR="00A86F37" w:rsidRPr="00821568" w:rsidRDefault="00A86F37" w:rsidP="00A86F37">
            <w:pPr>
              <w:jc w:val="center"/>
              <w:rPr>
                <w:rFonts w:ascii="Garamond" w:hAnsi="Garamond"/>
                <w:sz w:val="12"/>
                <w:szCs w:val="12"/>
              </w:rPr>
            </w:pPr>
            <w:r w:rsidRPr="00821568">
              <w:rPr>
                <w:rFonts w:ascii="Garamond" w:hAnsi="Garamond"/>
                <w:sz w:val="12"/>
                <w:szCs w:val="12"/>
              </w:rPr>
              <w:t>-</w:t>
            </w:r>
          </w:p>
        </w:tc>
        <w:tc>
          <w:tcPr>
            <w:tcW w:w="236" w:type="dxa"/>
            <w:vAlign w:val="center"/>
            <w:hideMark/>
          </w:tcPr>
          <w:p w14:paraId="235D3191" w14:textId="77777777" w:rsidR="00A86F37" w:rsidRPr="00821568" w:rsidRDefault="00A86F37" w:rsidP="00723888">
            <w:pPr>
              <w:rPr>
                <w:rFonts w:ascii="Garamond" w:hAnsi="Garamond"/>
                <w:sz w:val="12"/>
                <w:szCs w:val="12"/>
              </w:rPr>
            </w:pPr>
          </w:p>
        </w:tc>
      </w:tr>
      <w:tr w:rsidR="00723888" w:rsidRPr="00821568" w14:paraId="66D9B2DB" w14:textId="77777777" w:rsidTr="00A86F37">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14:paraId="344C6CD0" w14:textId="77777777" w:rsidR="00A86F37" w:rsidRPr="00821568" w:rsidRDefault="00A86F37" w:rsidP="00A86F37">
            <w:pPr>
              <w:jc w:val="center"/>
              <w:rPr>
                <w:rFonts w:ascii="Garamond" w:hAnsi="Garamond"/>
                <w:sz w:val="12"/>
                <w:szCs w:val="12"/>
              </w:rPr>
            </w:pPr>
            <w:r w:rsidRPr="00821568">
              <w:rPr>
                <w:rFonts w:ascii="Garamond" w:hAnsi="Garamond"/>
                <w:sz w:val="12"/>
                <w:szCs w:val="12"/>
              </w:rPr>
              <w:t>3.9</w:t>
            </w:r>
          </w:p>
        </w:tc>
        <w:tc>
          <w:tcPr>
            <w:tcW w:w="1229" w:type="dxa"/>
            <w:tcBorders>
              <w:top w:val="nil"/>
              <w:left w:val="nil"/>
              <w:bottom w:val="single" w:sz="4" w:space="0" w:color="auto"/>
              <w:right w:val="single" w:sz="4" w:space="0" w:color="auto"/>
            </w:tcBorders>
            <w:shd w:val="clear" w:color="auto" w:fill="auto"/>
            <w:vAlign w:val="center"/>
            <w:hideMark/>
          </w:tcPr>
          <w:p w14:paraId="72F74153" w14:textId="47482D88" w:rsidR="00A86F37" w:rsidRPr="00821568" w:rsidRDefault="00A86F37" w:rsidP="00A86F37">
            <w:pPr>
              <w:jc w:val="center"/>
              <w:rPr>
                <w:rFonts w:ascii="Garamond" w:hAnsi="Garamond"/>
                <w:sz w:val="12"/>
                <w:szCs w:val="12"/>
              </w:rPr>
            </w:pPr>
            <w:r w:rsidRPr="00821568">
              <w:rPr>
                <w:rFonts w:ascii="Garamond" w:hAnsi="Garamond"/>
                <w:sz w:val="12"/>
                <w:szCs w:val="12"/>
              </w:rPr>
              <w:t xml:space="preserve">Objektivi </w:t>
            </w:r>
            <w:r w:rsidR="00821568" w:rsidRPr="00821568">
              <w:rPr>
                <w:rFonts w:ascii="Garamond" w:hAnsi="Garamond"/>
                <w:sz w:val="12"/>
                <w:szCs w:val="12"/>
              </w:rPr>
              <w:t>specifik (kompon</w:t>
            </w:r>
            <w:r w:rsidRPr="00821568">
              <w:rPr>
                <w:rFonts w:ascii="Garamond" w:hAnsi="Garamond"/>
                <w:sz w:val="12"/>
                <w:szCs w:val="12"/>
              </w:rPr>
              <w:t>enti) 3.9</w:t>
            </w:r>
            <w:r w:rsidR="00821568" w:rsidRPr="00821568">
              <w:rPr>
                <w:rFonts w:ascii="Garamond" w:hAnsi="Garamond"/>
                <w:sz w:val="12"/>
                <w:szCs w:val="12"/>
              </w:rPr>
              <w:t xml:space="preserve"> </w:t>
            </w:r>
            <w:r w:rsidRPr="00821568">
              <w:rPr>
                <w:rFonts w:ascii="Garamond" w:hAnsi="Garamond"/>
                <w:sz w:val="12"/>
                <w:szCs w:val="12"/>
              </w:rPr>
              <w:t>Zgjerimi i shkëmbimit të informacionit me partnerët vendas dhe ndërkombëtarë për të përmirësuar profilin e rrezikut</w:t>
            </w:r>
          </w:p>
        </w:tc>
        <w:tc>
          <w:tcPr>
            <w:tcW w:w="1194" w:type="dxa"/>
            <w:tcBorders>
              <w:top w:val="nil"/>
              <w:left w:val="nil"/>
              <w:bottom w:val="single" w:sz="4" w:space="0" w:color="auto"/>
              <w:right w:val="single" w:sz="4" w:space="0" w:color="auto"/>
            </w:tcBorders>
            <w:shd w:val="clear" w:color="auto" w:fill="auto"/>
            <w:vAlign w:val="center"/>
            <w:hideMark/>
          </w:tcPr>
          <w:p w14:paraId="1291FE39" w14:textId="77777777" w:rsidR="00A86F37" w:rsidRPr="00821568" w:rsidRDefault="00A86F37" w:rsidP="00A86F37">
            <w:pPr>
              <w:jc w:val="center"/>
              <w:rPr>
                <w:rFonts w:ascii="Garamond" w:hAnsi="Garamond"/>
                <w:sz w:val="12"/>
                <w:szCs w:val="12"/>
              </w:rPr>
            </w:pPr>
            <w:r w:rsidRPr="00821568">
              <w:rPr>
                <w:rFonts w:ascii="Garamond" w:hAnsi="Garamond"/>
                <w:sz w:val="12"/>
                <w:szCs w:val="12"/>
              </w:rPr>
              <w:t>DPD</w:t>
            </w:r>
          </w:p>
        </w:tc>
        <w:tc>
          <w:tcPr>
            <w:tcW w:w="2207" w:type="dxa"/>
            <w:tcBorders>
              <w:top w:val="nil"/>
              <w:left w:val="nil"/>
              <w:bottom w:val="single" w:sz="4" w:space="0" w:color="auto"/>
              <w:right w:val="single" w:sz="4" w:space="0" w:color="auto"/>
            </w:tcBorders>
            <w:shd w:val="clear" w:color="auto" w:fill="auto"/>
            <w:vAlign w:val="center"/>
            <w:hideMark/>
          </w:tcPr>
          <w:p w14:paraId="05D287EF" w14:textId="7B1D3937" w:rsidR="00A86F37" w:rsidRPr="00821568" w:rsidRDefault="00A86F37" w:rsidP="00A86F37">
            <w:pPr>
              <w:jc w:val="center"/>
              <w:rPr>
                <w:rFonts w:ascii="Garamond" w:hAnsi="Garamond"/>
                <w:sz w:val="12"/>
                <w:szCs w:val="12"/>
              </w:rPr>
            </w:pPr>
            <w:r w:rsidRPr="00821568">
              <w:rPr>
                <w:rFonts w:ascii="Garamond" w:hAnsi="Garamond"/>
                <w:sz w:val="12"/>
                <w:szCs w:val="12"/>
              </w:rPr>
              <w:t xml:space="preserve">Komisioni </w:t>
            </w:r>
            <w:r w:rsidR="00821568" w:rsidRPr="00821568">
              <w:rPr>
                <w:rFonts w:ascii="Garamond" w:hAnsi="Garamond"/>
                <w:sz w:val="12"/>
                <w:szCs w:val="12"/>
              </w:rPr>
              <w:t>Evropian</w:t>
            </w:r>
            <w:r w:rsidRPr="00821568">
              <w:rPr>
                <w:rFonts w:ascii="Garamond" w:hAnsi="Garamond"/>
                <w:sz w:val="12"/>
                <w:szCs w:val="12"/>
              </w:rPr>
              <w:t>, Doganat në BE/jo BE</w:t>
            </w:r>
          </w:p>
        </w:tc>
        <w:tc>
          <w:tcPr>
            <w:tcW w:w="679" w:type="dxa"/>
            <w:tcBorders>
              <w:top w:val="nil"/>
              <w:left w:val="nil"/>
              <w:bottom w:val="single" w:sz="4" w:space="0" w:color="auto"/>
              <w:right w:val="single" w:sz="4" w:space="0" w:color="auto"/>
            </w:tcBorders>
            <w:shd w:val="clear" w:color="auto" w:fill="auto"/>
            <w:vAlign w:val="center"/>
            <w:hideMark/>
          </w:tcPr>
          <w:p w14:paraId="78B58A47"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T1 2024</w:t>
            </w:r>
          </w:p>
        </w:tc>
        <w:tc>
          <w:tcPr>
            <w:tcW w:w="865" w:type="dxa"/>
            <w:tcBorders>
              <w:top w:val="nil"/>
              <w:left w:val="nil"/>
              <w:bottom w:val="single" w:sz="4" w:space="0" w:color="auto"/>
              <w:right w:val="single" w:sz="4" w:space="0" w:color="auto"/>
            </w:tcBorders>
            <w:shd w:val="clear" w:color="auto" w:fill="auto"/>
            <w:vAlign w:val="center"/>
            <w:hideMark/>
          </w:tcPr>
          <w:p w14:paraId="6786B74F" w14:textId="77777777" w:rsidR="00A86F37" w:rsidRPr="00821568" w:rsidRDefault="00A86F37" w:rsidP="00A86F37">
            <w:pPr>
              <w:jc w:val="center"/>
              <w:rPr>
                <w:rFonts w:ascii="Garamond" w:hAnsi="Garamond"/>
                <w:sz w:val="12"/>
                <w:szCs w:val="12"/>
              </w:rPr>
            </w:pPr>
            <w:r w:rsidRPr="00821568">
              <w:rPr>
                <w:rFonts w:ascii="Garamond" w:hAnsi="Garamond"/>
                <w:sz w:val="12"/>
                <w:szCs w:val="12"/>
              </w:rPr>
              <w:t>T4 2027</w:t>
            </w:r>
          </w:p>
        </w:tc>
        <w:tc>
          <w:tcPr>
            <w:tcW w:w="736" w:type="dxa"/>
            <w:tcBorders>
              <w:top w:val="nil"/>
              <w:left w:val="nil"/>
              <w:bottom w:val="single" w:sz="4" w:space="0" w:color="auto"/>
              <w:right w:val="single" w:sz="4" w:space="0" w:color="auto"/>
            </w:tcBorders>
            <w:shd w:val="clear" w:color="auto" w:fill="auto"/>
            <w:vAlign w:val="center"/>
            <w:hideMark/>
          </w:tcPr>
          <w:p w14:paraId="363332BB" w14:textId="77777777" w:rsidR="00A86F37" w:rsidRPr="00821568" w:rsidRDefault="00A86F37" w:rsidP="00A86F37">
            <w:pPr>
              <w:jc w:val="center"/>
              <w:rPr>
                <w:rFonts w:ascii="Garamond" w:hAnsi="Garamond"/>
                <w:sz w:val="12"/>
                <w:szCs w:val="12"/>
              </w:rPr>
            </w:pPr>
            <w:r w:rsidRPr="00821568">
              <w:rPr>
                <w:rFonts w:ascii="Garamond" w:hAnsi="Garamond"/>
                <w:sz w:val="12"/>
                <w:szCs w:val="12"/>
              </w:rPr>
              <w:t>-</w:t>
            </w:r>
          </w:p>
        </w:tc>
        <w:tc>
          <w:tcPr>
            <w:tcW w:w="883" w:type="dxa"/>
            <w:tcBorders>
              <w:top w:val="nil"/>
              <w:left w:val="nil"/>
              <w:bottom w:val="single" w:sz="4" w:space="0" w:color="auto"/>
              <w:right w:val="single" w:sz="4" w:space="0" w:color="auto"/>
            </w:tcBorders>
            <w:shd w:val="clear" w:color="auto" w:fill="auto"/>
            <w:vAlign w:val="center"/>
            <w:hideMark/>
          </w:tcPr>
          <w:p w14:paraId="652E1263" w14:textId="77777777" w:rsidR="00A86F37" w:rsidRPr="00821568" w:rsidRDefault="00A86F37" w:rsidP="00A86F37">
            <w:pPr>
              <w:jc w:val="center"/>
              <w:rPr>
                <w:rFonts w:ascii="Garamond" w:hAnsi="Garamond"/>
                <w:sz w:val="12"/>
                <w:szCs w:val="12"/>
              </w:rPr>
            </w:pPr>
            <w:r w:rsidRPr="00821568">
              <w:rPr>
                <w:rFonts w:ascii="Garamond" w:hAnsi="Garamond"/>
                <w:sz w:val="12"/>
                <w:szCs w:val="12"/>
              </w:rPr>
              <w:t>-</w:t>
            </w:r>
          </w:p>
        </w:tc>
        <w:tc>
          <w:tcPr>
            <w:tcW w:w="883" w:type="dxa"/>
            <w:tcBorders>
              <w:top w:val="nil"/>
              <w:left w:val="nil"/>
              <w:bottom w:val="single" w:sz="4" w:space="0" w:color="auto"/>
              <w:right w:val="single" w:sz="4" w:space="0" w:color="auto"/>
            </w:tcBorders>
            <w:shd w:val="clear" w:color="auto" w:fill="auto"/>
            <w:vAlign w:val="center"/>
            <w:hideMark/>
          </w:tcPr>
          <w:p w14:paraId="338453BB" w14:textId="77777777" w:rsidR="00A86F37" w:rsidRPr="00821568" w:rsidRDefault="00A86F37" w:rsidP="00A86F37">
            <w:pPr>
              <w:jc w:val="center"/>
              <w:rPr>
                <w:rFonts w:ascii="Garamond" w:hAnsi="Garamond"/>
                <w:sz w:val="12"/>
                <w:szCs w:val="12"/>
              </w:rPr>
            </w:pPr>
            <w:r w:rsidRPr="00821568">
              <w:rPr>
                <w:rFonts w:ascii="Garamond" w:hAnsi="Garamond"/>
                <w:sz w:val="12"/>
                <w:szCs w:val="12"/>
              </w:rPr>
              <w:t>-</w:t>
            </w:r>
          </w:p>
        </w:tc>
        <w:tc>
          <w:tcPr>
            <w:tcW w:w="856" w:type="dxa"/>
            <w:tcBorders>
              <w:top w:val="nil"/>
              <w:left w:val="nil"/>
              <w:bottom w:val="single" w:sz="4" w:space="0" w:color="auto"/>
              <w:right w:val="single" w:sz="4" w:space="0" w:color="auto"/>
            </w:tcBorders>
            <w:shd w:val="clear" w:color="auto" w:fill="auto"/>
            <w:vAlign w:val="center"/>
            <w:hideMark/>
          </w:tcPr>
          <w:p w14:paraId="768CF8C2" w14:textId="77777777" w:rsidR="00A86F37" w:rsidRPr="00821568" w:rsidRDefault="00A86F37" w:rsidP="00A86F37">
            <w:pPr>
              <w:jc w:val="center"/>
              <w:rPr>
                <w:rFonts w:ascii="Garamond" w:hAnsi="Garamond"/>
                <w:sz w:val="12"/>
                <w:szCs w:val="12"/>
              </w:rPr>
            </w:pPr>
            <w:r w:rsidRPr="00821568">
              <w:rPr>
                <w:rFonts w:ascii="Garamond" w:hAnsi="Garamond"/>
                <w:sz w:val="12"/>
                <w:szCs w:val="12"/>
              </w:rPr>
              <w:t>-</w:t>
            </w:r>
          </w:p>
        </w:tc>
        <w:tc>
          <w:tcPr>
            <w:tcW w:w="236" w:type="dxa"/>
            <w:vAlign w:val="center"/>
            <w:hideMark/>
          </w:tcPr>
          <w:p w14:paraId="193023CA" w14:textId="77777777" w:rsidR="00A86F37" w:rsidRPr="00821568" w:rsidRDefault="00A86F37" w:rsidP="00723888">
            <w:pPr>
              <w:rPr>
                <w:rFonts w:ascii="Garamond" w:hAnsi="Garamond"/>
                <w:sz w:val="12"/>
                <w:szCs w:val="12"/>
              </w:rPr>
            </w:pPr>
          </w:p>
        </w:tc>
      </w:tr>
      <w:tr w:rsidR="00723888" w:rsidRPr="00821568" w14:paraId="5F1CB0A8" w14:textId="77777777" w:rsidTr="00A86F37">
        <w:trPr>
          <w:trHeight w:val="20"/>
        </w:trPr>
        <w:tc>
          <w:tcPr>
            <w:tcW w:w="456" w:type="dxa"/>
            <w:tcBorders>
              <w:top w:val="nil"/>
              <w:left w:val="single" w:sz="4" w:space="0" w:color="auto"/>
              <w:bottom w:val="single" w:sz="4" w:space="0" w:color="auto"/>
              <w:right w:val="single" w:sz="4" w:space="0" w:color="auto"/>
            </w:tcBorders>
            <w:shd w:val="clear" w:color="auto" w:fill="auto"/>
            <w:vAlign w:val="center"/>
            <w:hideMark/>
          </w:tcPr>
          <w:p w14:paraId="48AF576C" w14:textId="77777777" w:rsidR="00A86F37" w:rsidRPr="00821568" w:rsidRDefault="00A86F37" w:rsidP="00A86F37">
            <w:pPr>
              <w:jc w:val="center"/>
              <w:rPr>
                <w:rFonts w:ascii="Garamond" w:hAnsi="Garamond"/>
                <w:sz w:val="12"/>
                <w:szCs w:val="12"/>
              </w:rPr>
            </w:pPr>
          </w:p>
        </w:tc>
        <w:tc>
          <w:tcPr>
            <w:tcW w:w="1229" w:type="dxa"/>
            <w:tcBorders>
              <w:top w:val="nil"/>
              <w:left w:val="nil"/>
              <w:bottom w:val="single" w:sz="4" w:space="0" w:color="auto"/>
              <w:right w:val="single" w:sz="4" w:space="0" w:color="auto"/>
            </w:tcBorders>
            <w:shd w:val="clear" w:color="auto" w:fill="auto"/>
            <w:vAlign w:val="center"/>
            <w:hideMark/>
          </w:tcPr>
          <w:p w14:paraId="09B9983D" w14:textId="4ECAE2E3" w:rsidR="00A86F37" w:rsidRPr="00821568" w:rsidRDefault="003C24AC" w:rsidP="00A86F37">
            <w:pPr>
              <w:jc w:val="center"/>
              <w:rPr>
                <w:rFonts w:ascii="Garamond" w:hAnsi="Garamond"/>
                <w:b/>
                <w:sz w:val="12"/>
                <w:szCs w:val="12"/>
              </w:rPr>
            </w:pPr>
            <w:r w:rsidRPr="00821568">
              <w:rPr>
                <w:rFonts w:ascii="Garamond" w:hAnsi="Garamond"/>
                <w:b/>
                <w:sz w:val="12"/>
                <w:szCs w:val="12"/>
              </w:rPr>
              <w:t xml:space="preserve">Kostoja indikative e qëllimit të politikës </w:t>
            </w:r>
            <w:r w:rsidR="00A86F37" w:rsidRPr="00821568">
              <w:rPr>
                <w:rFonts w:ascii="Garamond" w:hAnsi="Garamond"/>
                <w:b/>
                <w:sz w:val="12"/>
                <w:szCs w:val="12"/>
              </w:rPr>
              <w:t>(</w:t>
            </w:r>
            <w:r w:rsidRPr="00821568">
              <w:rPr>
                <w:rFonts w:ascii="Garamond" w:hAnsi="Garamond"/>
                <w:b/>
                <w:sz w:val="12"/>
                <w:szCs w:val="12"/>
              </w:rPr>
              <w:t>s</w:t>
            </w:r>
            <w:r w:rsidR="00A86F37" w:rsidRPr="00821568">
              <w:rPr>
                <w:rFonts w:ascii="Garamond" w:hAnsi="Garamond"/>
                <w:b/>
                <w:sz w:val="12"/>
                <w:szCs w:val="12"/>
              </w:rPr>
              <w:t>htylla) 3</w:t>
            </w:r>
          </w:p>
        </w:tc>
        <w:tc>
          <w:tcPr>
            <w:tcW w:w="1194" w:type="dxa"/>
            <w:tcBorders>
              <w:top w:val="nil"/>
              <w:left w:val="nil"/>
              <w:bottom w:val="single" w:sz="4" w:space="0" w:color="auto"/>
              <w:right w:val="single" w:sz="4" w:space="0" w:color="auto"/>
            </w:tcBorders>
            <w:shd w:val="clear" w:color="auto" w:fill="auto"/>
            <w:vAlign w:val="center"/>
            <w:hideMark/>
          </w:tcPr>
          <w:p w14:paraId="30121302" w14:textId="77777777" w:rsidR="00A86F37" w:rsidRPr="00821568" w:rsidRDefault="00A86F37" w:rsidP="00A86F37">
            <w:pPr>
              <w:jc w:val="center"/>
              <w:rPr>
                <w:rFonts w:ascii="Garamond" w:hAnsi="Garamond"/>
                <w:sz w:val="12"/>
                <w:szCs w:val="12"/>
              </w:rPr>
            </w:pPr>
          </w:p>
        </w:tc>
        <w:tc>
          <w:tcPr>
            <w:tcW w:w="2207" w:type="dxa"/>
            <w:tcBorders>
              <w:top w:val="nil"/>
              <w:left w:val="nil"/>
              <w:bottom w:val="single" w:sz="4" w:space="0" w:color="auto"/>
              <w:right w:val="single" w:sz="4" w:space="0" w:color="auto"/>
            </w:tcBorders>
            <w:shd w:val="clear" w:color="auto" w:fill="auto"/>
            <w:vAlign w:val="center"/>
            <w:hideMark/>
          </w:tcPr>
          <w:p w14:paraId="40700C11" w14:textId="77777777" w:rsidR="00A86F37" w:rsidRPr="00821568" w:rsidRDefault="00A86F37" w:rsidP="00A86F37">
            <w:pPr>
              <w:jc w:val="center"/>
              <w:rPr>
                <w:rFonts w:ascii="Garamond" w:hAnsi="Garamond"/>
                <w:sz w:val="12"/>
                <w:szCs w:val="12"/>
              </w:rPr>
            </w:pPr>
          </w:p>
        </w:tc>
        <w:tc>
          <w:tcPr>
            <w:tcW w:w="679" w:type="dxa"/>
            <w:tcBorders>
              <w:top w:val="nil"/>
              <w:left w:val="nil"/>
              <w:bottom w:val="single" w:sz="4" w:space="0" w:color="auto"/>
              <w:right w:val="single" w:sz="4" w:space="0" w:color="auto"/>
            </w:tcBorders>
            <w:shd w:val="clear" w:color="auto" w:fill="auto"/>
            <w:vAlign w:val="center"/>
            <w:hideMark/>
          </w:tcPr>
          <w:p w14:paraId="258BC7F0" w14:textId="77777777" w:rsidR="00A86F37" w:rsidRPr="00821568" w:rsidRDefault="00A86F37" w:rsidP="00A86F37">
            <w:pPr>
              <w:jc w:val="center"/>
              <w:rPr>
                <w:rFonts w:ascii="Garamond" w:hAnsi="Garamond"/>
                <w:sz w:val="12"/>
                <w:szCs w:val="12"/>
              </w:rPr>
            </w:pPr>
          </w:p>
        </w:tc>
        <w:tc>
          <w:tcPr>
            <w:tcW w:w="865" w:type="dxa"/>
            <w:tcBorders>
              <w:top w:val="nil"/>
              <w:left w:val="nil"/>
              <w:bottom w:val="single" w:sz="4" w:space="0" w:color="auto"/>
              <w:right w:val="single" w:sz="4" w:space="0" w:color="auto"/>
            </w:tcBorders>
            <w:shd w:val="clear" w:color="auto" w:fill="auto"/>
            <w:vAlign w:val="center"/>
            <w:hideMark/>
          </w:tcPr>
          <w:p w14:paraId="7E81FAE8" w14:textId="77777777" w:rsidR="00A86F37" w:rsidRPr="00821568" w:rsidRDefault="00A86F37" w:rsidP="00A86F37">
            <w:pPr>
              <w:jc w:val="center"/>
              <w:rPr>
                <w:rFonts w:ascii="Garamond" w:hAnsi="Garamond"/>
                <w:sz w:val="12"/>
                <w:szCs w:val="12"/>
              </w:rPr>
            </w:pPr>
          </w:p>
        </w:tc>
        <w:tc>
          <w:tcPr>
            <w:tcW w:w="736" w:type="dxa"/>
            <w:tcBorders>
              <w:top w:val="nil"/>
              <w:left w:val="nil"/>
              <w:bottom w:val="single" w:sz="4" w:space="0" w:color="auto"/>
              <w:right w:val="single" w:sz="4" w:space="0" w:color="auto"/>
            </w:tcBorders>
            <w:shd w:val="clear" w:color="auto" w:fill="auto"/>
            <w:vAlign w:val="center"/>
            <w:hideMark/>
          </w:tcPr>
          <w:p w14:paraId="5B838360" w14:textId="77777777" w:rsidR="00A86F37" w:rsidRPr="00821568" w:rsidRDefault="00A86F37" w:rsidP="00A86F37">
            <w:pPr>
              <w:jc w:val="center"/>
              <w:rPr>
                <w:rFonts w:ascii="Garamond" w:hAnsi="Garamond"/>
                <w:b/>
                <w:sz w:val="12"/>
                <w:szCs w:val="12"/>
              </w:rPr>
            </w:pPr>
            <w:r w:rsidRPr="00821568">
              <w:rPr>
                <w:rFonts w:ascii="Garamond" w:hAnsi="Garamond"/>
                <w:b/>
                <w:sz w:val="12"/>
                <w:szCs w:val="12"/>
              </w:rPr>
              <w:t>409,747</w:t>
            </w:r>
          </w:p>
        </w:tc>
        <w:tc>
          <w:tcPr>
            <w:tcW w:w="883" w:type="dxa"/>
            <w:tcBorders>
              <w:top w:val="nil"/>
              <w:left w:val="nil"/>
              <w:bottom w:val="single" w:sz="4" w:space="0" w:color="auto"/>
              <w:right w:val="single" w:sz="4" w:space="0" w:color="auto"/>
            </w:tcBorders>
            <w:shd w:val="clear" w:color="auto" w:fill="auto"/>
            <w:vAlign w:val="center"/>
            <w:hideMark/>
          </w:tcPr>
          <w:p w14:paraId="5F53E5B2" w14:textId="77777777" w:rsidR="00A86F37" w:rsidRPr="00821568" w:rsidRDefault="00A86F37" w:rsidP="00A86F37">
            <w:pPr>
              <w:jc w:val="center"/>
              <w:rPr>
                <w:rFonts w:ascii="Garamond" w:hAnsi="Garamond"/>
                <w:b/>
                <w:sz w:val="12"/>
                <w:szCs w:val="12"/>
              </w:rPr>
            </w:pPr>
            <w:r w:rsidRPr="00821568">
              <w:rPr>
                <w:rFonts w:ascii="Garamond" w:hAnsi="Garamond"/>
                <w:b/>
                <w:sz w:val="12"/>
                <w:szCs w:val="12"/>
              </w:rPr>
              <w:t>7,173,807</w:t>
            </w:r>
          </w:p>
        </w:tc>
        <w:tc>
          <w:tcPr>
            <w:tcW w:w="883" w:type="dxa"/>
            <w:tcBorders>
              <w:top w:val="nil"/>
              <w:left w:val="nil"/>
              <w:bottom w:val="single" w:sz="4" w:space="0" w:color="auto"/>
              <w:right w:val="single" w:sz="4" w:space="0" w:color="auto"/>
            </w:tcBorders>
            <w:shd w:val="clear" w:color="auto" w:fill="auto"/>
            <w:vAlign w:val="center"/>
            <w:hideMark/>
          </w:tcPr>
          <w:p w14:paraId="309FC61E" w14:textId="77777777" w:rsidR="00A86F37" w:rsidRPr="00821568" w:rsidRDefault="00A86F37" w:rsidP="00A86F37">
            <w:pPr>
              <w:jc w:val="center"/>
              <w:rPr>
                <w:rFonts w:ascii="Garamond" w:hAnsi="Garamond"/>
                <w:b/>
                <w:sz w:val="12"/>
                <w:szCs w:val="12"/>
              </w:rPr>
            </w:pPr>
            <w:r w:rsidRPr="00821568">
              <w:rPr>
                <w:rFonts w:ascii="Garamond" w:hAnsi="Garamond"/>
                <w:b/>
                <w:sz w:val="12"/>
                <w:szCs w:val="12"/>
              </w:rPr>
              <w:t>-</w:t>
            </w:r>
          </w:p>
        </w:tc>
        <w:tc>
          <w:tcPr>
            <w:tcW w:w="856" w:type="dxa"/>
            <w:tcBorders>
              <w:top w:val="nil"/>
              <w:left w:val="nil"/>
              <w:bottom w:val="single" w:sz="4" w:space="0" w:color="auto"/>
              <w:right w:val="single" w:sz="4" w:space="0" w:color="auto"/>
            </w:tcBorders>
            <w:shd w:val="clear" w:color="auto" w:fill="auto"/>
            <w:vAlign w:val="center"/>
            <w:hideMark/>
          </w:tcPr>
          <w:p w14:paraId="7C802850" w14:textId="77777777" w:rsidR="00A86F37" w:rsidRPr="00821568" w:rsidRDefault="00A86F37" w:rsidP="00A86F37">
            <w:pPr>
              <w:jc w:val="center"/>
              <w:rPr>
                <w:rFonts w:ascii="Garamond" w:hAnsi="Garamond"/>
                <w:b/>
                <w:sz w:val="12"/>
                <w:szCs w:val="12"/>
              </w:rPr>
            </w:pPr>
            <w:r w:rsidRPr="00821568">
              <w:rPr>
                <w:rFonts w:ascii="Garamond" w:hAnsi="Garamond"/>
                <w:b/>
                <w:sz w:val="12"/>
                <w:szCs w:val="12"/>
              </w:rPr>
              <w:t>7,533,934</w:t>
            </w:r>
          </w:p>
        </w:tc>
        <w:tc>
          <w:tcPr>
            <w:tcW w:w="236" w:type="dxa"/>
            <w:vAlign w:val="center"/>
            <w:hideMark/>
          </w:tcPr>
          <w:p w14:paraId="5B9786D6" w14:textId="77777777" w:rsidR="00A86F37" w:rsidRPr="00821568" w:rsidRDefault="00A86F37" w:rsidP="00723888">
            <w:pPr>
              <w:rPr>
                <w:rFonts w:ascii="Garamond" w:hAnsi="Garamond"/>
                <w:sz w:val="12"/>
                <w:szCs w:val="12"/>
              </w:rPr>
            </w:pPr>
          </w:p>
        </w:tc>
      </w:tr>
    </w:tbl>
    <w:p w14:paraId="6AB212F7" w14:textId="77777777" w:rsidR="00A86F37" w:rsidRPr="00830F4C" w:rsidRDefault="00A86F37" w:rsidP="00472A4B">
      <w:pPr>
        <w:jc w:val="both"/>
        <w:rPr>
          <w:rFonts w:ascii="Garamond" w:hAnsi="Garamond"/>
          <w:b/>
          <w:bCs/>
          <w:sz w:val="20"/>
          <w:szCs w:val="20"/>
        </w:rPr>
      </w:pPr>
    </w:p>
    <w:sectPr w:rsidR="00A86F37" w:rsidRPr="00830F4C">
      <w:headerReference w:type="default" r:id="rId32"/>
      <w:footerReference w:type="default" r:id="rI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1FE708" w14:textId="77777777" w:rsidR="00974EA6" w:rsidRDefault="00974EA6" w:rsidP="002861E2">
      <w:r>
        <w:separator/>
      </w:r>
    </w:p>
  </w:endnote>
  <w:endnote w:type="continuationSeparator" w:id="0">
    <w:p w14:paraId="5526E394" w14:textId="77777777" w:rsidR="00974EA6" w:rsidRDefault="00974EA6" w:rsidP="002861E2">
      <w:r>
        <w:continuationSeparator/>
      </w:r>
    </w:p>
  </w:endnote>
  <w:endnote w:type="continuationNotice" w:id="1">
    <w:p w14:paraId="1A2059CD" w14:textId="77777777" w:rsidR="00974EA6" w:rsidRDefault="00974E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Open Sans Light">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5C8E28" w14:textId="77777777" w:rsidR="00974EA6" w:rsidRDefault="00974E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58C18B" w14:textId="77777777" w:rsidR="00974EA6" w:rsidRDefault="00974EA6" w:rsidP="002861E2">
      <w:r>
        <w:separator/>
      </w:r>
    </w:p>
  </w:footnote>
  <w:footnote w:type="continuationSeparator" w:id="0">
    <w:p w14:paraId="7FD2655F" w14:textId="77777777" w:rsidR="00974EA6" w:rsidRDefault="00974EA6" w:rsidP="002861E2">
      <w:r>
        <w:continuationSeparator/>
      </w:r>
    </w:p>
  </w:footnote>
  <w:footnote w:type="continuationNotice" w:id="1">
    <w:p w14:paraId="07C9190F" w14:textId="77777777" w:rsidR="00974EA6" w:rsidRDefault="00974EA6"/>
  </w:footnote>
  <w:footnote w:id="2">
    <w:p w14:paraId="786F1D8E" w14:textId="77777777" w:rsidR="00974EA6" w:rsidRPr="00705138" w:rsidRDefault="00974EA6">
      <w:pPr>
        <w:pStyle w:val="FootnoteText"/>
        <w:rPr>
          <w:rFonts w:ascii="Garamond" w:hAnsi="Garamond"/>
          <w:sz w:val="16"/>
          <w:szCs w:val="16"/>
          <w:lang w:val="en-US"/>
        </w:rPr>
      </w:pPr>
      <w:r w:rsidRPr="00705138">
        <w:rPr>
          <w:rStyle w:val="FootnoteReference"/>
          <w:rFonts w:ascii="Garamond" w:hAnsi="Garamond"/>
          <w:sz w:val="16"/>
          <w:szCs w:val="16"/>
        </w:rPr>
        <w:footnoteRef/>
      </w:r>
      <w:r w:rsidRPr="00705138">
        <w:rPr>
          <w:rFonts w:ascii="Garamond" w:hAnsi="Garamond"/>
          <w:sz w:val="16"/>
          <w:szCs w:val="16"/>
        </w:rPr>
        <w:t xml:space="preserve"> </w:t>
      </w:r>
      <w:r w:rsidRPr="00705138">
        <w:rPr>
          <w:rFonts w:ascii="Garamond" w:hAnsi="Garamond" w:cs="Times New Roman"/>
          <w:sz w:val="16"/>
          <w:szCs w:val="16"/>
        </w:rPr>
        <w:t>Vlerësimet e të ardhurave tatimore (si % e PBB-së) bazohen në vlerat nominale të PBB-së para rishikimit të të dhënave të shtatorit 2024.</w:t>
      </w:r>
    </w:p>
  </w:footnote>
  <w:footnote w:id="3">
    <w:p w14:paraId="59CDDA74" w14:textId="77777777" w:rsidR="00974EA6" w:rsidRPr="00AF1255" w:rsidRDefault="00974EA6">
      <w:pPr>
        <w:pStyle w:val="FootnoteText"/>
        <w:rPr>
          <w:rFonts w:ascii="Garamond" w:hAnsi="Garamond"/>
          <w:sz w:val="16"/>
          <w:szCs w:val="16"/>
          <w:lang w:val="en-US"/>
        </w:rPr>
      </w:pPr>
      <w:r w:rsidRPr="00AF1255">
        <w:rPr>
          <w:rStyle w:val="FootnoteReference"/>
          <w:rFonts w:ascii="Garamond" w:hAnsi="Garamond"/>
          <w:sz w:val="16"/>
          <w:szCs w:val="16"/>
        </w:rPr>
        <w:footnoteRef/>
      </w:r>
      <w:r w:rsidRPr="00AF1255">
        <w:rPr>
          <w:rFonts w:ascii="Garamond" w:hAnsi="Garamond"/>
          <w:sz w:val="16"/>
          <w:szCs w:val="16"/>
        </w:rPr>
        <w:t xml:space="preserve"> </w:t>
      </w:r>
      <w:r w:rsidRPr="00AF1255">
        <w:rPr>
          <w:rFonts w:ascii="Garamond" w:hAnsi="Garamond" w:cs="Times New Roman"/>
          <w:sz w:val="16"/>
          <w:szCs w:val="16"/>
        </w:rPr>
        <w:t>arkiva.financa.gov.al/shpenzimet-tatimore-2.</w:t>
      </w:r>
    </w:p>
  </w:footnote>
  <w:footnote w:id="4">
    <w:p w14:paraId="4942765F" w14:textId="39C2E270" w:rsidR="00974EA6" w:rsidRPr="00AF1255" w:rsidRDefault="00974EA6">
      <w:pPr>
        <w:pStyle w:val="FootnoteText"/>
        <w:rPr>
          <w:rFonts w:ascii="Garamond" w:hAnsi="Garamond"/>
          <w:sz w:val="16"/>
          <w:szCs w:val="16"/>
          <w:lang w:val="en-US"/>
        </w:rPr>
      </w:pPr>
      <w:r w:rsidRPr="00AF1255">
        <w:rPr>
          <w:rStyle w:val="FootnoteReference"/>
          <w:rFonts w:ascii="Garamond" w:hAnsi="Garamond"/>
          <w:sz w:val="16"/>
          <w:szCs w:val="16"/>
        </w:rPr>
        <w:footnoteRef/>
      </w:r>
      <w:r w:rsidRPr="00AF1255">
        <w:rPr>
          <w:rFonts w:ascii="Garamond" w:hAnsi="Garamond"/>
          <w:sz w:val="16"/>
          <w:szCs w:val="16"/>
        </w:rPr>
        <w:t xml:space="preserve"> </w:t>
      </w:r>
      <w:r w:rsidRPr="00AF1255">
        <w:rPr>
          <w:rFonts w:ascii="Garamond" w:eastAsia="Times New Roman" w:hAnsi="Garamond" w:cs="Times New Roman"/>
          <w:sz w:val="16"/>
          <w:szCs w:val="16"/>
        </w:rPr>
        <w:t>Vlerat e PBB-së bazohen në Kuadrin Makroekonomik dhe Fiskal, 2025</w:t>
      </w:r>
      <w:r w:rsidRPr="00AF1255">
        <w:rPr>
          <w:rFonts w:ascii="Garamond" w:hAnsi="Garamond"/>
          <w:sz w:val="16"/>
          <w:szCs w:val="16"/>
        </w:rPr>
        <w:t>–</w:t>
      </w:r>
      <w:r w:rsidRPr="00AF1255">
        <w:rPr>
          <w:rFonts w:ascii="Garamond" w:eastAsia="Times New Roman" w:hAnsi="Garamond" w:cs="Times New Roman"/>
          <w:sz w:val="16"/>
          <w:szCs w:val="16"/>
        </w:rPr>
        <w:t>2027, të datës 19.6.2024 dhe nuk marrin parasysh rishikimin e të dhënave para shtatorit 2024.</w:t>
      </w:r>
    </w:p>
  </w:footnote>
  <w:footnote w:id="5">
    <w:p w14:paraId="15C3F960" w14:textId="61B530CE" w:rsidR="00974EA6" w:rsidRPr="00CC11D5" w:rsidRDefault="00974EA6" w:rsidP="009153DB">
      <w:pPr>
        <w:pStyle w:val="FootnoteText"/>
        <w:rPr>
          <w:rFonts w:ascii="Garamond" w:hAnsi="Garamond"/>
          <w:sz w:val="16"/>
          <w:szCs w:val="16"/>
          <w:lang w:val="en-US"/>
        </w:rPr>
      </w:pPr>
      <w:r w:rsidRPr="00CC11D5">
        <w:rPr>
          <w:rStyle w:val="FootnoteReference"/>
          <w:rFonts w:ascii="Garamond" w:hAnsi="Garamond"/>
          <w:sz w:val="16"/>
          <w:szCs w:val="16"/>
        </w:rPr>
        <w:footnoteRef/>
      </w:r>
      <w:r w:rsidRPr="00CC11D5">
        <w:rPr>
          <w:rFonts w:ascii="Garamond" w:hAnsi="Garamond"/>
          <w:sz w:val="16"/>
          <w:szCs w:val="16"/>
        </w:rPr>
        <w:t xml:space="preserve"> MF</w:t>
      </w:r>
      <w:r>
        <w:rPr>
          <w:rFonts w:ascii="Garamond" w:hAnsi="Garamond"/>
          <w:sz w:val="16"/>
          <w:szCs w:val="16"/>
        </w:rPr>
        <w:t>-ja</w:t>
      </w:r>
      <w:r w:rsidRPr="00CC11D5">
        <w:rPr>
          <w:rFonts w:ascii="Garamond" w:hAnsi="Garamond"/>
          <w:sz w:val="16"/>
          <w:szCs w:val="16"/>
        </w:rPr>
        <w:t>, SIDA dhe Agjencia Suedeze e Taksave kanë nënshkruar përkatësisht një marrëveshje kontributi dhe një projekt marrëveshje për vazhdimin e mbështetjes së reformës së taksës së pasurisë.</w:t>
      </w:r>
    </w:p>
  </w:footnote>
  <w:footnote w:id="6">
    <w:p w14:paraId="1A4289B4" w14:textId="11AABCE8" w:rsidR="00974EA6" w:rsidRPr="00CC11D5" w:rsidRDefault="00974EA6">
      <w:pPr>
        <w:pStyle w:val="FootnoteText"/>
        <w:rPr>
          <w:rFonts w:ascii="Garamond" w:hAnsi="Garamond"/>
          <w:sz w:val="16"/>
          <w:szCs w:val="16"/>
          <w:lang w:val="en-US"/>
        </w:rPr>
      </w:pPr>
      <w:r w:rsidRPr="00CC11D5">
        <w:rPr>
          <w:rStyle w:val="FootnoteReference"/>
          <w:rFonts w:ascii="Garamond" w:hAnsi="Garamond"/>
          <w:sz w:val="16"/>
          <w:szCs w:val="16"/>
        </w:rPr>
        <w:footnoteRef/>
      </w:r>
      <w:r w:rsidRPr="00CC11D5">
        <w:rPr>
          <w:rFonts w:ascii="Garamond" w:hAnsi="Garamond"/>
          <w:sz w:val="16"/>
          <w:szCs w:val="16"/>
        </w:rPr>
        <w:t xml:space="preserve"> </w:t>
      </w:r>
      <w:r w:rsidRPr="00CC11D5">
        <w:rPr>
          <w:rFonts w:ascii="Garamond" w:hAnsi="Garamond" w:cs="Times New Roman"/>
          <w:bCs/>
          <w:sz w:val="16"/>
          <w:szCs w:val="16"/>
        </w:rPr>
        <w:t>Studimi i Bankës Botërore : “</w:t>
      </w:r>
      <w:r w:rsidRPr="00CC11D5">
        <w:rPr>
          <w:rFonts w:ascii="Garamond" w:hAnsi="Garamond" w:cs="Times New Roman"/>
          <w:bCs/>
          <w:i/>
          <w:sz w:val="16"/>
          <w:szCs w:val="16"/>
        </w:rPr>
        <w:t>Albania E-Commerce Diagnostic: Leveraging the Digital Trade Opportunity</w:t>
      </w:r>
      <w:r w:rsidRPr="00CC11D5">
        <w:rPr>
          <w:rFonts w:ascii="Garamond" w:hAnsi="Garamond" w:cs="Times New Roman"/>
          <w:bCs/>
          <w:sz w:val="16"/>
          <w:szCs w:val="16"/>
        </w:rPr>
        <w:t>”.</w:t>
      </w:r>
    </w:p>
  </w:footnote>
  <w:footnote w:id="7">
    <w:p w14:paraId="05A99037" w14:textId="20D37AD1" w:rsidR="00974EA6" w:rsidRPr="00830F4C" w:rsidRDefault="00974EA6" w:rsidP="00830F4C">
      <w:pPr>
        <w:rPr>
          <w:rFonts w:ascii="Garamond" w:hAnsi="Garamond"/>
          <w:sz w:val="16"/>
          <w:szCs w:val="16"/>
        </w:rPr>
      </w:pPr>
      <w:r w:rsidRPr="00830F4C">
        <w:rPr>
          <w:rStyle w:val="FootnoteReference"/>
          <w:rFonts w:ascii="Garamond" w:hAnsi="Garamond"/>
          <w:sz w:val="16"/>
          <w:szCs w:val="16"/>
        </w:rPr>
        <w:t xml:space="preserve"> </w:t>
      </w:r>
      <w:r w:rsidRPr="00CC11D5">
        <w:rPr>
          <w:rFonts w:ascii="Garamond" w:hAnsi="Garamond"/>
          <w:sz w:val="16"/>
          <w:szCs w:val="16"/>
          <w:vertAlign w:val="superscript"/>
        </w:rPr>
        <w:t>6</w:t>
      </w:r>
      <w:r w:rsidRPr="00830F4C">
        <w:rPr>
          <w:rFonts w:ascii="Garamond" w:hAnsi="Garamond"/>
          <w:sz w:val="16"/>
          <w:szCs w:val="16"/>
        </w:rPr>
        <w:t xml:space="preserve"> Ky është një kusht sipas Planit të Rritjes</w:t>
      </w:r>
      <w:r>
        <w:rPr>
          <w:rFonts w:ascii="Garamond" w:hAnsi="Garamond"/>
          <w:sz w:val="16"/>
          <w:szCs w:val="16"/>
        </w:rPr>
        <w:t>.</w:t>
      </w:r>
    </w:p>
    <w:p w14:paraId="550E4EF1" w14:textId="33034DFC" w:rsidR="00974EA6" w:rsidRPr="00830F4C" w:rsidRDefault="00974EA6" w:rsidP="00830F4C">
      <w:pPr>
        <w:rPr>
          <w:rFonts w:ascii="Garamond" w:hAnsi="Garamond"/>
          <w:sz w:val="16"/>
          <w:szCs w:val="16"/>
        </w:rPr>
      </w:pPr>
      <w:r w:rsidRPr="00830F4C">
        <w:rPr>
          <w:rFonts w:ascii="Garamond" w:hAnsi="Garamond"/>
          <w:sz w:val="16"/>
          <w:szCs w:val="16"/>
        </w:rPr>
        <w:t xml:space="preserve"> </w:t>
      </w:r>
      <w:r w:rsidRPr="00CC11D5">
        <w:rPr>
          <w:rFonts w:ascii="Garamond" w:hAnsi="Garamond"/>
          <w:sz w:val="16"/>
          <w:szCs w:val="16"/>
          <w:vertAlign w:val="superscript"/>
        </w:rPr>
        <w:t>7</w:t>
      </w:r>
      <w:r w:rsidRPr="00830F4C">
        <w:rPr>
          <w:rFonts w:ascii="Garamond" w:hAnsi="Garamond"/>
          <w:sz w:val="16"/>
          <w:szCs w:val="16"/>
        </w:rPr>
        <w:t xml:space="preserve"> https:// www.bankofalbania.org/Botime/Botime_Periodike/Raporti_Vjetor/</w:t>
      </w:r>
    </w:p>
  </w:footnote>
  <w:footnote w:id="8">
    <w:p w14:paraId="20F75FE6" w14:textId="77777777" w:rsidR="00974EA6" w:rsidRPr="00CC11D5" w:rsidRDefault="00974EA6" w:rsidP="00990DEA">
      <w:pPr>
        <w:pStyle w:val="FootnoteText"/>
        <w:rPr>
          <w:rFonts w:ascii="Garamond" w:hAnsi="Garamond" w:cs="Times New Roman"/>
          <w:sz w:val="16"/>
          <w:szCs w:val="16"/>
        </w:rPr>
      </w:pPr>
      <w:r w:rsidRPr="00CC11D5">
        <w:rPr>
          <w:rStyle w:val="FootnoteReference"/>
          <w:rFonts w:ascii="Garamond" w:hAnsi="Garamond"/>
          <w:sz w:val="16"/>
          <w:szCs w:val="16"/>
        </w:rPr>
        <w:footnoteRef/>
      </w:r>
      <w:r w:rsidRPr="00CC11D5">
        <w:rPr>
          <w:rFonts w:ascii="Garamond" w:hAnsi="Garamond"/>
          <w:sz w:val="16"/>
          <w:szCs w:val="16"/>
        </w:rPr>
        <w:t xml:space="preserve"> </w:t>
      </w:r>
      <w:r w:rsidRPr="00CC11D5">
        <w:rPr>
          <w:rFonts w:ascii="Garamond" w:hAnsi="Garamond" w:cs="Times New Roman"/>
          <w:sz w:val="16"/>
          <w:szCs w:val="16"/>
        </w:rPr>
        <w:t>Ky është një kusht në Planin e Rritjes për të kryer 500 hetime ndaj tatimpaguesve, brenda 2027.</w:t>
      </w:r>
    </w:p>
  </w:footnote>
  <w:footnote w:id="9">
    <w:p w14:paraId="4D26C70E" w14:textId="2312ABD8" w:rsidR="00974EA6" w:rsidRPr="009D2B13" w:rsidRDefault="00974EA6" w:rsidP="00316D86">
      <w:pPr>
        <w:rPr>
          <w:rFonts w:ascii="Garamond" w:hAnsi="Garamond"/>
          <w:sz w:val="18"/>
          <w:szCs w:val="18"/>
        </w:rPr>
      </w:pPr>
      <w:r w:rsidRPr="009D2B13">
        <w:rPr>
          <w:rStyle w:val="FootnoteReference"/>
          <w:rFonts w:ascii="Garamond" w:hAnsi="Garamond"/>
          <w:sz w:val="18"/>
          <w:szCs w:val="18"/>
        </w:rPr>
        <w:footnoteRef/>
      </w:r>
      <w:r w:rsidRPr="009D2B13">
        <w:rPr>
          <w:rFonts w:ascii="Garamond" w:hAnsi="Garamond"/>
          <w:sz w:val="18"/>
          <w:szCs w:val="18"/>
        </w:rPr>
        <w:t xml:space="preserve"> Raporti i OECD: </w:t>
      </w:r>
      <w:r w:rsidRPr="00C0323B">
        <w:rPr>
          <w:rFonts w:ascii="Garamond" w:hAnsi="Garamond"/>
          <w:i/>
          <w:sz w:val="18"/>
          <w:szCs w:val="18"/>
        </w:rPr>
        <w:t>Competitiveness and Private Sector Development, Western Balkans Competitiveness Outlook 2024: Albania</w:t>
      </w:r>
      <w:r>
        <w:rPr>
          <w:rFonts w:ascii="Garamond" w:hAnsi="Garamond"/>
          <w:sz w:val="18"/>
          <w:szCs w:val="18"/>
        </w:rPr>
        <w:t>.</w:t>
      </w:r>
    </w:p>
    <w:p w14:paraId="63AF4F62" w14:textId="77777777" w:rsidR="00974EA6" w:rsidRPr="002566C2" w:rsidRDefault="00974EA6" w:rsidP="00316D86">
      <w:pPr>
        <w:pStyle w:val="FootnoteText"/>
        <w:rPr>
          <w:lang w:val="en-US"/>
        </w:rPr>
      </w:pPr>
    </w:p>
  </w:footnote>
  <w:footnote w:id="10">
    <w:p w14:paraId="578540A3" w14:textId="77777777" w:rsidR="00974EA6" w:rsidRPr="00FD2285" w:rsidRDefault="00974EA6" w:rsidP="00472A4B">
      <w:pPr>
        <w:pStyle w:val="FootnoteText"/>
        <w:spacing w:line="200" w:lineRule="exact"/>
        <w:ind w:left="284" w:hanging="284"/>
        <w:rPr>
          <w:rFonts w:ascii="Garamond" w:hAnsi="Garamond"/>
          <w:sz w:val="16"/>
          <w:szCs w:val="16"/>
          <w:lang w:val="en-US"/>
        </w:rPr>
      </w:pPr>
      <w:r w:rsidRPr="00723888">
        <w:rPr>
          <w:rStyle w:val="FootnoteReference"/>
          <w:rFonts w:ascii="Garamond" w:hAnsi="Garamond"/>
          <w:sz w:val="14"/>
        </w:rPr>
        <w:footnoteRef/>
      </w:r>
      <w:r w:rsidRPr="00723888">
        <w:rPr>
          <w:rFonts w:ascii="Garamond" w:hAnsi="Garamond"/>
          <w:sz w:val="14"/>
          <w:szCs w:val="14"/>
          <w:lang w:val="en-US"/>
        </w:rPr>
        <w:t xml:space="preserve"> </w:t>
      </w:r>
      <w:r w:rsidRPr="00723888">
        <w:rPr>
          <w:rFonts w:ascii="Garamond" w:hAnsi="Garamond"/>
          <w:sz w:val="14"/>
          <w:szCs w:val="14"/>
          <w:lang w:val="en-US"/>
        </w:rPr>
        <w:tab/>
      </w:r>
      <w:r w:rsidRPr="00FD2285">
        <w:rPr>
          <w:rFonts w:ascii="Garamond" w:hAnsi="Garamond"/>
          <w:sz w:val="16"/>
          <w:szCs w:val="16"/>
          <w:lang w:val="en-US"/>
        </w:rPr>
        <w:t xml:space="preserve">MF, SIDA dhe Swedish Tax Agency kanë nënshkruar përkatësisht një Marrëveshje Kontributi dhe një Projekt Marrëveshje për vazhdimin e mbështetjes së reformës së taksës së pasurisë.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B74CCE" w14:textId="77777777" w:rsidR="00974EA6" w:rsidRDefault="00974E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F2486"/>
    <w:multiLevelType w:val="hybridMultilevel"/>
    <w:tmpl w:val="B01A7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1D0DDC"/>
    <w:multiLevelType w:val="hybridMultilevel"/>
    <w:tmpl w:val="41F246CA"/>
    <w:lvl w:ilvl="0" w:tplc="9ED24542">
      <w:start w:val="7"/>
      <w:numFmt w:val="bullet"/>
      <w:lvlText w:val="-"/>
      <w:lvlJc w:val="left"/>
      <w:pPr>
        <w:ind w:left="644" w:hanging="360"/>
      </w:pPr>
      <w:rPr>
        <w:rFonts w:ascii="Garamond" w:eastAsiaTheme="minorHAnsi" w:hAnsi="Garamond" w:cs="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15:restartNumberingAfterBreak="0">
    <w:nsid w:val="14AA68E2"/>
    <w:multiLevelType w:val="multilevel"/>
    <w:tmpl w:val="C7DA7560"/>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98A67FB"/>
    <w:multiLevelType w:val="hybridMultilevel"/>
    <w:tmpl w:val="8CAAB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9A5060A"/>
    <w:multiLevelType w:val="hybridMultilevel"/>
    <w:tmpl w:val="DD327A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9BB5686"/>
    <w:multiLevelType w:val="hybridMultilevel"/>
    <w:tmpl w:val="397A7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6F5C99"/>
    <w:multiLevelType w:val="hybridMultilevel"/>
    <w:tmpl w:val="63AE73D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16D0C6B"/>
    <w:multiLevelType w:val="hybridMultilevel"/>
    <w:tmpl w:val="36C824D0"/>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3373010"/>
    <w:multiLevelType w:val="hybridMultilevel"/>
    <w:tmpl w:val="41560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4E3006"/>
    <w:multiLevelType w:val="hybridMultilevel"/>
    <w:tmpl w:val="14C65C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D4F731D"/>
    <w:multiLevelType w:val="hybridMultilevel"/>
    <w:tmpl w:val="F1D4DC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3F4463A"/>
    <w:multiLevelType w:val="hybridMultilevel"/>
    <w:tmpl w:val="CB12EA9E"/>
    <w:lvl w:ilvl="0" w:tplc="FFFFFFFF">
      <w:start w:val="1"/>
      <w:numFmt w:val="decimal"/>
      <w:lvlText w:val="%1."/>
      <w:lvlJc w:val="left"/>
      <w:pPr>
        <w:ind w:left="360" w:hanging="360"/>
      </w:pPr>
      <w:rPr>
        <w:rFonts w:hint="default"/>
        <w:b w:val="0"/>
        <w:i w:val="0"/>
        <w:color w:val="auto"/>
        <w:sz w:val="16"/>
        <w:szCs w:val="2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C1C506C"/>
    <w:multiLevelType w:val="hybridMultilevel"/>
    <w:tmpl w:val="EFF41E04"/>
    <w:lvl w:ilvl="0" w:tplc="B1408AD0">
      <w:start w:val="2"/>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3A06D7"/>
    <w:multiLevelType w:val="hybridMultilevel"/>
    <w:tmpl w:val="226E17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0E36110"/>
    <w:multiLevelType w:val="hybridMultilevel"/>
    <w:tmpl w:val="C98CAF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6B53798"/>
    <w:multiLevelType w:val="hybridMultilevel"/>
    <w:tmpl w:val="21C49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7776E9"/>
    <w:multiLevelType w:val="hybridMultilevel"/>
    <w:tmpl w:val="2ECE05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1681F53"/>
    <w:multiLevelType w:val="hybridMultilevel"/>
    <w:tmpl w:val="E752B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2E74C2"/>
    <w:multiLevelType w:val="hybridMultilevel"/>
    <w:tmpl w:val="2658719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28A6C89"/>
    <w:multiLevelType w:val="hybridMultilevel"/>
    <w:tmpl w:val="30940A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2E810F4"/>
    <w:multiLevelType w:val="hybridMultilevel"/>
    <w:tmpl w:val="3A38C8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18"/>
  </w:num>
  <w:num w:numId="3">
    <w:abstractNumId w:val="17"/>
  </w:num>
  <w:num w:numId="4">
    <w:abstractNumId w:val="15"/>
  </w:num>
  <w:num w:numId="5">
    <w:abstractNumId w:val="5"/>
  </w:num>
  <w:num w:numId="6">
    <w:abstractNumId w:val="11"/>
  </w:num>
  <w:num w:numId="7">
    <w:abstractNumId w:val="20"/>
  </w:num>
  <w:num w:numId="8">
    <w:abstractNumId w:val="4"/>
  </w:num>
  <w:num w:numId="9">
    <w:abstractNumId w:val="10"/>
  </w:num>
  <w:num w:numId="10">
    <w:abstractNumId w:val="3"/>
  </w:num>
  <w:num w:numId="11">
    <w:abstractNumId w:val="14"/>
  </w:num>
  <w:num w:numId="12">
    <w:abstractNumId w:val="6"/>
  </w:num>
  <w:num w:numId="13">
    <w:abstractNumId w:val="16"/>
  </w:num>
  <w:num w:numId="14">
    <w:abstractNumId w:val="8"/>
  </w:num>
  <w:num w:numId="15">
    <w:abstractNumId w:val="7"/>
  </w:num>
  <w:num w:numId="16">
    <w:abstractNumId w:val="19"/>
  </w:num>
  <w:num w:numId="17">
    <w:abstractNumId w:val="0"/>
  </w:num>
  <w:num w:numId="18">
    <w:abstractNumId w:val="13"/>
  </w:num>
  <w:num w:numId="19">
    <w:abstractNumId w:val="9"/>
  </w:num>
  <w:num w:numId="20">
    <w:abstractNumId w:val="1"/>
  </w:num>
  <w:num w:numId="2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2EA"/>
    <w:rsid w:val="00012366"/>
    <w:rsid w:val="00032A36"/>
    <w:rsid w:val="00044EDE"/>
    <w:rsid w:val="00097E66"/>
    <w:rsid w:val="000B6756"/>
    <w:rsid w:val="000E6B7C"/>
    <w:rsid w:val="000F0782"/>
    <w:rsid w:val="00104711"/>
    <w:rsid w:val="00112570"/>
    <w:rsid w:val="00120EA0"/>
    <w:rsid w:val="00130FA4"/>
    <w:rsid w:val="00152A61"/>
    <w:rsid w:val="001652B9"/>
    <w:rsid w:val="00181782"/>
    <w:rsid w:val="001875BF"/>
    <w:rsid w:val="001A43F6"/>
    <w:rsid w:val="001A567D"/>
    <w:rsid w:val="001A6BB7"/>
    <w:rsid w:val="001B0E93"/>
    <w:rsid w:val="001D399F"/>
    <w:rsid w:val="001E32AC"/>
    <w:rsid w:val="00213FD0"/>
    <w:rsid w:val="00216777"/>
    <w:rsid w:val="00234A99"/>
    <w:rsid w:val="00236281"/>
    <w:rsid w:val="00263F70"/>
    <w:rsid w:val="002845E2"/>
    <w:rsid w:val="002861E2"/>
    <w:rsid w:val="002B2B48"/>
    <w:rsid w:val="002C3D59"/>
    <w:rsid w:val="002E279C"/>
    <w:rsid w:val="00300110"/>
    <w:rsid w:val="00316D86"/>
    <w:rsid w:val="00377F8B"/>
    <w:rsid w:val="00382642"/>
    <w:rsid w:val="003858EE"/>
    <w:rsid w:val="003945C7"/>
    <w:rsid w:val="003A442A"/>
    <w:rsid w:val="003B341B"/>
    <w:rsid w:val="003B7D51"/>
    <w:rsid w:val="003C24AC"/>
    <w:rsid w:val="003C3138"/>
    <w:rsid w:val="003C36D3"/>
    <w:rsid w:val="003C72BE"/>
    <w:rsid w:val="0040432B"/>
    <w:rsid w:val="004121A3"/>
    <w:rsid w:val="00425DDE"/>
    <w:rsid w:val="004347E4"/>
    <w:rsid w:val="00444267"/>
    <w:rsid w:val="00445927"/>
    <w:rsid w:val="0047162F"/>
    <w:rsid w:val="00472A4B"/>
    <w:rsid w:val="004758F0"/>
    <w:rsid w:val="004857C4"/>
    <w:rsid w:val="0049599F"/>
    <w:rsid w:val="004C5021"/>
    <w:rsid w:val="00505959"/>
    <w:rsid w:val="0051144E"/>
    <w:rsid w:val="0052377F"/>
    <w:rsid w:val="005309EE"/>
    <w:rsid w:val="005372EA"/>
    <w:rsid w:val="00542C57"/>
    <w:rsid w:val="0055471B"/>
    <w:rsid w:val="00565EC8"/>
    <w:rsid w:val="00573479"/>
    <w:rsid w:val="005803BD"/>
    <w:rsid w:val="0058355F"/>
    <w:rsid w:val="005C0033"/>
    <w:rsid w:val="005C444C"/>
    <w:rsid w:val="005C7FB7"/>
    <w:rsid w:val="005D2226"/>
    <w:rsid w:val="005D7593"/>
    <w:rsid w:val="005F063F"/>
    <w:rsid w:val="005F4EDC"/>
    <w:rsid w:val="005F54A6"/>
    <w:rsid w:val="005F6005"/>
    <w:rsid w:val="00602047"/>
    <w:rsid w:val="00602E0D"/>
    <w:rsid w:val="00623719"/>
    <w:rsid w:val="00646D6F"/>
    <w:rsid w:val="00683C3D"/>
    <w:rsid w:val="006A23E9"/>
    <w:rsid w:val="006B61C6"/>
    <w:rsid w:val="00705138"/>
    <w:rsid w:val="007228E3"/>
    <w:rsid w:val="00723888"/>
    <w:rsid w:val="00725293"/>
    <w:rsid w:val="00731D33"/>
    <w:rsid w:val="007508DD"/>
    <w:rsid w:val="00780D7C"/>
    <w:rsid w:val="0078494A"/>
    <w:rsid w:val="007D39B1"/>
    <w:rsid w:val="00800B00"/>
    <w:rsid w:val="00821568"/>
    <w:rsid w:val="00830F4C"/>
    <w:rsid w:val="00854A2A"/>
    <w:rsid w:val="008652F1"/>
    <w:rsid w:val="0088379B"/>
    <w:rsid w:val="008B360B"/>
    <w:rsid w:val="008C0C0F"/>
    <w:rsid w:val="008E0BCF"/>
    <w:rsid w:val="008E5F84"/>
    <w:rsid w:val="009153DB"/>
    <w:rsid w:val="00917723"/>
    <w:rsid w:val="00936C84"/>
    <w:rsid w:val="00936CBD"/>
    <w:rsid w:val="00944908"/>
    <w:rsid w:val="00961E5A"/>
    <w:rsid w:val="009622EB"/>
    <w:rsid w:val="00974EA6"/>
    <w:rsid w:val="00975F96"/>
    <w:rsid w:val="00990DEA"/>
    <w:rsid w:val="009D2B13"/>
    <w:rsid w:val="00A04B0A"/>
    <w:rsid w:val="00A468BF"/>
    <w:rsid w:val="00A53717"/>
    <w:rsid w:val="00A53A79"/>
    <w:rsid w:val="00A72159"/>
    <w:rsid w:val="00A86F37"/>
    <w:rsid w:val="00A93DEC"/>
    <w:rsid w:val="00AE4A14"/>
    <w:rsid w:val="00AF0F93"/>
    <w:rsid w:val="00AF1255"/>
    <w:rsid w:val="00B14D40"/>
    <w:rsid w:val="00B160C4"/>
    <w:rsid w:val="00B23EFE"/>
    <w:rsid w:val="00B4081C"/>
    <w:rsid w:val="00B45460"/>
    <w:rsid w:val="00B51949"/>
    <w:rsid w:val="00B717A0"/>
    <w:rsid w:val="00BA125E"/>
    <w:rsid w:val="00C0323B"/>
    <w:rsid w:val="00C213F4"/>
    <w:rsid w:val="00C256A5"/>
    <w:rsid w:val="00C2668E"/>
    <w:rsid w:val="00C621CB"/>
    <w:rsid w:val="00C71911"/>
    <w:rsid w:val="00CA5D93"/>
    <w:rsid w:val="00CC11D5"/>
    <w:rsid w:val="00CE2EE7"/>
    <w:rsid w:val="00CE5C25"/>
    <w:rsid w:val="00CF0705"/>
    <w:rsid w:val="00D11476"/>
    <w:rsid w:val="00D22EA5"/>
    <w:rsid w:val="00D25709"/>
    <w:rsid w:val="00D43099"/>
    <w:rsid w:val="00D50BE3"/>
    <w:rsid w:val="00D61E86"/>
    <w:rsid w:val="00D737A4"/>
    <w:rsid w:val="00DB1B60"/>
    <w:rsid w:val="00DB49D5"/>
    <w:rsid w:val="00DC2B94"/>
    <w:rsid w:val="00DC338C"/>
    <w:rsid w:val="00DD658A"/>
    <w:rsid w:val="00DE65FB"/>
    <w:rsid w:val="00DF454A"/>
    <w:rsid w:val="00E02E66"/>
    <w:rsid w:val="00E15B9E"/>
    <w:rsid w:val="00E32A1E"/>
    <w:rsid w:val="00EA1C5E"/>
    <w:rsid w:val="00EC31DB"/>
    <w:rsid w:val="00EC5D4C"/>
    <w:rsid w:val="00EC6559"/>
    <w:rsid w:val="00F13549"/>
    <w:rsid w:val="00F23B71"/>
    <w:rsid w:val="00F23DA2"/>
    <w:rsid w:val="00F24933"/>
    <w:rsid w:val="00F348AF"/>
    <w:rsid w:val="00F520DF"/>
    <w:rsid w:val="00F548D5"/>
    <w:rsid w:val="00F823D8"/>
    <w:rsid w:val="00F848C1"/>
    <w:rsid w:val="00F91D85"/>
    <w:rsid w:val="00FA5537"/>
    <w:rsid w:val="00FC30A9"/>
    <w:rsid w:val="00FD2285"/>
    <w:rsid w:val="00FD7D60"/>
    <w:rsid w:val="00FE487D"/>
    <w:rsid w:val="00FF6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0C38F"/>
  <w15:chartTrackingRefBased/>
  <w15:docId w15:val="{0B7F5796-5C9F-4B29-8EAF-F1B498335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72EA"/>
    <w:pPr>
      <w:spacing w:after="0" w:line="240" w:lineRule="auto"/>
    </w:pPr>
    <w:rPr>
      <w:rFonts w:ascii="Times New Roman" w:eastAsia="Times New Roman" w:hAnsi="Times New Roman" w:cs="Times New Roman"/>
      <w:sz w:val="24"/>
      <w:szCs w:val="24"/>
      <w:lang w:val="sq-AL"/>
    </w:rPr>
  </w:style>
  <w:style w:type="paragraph" w:styleId="Heading1">
    <w:name w:val="heading 1"/>
    <w:basedOn w:val="Normal"/>
    <w:next w:val="Normal"/>
    <w:link w:val="Heading1Char"/>
    <w:uiPriority w:val="9"/>
    <w:qFormat/>
    <w:rsid w:val="002861E2"/>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652B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B49D5"/>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able Grid_russell,TabelEcorys,HTG,Table Grid IDEA"/>
    <w:basedOn w:val="TableNormal"/>
    <w:uiPriority w:val="39"/>
    <w:rsid w:val="005372EA"/>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861E2"/>
    <w:rPr>
      <w:color w:val="0000FF" w:themeColor="hyperlink"/>
      <w:u w:val="single"/>
    </w:rPr>
  </w:style>
  <w:style w:type="paragraph" w:styleId="TableofFigures">
    <w:name w:val="table of figures"/>
    <w:basedOn w:val="Normal"/>
    <w:next w:val="Normal"/>
    <w:uiPriority w:val="99"/>
    <w:unhideWhenUsed/>
    <w:rsid w:val="002861E2"/>
    <w:pPr>
      <w:spacing w:line="259" w:lineRule="auto"/>
    </w:pPr>
    <w:rPr>
      <w:rFonts w:asciiTheme="minorHAnsi" w:eastAsia="MS Mincho" w:hAnsiTheme="minorHAnsi" w:cstheme="minorBidi"/>
      <w:sz w:val="22"/>
      <w:szCs w:val="22"/>
    </w:rPr>
  </w:style>
  <w:style w:type="character" w:customStyle="1" w:styleId="Heading1Char">
    <w:name w:val="Heading 1 Char"/>
    <w:basedOn w:val="DefaultParagraphFont"/>
    <w:link w:val="Heading1"/>
    <w:uiPriority w:val="9"/>
    <w:rsid w:val="002861E2"/>
    <w:rPr>
      <w:rFonts w:asciiTheme="majorHAnsi" w:eastAsiaTheme="majorEastAsia" w:hAnsiTheme="majorHAnsi" w:cstheme="majorBidi"/>
      <w:color w:val="365F91" w:themeColor="accent1" w:themeShade="BF"/>
      <w:sz w:val="32"/>
      <w:szCs w:val="32"/>
      <w:lang w:val="sq-AL"/>
    </w:rPr>
  </w:style>
  <w:style w:type="paragraph" w:styleId="FootnoteText">
    <w:name w:val="footnote text"/>
    <w:aliases w:val="Footnote Text Char Char Char,Footnote Text Char Char,Fußnote,Testo nota a piè di pagina Carattere,Geneva 9,Font: Geneva 9,Boston 10,f,single space,FOOTNOTES,fn,ADB,pod carou,Char Char,Footnote Text1 Char Char,Char,Char Cha,Char Char Char,C"/>
    <w:basedOn w:val="Normal"/>
    <w:link w:val="FootnoteTextChar"/>
    <w:uiPriority w:val="99"/>
    <w:unhideWhenUsed/>
    <w:qFormat/>
    <w:rsid w:val="002861E2"/>
    <w:rPr>
      <w:rFonts w:asciiTheme="minorHAnsi" w:eastAsia="MS Mincho" w:hAnsiTheme="minorHAnsi" w:cstheme="minorBidi"/>
      <w:sz w:val="20"/>
      <w:szCs w:val="20"/>
    </w:rPr>
  </w:style>
  <w:style w:type="character" w:customStyle="1" w:styleId="FootnoteTextChar">
    <w:name w:val="Footnote Text Char"/>
    <w:aliases w:val="Footnote Text Char Char Char Char,Footnote Text Char Char Char1,Fußnote Char,Testo nota a piè di pagina Carattere Char,Geneva 9 Char,Font: Geneva 9 Char,Boston 10 Char,f Char,single space Char,FOOTNOTES Char,fn Char,ADB Char,C Char"/>
    <w:basedOn w:val="DefaultParagraphFont"/>
    <w:link w:val="FootnoteText"/>
    <w:uiPriority w:val="99"/>
    <w:qFormat/>
    <w:rsid w:val="002861E2"/>
    <w:rPr>
      <w:rFonts w:eastAsia="MS Mincho"/>
      <w:sz w:val="20"/>
      <w:szCs w:val="20"/>
      <w:lang w:val="sq-AL"/>
    </w:rPr>
  </w:style>
  <w:style w:type="character" w:styleId="FootnoteReference">
    <w:name w:val="footnote reference"/>
    <w:aliases w:val="BVI fnr,16 Point,Superscript 6 Point,ftref,fr,Fußnotenzeichen DISS,Footnote,Footnote symbol,Char1 Char Char Char Char, Char1 Char Char Char Char,Odwołanie przypisu,nota pié di pagina,Footnote reference number,Times 10 Point,note TESI"/>
    <w:basedOn w:val="DefaultParagraphFont"/>
    <w:link w:val="BVIfnrCarCarCarCarChar"/>
    <w:uiPriority w:val="99"/>
    <w:unhideWhenUsed/>
    <w:qFormat/>
    <w:rsid w:val="002861E2"/>
    <w:rPr>
      <w:vertAlign w:val="superscript"/>
    </w:rPr>
  </w:style>
  <w:style w:type="paragraph" w:styleId="ListParagraph">
    <w:name w:val="List Paragraph"/>
    <w:aliases w:val="Normal 1,List Paragraph (numbered (a)),List Paragraph 1,Akapit z listą BS,Bullets,List Paragraph1,Bullet1,NumberedParas,Dot pt,F5 List Paragraph,List Paragraph Char Char Char,Indicator Text,Numbered Para 1,Bullet 1,Bullet Points,heading 4"/>
    <w:basedOn w:val="Normal"/>
    <w:link w:val="ListParagraphChar"/>
    <w:uiPriority w:val="34"/>
    <w:qFormat/>
    <w:rsid w:val="002861E2"/>
    <w:pPr>
      <w:spacing w:after="160" w:line="259" w:lineRule="auto"/>
      <w:ind w:left="720"/>
      <w:contextualSpacing/>
    </w:pPr>
    <w:rPr>
      <w:rFonts w:asciiTheme="minorHAnsi" w:eastAsia="MS Mincho" w:hAnsiTheme="minorHAnsi" w:cstheme="minorBidi"/>
      <w:sz w:val="22"/>
      <w:szCs w:val="22"/>
    </w:rPr>
  </w:style>
  <w:style w:type="character" w:customStyle="1" w:styleId="ListParagraphChar">
    <w:name w:val="List Paragraph Char"/>
    <w:aliases w:val="Normal 1 Char,List Paragraph (numbered (a)) Char,List Paragraph 1 Char,Akapit z listą BS Char,Bullets Char,List Paragraph1 Char,Bullet1 Char,NumberedParas Char,Dot pt Char,F5 List Paragraph Char,List Paragraph Char Char Char Char"/>
    <w:link w:val="ListParagraph"/>
    <w:uiPriority w:val="34"/>
    <w:qFormat/>
    <w:locked/>
    <w:rsid w:val="002861E2"/>
    <w:rPr>
      <w:rFonts w:eastAsia="MS Mincho"/>
      <w:lang w:val="sq-AL"/>
    </w:rPr>
  </w:style>
  <w:style w:type="paragraph" w:customStyle="1" w:styleId="BVIfnrCarCarCarCarChar">
    <w:name w:val="BVI fnr Car Car Car Car Char"/>
    <w:basedOn w:val="Normal"/>
    <w:link w:val="FootnoteReference"/>
    <w:uiPriority w:val="99"/>
    <w:qFormat/>
    <w:rsid w:val="002861E2"/>
    <w:pPr>
      <w:spacing w:after="160" w:line="240" w:lineRule="exact"/>
    </w:pPr>
    <w:rPr>
      <w:rFonts w:asciiTheme="minorHAnsi" w:eastAsiaTheme="minorHAnsi" w:hAnsiTheme="minorHAnsi" w:cstheme="minorBidi"/>
      <w:sz w:val="22"/>
      <w:szCs w:val="22"/>
      <w:vertAlign w:val="superscript"/>
      <w:lang w:val="en-US"/>
    </w:rPr>
  </w:style>
  <w:style w:type="paragraph" w:styleId="Header">
    <w:name w:val="header"/>
    <w:basedOn w:val="Normal"/>
    <w:link w:val="HeaderChar"/>
    <w:uiPriority w:val="99"/>
    <w:unhideWhenUsed/>
    <w:rsid w:val="001652B9"/>
    <w:pPr>
      <w:tabs>
        <w:tab w:val="center" w:pos="4680"/>
        <w:tab w:val="right" w:pos="9360"/>
      </w:tabs>
    </w:pPr>
  </w:style>
  <w:style w:type="character" w:customStyle="1" w:styleId="HeaderChar">
    <w:name w:val="Header Char"/>
    <w:basedOn w:val="DefaultParagraphFont"/>
    <w:link w:val="Header"/>
    <w:uiPriority w:val="99"/>
    <w:rsid w:val="001652B9"/>
    <w:rPr>
      <w:rFonts w:ascii="Times New Roman" w:eastAsia="Times New Roman" w:hAnsi="Times New Roman" w:cs="Times New Roman"/>
      <w:noProof/>
      <w:sz w:val="24"/>
      <w:szCs w:val="24"/>
      <w:lang w:val="sq-AL"/>
    </w:rPr>
  </w:style>
  <w:style w:type="paragraph" w:styleId="Footer">
    <w:name w:val="footer"/>
    <w:basedOn w:val="Normal"/>
    <w:link w:val="FooterChar"/>
    <w:uiPriority w:val="99"/>
    <w:unhideWhenUsed/>
    <w:rsid w:val="001652B9"/>
    <w:pPr>
      <w:tabs>
        <w:tab w:val="center" w:pos="4680"/>
        <w:tab w:val="right" w:pos="9360"/>
      </w:tabs>
    </w:pPr>
  </w:style>
  <w:style w:type="character" w:customStyle="1" w:styleId="FooterChar">
    <w:name w:val="Footer Char"/>
    <w:basedOn w:val="DefaultParagraphFont"/>
    <w:link w:val="Footer"/>
    <w:uiPriority w:val="99"/>
    <w:rsid w:val="001652B9"/>
    <w:rPr>
      <w:rFonts w:ascii="Times New Roman" w:eastAsia="Times New Roman" w:hAnsi="Times New Roman" w:cs="Times New Roman"/>
      <w:noProof/>
      <w:sz w:val="24"/>
      <w:szCs w:val="24"/>
      <w:lang w:val="sq-AL"/>
    </w:rPr>
  </w:style>
  <w:style w:type="paragraph" w:styleId="EndnoteText">
    <w:name w:val="endnote text"/>
    <w:basedOn w:val="Normal"/>
    <w:link w:val="EndnoteTextChar"/>
    <w:uiPriority w:val="99"/>
    <w:semiHidden/>
    <w:unhideWhenUsed/>
    <w:rsid w:val="001652B9"/>
    <w:rPr>
      <w:sz w:val="20"/>
      <w:szCs w:val="20"/>
    </w:rPr>
  </w:style>
  <w:style w:type="character" w:customStyle="1" w:styleId="EndnoteTextChar">
    <w:name w:val="Endnote Text Char"/>
    <w:basedOn w:val="DefaultParagraphFont"/>
    <w:link w:val="EndnoteText"/>
    <w:uiPriority w:val="99"/>
    <w:semiHidden/>
    <w:rsid w:val="001652B9"/>
    <w:rPr>
      <w:rFonts w:ascii="Times New Roman" w:eastAsia="Times New Roman" w:hAnsi="Times New Roman" w:cs="Times New Roman"/>
      <w:noProof/>
      <w:sz w:val="20"/>
      <w:szCs w:val="20"/>
      <w:lang w:val="sq-AL"/>
    </w:rPr>
  </w:style>
  <w:style w:type="character" w:styleId="EndnoteReference">
    <w:name w:val="endnote reference"/>
    <w:basedOn w:val="DefaultParagraphFont"/>
    <w:uiPriority w:val="99"/>
    <w:semiHidden/>
    <w:unhideWhenUsed/>
    <w:rsid w:val="001652B9"/>
    <w:rPr>
      <w:vertAlign w:val="superscript"/>
    </w:rPr>
  </w:style>
  <w:style w:type="paragraph" w:styleId="NoSpacing">
    <w:name w:val="No Spacing"/>
    <w:link w:val="NoSpacingChar"/>
    <w:uiPriority w:val="1"/>
    <w:qFormat/>
    <w:rsid w:val="001652B9"/>
    <w:pPr>
      <w:spacing w:after="0" w:line="240" w:lineRule="auto"/>
    </w:pPr>
    <w:rPr>
      <w:rFonts w:eastAsia="MS Mincho"/>
      <w:lang w:val="sq-AL"/>
    </w:rPr>
  </w:style>
  <w:style w:type="character" w:customStyle="1" w:styleId="NoSpacingChar">
    <w:name w:val="No Spacing Char"/>
    <w:link w:val="NoSpacing"/>
    <w:uiPriority w:val="1"/>
    <w:locked/>
    <w:rsid w:val="001652B9"/>
    <w:rPr>
      <w:rFonts w:eastAsia="MS Mincho"/>
      <w:lang w:val="sq-AL"/>
    </w:rPr>
  </w:style>
  <w:style w:type="character" w:customStyle="1" w:styleId="Heading2Char">
    <w:name w:val="Heading 2 Char"/>
    <w:basedOn w:val="DefaultParagraphFont"/>
    <w:link w:val="Heading2"/>
    <w:uiPriority w:val="9"/>
    <w:rsid w:val="001652B9"/>
    <w:rPr>
      <w:rFonts w:asciiTheme="majorHAnsi" w:eastAsiaTheme="majorEastAsia" w:hAnsiTheme="majorHAnsi" w:cstheme="majorBidi"/>
      <w:noProof/>
      <w:color w:val="365F91" w:themeColor="accent1" w:themeShade="BF"/>
      <w:sz w:val="26"/>
      <w:szCs w:val="26"/>
      <w:lang w:val="sq-AL"/>
    </w:rPr>
  </w:style>
  <w:style w:type="paragraph" w:styleId="HTMLPreformatted">
    <w:name w:val="HTML Preformatted"/>
    <w:basedOn w:val="Normal"/>
    <w:link w:val="HTMLPreformattedChar"/>
    <w:uiPriority w:val="99"/>
    <w:rsid w:val="001652B9"/>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160" w:line="258" w:lineRule="atLeast"/>
    </w:pPr>
    <w:rPr>
      <w:rFonts w:eastAsiaTheme="minorHAnsi"/>
      <w:color w:val="000000"/>
      <w:sz w:val="20"/>
      <w:szCs w:val="20"/>
      <w:lang w:val="en-US"/>
    </w:rPr>
  </w:style>
  <w:style w:type="character" w:customStyle="1" w:styleId="HTMLPreformattedChar">
    <w:name w:val="HTML Preformatted Char"/>
    <w:basedOn w:val="DefaultParagraphFont"/>
    <w:link w:val="HTMLPreformatted"/>
    <w:uiPriority w:val="99"/>
    <w:rsid w:val="001652B9"/>
    <w:rPr>
      <w:rFonts w:ascii="Times New Roman" w:hAnsi="Times New Roman" w:cs="Times New Roman"/>
      <w:color w:val="000000"/>
      <w:sz w:val="20"/>
      <w:szCs w:val="20"/>
    </w:rPr>
  </w:style>
  <w:style w:type="paragraph" w:styleId="Caption">
    <w:name w:val="caption"/>
    <w:basedOn w:val="Normal"/>
    <w:next w:val="Normal"/>
    <w:uiPriority w:val="35"/>
    <w:unhideWhenUsed/>
    <w:qFormat/>
    <w:rsid w:val="001652B9"/>
    <w:pPr>
      <w:spacing w:after="200"/>
    </w:pPr>
    <w:rPr>
      <w:rFonts w:asciiTheme="minorHAnsi" w:eastAsia="MS Mincho" w:hAnsiTheme="minorHAnsi" w:cstheme="minorBidi"/>
      <w:i/>
      <w:iCs/>
      <w:color w:val="1F497D" w:themeColor="text2"/>
      <w:sz w:val="18"/>
      <w:szCs w:val="18"/>
    </w:rPr>
  </w:style>
  <w:style w:type="character" w:customStyle="1" w:styleId="Heading3Char">
    <w:name w:val="Heading 3 Char"/>
    <w:basedOn w:val="DefaultParagraphFont"/>
    <w:link w:val="Heading3"/>
    <w:uiPriority w:val="9"/>
    <w:semiHidden/>
    <w:rsid w:val="00DB49D5"/>
    <w:rPr>
      <w:rFonts w:asciiTheme="majorHAnsi" w:eastAsiaTheme="majorEastAsia" w:hAnsiTheme="majorHAnsi" w:cstheme="majorBidi"/>
      <w:noProof/>
      <w:color w:val="243F60" w:themeColor="accent1" w:themeShade="7F"/>
      <w:sz w:val="24"/>
      <w:szCs w:val="24"/>
      <w:lang w:val="sq-AL"/>
    </w:rPr>
  </w:style>
  <w:style w:type="table" w:customStyle="1" w:styleId="GridTable1Light-Accent21">
    <w:name w:val="Grid Table 1 Light - Accent 21"/>
    <w:basedOn w:val="TableNormal"/>
    <w:uiPriority w:val="46"/>
    <w:rsid w:val="00DB49D5"/>
    <w:pPr>
      <w:spacing w:after="0" w:line="240" w:lineRule="auto"/>
    </w:pPr>
    <w:rPr>
      <w:rFonts w:eastAsia="MS Mincho"/>
      <w:lang w:val="sq-AL"/>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211">
    <w:name w:val="Grid Table 1 Light - Accent 211"/>
    <w:basedOn w:val="TableNormal"/>
    <w:uiPriority w:val="46"/>
    <w:rsid w:val="00DB49D5"/>
    <w:pPr>
      <w:spacing w:after="0" w:line="240" w:lineRule="auto"/>
    </w:pPr>
    <w:rPr>
      <w:rFonts w:eastAsia="MS Mincho"/>
      <w:lang w:val="sq-AL"/>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ListBullet">
    <w:name w:val="List Bullet"/>
    <w:basedOn w:val="Normal"/>
    <w:uiPriority w:val="2"/>
    <w:rsid w:val="00646D6F"/>
    <w:pPr>
      <w:autoSpaceDE w:val="0"/>
      <w:autoSpaceDN w:val="0"/>
      <w:adjustRightInd w:val="0"/>
      <w:spacing w:after="240" w:line="276" w:lineRule="atLeast"/>
      <w:ind w:left="360" w:hanging="360"/>
    </w:pPr>
    <w:rPr>
      <w:rFonts w:eastAsiaTheme="minorHAnsi"/>
      <w:color w:val="000000"/>
      <w:sz w:val="21"/>
      <w:szCs w:val="21"/>
      <w:lang w:val="en-US"/>
    </w:rPr>
  </w:style>
  <w:style w:type="paragraph" w:customStyle="1" w:styleId="ParagraphNumbering">
    <w:name w:val="Paragraph Numbering"/>
    <w:basedOn w:val="Normal"/>
    <w:uiPriority w:val="99"/>
    <w:rsid w:val="00646D6F"/>
    <w:pPr>
      <w:tabs>
        <w:tab w:val="left" w:pos="720"/>
      </w:tabs>
      <w:autoSpaceDE w:val="0"/>
      <w:autoSpaceDN w:val="0"/>
      <w:adjustRightInd w:val="0"/>
      <w:spacing w:after="240" w:line="276" w:lineRule="atLeast"/>
    </w:pPr>
    <w:rPr>
      <w:rFonts w:eastAsiaTheme="minorHAnsi"/>
      <w:color w:val="000000"/>
      <w:sz w:val="21"/>
      <w:szCs w:val="21"/>
      <w:lang w:val="en-US"/>
    </w:rPr>
  </w:style>
  <w:style w:type="table" w:styleId="GridTable4-Accent3">
    <w:name w:val="Grid Table 4 Accent 3"/>
    <w:basedOn w:val="TableNormal"/>
    <w:uiPriority w:val="49"/>
    <w:rsid w:val="00854A2A"/>
    <w:pPr>
      <w:spacing w:after="0" w:line="240" w:lineRule="auto"/>
    </w:pPr>
    <w:rPr>
      <w:rFonts w:eastAsia="MS Mincho"/>
      <w:lang w:val="sq-AL"/>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1Light">
    <w:name w:val="Grid Table 1 Light"/>
    <w:basedOn w:val="TableNormal"/>
    <w:uiPriority w:val="46"/>
    <w:rsid w:val="001B0E93"/>
    <w:pPr>
      <w:spacing w:after="0" w:line="240" w:lineRule="auto"/>
    </w:pPr>
    <w:rPr>
      <w:rFonts w:eastAsia="MS Mincho"/>
      <w:lang w:val="sq-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TableParagraph">
    <w:name w:val="Table Paragraph"/>
    <w:basedOn w:val="Normal"/>
    <w:uiPriority w:val="1"/>
    <w:qFormat/>
    <w:rsid w:val="00B160C4"/>
    <w:pPr>
      <w:spacing w:after="160" w:line="259" w:lineRule="auto"/>
    </w:pPr>
    <w:rPr>
      <w:rFonts w:ascii="Calibri" w:eastAsia="Calibri" w:hAnsi="Calibri" w:cs="Calibri"/>
      <w:sz w:val="22"/>
      <w:szCs w:val="22"/>
      <w:lang w:val="en-US"/>
    </w:rPr>
  </w:style>
  <w:style w:type="paragraph" w:customStyle="1" w:styleId="N-Bullet">
    <w:name w:val="N-Bullet"/>
    <w:basedOn w:val="ListParagraph"/>
    <w:link w:val="N-BulletChar"/>
    <w:qFormat/>
    <w:rsid w:val="00B160C4"/>
    <w:pPr>
      <w:autoSpaceDE w:val="0"/>
      <w:autoSpaceDN w:val="0"/>
      <w:adjustRightInd w:val="0"/>
      <w:spacing w:line="258" w:lineRule="atLeast"/>
      <w:ind w:left="360" w:hanging="360"/>
      <w:contextualSpacing w:val="0"/>
    </w:pPr>
    <w:rPr>
      <w:rFonts w:ascii="Arial" w:eastAsiaTheme="minorHAnsi" w:hAnsi="Arial" w:cs="Arial"/>
      <w:color w:val="000000"/>
      <w:sz w:val="18"/>
      <w:szCs w:val="18"/>
      <w:lang w:val="en-US"/>
    </w:rPr>
  </w:style>
  <w:style w:type="paragraph" w:customStyle="1" w:styleId="H5">
    <w:name w:val="H5"/>
    <w:basedOn w:val="Normal"/>
    <w:link w:val="H5Char"/>
    <w:qFormat/>
    <w:rsid w:val="00B160C4"/>
    <w:pPr>
      <w:autoSpaceDE w:val="0"/>
      <w:autoSpaceDN w:val="0"/>
      <w:adjustRightInd w:val="0"/>
      <w:spacing w:after="60" w:line="258" w:lineRule="atLeast"/>
    </w:pPr>
    <w:rPr>
      <w:rFonts w:ascii="Arial" w:eastAsiaTheme="minorHAnsi" w:hAnsi="Arial" w:cs="Arial"/>
      <w:b/>
      <w:bCs/>
      <w:color w:val="0070C0"/>
      <w:sz w:val="18"/>
      <w:szCs w:val="18"/>
      <w:lang w:val="en-US"/>
    </w:rPr>
  </w:style>
  <w:style w:type="character" w:customStyle="1" w:styleId="EcorysBodyChar">
    <w:name w:val="Ecorys Body Char"/>
    <w:basedOn w:val="DefaultParagraphFont"/>
    <w:link w:val="EcorysBody"/>
    <w:locked/>
    <w:rsid w:val="00B4081C"/>
    <w:rPr>
      <w:rFonts w:ascii="Open Sans Light" w:hAnsi="Open Sans Light" w:cs="Open Sans Light"/>
      <w:sz w:val="18"/>
      <w:szCs w:val="20"/>
    </w:rPr>
  </w:style>
  <w:style w:type="paragraph" w:customStyle="1" w:styleId="EcorysBody">
    <w:name w:val="Ecorys Body"/>
    <w:link w:val="EcorysBodyChar"/>
    <w:rsid w:val="00B4081C"/>
    <w:pPr>
      <w:spacing w:after="0" w:line="264" w:lineRule="auto"/>
    </w:pPr>
    <w:rPr>
      <w:rFonts w:ascii="Open Sans Light" w:hAnsi="Open Sans Light" w:cs="Open Sans Light"/>
      <w:sz w:val="18"/>
      <w:szCs w:val="20"/>
    </w:rPr>
  </w:style>
  <w:style w:type="paragraph" w:customStyle="1" w:styleId="T-bold">
    <w:name w:val="T-bold"/>
    <w:basedOn w:val="EcorysBody"/>
    <w:link w:val="T-boldChar"/>
    <w:qFormat/>
    <w:rsid w:val="00B4081C"/>
    <w:rPr>
      <w:rFonts w:ascii="Arial" w:hAnsi="Arial" w:cs="Arial"/>
      <w:b/>
      <w:bCs/>
      <w:sz w:val="16"/>
      <w:szCs w:val="16"/>
    </w:rPr>
  </w:style>
  <w:style w:type="character" w:customStyle="1" w:styleId="T-boldChar">
    <w:name w:val="T-bold Char"/>
    <w:basedOn w:val="EcorysBodyChar"/>
    <w:link w:val="T-bold"/>
    <w:rsid w:val="00B4081C"/>
    <w:rPr>
      <w:rFonts w:ascii="Arial" w:hAnsi="Arial" w:cs="Arial"/>
      <w:b/>
      <w:bCs/>
      <w:sz w:val="16"/>
      <w:szCs w:val="16"/>
    </w:rPr>
  </w:style>
  <w:style w:type="paragraph" w:customStyle="1" w:styleId="T-normal">
    <w:name w:val="T-normal"/>
    <w:basedOn w:val="Normal"/>
    <w:link w:val="T-normalChar"/>
    <w:qFormat/>
    <w:rsid w:val="00B4081C"/>
    <w:pPr>
      <w:spacing w:line="288" w:lineRule="auto"/>
    </w:pPr>
    <w:rPr>
      <w:rFonts w:ascii="Arial" w:eastAsiaTheme="minorHAnsi" w:hAnsi="Arial" w:cs="Arial"/>
      <w:sz w:val="16"/>
      <w:szCs w:val="16"/>
      <w:lang w:val="en-US"/>
    </w:rPr>
  </w:style>
  <w:style w:type="character" w:customStyle="1" w:styleId="T-normalChar">
    <w:name w:val="T-normal Char"/>
    <w:basedOn w:val="DefaultParagraphFont"/>
    <w:link w:val="T-normal"/>
    <w:rsid w:val="00B4081C"/>
    <w:rPr>
      <w:rFonts w:ascii="Arial" w:hAnsi="Arial" w:cs="Arial"/>
      <w:sz w:val="16"/>
      <w:szCs w:val="16"/>
    </w:rPr>
  </w:style>
  <w:style w:type="character" w:customStyle="1" w:styleId="N-BulletChar">
    <w:name w:val="N-Bullet Char"/>
    <w:basedOn w:val="ListParagraphChar"/>
    <w:link w:val="N-Bullet"/>
    <w:rsid w:val="00B4081C"/>
    <w:rPr>
      <w:rFonts w:ascii="Arial" w:eastAsia="MS Mincho" w:hAnsi="Arial" w:cs="Arial"/>
      <w:color w:val="000000"/>
      <w:sz w:val="18"/>
      <w:szCs w:val="18"/>
      <w:lang w:val="sq-AL"/>
    </w:rPr>
  </w:style>
  <w:style w:type="character" w:styleId="IntenseReference">
    <w:name w:val="Intense Reference"/>
    <w:uiPriority w:val="32"/>
    <w:qFormat/>
    <w:rsid w:val="00B4081C"/>
    <w:rPr>
      <w:rFonts w:ascii="Arial" w:eastAsiaTheme="minorHAnsi" w:hAnsi="Arial" w:cs="Arial"/>
      <w:i/>
      <w:color w:val="0070C0"/>
      <w:sz w:val="18"/>
      <w:szCs w:val="18"/>
    </w:rPr>
  </w:style>
  <w:style w:type="character" w:customStyle="1" w:styleId="H5Char">
    <w:name w:val="H5 Char"/>
    <w:basedOn w:val="DefaultParagraphFont"/>
    <w:link w:val="H5"/>
    <w:rsid w:val="00B4081C"/>
    <w:rPr>
      <w:rFonts w:ascii="Arial" w:hAnsi="Arial" w:cs="Arial"/>
      <w:b/>
      <w:bCs/>
      <w:color w:val="0070C0"/>
      <w:sz w:val="18"/>
      <w:szCs w:val="18"/>
    </w:rPr>
  </w:style>
  <w:style w:type="paragraph" w:styleId="NormalWeb">
    <w:name w:val="Normal (Web)"/>
    <w:basedOn w:val="Normal"/>
    <w:uiPriority w:val="99"/>
    <w:unhideWhenUsed/>
    <w:rsid w:val="00EA1C5E"/>
    <w:pPr>
      <w:spacing w:before="100" w:beforeAutospacing="1" w:after="100" w:afterAutospacing="1"/>
    </w:pPr>
    <w:rPr>
      <w:lang w:val="en-US"/>
    </w:rPr>
  </w:style>
  <w:style w:type="character" w:customStyle="1" w:styleId="rynqvb">
    <w:name w:val="rynqvb"/>
    <w:basedOn w:val="DefaultParagraphFont"/>
    <w:rsid w:val="005F54A6"/>
  </w:style>
  <w:style w:type="table" w:customStyle="1" w:styleId="TableGrid1">
    <w:name w:val="Table Grid1"/>
    <w:basedOn w:val="TableNormal"/>
    <w:next w:val="TableGrid"/>
    <w:uiPriority w:val="59"/>
    <w:rsid w:val="00A468B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A468BF"/>
    <w:pPr>
      <w:spacing w:before="100" w:beforeAutospacing="1" w:after="100" w:afterAutospacing="1"/>
    </w:pPr>
    <w:rPr>
      <w:lang w:val="en-US"/>
    </w:rPr>
  </w:style>
  <w:style w:type="paragraph" w:styleId="CommentText">
    <w:name w:val="annotation text"/>
    <w:aliases w:val="Comment Text Ch"/>
    <w:basedOn w:val="Normal"/>
    <w:link w:val="CommentTextChar"/>
    <w:uiPriority w:val="99"/>
    <w:rsid w:val="00A468BF"/>
    <w:pPr>
      <w:autoSpaceDE w:val="0"/>
      <w:autoSpaceDN w:val="0"/>
      <w:adjustRightInd w:val="0"/>
      <w:spacing w:after="160" w:line="258" w:lineRule="atLeast"/>
    </w:pPr>
    <w:rPr>
      <w:rFonts w:eastAsiaTheme="minorHAnsi"/>
      <w:color w:val="000000"/>
      <w:sz w:val="20"/>
      <w:szCs w:val="20"/>
      <w:lang w:val="en-US"/>
    </w:rPr>
  </w:style>
  <w:style w:type="character" w:customStyle="1" w:styleId="CommentTextChar">
    <w:name w:val="Comment Text Char"/>
    <w:aliases w:val="Comment Text Ch Char"/>
    <w:basedOn w:val="DefaultParagraphFont"/>
    <w:link w:val="CommentText"/>
    <w:uiPriority w:val="99"/>
    <w:rsid w:val="00A468BF"/>
    <w:rPr>
      <w:rFonts w:ascii="Times New Roman" w:hAnsi="Times New Roman" w:cs="Times New Roman"/>
      <w:color w:val="000000"/>
      <w:sz w:val="20"/>
      <w:szCs w:val="20"/>
    </w:rPr>
  </w:style>
  <w:style w:type="character" w:customStyle="1" w:styleId="contentpasted0">
    <w:name w:val="contentpasted0"/>
    <w:basedOn w:val="DefaultParagraphFont"/>
    <w:rsid w:val="00316D86"/>
  </w:style>
  <w:style w:type="character" w:customStyle="1" w:styleId="cf01">
    <w:name w:val="cf01"/>
    <w:basedOn w:val="DefaultParagraphFont"/>
    <w:rsid w:val="00316D86"/>
    <w:rPr>
      <w:rFonts w:ascii="Segoe UI" w:hAnsi="Segoe UI" w:cs="Segoe UI" w:hint="default"/>
      <w:sz w:val="18"/>
      <w:szCs w:val="18"/>
    </w:rPr>
  </w:style>
  <w:style w:type="paragraph" w:styleId="BodyText">
    <w:name w:val="Body Text"/>
    <w:basedOn w:val="Normal"/>
    <w:link w:val="BodyTextChar"/>
    <w:uiPriority w:val="1"/>
    <w:qFormat/>
    <w:rsid w:val="00316D86"/>
    <w:pPr>
      <w:spacing w:after="160" w:line="259" w:lineRule="auto"/>
    </w:pPr>
    <w:rPr>
      <w:rFonts w:asciiTheme="minorHAnsi" w:eastAsia="MS Mincho" w:hAnsiTheme="minorHAnsi" w:cstheme="minorBidi"/>
      <w:sz w:val="22"/>
      <w:szCs w:val="22"/>
      <w:lang w:val="en-US"/>
    </w:rPr>
  </w:style>
  <w:style w:type="character" w:customStyle="1" w:styleId="BodyTextChar">
    <w:name w:val="Body Text Char"/>
    <w:basedOn w:val="DefaultParagraphFont"/>
    <w:link w:val="BodyText"/>
    <w:uiPriority w:val="1"/>
    <w:rsid w:val="00316D86"/>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image" Target="media/image2.emf"/><Relationship Id="rId26" Type="http://schemas.openxmlformats.org/officeDocument/2006/relationships/image" Target="media/image7.emf"/><Relationship Id="rId3" Type="http://schemas.openxmlformats.org/officeDocument/2006/relationships/customXml" Target="../customXml/item3.xml"/><Relationship Id="rId21" Type="http://schemas.openxmlformats.org/officeDocument/2006/relationships/chart" Target="charts/chart7.xml"/><Relationship Id="rId34"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1.png"/><Relationship Id="rId25" Type="http://schemas.openxmlformats.org/officeDocument/2006/relationships/image" Target="media/image6.emf"/><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hart" Target="charts/chart4.xml"/><Relationship Id="rId20" Type="http://schemas.openxmlformats.org/officeDocument/2006/relationships/chart" Target="charts/chart6.xml"/><Relationship Id="rId29"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emf"/><Relationship Id="rId32"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chart" Target="charts/chart3.xml"/><Relationship Id="rId23" Type="http://schemas.openxmlformats.org/officeDocument/2006/relationships/image" Target="media/image4.jpeg"/><Relationship Id="rId28" Type="http://schemas.openxmlformats.org/officeDocument/2006/relationships/image" Target="media/image9.emf"/><Relationship Id="rId10" Type="http://schemas.openxmlformats.org/officeDocument/2006/relationships/webSettings" Target="webSettings.xml"/><Relationship Id="rId19" Type="http://schemas.openxmlformats.org/officeDocument/2006/relationships/chart" Target="charts/chart5.xml"/><Relationship Id="rId31" Type="http://schemas.openxmlformats.org/officeDocument/2006/relationships/image" Target="media/image12.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chart" Target="charts/chart2.xml"/><Relationship Id="rId22" Type="http://schemas.openxmlformats.org/officeDocument/2006/relationships/image" Target="media/image3.jpeg"/><Relationship Id="rId27" Type="http://schemas.openxmlformats.org/officeDocument/2006/relationships/image" Target="media/image8.emf"/><Relationship Id="rId30" Type="http://schemas.openxmlformats.org/officeDocument/2006/relationships/image" Target="media/image11.emf"/><Relationship Id="rId35" Type="http://schemas.openxmlformats.org/officeDocument/2006/relationships/theme" Target="theme/theme1.xml"/><Relationship Id="rId8"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C:/Users/arjana.dyrmishi/Desktop/Strategjia%20Afatmesme%20Anti%20Informalitet/Draft%20MTRS%20%202024-2027_maj%202024/DRAFTI%20_MTRS_versioni%201/kuadri%20final%202025-2027/lidhjet%20per%20VKM_12.6.2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C:/Users/Arjana%20Dyrmishi/Desktop/Kuadri%202024-31_(internal)_sipas%20AN.2024_21.2.24.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C:/Users/Arjana%20Dyrmishi/Desktop/Kuadri%202024-31_(internal)_sipas%20AN.2024_21.2.24.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C:/Users/Arjana%20Dyrmishi/Desktop/Kuadri%202024-31_(internal)_sipas%20AN.2024_21.2.24.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C:/Users/arjana.dyrmishi/Desktop/Strategjia%20Afatmesme%20Anti%20Informalitet/Mars%202023/MTRS%202022-2026/Kuadri%202024-31_(internal)_sipas%20AN.2024_21.2.24.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C:/Users/Arjana%20Dyrmishi/Desktop/mami/MTRS%20Administrata%20tatimore/puna.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C:/Users/Arjana%20Dyrmishi/Desktop/mami/MTRS%20Administrata%20tatimore/10.05.23%20Data%20base%20i%20te%20dhenave_MTRS.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Sheet1!$C$7</c:f>
              <c:strCache>
                <c:ptCount val="1"/>
                <c:pt idx="0">
                  <c:v>Të ardhurat totale</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Sheet1!$D$5:$L$6</c:f>
              <c:multiLvlStrCache>
                <c:ptCount val="9"/>
                <c:lvl>
                  <c:pt idx="5">
                    <c:v>I Pritshmi</c:v>
                  </c:pt>
                  <c:pt idx="6">
                    <c:v>PBA</c:v>
                  </c:pt>
                  <c:pt idx="7">
                    <c:v>PBA</c:v>
                  </c:pt>
                  <c:pt idx="8">
                    <c:v>PBA</c:v>
                  </c:pt>
                </c:lvl>
                <c:lvl>
                  <c:pt idx="0">
                    <c:v>2019 </c:v>
                  </c:pt>
                  <c:pt idx="1">
                    <c:v>2020 </c:v>
                  </c:pt>
                  <c:pt idx="2">
                    <c:v>2021 </c:v>
                  </c:pt>
                  <c:pt idx="3">
                    <c:v>2022 </c:v>
                  </c:pt>
                  <c:pt idx="4">
                    <c:v>2023 </c:v>
                  </c:pt>
                  <c:pt idx="5">
                    <c:v>2024 </c:v>
                  </c:pt>
                  <c:pt idx="6">
                    <c:v>2025 </c:v>
                  </c:pt>
                  <c:pt idx="7">
                    <c:v>2026 </c:v>
                  </c:pt>
                  <c:pt idx="8">
                    <c:v>2027 </c:v>
                  </c:pt>
                </c:lvl>
              </c:multiLvlStrCache>
            </c:multiLvlStrRef>
          </c:cat>
          <c:val>
            <c:numRef>
              <c:f>Sheet1!$D$7:$L$7</c:f>
              <c:numCache>
                <c:formatCode>#,##0.0</c:formatCode>
                <c:ptCount val="9"/>
                <c:pt idx="0">
                  <c:v>27.208922480929793</c:v>
                </c:pt>
                <c:pt idx="1">
                  <c:v>25.852661623044416</c:v>
                </c:pt>
                <c:pt idx="2">
                  <c:v>27.527131654357369</c:v>
                </c:pt>
                <c:pt idx="3">
                  <c:v>26.786661253890038</c:v>
                </c:pt>
                <c:pt idx="4">
                  <c:v>27.821911726501952</c:v>
                </c:pt>
                <c:pt idx="5">
                  <c:v>28.804833795881972</c:v>
                </c:pt>
                <c:pt idx="6">
                  <c:v>28.75045519069344</c:v>
                </c:pt>
                <c:pt idx="7">
                  <c:v>28.860860093589778</c:v>
                </c:pt>
                <c:pt idx="8">
                  <c:v>29.084265957672063</c:v>
                </c:pt>
              </c:numCache>
            </c:numRef>
          </c:val>
          <c:smooth val="0"/>
          <c:extLst>
            <c:ext xmlns:c16="http://schemas.microsoft.com/office/drawing/2014/chart" uri="{C3380CC4-5D6E-409C-BE32-E72D297353CC}">
              <c16:uniqueId val="{00000000-C882-4BA5-AF56-2046C46C0241}"/>
            </c:ext>
          </c:extLst>
        </c:ser>
        <c:ser>
          <c:idx val="1"/>
          <c:order val="1"/>
          <c:tx>
            <c:strRef>
              <c:f>Sheet1!$C$8</c:f>
              <c:strCache>
                <c:ptCount val="1"/>
                <c:pt idx="0">
                  <c:v>Ndihmat</c:v>
                </c:pt>
              </c:strCache>
            </c:strRef>
          </c:tx>
          <c:spPr>
            <a:ln w="28575" cap="rnd">
              <a:solidFill>
                <a:schemeClr val="accent2"/>
              </a:solidFill>
              <a:round/>
            </a:ln>
            <a:effectLst/>
          </c:spPr>
          <c:marker>
            <c:symbol val="none"/>
          </c:marker>
          <c:cat>
            <c:multiLvlStrRef>
              <c:f>Sheet1!$D$5:$L$6</c:f>
              <c:multiLvlStrCache>
                <c:ptCount val="9"/>
                <c:lvl>
                  <c:pt idx="5">
                    <c:v>I Pritshmi</c:v>
                  </c:pt>
                  <c:pt idx="6">
                    <c:v>PBA</c:v>
                  </c:pt>
                  <c:pt idx="7">
                    <c:v>PBA</c:v>
                  </c:pt>
                  <c:pt idx="8">
                    <c:v>PBA</c:v>
                  </c:pt>
                </c:lvl>
                <c:lvl>
                  <c:pt idx="0">
                    <c:v>2019 </c:v>
                  </c:pt>
                  <c:pt idx="1">
                    <c:v>2020 </c:v>
                  </c:pt>
                  <c:pt idx="2">
                    <c:v>2021 </c:v>
                  </c:pt>
                  <c:pt idx="3">
                    <c:v>2022 </c:v>
                  </c:pt>
                  <c:pt idx="4">
                    <c:v>2023 </c:v>
                  </c:pt>
                  <c:pt idx="5">
                    <c:v>2024 </c:v>
                  </c:pt>
                  <c:pt idx="6">
                    <c:v>2025 </c:v>
                  </c:pt>
                  <c:pt idx="7">
                    <c:v>2026 </c:v>
                  </c:pt>
                  <c:pt idx="8">
                    <c:v>2027 </c:v>
                  </c:pt>
                </c:lvl>
              </c:multiLvlStrCache>
            </c:multiLvlStrRef>
          </c:cat>
          <c:val>
            <c:numRef>
              <c:f>Sheet1!$D$8:$L$8</c:f>
              <c:numCache>
                <c:formatCode>#,##0.0</c:formatCode>
                <c:ptCount val="9"/>
                <c:pt idx="0">
                  <c:v>0.62704229299329628</c:v>
                </c:pt>
                <c:pt idx="1">
                  <c:v>0.50348024576227035</c:v>
                </c:pt>
                <c:pt idx="2">
                  <c:v>0.70306296836270521</c:v>
                </c:pt>
                <c:pt idx="3">
                  <c:v>0.44471757793280547</c:v>
                </c:pt>
                <c:pt idx="4">
                  <c:v>0.95849612113444205</c:v>
                </c:pt>
                <c:pt idx="5">
                  <c:v>0.69657486588066375</c:v>
                </c:pt>
                <c:pt idx="6">
                  <c:v>0.63980300084423281</c:v>
                </c:pt>
                <c:pt idx="7">
                  <c:v>0.60211454729585212</c:v>
                </c:pt>
                <c:pt idx="8">
                  <c:v>0.56635481197441007</c:v>
                </c:pt>
              </c:numCache>
            </c:numRef>
          </c:val>
          <c:smooth val="0"/>
          <c:extLst>
            <c:ext xmlns:c16="http://schemas.microsoft.com/office/drawing/2014/chart" uri="{C3380CC4-5D6E-409C-BE32-E72D297353CC}">
              <c16:uniqueId val="{00000001-C882-4BA5-AF56-2046C46C0241}"/>
            </c:ext>
          </c:extLst>
        </c:ser>
        <c:ser>
          <c:idx val="2"/>
          <c:order val="2"/>
          <c:tx>
            <c:strRef>
              <c:f>Sheet1!$C$9</c:f>
              <c:strCache>
                <c:ptCount val="1"/>
                <c:pt idx="0">
                  <c:v>Të ardhurat tatimore</c:v>
                </c:pt>
              </c:strCache>
            </c:strRef>
          </c:tx>
          <c:spPr>
            <a:ln w="28575" cap="rnd">
              <a:solidFill>
                <a:schemeClr val="accent3"/>
              </a:solidFill>
              <a:round/>
            </a:ln>
            <a:effectLst/>
          </c:spPr>
          <c:marker>
            <c:symbol val="none"/>
          </c:marker>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882-4BA5-AF56-2046C46C0241}"/>
                </c:ext>
              </c:extLst>
            </c:dLbl>
            <c:dLbl>
              <c:idx val="8"/>
              <c:layout>
                <c:manualLayout>
                  <c:x val="-1.5821464118704457E-16"/>
                  <c:y val="3.41880341880341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882-4BA5-AF56-2046C46C024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Sheet1!$D$5:$L$6</c:f>
              <c:multiLvlStrCache>
                <c:ptCount val="9"/>
                <c:lvl>
                  <c:pt idx="5">
                    <c:v>I Pritshmi</c:v>
                  </c:pt>
                  <c:pt idx="6">
                    <c:v>PBA</c:v>
                  </c:pt>
                  <c:pt idx="7">
                    <c:v>PBA</c:v>
                  </c:pt>
                  <c:pt idx="8">
                    <c:v>PBA</c:v>
                  </c:pt>
                </c:lvl>
                <c:lvl>
                  <c:pt idx="0">
                    <c:v>2019 </c:v>
                  </c:pt>
                  <c:pt idx="1">
                    <c:v>2020 </c:v>
                  </c:pt>
                  <c:pt idx="2">
                    <c:v>2021 </c:v>
                  </c:pt>
                  <c:pt idx="3">
                    <c:v>2022 </c:v>
                  </c:pt>
                  <c:pt idx="4">
                    <c:v>2023 </c:v>
                  </c:pt>
                  <c:pt idx="5">
                    <c:v>2024 </c:v>
                  </c:pt>
                  <c:pt idx="6">
                    <c:v>2025 </c:v>
                  </c:pt>
                  <c:pt idx="7">
                    <c:v>2026 </c:v>
                  </c:pt>
                  <c:pt idx="8">
                    <c:v>2027 </c:v>
                  </c:pt>
                </c:lvl>
              </c:multiLvlStrCache>
            </c:multiLvlStrRef>
          </c:cat>
          <c:val>
            <c:numRef>
              <c:f>Sheet1!$D$9:$L$9</c:f>
              <c:numCache>
                <c:formatCode>#,##0.0</c:formatCode>
                <c:ptCount val="9"/>
                <c:pt idx="0">
                  <c:v>25.194740725803367</c:v>
                </c:pt>
                <c:pt idx="1">
                  <c:v>24.198749025657261</c:v>
                </c:pt>
                <c:pt idx="2">
                  <c:v>25.623261513078617</c:v>
                </c:pt>
                <c:pt idx="3">
                  <c:v>25.316013333007476</c:v>
                </c:pt>
                <c:pt idx="4">
                  <c:v>25.887094003396133</c:v>
                </c:pt>
                <c:pt idx="5">
                  <c:v>26.739594563922665</c:v>
                </c:pt>
                <c:pt idx="6">
                  <c:v>27.162549725950363</c:v>
                </c:pt>
                <c:pt idx="7">
                  <c:v>27.353715347117753</c:v>
                </c:pt>
                <c:pt idx="8">
                  <c:v>27.651763025012695</c:v>
                </c:pt>
              </c:numCache>
            </c:numRef>
          </c:val>
          <c:smooth val="0"/>
          <c:extLst>
            <c:ext xmlns:c16="http://schemas.microsoft.com/office/drawing/2014/chart" uri="{C3380CC4-5D6E-409C-BE32-E72D297353CC}">
              <c16:uniqueId val="{00000004-C882-4BA5-AF56-2046C46C0241}"/>
            </c:ext>
          </c:extLst>
        </c:ser>
        <c:ser>
          <c:idx val="3"/>
          <c:order val="3"/>
          <c:tx>
            <c:strRef>
              <c:f>Sheet1!$C$10</c:f>
              <c:strCache>
                <c:ptCount val="1"/>
                <c:pt idx="0">
                  <c:v>Të ardhurat jo tatimore</c:v>
                </c:pt>
              </c:strCache>
            </c:strRef>
          </c:tx>
          <c:spPr>
            <a:ln w="28575" cap="rnd">
              <a:solidFill>
                <a:schemeClr val="accent4"/>
              </a:solidFill>
              <a:round/>
            </a:ln>
            <a:effectLst/>
          </c:spPr>
          <c:marker>
            <c:symbol val="none"/>
          </c:marker>
          <c:cat>
            <c:multiLvlStrRef>
              <c:f>Sheet1!$D$5:$L$6</c:f>
              <c:multiLvlStrCache>
                <c:ptCount val="9"/>
                <c:lvl>
                  <c:pt idx="5">
                    <c:v>I Pritshmi</c:v>
                  </c:pt>
                  <c:pt idx="6">
                    <c:v>PBA</c:v>
                  </c:pt>
                  <c:pt idx="7">
                    <c:v>PBA</c:v>
                  </c:pt>
                  <c:pt idx="8">
                    <c:v>PBA</c:v>
                  </c:pt>
                </c:lvl>
                <c:lvl>
                  <c:pt idx="0">
                    <c:v>2019 </c:v>
                  </c:pt>
                  <c:pt idx="1">
                    <c:v>2020 </c:v>
                  </c:pt>
                  <c:pt idx="2">
                    <c:v>2021 </c:v>
                  </c:pt>
                  <c:pt idx="3">
                    <c:v>2022 </c:v>
                  </c:pt>
                  <c:pt idx="4">
                    <c:v>2023 </c:v>
                  </c:pt>
                  <c:pt idx="5">
                    <c:v>2024 </c:v>
                  </c:pt>
                  <c:pt idx="6">
                    <c:v>2025 </c:v>
                  </c:pt>
                  <c:pt idx="7">
                    <c:v>2026 </c:v>
                  </c:pt>
                  <c:pt idx="8">
                    <c:v>2027 </c:v>
                  </c:pt>
                </c:lvl>
              </c:multiLvlStrCache>
            </c:multiLvlStrRef>
          </c:cat>
          <c:val>
            <c:numRef>
              <c:f>Sheet1!$D$10:$L$10</c:f>
              <c:numCache>
                <c:formatCode>#,##0.0</c:formatCode>
                <c:ptCount val="9"/>
                <c:pt idx="0">
                  <c:v>1.3871394621331279</c:v>
                </c:pt>
                <c:pt idx="1">
                  <c:v>1.1504323516248844</c:v>
                </c:pt>
                <c:pt idx="2">
                  <c:v>1.2008071729160443</c:v>
                </c:pt>
                <c:pt idx="3">
                  <c:v>1.0259303429497606</c:v>
                </c:pt>
                <c:pt idx="4">
                  <c:v>0.97632160197138118</c:v>
                </c:pt>
                <c:pt idx="5">
                  <c:v>1.3686643660786417</c:v>
                </c:pt>
                <c:pt idx="6">
                  <c:v>0.94810246389884478</c:v>
                </c:pt>
                <c:pt idx="7">
                  <c:v>0.90503019917617289</c:v>
                </c:pt>
                <c:pt idx="8">
                  <c:v>0.86614812068495939</c:v>
                </c:pt>
              </c:numCache>
            </c:numRef>
          </c:val>
          <c:smooth val="0"/>
          <c:extLst>
            <c:ext xmlns:c16="http://schemas.microsoft.com/office/drawing/2014/chart" uri="{C3380CC4-5D6E-409C-BE32-E72D297353CC}">
              <c16:uniqueId val="{00000005-C882-4BA5-AF56-2046C46C0241}"/>
            </c:ext>
          </c:extLst>
        </c:ser>
        <c:ser>
          <c:idx val="4"/>
          <c:order val="4"/>
          <c:tx>
            <c:strRef>
              <c:f>Sheet1!$C$11</c:f>
              <c:strCache>
                <c:ptCount val="1"/>
                <c:pt idx="0">
                  <c:v>Shpenzimet totale</c:v>
                </c:pt>
              </c:strCache>
            </c:strRef>
          </c:tx>
          <c:spPr>
            <a:ln w="28575" cap="rnd">
              <a:solidFill>
                <a:schemeClr val="accent5"/>
              </a:solidFill>
              <a:round/>
            </a:ln>
            <a:effectLst/>
          </c:spPr>
          <c:marker>
            <c:symbol val="none"/>
          </c:marker>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882-4BA5-AF56-2046C46C0241}"/>
                </c:ext>
              </c:extLst>
            </c:dLbl>
            <c:dLbl>
              <c:idx val="8"/>
              <c:layout>
                <c:manualLayout>
                  <c:x val="-4.3149946062569005E-3"/>
                  <c:y val="-3.84615384615384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882-4BA5-AF56-2046C46C024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Sheet1!$D$5:$L$6</c:f>
              <c:multiLvlStrCache>
                <c:ptCount val="9"/>
                <c:lvl>
                  <c:pt idx="5">
                    <c:v>I Pritshmi</c:v>
                  </c:pt>
                  <c:pt idx="6">
                    <c:v>PBA</c:v>
                  </c:pt>
                  <c:pt idx="7">
                    <c:v>PBA</c:v>
                  </c:pt>
                  <c:pt idx="8">
                    <c:v>PBA</c:v>
                  </c:pt>
                </c:lvl>
                <c:lvl>
                  <c:pt idx="0">
                    <c:v>2019 </c:v>
                  </c:pt>
                  <c:pt idx="1">
                    <c:v>2020 </c:v>
                  </c:pt>
                  <c:pt idx="2">
                    <c:v>2021 </c:v>
                  </c:pt>
                  <c:pt idx="3">
                    <c:v>2022 </c:v>
                  </c:pt>
                  <c:pt idx="4">
                    <c:v>2023 </c:v>
                  </c:pt>
                  <c:pt idx="5">
                    <c:v>2024 </c:v>
                  </c:pt>
                  <c:pt idx="6">
                    <c:v>2025 </c:v>
                  </c:pt>
                  <c:pt idx="7">
                    <c:v>2026 </c:v>
                  </c:pt>
                  <c:pt idx="8">
                    <c:v>2027 </c:v>
                  </c:pt>
                </c:lvl>
              </c:multiLvlStrCache>
            </c:multiLvlStrRef>
          </c:cat>
          <c:val>
            <c:numRef>
              <c:f>Sheet1!$D$11:$L$11</c:f>
              <c:numCache>
                <c:formatCode>#,##0.0</c:formatCode>
                <c:ptCount val="9"/>
                <c:pt idx="0">
                  <c:v>29.073600430454832</c:v>
                </c:pt>
                <c:pt idx="1">
                  <c:v>32.552415076158539</c:v>
                </c:pt>
                <c:pt idx="2">
                  <c:v>32.124140265018191</c:v>
                </c:pt>
                <c:pt idx="3">
                  <c:v>30.444898097381223</c:v>
                </c:pt>
                <c:pt idx="4">
                  <c:v>29.174121231562623</c:v>
                </c:pt>
                <c:pt idx="5">
                  <c:v>31.149811748254546</c:v>
                </c:pt>
                <c:pt idx="6">
                  <c:v>31.114711150344572</c:v>
                </c:pt>
                <c:pt idx="7">
                  <c:v>30.70612552175162</c:v>
                </c:pt>
                <c:pt idx="8">
                  <c:v>30.167313000353442</c:v>
                </c:pt>
              </c:numCache>
            </c:numRef>
          </c:val>
          <c:smooth val="0"/>
          <c:extLst>
            <c:ext xmlns:c16="http://schemas.microsoft.com/office/drawing/2014/chart" uri="{C3380CC4-5D6E-409C-BE32-E72D297353CC}">
              <c16:uniqueId val="{00000008-C882-4BA5-AF56-2046C46C0241}"/>
            </c:ext>
          </c:extLst>
        </c:ser>
        <c:ser>
          <c:idx val="5"/>
          <c:order val="5"/>
          <c:tx>
            <c:strRef>
              <c:f>Sheet1!$C$12</c:f>
              <c:strCache>
                <c:ptCount val="1"/>
                <c:pt idx="0">
                  <c:v>Deficiti</c:v>
                </c:pt>
              </c:strCache>
            </c:strRef>
          </c:tx>
          <c:spPr>
            <a:ln w="28575" cap="rnd">
              <a:solidFill>
                <a:schemeClr val="accent6"/>
              </a:solidFill>
              <a:round/>
            </a:ln>
            <a:effectLst/>
          </c:spPr>
          <c:marker>
            <c:symbol val="none"/>
          </c:marker>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882-4BA5-AF56-2046C46C0241}"/>
                </c:ext>
              </c:extLst>
            </c:dLbl>
            <c:dLbl>
              <c:idx val="8"/>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882-4BA5-AF56-2046C46C024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Sheet1!$D$5:$L$6</c:f>
              <c:multiLvlStrCache>
                <c:ptCount val="9"/>
                <c:lvl>
                  <c:pt idx="5">
                    <c:v>I Pritshmi</c:v>
                  </c:pt>
                  <c:pt idx="6">
                    <c:v>PBA</c:v>
                  </c:pt>
                  <c:pt idx="7">
                    <c:v>PBA</c:v>
                  </c:pt>
                  <c:pt idx="8">
                    <c:v>PBA</c:v>
                  </c:pt>
                </c:lvl>
                <c:lvl>
                  <c:pt idx="0">
                    <c:v>2019 </c:v>
                  </c:pt>
                  <c:pt idx="1">
                    <c:v>2020 </c:v>
                  </c:pt>
                  <c:pt idx="2">
                    <c:v>2021 </c:v>
                  </c:pt>
                  <c:pt idx="3">
                    <c:v>2022 </c:v>
                  </c:pt>
                  <c:pt idx="4">
                    <c:v>2023 </c:v>
                  </c:pt>
                  <c:pt idx="5">
                    <c:v>2024 </c:v>
                  </c:pt>
                  <c:pt idx="6">
                    <c:v>2025 </c:v>
                  </c:pt>
                  <c:pt idx="7">
                    <c:v>2026 </c:v>
                  </c:pt>
                  <c:pt idx="8">
                    <c:v>2027 </c:v>
                  </c:pt>
                </c:lvl>
              </c:multiLvlStrCache>
            </c:multiLvlStrRef>
          </c:cat>
          <c:val>
            <c:numRef>
              <c:f>Sheet1!$D$12:$L$12</c:f>
              <c:numCache>
                <c:formatCode>#,##0.0</c:formatCode>
                <c:ptCount val="9"/>
                <c:pt idx="0">
                  <c:v>-1.8646779495250378</c:v>
                </c:pt>
                <c:pt idx="1">
                  <c:v>-6.699753453114127</c:v>
                </c:pt>
                <c:pt idx="2">
                  <c:v>-4.5970086106608239</c:v>
                </c:pt>
                <c:pt idx="3">
                  <c:v>-3.6582368434911832</c:v>
                </c:pt>
                <c:pt idx="4">
                  <c:v>-1.3522095050606686</c:v>
                </c:pt>
                <c:pt idx="5">
                  <c:v>-2.3449779523725724</c:v>
                </c:pt>
                <c:pt idx="6">
                  <c:v>-2.3642559596511266</c:v>
                </c:pt>
                <c:pt idx="7">
                  <c:v>-1.8452654281618446</c:v>
                </c:pt>
                <c:pt idx="8">
                  <c:v>-1.0830470426813785</c:v>
                </c:pt>
              </c:numCache>
            </c:numRef>
          </c:val>
          <c:smooth val="0"/>
          <c:extLst>
            <c:ext xmlns:c16="http://schemas.microsoft.com/office/drawing/2014/chart" uri="{C3380CC4-5D6E-409C-BE32-E72D297353CC}">
              <c16:uniqueId val="{0000000B-C882-4BA5-AF56-2046C46C0241}"/>
            </c:ext>
          </c:extLst>
        </c:ser>
        <c:dLbls>
          <c:showLegendKey val="0"/>
          <c:showVal val="0"/>
          <c:showCatName val="0"/>
          <c:showSerName val="0"/>
          <c:showPercent val="0"/>
          <c:showBubbleSize val="0"/>
        </c:dLbls>
        <c:smooth val="0"/>
        <c:axId val="-261149968"/>
        <c:axId val="-261145072"/>
      </c:lineChart>
      <c:catAx>
        <c:axId val="-261149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261145072"/>
        <c:crosses val="autoZero"/>
        <c:auto val="1"/>
        <c:lblAlgn val="ctr"/>
        <c:lblOffset val="100"/>
        <c:noMultiLvlLbl val="0"/>
      </c:catAx>
      <c:valAx>
        <c:axId val="-26114507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261149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'Fiscal Accounts (grafik)'!$AK$7:$AK$9</c:f>
              <c:strCache>
                <c:ptCount val="3"/>
                <c:pt idx="0">
                  <c:v>Të ardhura tatimore</c:v>
                </c:pt>
                <c:pt idx="1">
                  <c:v>Të ardhura jo-tatimore</c:v>
                </c:pt>
                <c:pt idx="2">
                  <c:v>Ndihmat</c:v>
                </c:pt>
              </c:strCache>
            </c:strRef>
          </c:cat>
          <c:val>
            <c:numRef>
              <c:f>'Fiscal Accounts (grafik)'!$AM$7:$AM$9</c:f>
              <c:numCache>
                <c:formatCode>0.0%</c:formatCode>
                <c:ptCount val="3"/>
                <c:pt idx="0">
                  <c:v>0.93045705334249917</c:v>
                </c:pt>
                <c:pt idx="1">
                  <c:v>3.5091823005152421E-2</c:v>
                </c:pt>
                <c:pt idx="2">
                  <c:v>3.4451123652348446E-2</c:v>
                </c:pt>
              </c:numCache>
            </c:numRef>
          </c:val>
          <c:extLst>
            <c:ext xmlns:c16="http://schemas.microsoft.com/office/drawing/2014/chart" uri="{C3380CC4-5D6E-409C-BE32-E72D297353CC}">
              <c16:uniqueId val="{00000000-A665-4516-96BB-D5D66B38C109}"/>
            </c:ext>
          </c:extLst>
        </c:ser>
        <c:dLbls>
          <c:showLegendKey val="0"/>
          <c:showVal val="0"/>
          <c:showCatName val="0"/>
          <c:showSerName val="0"/>
          <c:showPercent val="0"/>
          <c:showBubbleSize val="0"/>
        </c:dLbls>
        <c:gapWidth val="164"/>
        <c:overlap val="-22"/>
        <c:axId val="-261149424"/>
        <c:axId val="-261153232"/>
        <c:extLst>
          <c:ext xmlns:c15="http://schemas.microsoft.com/office/drawing/2012/chart" uri="{02D57815-91ED-43cb-92C2-25804820EDAC}">
            <c15:filteredBarSeries>
              <c15: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cat>
                  <c:strRef>
                    <c:extLst>
                      <c:ext uri="{02D57815-91ED-43cb-92C2-25804820EDAC}">
                        <c15:formulaRef>
                          <c15:sqref>'Fiscal Accounts (grafik)'!$AK$7:$AK$9</c15:sqref>
                        </c15:formulaRef>
                      </c:ext>
                    </c:extLst>
                    <c:strCache>
                      <c:ptCount val="3"/>
                      <c:pt idx="0">
                        <c:v>Të ardhura tatimore</c:v>
                      </c:pt>
                      <c:pt idx="1">
                        <c:v>Të ardhura jo-tatimore</c:v>
                      </c:pt>
                      <c:pt idx="2">
                        <c:v>Ndihmat</c:v>
                      </c:pt>
                    </c:strCache>
                  </c:strRef>
                </c:cat>
                <c:val>
                  <c:numRef>
                    <c:extLst>
                      <c:ext uri="{02D57815-91ED-43cb-92C2-25804820EDAC}">
                        <c15:formulaRef>
                          <c15:sqref>'Fiscal Accounts (grafik)'!$AL$7:$AL$9</c15:sqref>
                        </c15:formulaRef>
                      </c:ext>
                    </c:extLst>
                    <c:numCache>
                      <c:formatCode>General</c:formatCode>
                      <c:ptCount val="3"/>
                    </c:numCache>
                  </c:numRef>
                </c:val>
                <c:extLst>
                  <c:ext xmlns:c16="http://schemas.microsoft.com/office/drawing/2014/chart" uri="{C3380CC4-5D6E-409C-BE32-E72D297353CC}">
                    <c16:uniqueId val="{00000001-A665-4516-96BB-D5D66B38C109}"/>
                  </c:ext>
                </c:extLst>
              </c15:ser>
            </c15:filteredBarSeries>
          </c:ext>
        </c:extLst>
      </c:barChart>
      <c:catAx>
        <c:axId val="-26114942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crossAx val="-261153232"/>
        <c:crosses val="autoZero"/>
        <c:auto val="1"/>
        <c:lblAlgn val="ctr"/>
        <c:lblOffset val="100"/>
        <c:noMultiLvlLbl val="0"/>
      </c:catAx>
      <c:valAx>
        <c:axId val="-261153232"/>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2611494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ck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cat>
            <c:strRef>
              <c:f>'Fiscal Accounts (grafik)'!$AK$11:$AK$13</c:f>
              <c:strCache>
                <c:ptCount val="3"/>
                <c:pt idx="0">
                  <c:v>Nga tatimet dhe doganat</c:v>
                </c:pt>
                <c:pt idx="1">
                  <c:v>Fondet speciale</c:v>
                </c:pt>
                <c:pt idx="2">
                  <c:v>Të ardhura nga pushteti lokal</c:v>
                </c:pt>
              </c:strCache>
            </c:strRef>
          </c:cat>
          <c:val>
            <c:numRef>
              <c:f>'Fiscal Accounts (grafik)'!$AL$11:$AL$13</c:f>
              <c:numCache>
                <c:formatCode>General</c:formatCode>
                <c:ptCount val="3"/>
              </c:numCache>
            </c:numRef>
          </c:val>
          <c:extLst>
            <c:ext xmlns:c16="http://schemas.microsoft.com/office/drawing/2014/chart" uri="{C3380CC4-5D6E-409C-BE32-E72D297353CC}">
              <c16:uniqueId val="{00000000-A830-46E2-AE85-19B1990FF3BB}"/>
            </c:ext>
          </c:extLst>
        </c:ser>
        <c:dLbls>
          <c:showLegendKey val="0"/>
          <c:showVal val="0"/>
          <c:showCatName val="0"/>
          <c:showSerName val="0"/>
          <c:showPercent val="0"/>
          <c:showBubbleSize val="0"/>
        </c:dLbls>
        <c:axId val="-261146704"/>
        <c:axId val="-261146160"/>
      </c:areaChart>
      <c:barChart>
        <c:barDir val="col"/>
        <c:grouping val="clustered"/>
        <c:varyColors val="0"/>
        <c:ser>
          <c:idx val="1"/>
          <c:order val="1"/>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'Fiscal Accounts (grafik)'!$AK$11:$AK$13</c:f>
              <c:strCache>
                <c:ptCount val="3"/>
                <c:pt idx="0">
                  <c:v>Nga tatimet dhe doganat</c:v>
                </c:pt>
                <c:pt idx="1">
                  <c:v>Fondet speciale</c:v>
                </c:pt>
                <c:pt idx="2">
                  <c:v>Të ardhura nga pushteti lokal</c:v>
                </c:pt>
              </c:strCache>
            </c:strRef>
          </c:cat>
          <c:val>
            <c:numRef>
              <c:f>'Fiscal Accounts (grafik)'!$AM$11:$AM$13</c:f>
              <c:numCache>
                <c:formatCode>0.0%</c:formatCode>
                <c:ptCount val="3"/>
                <c:pt idx="0">
                  <c:v>0.7057254333844144</c:v>
                </c:pt>
                <c:pt idx="1">
                  <c:v>0.2413468315915796</c:v>
                </c:pt>
                <c:pt idx="2">
                  <c:v>5.292773502400596E-2</c:v>
                </c:pt>
              </c:numCache>
            </c:numRef>
          </c:val>
          <c:extLst>
            <c:ext xmlns:c16="http://schemas.microsoft.com/office/drawing/2014/chart" uri="{C3380CC4-5D6E-409C-BE32-E72D297353CC}">
              <c16:uniqueId val="{00000001-A830-46E2-AE85-19B1990FF3BB}"/>
            </c:ext>
          </c:extLst>
        </c:ser>
        <c:dLbls>
          <c:showLegendKey val="0"/>
          <c:showVal val="0"/>
          <c:showCatName val="0"/>
          <c:showSerName val="0"/>
          <c:showPercent val="0"/>
          <c:showBubbleSize val="0"/>
        </c:dLbls>
        <c:gapWidth val="219"/>
        <c:overlap val="-27"/>
        <c:axId val="-261146704"/>
        <c:axId val="-261146160"/>
      </c:barChart>
      <c:catAx>
        <c:axId val="-26114670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crossAx val="-261146160"/>
        <c:crosses val="autoZero"/>
        <c:auto val="1"/>
        <c:lblAlgn val="ctr"/>
        <c:lblOffset val="100"/>
        <c:noMultiLvlLbl val="0"/>
      </c:catAx>
      <c:valAx>
        <c:axId val="-261146160"/>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2611467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'Fiscal Accounts (grafik)'!$C$14:$C$25</c:f>
              <c:strCache>
                <c:ptCount val="6"/>
                <c:pt idx="0">
                  <c:v>Tatimi mbi vlerën e shtuar</c:v>
                </c:pt>
                <c:pt idx="1">
                  <c:v>Tatmi mbi fitimin</c:v>
                </c:pt>
                <c:pt idx="2">
                  <c:v>Akcizat</c:v>
                </c:pt>
                <c:pt idx="3">
                  <c:v>Tatimi mbi të ardhurat personale</c:v>
                </c:pt>
                <c:pt idx="4">
                  <c:v>Taksa nacionale dhe të tjera</c:v>
                </c:pt>
                <c:pt idx="5">
                  <c:v>Taksa doganore</c:v>
                </c:pt>
              </c:strCache>
            </c:strRef>
          </c:cat>
          <c:val>
            <c:numRef>
              <c:f>'Fiscal Accounts (grafik)'!$AI$14:$AI$25</c:f>
              <c:numCache>
                <c:formatCode>0.0%</c:formatCode>
                <c:ptCount val="6"/>
                <c:pt idx="0">
                  <c:v>0.45520927726380894</c:v>
                </c:pt>
                <c:pt idx="1">
                  <c:v>0.15284651659402412</c:v>
                </c:pt>
                <c:pt idx="2">
                  <c:v>0.13821332740973508</c:v>
                </c:pt>
                <c:pt idx="3">
                  <c:v>0.13699119472263255</c:v>
                </c:pt>
                <c:pt idx="4">
                  <c:v>9.5121540473233818E-2</c:v>
                </c:pt>
                <c:pt idx="5">
                  <c:v>2.1618143536565698E-2</c:v>
                </c:pt>
              </c:numCache>
            </c:numRef>
          </c:val>
          <c:extLst>
            <c:ext xmlns:c16="http://schemas.microsoft.com/office/drawing/2014/chart" uri="{C3380CC4-5D6E-409C-BE32-E72D297353CC}">
              <c16:uniqueId val="{00000000-5711-4771-B297-635347E0C47D}"/>
            </c:ext>
          </c:extLst>
        </c:ser>
        <c:dLbls>
          <c:dLblPos val="outEnd"/>
          <c:showLegendKey val="0"/>
          <c:showVal val="1"/>
          <c:showCatName val="0"/>
          <c:showSerName val="0"/>
          <c:showPercent val="0"/>
          <c:showBubbleSize val="0"/>
        </c:dLbls>
        <c:gapWidth val="164"/>
        <c:overlap val="-22"/>
        <c:axId val="-261161392"/>
        <c:axId val="-261148880"/>
      </c:barChart>
      <c:catAx>
        <c:axId val="-26116139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q-AL"/>
          </a:p>
        </c:txPr>
        <c:crossAx val="-261148880"/>
        <c:crosses val="autoZero"/>
        <c:auto val="1"/>
        <c:lblAlgn val="ctr"/>
        <c:lblOffset val="100"/>
        <c:noMultiLvlLbl val="0"/>
      </c:catAx>
      <c:valAx>
        <c:axId val="-261148880"/>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26116139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1"/>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'Fiscal Accounts (% of GDP)'!$T$5:$AH$5</c:f>
              <c:numCache>
                <c:formatCode>0_);\(0\)</c:formatCode>
                <c:ptCount val="15"/>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numCache>
            </c:numRef>
          </c:cat>
          <c:val>
            <c:numRef>
              <c:f>'Fiscal Accounts (% of GDP)'!$T$14:$AH$14</c:f>
              <c:numCache>
                <c:formatCode>#,##0.0</c:formatCode>
                <c:ptCount val="15"/>
                <c:pt idx="0">
                  <c:v>9.6213201754005215</c:v>
                </c:pt>
                <c:pt idx="1">
                  <c:v>9.1960153772981563</c:v>
                </c:pt>
                <c:pt idx="2">
                  <c:v>9.1639851975678432</c:v>
                </c:pt>
                <c:pt idx="3">
                  <c:v>8.7433777182211116</c:v>
                </c:pt>
                <c:pt idx="4">
                  <c:v>8.291506567966314</c:v>
                </c:pt>
                <c:pt idx="5">
                  <c:v>8.8675974364447772</c:v>
                </c:pt>
                <c:pt idx="6">
                  <c:v>8.7696038640331935</c:v>
                </c:pt>
                <c:pt idx="7">
                  <c:v>8.9230466716360208</c:v>
                </c:pt>
                <c:pt idx="8">
                  <c:v>8.9988860058529561</c:v>
                </c:pt>
                <c:pt idx="9">
                  <c:v>8.765263875042951</c:v>
                </c:pt>
                <c:pt idx="10">
                  <c:v>7.8261984954200283</c:v>
                </c:pt>
                <c:pt idx="11">
                  <c:v>7.9125532092823763</c:v>
                </c:pt>
                <c:pt idx="12">
                  <c:v>8.7026619711039856</c:v>
                </c:pt>
                <c:pt idx="13">
                  <c:v>8.9514358523825486</c:v>
                </c:pt>
                <c:pt idx="14">
                  <c:v>8.3195954592249244</c:v>
                </c:pt>
              </c:numCache>
            </c:numRef>
          </c:val>
          <c:smooth val="0"/>
          <c:extLst>
            <c:ext xmlns:c16="http://schemas.microsoft.com/office/drawing/2014/chart" uri="{C3380CC4-5D6E-409C-BE32-E72D297353CC}">
              <c16:uniqueId val="{00000000-FAC6-4E48-85F7-A7A09C9BA0B4}"/>
            </c:ext>
          </c:extLst>
        </c:ser>
        <c:dLbls>
          <c:showLegendKey val="0"/>
          <c:showVal val="0"/>
          <c:showCatName val="0"/>
          <c:showSerName val="0"/>
          <c:showPercent val="0"/>
          <c:showBubbleSize val="0"/>
        </c:dLbls>
        <c:smooth val="0"/>
        <c:axId val="-261171728"/>
        <c:axId val="-261148336"/>
        <c:extLst>
          <c:ext xmlns:c15="http://schemas.microsoft.com/office/drawing/2012/chart" uri="{02D57815-91ED-43cb-92C2-25804820EDAC}">
            <c15:filteredLineSeries>
              <c15:ser>
                <c:idx val="0"/>
                <c:order val="0"/>
                <c:spPr>
                  <a:ln w="28575" cap="rnd">
                    <a:solidFill>
                      <a:schemeClr val="accent1"/>
                    </a:solidFill>
                    <a:round/>
                  </a:ln>
                  <a:effectLst/>
                </c:spPr>
                <c:marker>
                  <c:symbol val="none"/>
                </c:marker>
                <c:cat>
                  <c:numRef>
                    <c:extLst>
                      <c:ext uri="{02D57815-91ED-43cb-92C2-25804820EDAC}">
                        <c15:formulaRef>
                          <c15:sqref>'Fiscal Accounts (% of GDP)'!$T$5:$AH$5</c15:sqref>
                        </c15:formulaRef>
                      </c:ext>
                    </c:extLst>
                    <c:numCache>
                      <c:formatCode>0_);\(0\)</c:formatCode>
                      <c:ptCount val="15"/>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numCache>
                  </c:numRef>
                </c:cat>
                <c:val>
                  <c:numRef>
                    <c:extLst>
                      <c:ext uri="{02D57815-91ED-43cb-92C2-25804820EDAC}">
                        <c15:formulaRef>
                          <c15:sqref>'Fiscal Accounts (% of GDP)'!$T$6:$AH$6</c15:sqref>
                        </c15:formulaRef>
                      </c:ext>
                    </c:extLst>
                    <c:numCache>
                      <c:formatCode>General</c:formatCode>
                      <c:ptCount val="15"/>
                    </c:numCache>
                  </c:numRef>
                </c:val>
                <c:smooth val="0"/>
                <c:extLst>
                  <c:ext xmlns:c16="http://schemas.microsoft.com/office/drawing/2014/chart" uri="{C3380CC4-5D6E-409C-BE32-E72D297353CC}">
                    <c16:uniqueId val="{00000001-FAC6-4E48-85F7-A7A09C9BA0B4}"/>
                  </c:ext>
                </c:extLst>
              </c15:ser>
            </c15:filteredLineSeries>
          </c:ext>
        </c:extLst>
      </c:lineChart>
      <c:catAx>
        <c:axId val="-261171728"/>
        <c:scaling>
          <c:orientation val="minMax"/>
        </c:scaling>
        <c:delete val="0"/>
        <c:axPos val="b"/>
        <c:numFmt formatCode="0_);\(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261148336"/>
        <c:crosses val="autoZero"/>
        <c:auto val="1"/>
        <c:lblAlgn val="ctr"/>
        <c:lblOffset val="100"/>
        <c:noMultiLvlLbl val="0"/>
      </c:catAx>
      <c:valAx>
        <c:axId val="-26114833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2611717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cat>
            <c:strRef>
              <c:f>Sheet2!$A$5:$A$30</c:f>
              <c:strCache>
                <c:ptCount val="26"/>
                <c:pt idx="0">
                  <c:v>Tregtia me shumice, me përjashtim të automjeteve motorike dhe motoçikletave</c:v>
                </c:pt>
                <c:pt idx="1">
                  <c:v>Furnizimi me energji elektrike, gaz, avull dhe ajër të kondicionuar</c:v>
                </c:pt>
                <c:pt idx="2">
                  <c:v>Ndertimi I ndertesave</c:v>
                </c:pt>
                <c:pt idx="3">
                  <c:v>Tregtia me pakicë, me përjashtim të automjeteve motorike dhe motoçikletave</c:v>
                </c:pt>
                <c:pt idx="4">
                  <c:v>Telekomunikacionet</c:v>
                </c:pt>
                <c:pt idx="5">
                  <c:v>Programim kompjuterik, konsulencë dhe aktivitete të ngjashme</c:v>
                </c:pt>
                <c:pt idx="6">
                  <c:v>Veprimtari të specializuara të ndërtimit</c:v>
                </c:pt>
                <c:pt idx="7">
                  <c:v>Aktivitete të shërbimeve financiare, me përjashtim të sigurimit dhe fondeve pensionale</c:v>
                </c:pt>
                <c:pt idx="8">
                  <c:v>Aktivitetet e shërbimit të ushqimit dhe pijeve</c:v>
                </c:pt>
                <c:pt idx="9">
                  <c:v>Aktivitetet arkitekturore dhe inxhinierike; testimi dhe analiza teknike</c:v>
                </c:pt>
                <c:pt idx="10">
                  <c:v>Inxhinieria civile</c:v>
                </c:pt>
                <c:pt idx="11">
                  <c:v>Prodhimi i produkteve ushqimore</c:v>
                </c:pt>
                <c:pt idx="12">
                  <c:v>Administrimi publik dhe mbrojtja; sigurimi social i detyrueshëm</c:v>
                </c:pt>
                <c:pt idx="13">
                  <c:v>Aktivitetet ligjore dhe kontabël</c:v>
                </c:pt>
                <c:pt idx="14">
                  <c:v>Tregtia me pakicë e karburantit për automjete në dyqane të specializuar</c:v>
                </c:pt>
                <c:pt idx="15">
                  <c:v>Prodhimi i pijeve</c:v>
                </c:pt>
                <c:pt idx="16">
                  <c:v>Tregtia me shumicë e produkteve të duhanit</c:v>
                </c:pt>
                <c:pt idx="17">
                  <c:v>Prodhimi i produkteve të tjera jo-metalike minerale</c:v>
                </c:pt>
                <c:pt idx="18">
                  <c:v>Tregtia me pakicë e veshjeve në dyqane të specializuara</c:v>
                </c:pt>
                <c:pt idx="19">
                  <c:v>Tregtia me shumicë dhe pakicë dhe riparimi i automjeteve dhe motoçikletave</c:v>
                </c:pt>
                <c:pt idx="20">
                  <c:v>Magazinimi dhe aktivitetet mbështetëse për transport</c:v>
                </c:pt>
                <c:pt idx="21">
                  <c:v>Aktivitete te pasurive te paluajtshme</c:v>
                </c:pt>
                <c:pt idx="22">
                  <c:v>Zyra administrative, suporti i zyrave dhe aktivitete të tjera mbështetëse të biznesit</c:v>
                </c:pt>
                <c:pt idx="23">
                  <c:v>Mbledhja, trajtimi dhe furnizimi me ujë</c:v>
                </c:pt>
                <c:pt idx="24">
                  <c:v>Tregtia me shumicë e artikujve farmaceutike</c:v>
                </c:pt>
                <c:pt idx="25">
                  <c:v>Nxjerrja e naftës së papërpunuar dhe gazit natyror</c:v>
                </c:pt>
              </c:strCache>
            </c:strRef>
          </c:cat>
          <c:val>
            <c:numRef>
              <c:f>Sheet2!$J$5:$J$30</c:f>
              <c:numCache>
                <c:formatCode>0.00%</c:formatCode>
                <c:ptCount val="26"/>
                <c:pt idx="0">
                  <c:v>0.13397854891950112</c:v>
                </c:pt>
                <c:pt idx="1">
                  <c:v>9.7398981045258182E-2</c:v>
                </c:pt>
                <c:pt idx="2">
                  <c:v>8.8642700424796411E-2</c:v>
                </c:pt>
                <c:pt idx="3">
                  <c:v>5.3752809255393559E-2</c:v>
                </c:pt>
                <c:pt idx="4">
                  <c:v>4.2851525394498546E-2</c:v>
                </c:pt>
                <c:pt idx="5">
                  <c:v>4.0482597631909756E-2</c:v>
                </c:pt>
                <c:pt idx="6">
                  <c:v>3.7248362672110326E-2</c:v>
                </c:pt>
                <c:pt idx="7">
                  <c:v>3.500475230094429E-2</c:v>
                </c:pt>
                <c:pt idx="8">
                  <c:v>2.9327130464894567E-2</c:v>
                </c:pt>
                <c:pt idx="9">
                  <c:v>2.4136382075039067E-2</c:v>
                </c:pt>
                <c:pt idx="10">
                  <c:v>2.3922908841133694E-2</c:v>
                </c:pt>
                <c:pt idx="11">
                  <c:v>2.3716153301079561E-2</c:v>
                </c:pt>
                <c:pt idx="12">
                  <c:v>2.1821113903190859E-2</c:v>
                </c:pt>
                <c:pt idx="13">
                  <c:v>1.7689438456114641E-2</c:v>
                </c:pt>
                <c:pt idx="14">
                  <c:v>1.4688635860684585E-2</c:v>
                </c:pt>
                <c:pt idx="15">
                  <c:v>1.4455397864102314E-2</c:v>
                </c:pt>
                <c:pt idx="16">
                  <c:v>1.4453228939729362E-2</c:v>
                </c:pt>
                <c:pt idx="17">
                  <c:v>1.4364626900536972E-2</c:v>
                </c:pt>
                <c:pt idx="18">
                  <c:v>1.3853751051461926E-2</c:v>
                </c:pt>
                <c:pt idx="19">
                  <c:v>1.3677722548307016E-2</c:v>
                </c:pt>
                <c:pt idx="20">
                  <c:v>1.2096085552240525E-2</c:v>
                </c:pt>
                <c:pt idx="21">
                  <c:v>1.1597088697314597E-2</c:v>
                </c:pt>
                <c:pt idx="22">
                  <c:v>1.1398142497736231E-2</c:v>
                </c:pt>
                <c:pt idx="23">
                  <c:v>1.1251241804307513E-2</c:v>
                </c:pt>
                <c:pt idx="24">
                  <c:v>1.0516298304702005E-2</c:v>
                </c:pt>
                <c:pt idx="25">
                  <c:v>1.0489667762536702E-2</c:v>
                </c:pt>
              </c:numCache>
            </c:numRef>
          </c:val>
          <c:extLst>
            <c:ext xmlns:c16="http://schemas.microsoft.com/office/drawing/2014/chart" uri="{C3380CC4-5D6E-409C-BE32-E72D297353CC}">
              <c16:uniqueId val="{00000000-B51F-4D3B-AF81-97B619865A0C}"/>
            </c:ext>
          </c:extLst>
        </c:ser>
        <c:dLbls>
          <c:showLegendKey val="0"/>
          <c:showVal val="0"/>
          <c:showCatName val="0"/>
          <c:showSerName val="0"/>
          <c:showPercent val="0"/>
          <c:showBubbleSize val="0"/>
        </c:dLbls>
        <c:gapWidth val="0"/>
        <c:axId val="-261159760"/>
        <c:axId val="-261154320"/>
      </c:barChart>
      <c:catAx>
        <c:axId val="-2611597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baseline="0">
                <a:solidFill>
                  <a:schemeClr val="tx1">
                    <a:lumMod val="65000"/>
                    <a:lumOff val="35000"/>
                  </a:schemeClr>
                </a:solidFill>
                <a:latin typeface="Garamond" panose="02020404030301010803" pitchFamily="18" charset="0"/>
                <a:ea typeface="+mn-ea"/>
                <a:cs typeface="+mn-cs"/>
              </a:defRPr>
            </a:pPr>
            <a:endParaRPr lang="sq-AL"/>
          </a:p>
        </c:txPr>
        <c:crossAx val="-261154320"/>
        <c:crosses val="autoZero"/>
        <c:auto val="1"/>
        <c:lblAlgn val="ctr"/>
        <c:lblOffset val="100"/>
        <c:noMultiLvlLbl val="0"/>
      </c:catAx>
      <c:valAx>
        <c:axId val="-2611543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Garamond" panose="02020404030301010803" pitchFamily="18" charset="0"/>
                <a:ea typeface="+mn-ea"/>
                <a:cs typeface="+mn-cs"/>
              </a:defRPr>
            </a:pPr>
            <a:endParaRPr lang="sq-AL"/>
          </a:p>
        </c:txPr>
        <c:crossAx val="-2611597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'sek ndertimi'!$S$21</c:f>
              <c:strCache>
                <c:ptCount val="1"/>
                <c:pt idx="0">
                  <c:v> Pagese TVSH </c:v>
                </c:pt>
              </c:strCache>
            </c:strRef>
          </c:tx>
          <c:spPr>
            <a:solidFill>
              <a:schemeClr val="accent1"/>
            </a:solidFill>
            <a:ln>
              <a:noFill/>
            </a:ln>
            <a:effectLst/>
          </c:spPr>
          <c:invertIfNegative val="0"/>
          <c:cat>
            <c:strRef>
              <c:f>'sek ndertimi'!$R$22:$R$33</c:f>
              <c:strCache>
                <c:ptCount val="12"/>
                <c:pt idx="0">
                  <c:v>0-2 milion</c:v>
                </c:pt>
                <c:pt idx="1">
                  <c:v>2-5 milion</c:v>
                </c:pt>
                <c:pt idx="2">
                  <c:v>5-8 milion</c:v>
                </c:pt>
                <c:pt idx="3">
                  <c:v>8-9 milion</c:v>
                </c:pt>
                <c:pt idx="4">
                  <c:v>9-10 milion</c:v>
                </c:pt>
                <c:pt idx="5">
                  <c:v>10-11 milion</c:v>
                </c:pt>
                <c:pt idx="6">
                  <c:v>11-12 milion</c:v>
                </c:pt>
                <c:pt idx="7">
                  <c:v>12-15 milion</c:v>
                </c:pt>
                <c:pt idx="8">
                  <c:v>15-20 milion</c:v>
                </c:pt>
                <c:pt idx="9">
                  <c:v>20-30 milion</c:v>
                </c:pt>
                <c:pt idx="10">
                  <c:v>30-50 milion</c:v>
                </c:pt>
                <c:pt idx="11">
                  <c:v>mbi 50 milion</c:v>
                </c:pt>
              </c:strCache>
            </c:strRef>
          </c:cat>
          <c:val>
            <c:numRef>
              <c:f>'sek ndertimi'!$S$22:$S$33</c:f>
              <c:numCache>
                <c:formatCode>_(* #,##0_);_(* \(#,##0\);_(* "-"??_);_(@_)</c:formatCode>
                <c:ptCount val="12"/>
                <c:pt idx="0">
                  <c:v>133377659</c:v>
                </c:pt>
                <c:pt idx="1">
                  <c:v>68709673</c:v>
                </c:pt>
                <c:pt idx="2">
                  <c:v>113125656</c:v>
                </c:pt>
                <c:pt idx="3">
                  <c:v>30263358</c:v>
                </c:pt>
                <c:pt idx="4">
                  <c:v>46597454</c:v>
                </c:pt>
                <c:pt idx="5">
                  <c:v>43912511</c:v>
                </c:pt>
                <c:pt idx="6">
                  <c:v>48781534</c:v>
                </c:pt>
                <c:pt idx="7">
                  <c:v>176796398</c:v>
                </c:pt>
                <c:pt idx="8">
                  <c:v>139063557</c:v>
                </c:pt>
                <c:pt idx="9">
                  <c:v>278265070</c:v>
                </c:pt>
                <c:pt idx="10">
                  <c:v>479491128</c:v>
                </c:pt>
                <c:pt idx="11">
                  <c:v>8867899228</c:v>
                </c:pt>
              </c:numCache>
            </c:numRef>
          </c:val>
          <c:extLst>
            <c:ext xmlns:c16="http://schemas.microsoft.com/office/drawing/2014/chart" uri="{C3380CC4-5D6E-409C-BE32-E72D297353CC}">
              <c16:uniqueId val="{00000000-C9C4-4A26-866B-896B4D8EB671}"/>
            </c:ext>
          </c:extLst>
        </c:ser>
        <c:dLbls>
          <c:showLegendKey val="0"/>
          <c:showVal val="0"/>
          <c:showCatName val="0"/>
          <c:showSerName val="0"/>
          <c:showPercent val="0"/>
          <c:showBubbleSize val="0"/>
        </c:dLbls>
        <c:gapWidth val="219"/>
        <c:overlap val="-27"/>
        <c:axId val="-261170640"/>
        <c:axId val="-261147792"/>
      </c:barChart>
      <c:catAx>
        <c:axId val="-261170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Garamond" panose="02020404030301010803" pitchFamily="18" charset="0"/>
                <a:ea typeface="+mn-ea"/>
                <a:cs typeface="+mn-cs"/>
              </a:defRPr>
            </a:pPr>
            <a:endParaRPr lang="sq-AL"/>
          </a:p>
        </c:txPr>
        <c:crossAx val="-261147792"/>
        <c:crosses val="autoZero"/>
        <c:auto val="1"/>
        <c:lblAlgn val="ctr"/>
        <c:lblOffset val="100"/>
        <c:noMultiLvlLbl val="0"/>
      </c:catAx>
      <c:valAx>
        <c:axId val="-261147792"/>
        <c:scaling>
          <c:orientation val="minMax"/>
        </c:scaling>
        <c:delete val="0"/>
        <c:axPos val="l"/>
        <c:majorGridlines>
          <c:spPr>
            <a:ln w="9525" cap="flat" cmpd="sng" algn="ctr">
              <a:solidFill>
                <a:schemeClr val="tx1">
                  <a:lumMod val="15000"/>
                  <a:lumOff val="85000"/>
                </a:schemeClr>
              </a:solidFill>
              <a:round/>
            </a:ln>
            <a:effectLst/>
          </c:spPr>
        </c:majorGridlines>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Garamond" panose="02020404030301010803" pitchFamily="18" charset="0"/>
                <a:ea typeface="+mn-ea"/>
                <a:cs typeface="+mn-cs"/>
              </a:defRPr>
            </a:pPr>
            <a:endParaRPr lang="sq-AL"/>
          </a:p>
        </c:txPr>
        <c:crossAx val="-261170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Garamond" panose="02020404030301010803" pitchFamily="18" charset="0"/>
        </a:defRPr>
      </a:pPr>
      <a:endParaRPr lang="sq-A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2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cap="flat" cmpd="sng" algn="ctr">
        <a:solidFill>
          <a:schemeClr val="tx1">
            <a:lumMod val="65000"/>
            <a:lumOff val="35000"/>
          </a:schemeClr>
        </a:solidFill>
        <a:round/>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15875" cap="flat" cmpd="sng" algn="ctr">
        <a:solidFill>
          <a:schemeClr val="tx1">
            <a:lumMod val="65000"/>
            <a:lumOff val="3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847</Nr_x002e__x0020_akti>
    <Data_x0020_e_x0020_Krijimit xmlns="0e656187-b300-4fb0-8bf4-3a50f872073c">2024-12-30T09:18:32Z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2024-12-27T00:00:00Z</Date_x0020_protokolli>
    <Titulli xmlns="0e656187-b300-4fb0-8bf4-3a50f872073c">Për miratimin e Strategjisë Afatmesme të të Ardhurave dhe Planit të Veprimit 2024-2027</Titulli>
    <Modifikuesi xmlns="0e656187-b300-4fb0-8bf4-3a50f872073c">Amarilda.Muja</Modifikuesi>
    <Nr_x002e__x0020_prot_x0020_QBZ xmlns="0e656187-b300-4fb0-8bf4-3a50f872073c">2245</Nr_x002e__x0020_prot_x0020_QBZ>
    <Data_x0020_e_x0020_Modifikimit xmlns="0e656187-b300-4fb0-8bf4-3a50f872073c">2025-01-09T14:05:51Z</Data_x0020_e_x0020_Modifikimit>
    <Dekretuar xmlns="0e656187-b300-4fb0-8bf4-3a50f872073c">false</Dekretuar>
    <Data xmlns="0e656187-b300-4fb0-8bf4-3a50f872073c">2024-12-26T00:00:00Z</Data>
    <Nr_x002e__x0020_protokolli_x0020_i_x0020_aktit xmlns="0e656187-b300-4fb0-8bf4-3a50f872073c">6897/2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86D9B9BD8A741DC8E6879F47B03EBE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86D9B9BD8A741DC8E6879F47B03EBE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52981-EF97-4191-8E34-4730F0F6416C}">
  <ds:schemaRefs>
    <ds:schemaRef ds:uri="http://schemas.microsoft.com/office/2006/documentManagement/types"/>
    <ds:schemaRef ds:uri="http://schemas.openxmlformats.org/package/2006/metadata/core-properties"/>
    <ds:schemaRef ds:uri="0e656187-b300-4fb0-8bf4-3a50f872073c"/>
    <ds:schemaRef ds:uri="http://purl.org/dc/terms/"/>
    <ds:schemaRef ds:uri="http://purl.org/dc/dcmitype/"/>
    <ds:schemaRef ds:uri="http://purl.org/dc/elements/1.1/"/>
    <ds:schemaRef ds:uri="http://www.w3.org/XML/1998/namespace"/>
    <ds:schemaRef ds:uri="http://schemas.microsoft.com/office/2006/metadata/properties"/>
  </ds:schemaRefs>
</ds:datastoreItem>
</file>

<file path=customXml/itemProps2.xml><?xml version="1.0" encoding="utf-8"?>
<ds:datastoreItem xmlns:ds="http://schemas.openxmlformats.org/officeDocument/2006/customXml" ds:itemID="{FF8BB9B3-1CA8-420C-B2C3-C0EB55EFB2D9}">
  <ds:schemaRefs>
    <ds:schemaRef ds:uri="http://schemas.microsoft.com/sharepoint/v3/contenttype/forms"/>
  </ds:schemaRefs>
</ds:datastoreItem>
</file>

<file path=customXml/itemProps3.xml><?xml version="1.0" encoding="utf-8"?>
<ds:datastoreItem xmlns:ds="http://schemas.openxmlformats.org/officeDocument/2006/customXml" ds:itemID="{4C766F9D-8F05-489C-AEA5-BBEE2F2B5A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C186AB6-8884-4C96-AA38-C929E0C38663}">
  <ds:schemaRefs>
    <ds:schemaRef ds:uri="http://schemas.microsoft.com/sharepoint/v3/contenttype/forms"/>
  </ds:schemaRefs>
</ds:datastoreItem>
</file>

<file path=customXml/itemProps5.xml><?xml version="1.0" encoding="utf-8"?>
<ds:datastoreItem xmlns:ds="http://schemas.openxmlformats.org/officeDocument/2006/customXml" ds:itemID="{BDB75FE6-F5F0-425C-AE2E-D26B02506C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455EB29-F019-4736-87BD-EEFC7F5F4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882</TotalTime>
  <Pages>88</Pages>
  <Words>45713</Words>
  <Characters>260567</Characters>
  <Application>Microsoft Office Word</Application>
  <DocSecurity>0</DocSecurity>
  <Lines>2171</Lines>
  <Paragraphs>611</Paragraphs>
  <ScaleCrop>false</ScaleCrop>
  <HeadingPairs>
    <vt:vector size="2" baseType="variant">
      <vt:variant>
        <vt:lpstr>Title</vt:lpstr>
      </vt:variant>
      <vt:variant>
        <vt:i4>1</vt:i4>
      </vt:variant>
    </vt:vector>
  </HeadingPairs>
  <TitlesOfParts>
    <vt:vector size="1" baseType="lpstr">
      <vt:lpstr>Për miratimin e Strategjisë Afatmesme të të Ardhurave dhe Planit të Veprimit 2024-2027</vt:lpstr>
    </vt:vector>
  </TitlesOfParts>
  <Company/>
  <LinksUpToDate>false</LinksUpToDate>
  <CharactersWithSpaces>305669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Afatmesme të të Ardhurave dhe Planit të Veprimit 2024-2027</dc:title>
  <dc:creator>Nevila Samarxhi</dc:creator>
  <cp:lastModifiedBy>Ermira Bukaci</cp:lastModifiedBy>
  <cp:revision>108</cp:revision>
  <dcterms:created xsi:type="dcterms:W3CDTF">2025-01-06T10:20:00Z</dcterms:created>
  <dcterms:modified xsi:type="dcterms:W3CDTF">2025-01-09T15:13:00Z</dcterms:modified>
</cp:coreProperties>
</file>