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D3CBB" w14:textId="77777777" w:rsidR="005A19D3" w:rsidRPr="00EE038F" w:rsidRDefault="00D8036D" w:rsidP="00B6191B">
      <w:pPr>
        <w:spacing w:after="0" w:line="240" w:lineRule="auto"/>
        <w:ind w:firstLine="284"/>
        <w:jc w:val="center"/>
        <w:rPr>
          <w:rFonts w:ascii="Garamond" w:hAnsi="Garamond" w:cs="Times New Roman"/>
          <w:b/>
          <w:sz w:val="24"/>
          <w:szCs w:val="24"/>
        </w:rPr>
      </w:pPr>
      <w:r w:rsidRPr="00EE038F">
        <w:rPr>
          <w:rFonts w:ascii="Garamond" w:hAnsi="Garamond" w:cs="Times New Roman"/>
          <w:b/>
          <w:sz w:val="24"/>
          <w:szCs w:val="24"/>
        </w:rPr>
        <w:t>VENDIM</w:t>
      </w:r>
    </w:p>
    <w:p w14:paraId="596F7320" w14:textId="77777777" w:rsidR="002E6AA0" w:rsidRPr="00EE038F" w:rsidRDefault="00343B9D" w:rsidP="00B6191B">
      <w:pPr>
        <w:pStyle w:val="Style5"/>
        <w:ind w:firstLine="284"/>
        <w:rPr>
          <w:rFonts w:ascii="Garamond" w:hAnsi="Garamond"/>
          <w:szCs w:val="24"/>
          <w:lang w:val="sq-AL"/>
        </w:rPr>
      </w:pPr>
      <w:r w:rsidRPr="00EE038F">
        <w:rPr>
          <w:rFonts w:ascii="Garamond" w:hAnsi="Garamond"/>
          <w:szCs w:val="24"/>
          <w:lang w:val="sq-AL"/>
        </w:rPr>
        <w:t>Nr.</w:t>
      </w:r>
      <w:r w:rsidR="00D8036D" w:rsidRPr="00EE038F">
        <w:rPr>
          <w:rFonts w:ascii="Garamond" w:hAnsi="Garamond"/>
          <w:szCs w:val="24"/>
          <w:lang w:val="sq-AL"/>
        </w:rPr>
        <w:t xml:space="preserve"> 46</w:t>
      </w:r>
      <w:r w:rsidR="00AF0575" w:rsidRPr="00EE038F">
        <w:rPr>
          <w:rFonts w:ascii="Garamond" w:hAnsi="Garamond"/>
          <w:szCs w:val="24"/>
          <w:lang w:val="sq-AL"/>
        </w:rPr>
        <w:t xml:space="preserve">, </w:t>
      </w:r>
      <w:r w:rsidR="001A5A6C" w:rsidRPr="00EE038F">
        <w:rPr>
          <w:rFonts w:ascii="Garamond" w:hAnsi="Garamond"/>
          <w:szCs w:val="24"/>
          <w:lang w:val="sq-AL"/>
        </w:rPr>
        <w:t>d</w:t>
      </w:r>
      <w:r w:rsidR="00AF0575" w:rsidRPr="00EE038F">
        <w:rPr>
          <w:rFonts w:ascii="Garamond" w:hAnsi="Garamond"/>
          <w:szCs w:val="24"/>
          <w:lang w:val="sq-AL"/>
        </w:rPr>
        <w:t xml:space="preserve">atë </w:t>
      </w:r>
      <w:r w:rsidR="00D8036D" w:rsidRPr="00EE038F">
        <w:rPr>
          <w:rFonts w:ascii="Garamond" w:hAnsi="Garamond"/>
          <w:szCs w:val="24"/>
          <w:lang w:val="sq-AL"/>
        </w:rPr>
        <w:t>22.1.2025</w:t>
      </w:r>
    </w:p>
    <w:p w14:paraId="23A07E60" w14:textId="77777777" w:rsidR="005A19D3" w:rsidRPr="00EE038F" w:rsidRDefault="005A19D3" w:rsidP="00B6191B">
      <w:pPr>
        <w:pStyle w:val="Style5"/>
        <w:ind w:firstLine="284"/>
        <w:rPr>
          <w:rFonts w:ascii="Garamond" w:hAnsi="Garamond"/>
          <w:b w:val="0"/>
          <w:szCs w:val="24"/>
          <w:lang w:val="sq-AL"/>
        </w:rPr>
      </w:pPr>
    </w:p>
    <w:p w14:paraId="7E1905E1" w14:textId="77777777" w:rsidR="001E0EC2" w:rsidRPr="00EE038F" w:rsidRDefault="002E6AA0" w:rsidP="00B6191B">
      <w:pPr>
        <w:spacing w:after="0" w:line="240" w:lineRule="auto"/>
        <w:ind w:firstLine="284"/>
        <w:jc w:val="center"/>
        <w:rPr>
          <w:rFonts w:ascii="Garamond" w:hAnsi="Garamond" w:cs="Times New Roman"/>
          <w:b/>
          <w:sz w:val="24"/>
          <w:szCs w:val="24"/>
        </w:rPr>
      </w:pPr>
      <w:r w:rsidRPr="00EE038F">
        <w:rPr>
          <w:rFonts w:ascii="Garamond" w:hAnsi="Garamond" w:cs="Times New Roman"/>
          <w:b/>
          <w:sz w:val="24"/>
          <w:szCs w:val="24"/>
        </w:rPr>
        <w:t>PËR</w:t>
      </w:r>
      <w:r w:rsidR="00003930" w:rsidRPr="00EE038F">
        <w:rPr>
          <w:rFonts w:ascii="Garamond" w:hAnsi="Garamond" w:cs="Times New Roman"/>
          <w:b/>
          <w:sz w:val="24"/>
          <w:szCs w:val="24"/>
        </w:rPr>
        <w:t xml:space="preserve"> </w:t>
      </w:r>
      <w:r w:rsidR="00343B9D" w:rsidRPr="00EE038F">
        <w:rPr>
          <w:rFonts w:ascii="Garamond" w:hAnsi="Garamond" w:cs="Times New Roman"/>
          <w:b/>
          <w:sz w:val="24"/>
          <w:szCs w:val="24"/>
        </w:rPr>
        <w:t>MIRATIMIN E PROGRAMIT T</w:t>
      </w:r>
      <w:r w:rsidRPr="00EE038F">
        <w:rPr>
          <w:rFonts w:ascii="Garamond" w:hAnsi="Garamond" w:cs="Times New Roman"/>
          <w:b/>
          <w:sz w:val="24"/>
          <w:szCs w:val="24"/>
        </w:rPr>
        <w:t>Ë</w:t>
      </w:r>
      <w:r w:rsidR="00343B9D" w:rsidRPr="00EE038F">
        <w:rPr>
          <w:rFonts w:ascii="Garamond" w:hAnsi="Garamond" w:cs="Times New Roman"/>
          <w:b/>
          <w:sz w:val="24"/>
          <w:szCs w:val="24"/>
        </w:rPr>
        <w:t xml:space="preserve"> REFORMAVE EKONOMIKE (ERP) </w:t>
      </w:r>
    </w:p>
    <w:p w14:paraId="5F1CE3FE" w14:textId="6FFDFE7D" w:rsidR="002E6AA0" w:rsidRPr="00EE038F" w:rsidRDefault="00343B9D" w:rsidP="00B6191B">
      <w:pPr>
        <w:spacing w:after="0" w:line="240" w:lineRule="auto"/>
        <w:ind w:firstLine="284"/>
        <w:jc w:val="center"/>
        <w:rPr>
          <w:rFonts w:ascii="Garamond" w:hAnsi="Garamond" w:cs="Times New Roman"/>
          <w:b/>
          <w:sz w:val="24"/>
          <w:szCs w:val="24"/>
        </w:rPr>
      </w:pPr>
      <w:r w:rsidRPr="00EE038F">
        <w:rPr>
          <w:rFonts w:ascii="Garamond" w:hAnsi="Garamond" w:cs="Times New Roman"/>
          <w:b/>
          <w:sz w:val="24"/>
          <w:szCs w:val="24"/>
        </w:rPr>
        <w:t>202</w:t>
      </w:r>
      <w:r w:rsidR="00AF0575" w:rsidRPr="00EE038F">
        <w:rPr>
          <w:rFonts w:ascii="Garamond" w:hAnsi="Garamond" w:cs="Times New Roman"/>
          <w:b/>
          <w:sz w:val="24"/>
          <w:szCs w:val="24"/>
        </w:rPr>
        <w:t>5</w:t>
      </w:r>
      <w:r w:rsidR="001E0EC2" w:rsidRPr="00EE038F">
        <w:rPr>
          <w:rFonts w:ascii="Garamond" w:hAnsi="Garamond" w:cs="Times New Roman"/>
          <w:b/>
          <w:sz w:val="24"/>
          <w:szCs w:val="24"/>
        </w:rPr>
        <w:t>–</w:t>
      </w:r>
      <w:r w:rsidRPr="00EE038F">
        <w:rPr>
          <w:rFonts w:ascii="Garamond" w:hAnsi="Garamond" w:cs="Times New Roman"/>
          <w:b/>
          <w:sz w:val="24"/>
          <w:szCs w:val="24"/>
        </w:rPr>
        <w:t>202</w:t>
      </w:r>
      <w:r w:rsidR="00AF0575" w:rsidRPr="00EE038F">
        <w:rPr>
          <w:rFonts w:ascii="Garamond" w:hAnsi="Garamond" w:cs="Times New Roman"/>
          <w:b/>
          <w:sz w:val="24"/>
          <w:szCs w:val="24"/>
        </w:rPr>
        <w:t>7</w:t>
      </w:r>
    </w:p>
    <w:p w14:paraId="72636D2C" w14:textId="77777777" w:rsidR="002E6AA0" w:rsidRPr="00EE038F" w:rsidRDefault="002E6AA0" w:rsidP="00B6191B">
      <w:pPr>
        <w:spacing w:after="0" w:line="240" w:lineRule="auto"/>
        <w:ind w:firstLine="284"/>
        <w:jc w:val="center"/>
        <w:rPr>
          <w:rFonts w:ascii="Garamond" w:hAnsi="Garamond" w:cs="Times New Roman"/>
          <w:b/>
          <w:sz w:val="24"/>
          <w:szCs w:val="24"/>
        </w:rPr>
      </w:pPr>
    </w:p>
    <w:p w14:paraId="6B603262" w14:textId="77777777" w:rsidR="002E6AA0" w:rsidRPr="00EE038F" w:rsidRDefault="002E6AA0" w:rsidP="00B6191B">
      <w:pPr>
        <w:spacing w:after="0" w:line="240" w:lineRule="auto"/>
        <w:ind w:firstLine="284"/>
        <w:jc w:val="both"/>
        <w:rPr>
          <w:rFonts w:ascii="Garamond" w:hAnsi="Garamond" w:cs="Times New Roman"/>
          <w:sz w:val="24"/>
          <w:szCs w:val="24"/>
        </w:rPr>
      </w:pPr>
      <w:r w:rsidRPr="00EE038F">
        <w:rPr>
          <w:rFonts w:ascii="Garamond" w:hAnsi="Garamond" w:cs="Times New Roman"/>
          <w:sz w:val="24"/>
          <w:szCs w:val="24"/>
        </w:rPr>
        <w:t xml:space="preserve">Në mbështetje të nenit 100 </w:t>
      </w:r>
      <w:r w:rsidR="001C50FF" w:rsidRPr="00EE038F">
        <w:rPr>
          <w:rFonts w:ascii="Garamond" w:hAnsi="Garamond" w:cs="Times New Roman"/>
          <w:sz w:val="24"/>
          <w:szCs w:val="24"/>
        </w:rPr>
        <w:t xml:space="preserve">të Kushtetutës, </w:t>
      </w:r>
      <w:r w:rsidRPr="00EE038F">
        <w:rPr>
          <w:rFonts w:ascii="Garamond" w:hAnsi="Garamond" w:cs="Times New Roman"/>
          <w:sz w:val="24"/>
          <w:szCs w:val="24"/>
        </w:rPr>
        <w:t>me propozim</w:t>
      </w:r>
      <w:r w:rsidR="00357691" w:rsidRPr="00EE038F">
        <w:rPr>
          <w:rFonts w:ascii="Garamond" w:hAnsi="Garamond" w:cs="Times New Roman"/>
          <w:sz w:val="24"/>
          <w:szCs w:val="24"/>
        </w:rPr>
        <w:t>in</w:t>
      </w:r>
      <w:r w:rsidRPr="00EE038F">
        <w:rPr>
          <w:rFonts w:ascii="Garamond" w:hAnsi="Garamond" w:cs="Times New Roman"/>
          <w:sz w:val="24"/>
          <w:szCs w:val="24"/>
        </w:rPr>
        <w:t xml:space="preserve"> </w:t>
      </w:r>
      <w:r w:rsidR="00357691" w:rsidRPr="00EE038F">
        <w:rPr>
          <w:rFonts w:ascii="Garamond" w:hAnsi="Garamond" w:cs="Times New Roman"/>
          <w:sz w:val="24"/>
          <w:szCs w:val="24"/>
        </w:rPr>
        <w:t>e</w:t>
      </w:r>
      <w:r w:rsidRPr="00EE038F">
        <w:rPr>
          <w:rFonts w:ascii="Garamond" w:hAnsi="Garamond" w:cs="Times New Roman"/>
          <w:sz w:val="24"/>
          <w:szCs w:val="24"/>
        </w:rPr>
        <w:t xml:space="preserve"> </w:t>
      </w:r>
      <w:r w:rsidR="009263EE" w:rsidRPr="00EE038F">
        <w:rPr>
          <w:rFonts w:ascii="Garamond" w:hAnsi="Garamond" w:cs="Times New Roman"/>
          <w:sz w:val="24"/>
          <w:szCs w:val="24"/>
        </w:rPr>
        <w:t>m</w:t>
      </w:r>
      <w:r w:rsidRPr="00EE038F">
        <w:rPr>
          <w:rFonts w:ascii="Garamond" w:hAnsi="Garamond" w:cs="Times New Roman"/>
          <w:sz w:val="24"/>
          <w:szCs w:val="24"/>
        </w:rPr>
        <w:t>in</w:t>
      </w:r>
      <w:r w:rsidR="0081055A" w:rsidRPr="00EE038F">
        <w:rPr>
          <w:rFonts w:ascii="Garamond" w:hAnsi="Garamond" w:cs="Times New Roman"/>
          <w:sz w:val="24"/>
          <w:szCs w:val="24"/>
        </w:rPr>
        <w:t>istrit të Financave</w:t>
      </w:r>
      <w:r w:rsidRPr="00EE038F">
        <w:rPr>
          <w:rFonts w:ascii="Garamond" w:hAnsi="Garamond" w:cs="Times New Roman"/>
          <w:sz w:val="24"/>
          <w:szCs w:val="24"/>
        </w:rPr>
        <w:t>, Këshilli i Ministrave</w:t>
      </w:r>
    </w:p>
    <w:p w14:paraId="6479CE1D" w14:textId="77777777" w:rsidR="002E6AA0" w:rsidRPr="00EE038F" w:rsidRDefault="002E6AA0" w:rsidP="00B6191B">
      <w:pPr>
        <w:spacing w:after="0" w:line="240" w:lineRule="auto"/>
        <w:ind w:firstLine="284"/>
        <w:jc w:val="both"/>
        <w:rPr>
          <w:rFonts w:ascii="Garamond" w:hAnsi="Garamond" w:cs="Times New Roman"/>
          <w:sz w:val="24"/>
          <w:szCs w:val="24"/>
        </w:rPr>
      </w:pPr>
    </w:p>
    <w:p w14:paraId="2FE519C2" w14:textId="77777777" w:rsidR="002E6AA0" w:rsidRPr="00EE038F" w:rsidRDefault="00003930" w:rsidP="00B6191B">
      <w:pPr>
        <w:spacing w:after="0" w:line="240" w:lineRule="auto"/>
        <w:ind w:firstLine="284"/>
        <w:jc w:val="center"/>
        <w:rPr>
          <w:rFonts w:ascii="Garamond" w:hAnsi="Garamond" w:cs="Times New Roman"/>
          <w:sz w:val="24"/>
          <w:szCs w:val="24"/>
        </w:rPr>
      </w:pPr>
      <w:r w:rsidRPr="00EE038F">
        <w:rPr>
          <w:rFonts w:ascii="Garamond" w:hAnsi="Garamond" w:cs="Times New Roman"/>
          <w:sz w:val="24"/>
          <w:szCs w:val="24"/>
        </w:rPr>
        <w:t>VENDOSI:</w:t>
      </w:r>
    </w:p>
    <w:p w14:paraId="0319FE8C" w14:textId="77777777" w:rsidR="00B914B8" w:rsidRPr="00EE038F" w:rsidRDefault="00B914B8" w:rsidP="00B6191B">
      <w:pPr>
        <w:spacing w:after="0" w:line="240" w:lineRule="auto"/>
        <w:ind w:firstLine="284"/>
        <w:jc w:val="both"/>
        <w:rPr>
          <w:rFonts w:ascii="Garamond" w:eastAsiaTheme="minorHAnsi" w:hAnsi="Garamond"/>
          <w:bCs/>
          <w:color w:val="000000"/>
          <w:sz w:val="24"/>
          <w:szCs w:val="24"/>
        </w:rPr>
      </w:pPr>
    </w:p>
    <w:p w14:paraId="1746F6E3" w14:textId="628F7B26" w:rsidR="00343B9D" w:rsidRPr="00EE038F" w:rsidRDefault="00343B9D" w:rsidP="00B6191B">
      <w:pPr>
        <w:pStyle w:val="TEKSTIII"/>
        <w:rPr>
          <w:szCs w:val="24"/>
        </w:rPr>
      </w:pPr>
      <w:r w:rsidRPr="00EE038F">
        <w:rPr>
          <w:szCs w:val="24"/>
        </w:rPr>
        <w:t>Miratimin e Programit të Reformave Ekonomike (ERP) 202</w:t>
      </w:r>
      <w:r w:rsidR="00AF0575" w:rsidRPr="00EE038F">
        <w:rPr>
          <w:szCs w:val="24"/>
        </w:rPr>
        <w:t>5</w:t>
      </w:r>
      <w:r w:rsidR="00C971B7" w:rsidRPr="00EE038F">
        <w:rPr>
          <w:szCs w:val="24"/>
        </w:rPr>
        <w:t>–</w:t>
      </w:r>
      <w:r w:rsidRPr="00EE038F">
        <w:rPr>
          <w:szCs w:val="24"/>
        </w:rPr>
        <w:t>202</w:t>
      </w:r>
      <w:r w:rsidR="00AF0575" w:rsidRPr="00EE038F">
        <w:rPr>
          <w:szCs w:val="24"/>
        </w:rPr>
        <w:t>7</w:t>
      </w:r>
      <w:r w:rsidRPr="00EE038F">
        <w:rPr>
          <w:szCs w:val="24"/>
        </w:rPr>
        <w:t>, sipas tekstit</w:t>
      </w:r>
      <w:r w:rsidR="00D3094E" w:rsidRPr="00EE038F">
        <w:rPr>
          <w:szCs w:val="24"/>
        </w:rPr>
        <w:t xml:space="preserve"> që i </w:t>
      </w:r>
      <w:r w:rsidRPr="00EE038F">
        <w:rPr>
          <w:szCs w:val="24"/>
        </w:rPr>
        <w:t>bashkëlidh</w:t>
      </w:r>
      <w:r w:rsidR="00D3094E" w:rsidRPr="00EE038F">
        <w:rPr>
          <w:szCs w:val="24"/>
        </w:rPr>
        <w:t xml:space="preserve">et </w:t>
      </w:r>
      <w:r w:rsidRPr="00EE038F">
        <w:rPr>
          <w:szCs w:val="24"/>
        </w:rPr>
        <w:t>këtij vendimi.</w:t>
      </w:r>
    </w:p>
    <w:p w14:paraId="187A1486" w14:textId="77777777" w:rsidR="00343B9D" w:rsidRPr="00EE038F" w:rsidRDefault="00343B9D" w:rsidP="00B6191B">
      <w:pPr>
        <w:pStyle w:val="TEKSTIII"/>
        <w:rPr>
          <w:szCs w:val="24"/>
        </w:rPr>
      </w:pPr>
      <w:r w:rsidRPr="00EE038F">
        <w:rPr>
          <w:szCs w:val="24"/>
        </w:rPr>
        <w:t xml:space="preserve">Ky vendim hyn në fuqi pas botimit në Fletoren </w:t>
      </w:r>
      <w:r w:rsidR="00D8036D" w:rsidRPr="00EE038F">
        <w:rPr>
          <w:szCs w:val="24"/>
        </w:rPr>
        <w:t>Zyrtare</w:t>
      </w:r>
      <w:r w:rsidRPr="00EE038F">
        <w:rPr>
          <w:szCs w:val="24"/>
        </w:rPr>
        <w:t>.</w:t>
      </w:r>
    </w:p>
    <w:p w14:paraId="1E7209AF" w14:textId="77777777" w:rsidR="002E6AA0" w:rsidRPr="00EE038F" w:rsidRDefault="002E6AA0" w:rsidP="00B6191B">
      <w:pPr>
        <w:pStyle w:val="AutoritetiEmer"/>
        <w:ind w:firstLine="284"/>
        <w:rPr>
          <w:rFonts w:ascii="Garamond" w:hAnsi="Garamond"/>
          <w:b w:val="0"/>
          <w:sz w:val="24"/>
          <w:szCs w:val="24"/>
          <w:lang w:val="sq-AL"/>
        </w:rPr>
      </w:pPr>
    </w:p>
    <w:p w14:paraId="17EA5079" w14:textId="77777777" w:rsidR="001626F3" w:rsidRPr="00EE038F" w:rsidRDefault="001626F3" w:rsidP="00B6191B">
      <w:pPr>
        <w:spacing w:after="0" w:line="240" w:lineRule="auto"/>
        <w:ind w:firstLine="284"/>
        <w:jc w:val="right"/>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ZËVENDËSKRYEMINIST</w:t>
      </w:r>
      <w:r w:rsidR="00003930" w:rsidRPr="00EE038F">
        <w:rPr>
          <w:rFonts w:ascii="Garamond" w:eastAsia="Times New Roman" w:hAnsi="Garamond" w:cs="Times New Roman"/>
          <w:bCs/>
          <w:sz w:val="24"/>
          <w:szCs w:val="24"/>
          <w:lang w:bidi="en-US"/>
        </w:rPr>
        <w:t>Ë</w:t>
      </w:r>
      <w:r w:rsidRPr="00EE038F">
        <w:rPr>
          <w:rFonts w:ascii="Garamond" w:eastAsia="Times New Roman" w:hAnsi="Garamond" w:cs="Times New Roman"/>
          <w:bCs/>
          <w:sz w:val="24"/>
          <w:szCs w:val="24"/>
          <w:lang w:bidi="en-US"/>
        </w:rPr>
        <w:t>R</w:t>
      </w:r>
    </w:p>
    <w:p w14:paraId="131DF9E4" w14:textId="77777777" w:rsidR="001626F3" w:rsidRPr="00EE038F" w:rsidRDefault="00003930" w:rsidP="00B6191B">
      <w:pPr>
        <w:spacing w:after="0" w:line="240" w:lineRule="auto"/>
        <w:ind w:firstLine="284"/>
        <w:jc w:val="right"/>
        <w:rPr>
          <w:rFonts w:ascii="Garamond" w:eastAsia="Times New Roman" w:hAnsi="Garamond" w:cs="Times New Roman"/>
          <w:b/>
          <w:bCs/>
          <w:sz w:val="24"/>
          <w:szCs w:val="24"/>
          <w:lang w:bidi="en-US"/>
        </w:rPr>
      </w:pPr>
      <w:r w:rsidRPr="00EE038F">
        <w:rPr>
          <w:rFonts w:ascii="Garamond" w:eastAsia="Times New Roman" w:hAnsi="Garamond" w:cs="Times New Roman"/>
          <w:b/>
          <w:bCs/>
          <w:sz w:val="24"/>
          <w:szCs w:val="24"/>
          <w:lang w:bidi="en-US"/>
        </w:rPr>
        <w:t>Belinda Balluku</w:t>
      </w:r>
    </w:p>
    <w:p w14:paraId="000861B2" w14:textId="77777777" w:rsidR="00BD6A3F" w:rsidRPr="00EE038F" w:rsidRDefault="00BD6A3F" w:rsidP="00B6191B">
      <w:pPr>
        <w:spacing w:after="0" w:line="240" w:lineRule="auto"/>
        <w:ind w:firstLine="284"/>
        <w:jc w:val="right"/>
        <w:rPr>
          <w:rFonts w:ascii="Garamond" w:eastAsia="Times New Roman" w:hAnsi="Garamond" w:cs="Times New Roman"/>
          <w:b/>
          <w:bCs/>
          <w:sz w:val="24"/>
          <w:szCs w:val="24"/>
          <w:lang w:bidi="en-US"/>
        </w:rPr>
      </w:pPr>
    </w:p>
    <w:p w14:paraId="5C98902D" w14:textId="77777777" w:rsidR="00BD6A3F" w:rsidRPr="00EE038F" w:rsidRDefault="00BD6A3F" w:rsidP="00B6191B">
      <w:pPr>
        <w:pStyle w:val="TEKSTIII"/>
        <w:rPr>
          <w:szCs w:val="24"/>
        </w:rPr>
      </w:pPr>
    </w:p>
    <w:p w14:paraId="63DFF61F" w14:textId="52AEA908" w:rsidR="00BD6A3F" w:rsidRPr="00EE038F" w:rsidRDefault="00BD6A3F" w:rsidP="00B6191B">
      <w:pPr>
        <w:pStyle w:val="TEKSTIII"/>
        <w:jc w:val="center"/>
        <w:rPr>
          <w:b/>
          <w:szCs w:val="24"/>
        </w:rPr>
      </w:pPr>
      <w:r w:rsidRPr="00EE038F">
        <w:rPr>
          <w:b/>
          <w:szCs w:val="24"/>
        </w:rPr>
        <w:t>PROGRAMI I REFORMAVE EKONOMIKE 2025</w:t>
      </w:r>
      <w:r w:rsidR="0054449A" w:rsidRPr="00EE038F">
        <w:rPr>
          <w:b/>
          <w:szCs w:val="24"/>
        </w:rPr>
        <w:t>–</w:t>
      </w:r>
      <w:r w:rsidRPr="00EE038F">
        <w:rPr>
          <w:b/>
          <w:szCs w:val="24"/>
        </w:rPr>
        <w:t>2027</w:t>
      </w:r>
    </w:p>
    <w:p w14:paraId="21F200B2" w14:textId="77777777" w:rsidR="00BD6A3F" w:rsidRPr="00EE038F" w:rsidRDefault="00BD6A3F" w:rsidP="00B6191B">
      <w:pPr>
        <w:pStyle w:val="TEKSTIII"/>
        <w:jc w:val="center"/>
        <w:rPr>
          <w:b/>
          <w:szCs w:val="24"/>
        </w:rPr>
      </w:pPr>
      <w:r w:rsidRPr="00EE038F">
        <w:rPr>
          <w:b/>
          <w:szCs w:val="24"/>
        </w:rPr>
        <w:t>Janar 2025</w:t>
      </w:r>
    </w:p>
    <w:p w14:paraId="4668D6AE" w14:textId="77777777" w:rsidR="00F200EF" w:rsidRPr="00EE038F" w:rsidRDefault="00F200EF" w:rsidP="00B6191B">
      <w:pPr>
        <w:spacing w:after="0" w:line="240" w:lineRule="auto"/>
        <w:ind w:firstLine="284"/>
        <w:jc w:val="both"/>
        <w:rPr>
          <w:rFonts w:ascii="Garamond" w:eastAsia="Times New Roman" w:hAnsi="Garamond" w:cs="Times New Roman"/>
          <w:bCs/>
          <w:sz w:val="24"/>
          <w:szCs w:val="24"/>
          <w:lang w:bidi="en-US"/>
        </w:rPr>
      </w:pPr>
    </w:p>
    <w:p w14:paraId="5C1162B0" w14:textId="01A8DE6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Pasqyra e përmbajtjes</w:t>
      </w:r>
    </w:p>
    <w:p w14:paraId="07A9AD6D"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1. KUADRI I PËRGJITHSHËM POLITIK DHE OBJEKTIVAT </w:t>
      </w:r>
    </w:p>
    <w:p w14:paraId="136EE333"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2. ZBATIMI I UDHËZIMEVE TË POLITIKAVE </w:t>
      </w:r>
    </w:p>
    <w:p w14:paraId="200EE2A3"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3. KUADRI MAKROEKONOMIK </w:t>
      </w:r>
    </w:p>
    <w:p w14:paraId="76194926"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3.1. Zhvillimet e fundit ekonomike </w:t>
      </w:r>
    </w:p>
    <w:p w14:paraId="43183103"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3.2. Skenari makroekonomik afatmesëm </w:t>
      </w:r>
    </w:p>
    <w:p w14:paraId="121D23D3"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3.3. Skenarët alternativë dhe risqet </w:t>
      </w:r>
    </w:p>
    <w:p w14:paraId="02F40011"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4. KUADRI FISKAL </w:t>
      </w:r>
    </w:p>
    <w:p w14:paraId="65B3384E" w14:textId="11CD808C"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4.1. Politikat strategjike dhe objektivat afatmes</w:t>
      </w:r>
      <w:r w:rsidR="005F3C06" w:rsidRPr="00EE038F">
        <w:rPr>
          <w:rFonts w:ascii="Garamond" w:eastAsia="Times New Roman" w:hAnsi="Garamond" w:cs="Times New Roman"/>
          <w:bCs/>
          <w:sz w:val="24"/>
          <w:szCs w:val="24"/>
          <w:lang w:bidi="en-US"/>
        </w:rPr>
        <w:t>ë</w:t>
      </w:r>
      <w:r w:rsidRPr="00EE038F">
        <w:rPr>
          <w:rFonts w:ascii="Garamond" w:eastAsia="Times New Roman" w:hAnsi="Garamond" w:cs="Times New Roman"/>
          <w:bCs/>
          <w:sz w:val="24"/>
          <w:szCs w:val="24"/>
          <w:lang w:bidi="en-US"/>
        </w:rPr>
        <w:t xml:space="preserve">m </w:t>
      </w:r>
    </w:p>
    <w:p w14:paraId="27840805"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4.2. Implementimi i buxhetit për vitin 2024 </w:t>
      </w:r>
    </w:p>
    <w:p w14:paraId="0F345FB7"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4.3. Planet buxhetore për vitin e dorëzimit të ERP </w:t>
      </w:r>
    </w:p>
    <w:p w14:paraId="6748B649"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4.4. Perspektiva buxhetore afatmesme </w:t>
      </w:r>
    </w:p>
    <w:p w14:paraId="6B86014F"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4.5. Bilanca strukturore (përbërësi ciklik i deficitit, masat e njëhershme dhe të përkohshme, pozicioni fiskal) </w:t>
      </w:r>
    </w:p>
    <w:p w14:paraId="0EED1808" w14:textId="0BBE185E"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4.6. Ecuria e </w:t>
      </w:r>
      <w:r w:rsidR="00372502" w:rsidRPr="00EE038F">
        <w:rPr>
          <w:rFonts w:ascii="Garamond" w:eastAsia="Times New Roman" w:hAnsi="Garamond" w:cs="Times New Roman"/>
          <w:bCs/>
          <w:sz w:val="24"/>
          <w:szCs w:val="24"/>
          <w:lang w:bidi="en-US"/>
        </w:rPr>
        <w:t xml:space="preserve">borxhit të qeverisjes qendrore </w:t>
      </w:r>
    </w:p>
    <w:p w14:paraId="38BFA6C6"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4.7. Analiza e ndjeshmërisë dhe krahasimi me programin e mëparshëm </w:t>
      </w:r>
    </w:p>
    <w:p w14:paraId="2B6DD8CA"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4.8. Cilësia e financave publike </w:t>
      </w:r>
    </w:p>
    <w:p w14:paraId="30229593"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4.9. Qeverisja fiskale dhe kornizat buxhetore </w:t>
      </w:r>
    </w:p>
    <w:p w14:paraId="39D0FA3A"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4.10. Qëndrueshmëria e financave publike </w:t>
      </w:r>
    </w:p>
    <w:p w14:paraId="211C4409" w14:textId="1609DD3D"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5. KONSISTENCA E AGJENDËS SË REFORMAVE ME KUADRIN </w:t>
      </w:r>
      <w:r w:rsidR="008E298F">
        <w:rPr>
          <w:rFonts w:ascii="Garamond" w:eastAsia="Times New Roman" w:hAnsi="Garamond" w:cs="Times New Roman"/>
          <w:bCs/>
          <w:sz w:val="24"/>
          <w:szCs w:val="24"/>
          <w:lang w:bidi="en-US"/>
        </w:rPr>
        <w:t>MAKRO</w:t>
      </w:r>
      <w:r w:rsidRPr="00EE038F">
        <w:rPr>
          <w:rFonts w:ascii="Garamond" w:eastAsia="Times New Roman" w:hAnsi="Garamond" w:cs="Times New Roman"/>
          <w:bCs/>
          <w:sz w:val="24"/>
          <w:szCs w:val="24"/>
          <w:lang w:bidi="en-US"/>
        </w:rPr>
        <w:t xml:space="preserve">FISKAL </w:t>
      </w:r>
    </w:p>
    <w:p w14:paraId="546AD340"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6. ÇËSHTJE INSTITUCIONALE DHE PËRFSHIRJA E AKTORËVE TË INTERESIT </w:t>
      </w:r>
    </w:p>
    <w:p w14:paraId="2137311E"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7. SHTOJCAT </w:t>
      </w:r>
    </w:p>
    <w:p w14:paraId="5D6410D5" w14:textId="77777777" w:rsidR="00AF1534" w:rsidRPr="00EE038F" w:rsidRDefault="00AF1534" w:rsidP="00B6191B">
      <w:pPr>
        <w:spacing w:after="0" w:line="240" w:lineRule="auto"/>
        <w:ind w:firstLine="284"/>
        <w:jc w:val="both"/>
        <w:rPr>
          <w:rFonts w:ascii="Garamond" w:eastAsia="Times New Roman" w:hAnsi="Garamond" w:cs="Times New Roman"/>
          <w:bCs/>
          <w:sz w:val="24"/>
          <w:szCs w:val="24"/>
          <w:lang w:bidi="en-US"/>
        </w:rPr>
      </w:pPr>
      <w:r w:rsidRPr="00EE038F">
        <w:rPr>
          <w:rFonts w:ascii="Garamond" w:eastAsia="Times New Roman" w:hAnsi="Garamond" w:cs="Times New Roman"/>
          <w:bCs/>
          <w:sz w:val="24"/>
          <w:szCs w:val="24"/>
          <w:lang w:bidi="en-US"/>
        </w:rPr>
        <w:t xml:space="preserve">Shtojca I </w:t>
      </w:r>
    </w:p>
    <w:p w14:paraId="62E69969" w14:textId="77777777" w:rsidR="00BD6A3F" w:rsidRPr="00EE038F" w:rsidRDefault="00BD6A3F" w:rsidP="00B6191B">
      <w:pPr>
        <w:spacing w:after="0" w:line="240" w:lineRule="auto"/>
        <w:ind w:firstLine="284"/>
        <w:jc w:val="both"/>
        <w:rPr>
          <w:rFonts w:ascii="Garamond" w:eastAsia="Times New Roman" w:hAnsi="Garamond" w:cs="Times New Roman"/>
          <w:bCs/>
          <w:sz w:val="24"/>
          <w:szCs w:val="24"/>
          <w:lang w:bidi="en-US"/>
        </w:rPr>
      </w:pPr>
    </w:p>
    <w:p w14:paraId="43984FC6" w14:textId="77777777" w:rsidR="00B6191B" w:rsidRPr="00EE038F" w:rsidRDefault="00B6191B" w:rsidP="00B6191B">
      <w:pPr>
        <w:autoSpaceDE w:val="0"/>
        <w:autoSpaceDN w:val="0"/>
        <w:adjustRightInd w:val="0"/>
        <w:spacing w:after="0" w:line="240" w:lineRule="auto"/>
        <w:ind w:firstLine="284"/>
        <w:jc w:val="both"/>
        <w:outlineLvl w:val="0"/>
        <w:rPr>
          <w:rFonts w:ascii="Garamond" w:hAnsi="Garamond" w:cs="Times New Roman"/>
          <w:color w:val="0D0D0D"/>
          <w:sz w:val="24"/>
          <w:szCs w:val="24"/>
        </w:rPr>
      </w:pPr>
      <w:r w:rsidRPr="00EE038F">
        <w:rPr>
          <w:rFonts w:ascii="Garamond" w:hAnsi="Garamond" w:cs="Times New Roman"/>
          <w:color w:val="0D0D0D"/>
          <w:sz w:val="24"/>
          <w:szCs w:val="24"/>
        </w:rPr>
        <w:t>1. KUADRI I PËRGJITHSHËM POLITIK DHE OBJEKTIVAT</w:t>
      </w:r>
    </w:p>
    <w:p w14:paraId="453937B8" w14:textId="2B0C3E08" w:rsidR="00B6191B" w:rsidRPr="00EE038F" w:rsidRDefault="00B6191B" w:rsidP="00B6191B">
      <w:pPr>
        <w:autoSpaceDE w:val="0"/>
        <w:autoSpaceDN w:val="0"/>
        <w:adjustRightInd w:val="0"/>
        <w:spacing w:after="0" w:line="240" w:lineRule="auto"/>
        <w:ind w:firstLine="284"/>
        <w:jc w:val="both"/>
        <w:rPr>
          <w:rFonts w:ascii="Garamond" w:hAnsi="Garamond" w:cs="Times New Roman"/>
          <w:color w:val="0D0D0D"/>
          <w:sz w:val="24"/>
          <w:szCs w:val="24"/>
        </w:rPr>
      </w:pPr>
      <w:r w:rsidRPr="00EE038F">
        <w:rPr>
          <w:rFonts w:ascii="Garamond" w:hAnsi="Garamond" w:cs="Times New Roman"/>
          <w:color w:val="0D0D0D"/>
          <w:sz w:val="24"/>
          <w:szCs w:val="24"/>
        </w:rPr>
        <w:t xml:space="preserve">Programi i Reformave Ekonomike (ERP) për periudhën </w:t>
      </w:r>
      <w:r w:rsidR="003F70BC" w:rsidRPr="00EE038F">
        <w:rPr>
          <w:rFonts w:ascii="Garamond" w:hAnsi="Garamond" w:cs="Times New Roman"/>
          <w:color w:val="0D0D0D"/>
          <w:sz w:val="24"/>
          <w:szCs w:val="24"/>
        </w:rPr>
        <w:t xml:space="preserve">2025–2027 </w:t>
      </w:r>
      <w:r w:rsidRPr="00EE038F">
        <w:rPr>
          <w:rFonts w:ascii="Garamond" w:hAnsi="Garamond" w:cs="Times New Roman"/>
          <w:color w:val="0D0D0D"/>
          <w:sz w:val="24"/>
          <w:szCs w:val="24"/>
        </w:rPr>
        <w:t xml:space="preserve">paraqet politikat kryesore makroekonomike dhe fiskale të Shqipërisë, që synojnë të vendosin një ekuilibër optimal midis mundësive dhe rreziqeve. Qëllimi kryesor i programit është të nxisë zhvillimin e qëndrueshëm ekonomik, të stimulojë rritjen e punësimit dhe të sigurojë qëndrueshmërinë afatmesme dhe </w:t>
      </w:r>
      <w:r w:rsidRPr="00EE038F">
        <w:rPr>
          <w:rFonts w:ascii="Garamond" w:hAnsi="Garamond" w:cs="Times New Roman"/>
          <w:color w:val="0D0D0D"/>
          <w:sz w:val="24"/>
          <w:szCs w:val="24"/>
        </w:rPr>
        <w:lastRenderedPageBreak/>
        <w:t xml:space="preserve">afatgjatë të financave publike, si dhe të mbrojtjes dhe forcimit të mëtejshëm të stabilitetit makroekonomik të vendit. Për më tepër, ERP përmbledh masat e reformave prioritare të </w:t>
      </w:r>
      <w:r w:rsidR="00372502" w:rsidRPr="00EE038F">
        <w:rPr>
          <w:rFonts w:ascii="Garamond" w:hAnsi="Garamond" w:cs="Times New Roman"/>
          <w:color w:val="0D0D0D"/>
          <w:sz w:val="24"/>
          <w:szCs w:val="24"/>
        </w:rPr>
        <w:t>qeverisë</w:t>
      </w:r>
      <w:r w:rsidRPr="00EE038F">
        <w:rPr>
          <w:rFonts w:ascii="Garamond" w:hAnsi="Garamond" w:cs="Times New Roman"/>
          <w:color w:val="0D0D0D"/>
          <w:sz w:val="24"/>
          <w:szCs w:val="24"/>
        </w:rPr>
        <w:t xml:space="preserve"> së Shqipërisë për periudhën afatshkurtër e afatmesme, në përputhje me planin e rritjes së BE-së. Këto reforma janë të dizajnuara me qëllim rritjen e prodhimit </w:t>
      </w:r>
      <w:r w:rsidR="007F728D" w:rsidRPr="00EE038F">
        <w:rPr>
          <w:rFonts w:ascii="Garamond" w:hAnsi="Garamond" w:cs="Times New Roman"/>
          <w:color w:val="0D0D0D"/>
          <w:sz w:val="24"/>
          <w:szCs w:val="24"/>
        </w:rPr>
        <w:t>vendës</w:t>
      </w:r>
      <w:r w:rsidRPr="00EE038F">
        <w:rPr>
          <w:rFonts w:ascii="Garamond" w:hAnsi="Garamond" w:cs="Times New Roman"/>
          <w:color w:val="0D0D0D"/>
          <w:sz w:val="24"/>
          <w:szCs w:val="24"/>
        </w:rPr>
        <w:t xml:space="preserve">, nxitjen e investimeve të reja dhe sigurimin e një zhvillimi të qëndrueshëm dhe gjithpërfshirës duke përmirësuar konkurrencën e përgjithshme. </w:t>
      </w:r>
    </w:p>
    <w:p w14:paraId="3F1B710D" w14:textId="5FAE21DE" w:rsidR="00B6191B" w:rsidRPr="00EE038F" w:rsidRDefault="00B6191B" w:rsidP="00B6191B">
      <w:pPr>
        <w:autoSpaceDE w:val="0"/>
        <w:autoSpaceDN w:val="0"/>
        <w:adjustRightInd w:val="0"/>
        <w:spacing w:after="0" w:line="240" w:lineRule="auto"/>
        <w:ind w:firstLine="284"/>
        <w:jc w:val="both"/>
        <w:rPr>
          <w:rFonts w:ascii="Garamond" w:hAnsi="Garamond" w:cs="Times New Roman"/>
          <w:color w:val="000000"/>
          <w:sz w:val="24"/>
          <w:szCs w:val="24"/>
        </w:rPr>
      </w:pPr>
      <w:r w:rsidRPr="00EE038F">
        <w:rPr>
          <w:rFonts w:ascii="Garamond" w:hAnsi="Garamond" w:cs="Times New Roman"/>
          <w:color w:val="000000"/>
          <w:sz w:val="24"/>
          <w:szCs w:val="24"/>
        </w:rPr>
        <w:t>Gjatë tre v</w:t>
      </w:r>
      <w:r w:rsidR="005A6792" w:rsidRPr="00EE038F">
        <w:rPr>
          <w:rFonts w:ascii="Garamond" w:hAnsi="Garamond" w:cs="Times New Roman"/>
          <w:color w:val="000000"/>
          <w:sz w:val="24"/>
          <w:szCs w:val="24"/>
        </w:rPr>
        <w:t>jetëve</w:t>
      </w:r>
      <w:r w:rsidRPr="00EE038F">
        <w:rPr>
          <w:rFonts w:ascii="Garamond" w:hAnsi="Garamond" w:cs="Times New Roman"/>
          <w:color w:val="000000"/>
          <w:sz w:val="24"/>
          <w:szCs w:val="24"/>
        </w:rPr>
        <w:t xml:space="preserve"> të fundit, ekonomia e Shqipërisë ka </w:t>
      </w:r>
      <w:r w:rsidR="00040DB8" w:rsidRPr="00EE038F">
        <w:rPr>
          <w:rFonts w:ascii="Garamond" w:hAnsi="Garamond" w:cs="Times New Roman"/>
          <w:color w:val="000000"/>
          <w:sz w:val="24"/>
          <w:szCs w:val="24"/>
        </w:rPr>
        <w:t>demonstruar</w:t>
      </w:r>
      <w:r w:rsidRPr="00EE038F">
        <w:rPr>
          <w:rFonts w:ascii="Garamond" w:hAnsi="Garamond" w:cs="Times New Roman"/>
          <w:color w:val="000000"/>
          <w:sz w:val="24"/>
          <w:szCs w:val="24"/>
        </w:rPr>
        <w:t xml:space="preserve"> një elasticitet të jashtëzakonshëm, duke përballuar me sukses një sërë sfidash të rëndësishme. Vendi është përballur me disa goditje të njëpasnjëshme, duke përfshirë tërmetin e vitit 2019, pandeminë globale të COVID-19 dhe ndërprerjet e zinxhirëve të furnizimit të shkaktuara </w:t>
      </w:r>
      <w:r w:rsidRPr="00EE038F">
        <w:rPr>
          <w:rFonts w:ascii="Garamond" w:hAnsi="Garamond" w:cs="Times New Roman"/>
          <w:color w:val="0D0D0D"/>
          <w:sz w:val="24"/>
          <w:szCs w:val="24"/>
        </w:rPr>
        <w:t>si pasojë e luftës Rusi–Ukrainë në vitin 2022.</w:t>
      </w:r>
      <w:r w:rsidRPr="00EE038F">
        <w:rPr>
          <w:rFonts w:ascii="Garamond" w:hAnsi="Garamond" w:cs="Times New Roman"/>
          <w:color w:val="000000"/>
          <w:sz w:val="24"/>
          <w:szCs w:val="24"/>
        </w:rPr>
        <w:t xml:space="preserve"> Pavarësisht këtyre sfidave të mëdha, fondamentet ekonomike dhe financiare të vendit, së bashku me stabilitetin makroekonomik</w:t>
      </w:r>
      <w:r w:rsidR="002061C2" w:rsidRPr="00EE038F">
        <w:rPr>
          <w:rFonts w:ascii="Garamond" w:hAnsi="Garamond" w:cs="Times New Roman"/>
          <w:color w:val="000000"/>
          <w:sz w:val="24"/>
          <w:szCs w:val="24"/>
        </w:rPr>
        <w:t>,</w:t>
      </w:r>
      <w:r w:rsidRPr="00EE038F">
        <w:rPr>
          <w:rFonts w:ascii="Garamond" w:hAnsi="Garamond" w:cs="Times New Roman"/>
          <w:color w:val="000000"/>
          <w:sz w:val="24"/>
          <w:szCs w:val="24"/>
        </w:rPr>
        <w:t xml:space="preserve"> kanë dëshmuar qëndrueshmëri të fortë. Ekonomia ka tejkaluar pritshmëritë fillestare, duke shënuar rritje të fuqishme në secilin prej këtyre viteve. Edhe në vitin 2024, Shqipëria ka vijuar të shënojë performancë të qëndrueshme ekonomike, të udhëhequr nga rritja në sektorët e shërbimeve dhe të ndërtimit, e mbështetur nga konsumi privat, investimet dhe eksportet, të cilat kanë luajtur një rol kyç në nxitjen e aktivitetit ekonomik. Parashikimet afatmesme tregojnë një trajektore të qëndrueshme dhe pozitive, duke përforcuar aftësinë e vendit për të përballuar dhe rikuperuar nga kushtet e pafavorshme ekonomike. Elasticiteti dhe përshtatshmëria e treguar gjatë kësaj periudhe e pozicionojnë vendi për një rritje të mëtejshme dhe të qëndrueshme në të ardhmen.</w:t>
      </w:r>
    </w:p>
    <w:p w14:paraId="1ACCC615" w14:textId="2AE1B62F" w:rsidR="00B6191B" w:rsidRPr="00EE038F" w:rsidRDefault="00B6191B" w:rsidP="00B6191B">
      <w:pPr>
        <w:autoSpaceDE w:val="0"/>
        <w:autoSpaceDN w:val="0"/>
        <w:adjustRightInd w:val="0"/>
        <w:spacing w:after="0" w:line="240" w:lineRule="auto"/>
        <w:ind w:firstLine="284"/>
        <w:jc w:val="both"/>
        <w:rPr>
          <w:rFonts w:ascii="Garamond" w:hAnsi="Garamond" w:cs="Times New Roman"/>
          <w:color w:val="0D0D0D"/>
          <w:sz w:val="24"/>
          <w:szCs w:val="24"/>
        </w:rPr>
      </w:pPr>
      <w:r w:rsidRPr="00EE038F">
        <w:rPr>
          <w:rFonts w:ascii="Garamond" w:hAnsi="Garamond" w:cs="Times New Roman"/>
          <w:color w:val="0D0D0D"/>
          <w:sz w:val="24"/>
          <w:szCs w:val="24"/>
        </w:rPr>
        <w:t xml:space="preserve">Konsolidimi fiskal vijon të jetë objektivi themelor i politikës fiskale, në funksion të drejtpërdrejtë të mbrojtjes dhe forcimit të mëtejshëm të stabilitetit makroekonomik të vendit, si një premisë thelbësore për sigurimin e një rritje ekonomike të qëndrueshme e gjithëpërfshirëse. Politika fiskale do </w:t>
      </w:r>
      <w:r w:rsidR="00A1295C" w:rsidRPr="00EE038F">
        <w:rPr>
          <w:rFonts w:ascii="Garamond" w:hAnsi="Garamond" w:cs="Times New Roman"/>
          <w:color w:val="0D0D0D"/>
          <w:sz w:val="24"/>
          <w:szCs w:val="24"/>
        </w:rPr>
        <w:t xml:space="preserve">të </w:t>
      </w:r>
      <w:r w:rsidRPr="00EE038F">
        <w:rPr>
          <w:rFonts w:ascii="Garamond" w:hAnsi="Garamond" w:cs="Times New Roman"/>
          <w:color w:val="0D0D0D"/>
          <w:sz w:val="24"/>
          <w:szCs w:val="24"/>
        </w:rPr>
        <w:t>vijojë të targetojë një trajektore graduale rënëse të borxhit publik, ndërsa balanca primare do të targetohet në nivel pozitiv që prej vitit 2024 dhe do të vijojë e tillë në vijim, në përputhje edhe me rregullat fiskalë në LOB.</w:t>
      </w:r>
    </w:p>
    <w:p w14:paraId="3CD7DC9C" w14:textId="0E539B90" w:rsidR="00B6191B" w:rsidRPr="00EE038F" w:rsidRDefault="00B6191B" w:rsidP="00B6191B">
      <w:pPr>
        <w:autoSpaceDE w:val="0"/>
        <w:autoSpaceDN w:val="0"/>
        <w:adjustRightInd w:val="0"/>
        <w:spacing w:after="0" w:line="240" w:lineRule="auto"/>
        <w:ind w:firstLine="284"/>
        <w:jc w:val="both"/>
        <w:rPr>
          <w:rFonts w:ascii="Garamond" w:hAnsi="Garamond" w:cs="Times New Roman"/>
          <w:color w:val="0D0D0D"/>
          <w:sz w:val="24"/>
          <w:szCs w:val="24"/>
        </w:rPr>
      </w:pPr>
      <w:r w:rsidRPr="00EE038F">
        <w:rPr>
          <w:rFonts w:ascii="Garamond" w:hAnsi="Garamond" w:cs="Times New Roman"/>
          <w:color w:val="0D0D0D"/>
          <w:sz w:val="24"/>
          <w:szCs w:val="24"/>
        </w:rPr>
        <w:t>Balanca primare parashikohet mesatarisht në rreth 0.5 për</w:t>
      </w:r>
      <w:r w:rsidR="00FB080E" w:rsidRPr="00EE038F">
        <w:rPr>
          <w:rFonts w:ascii="Garamond" w:hAnsi="Garamond" w:cs="Times New Roman"/>
          <w:color w:val="0D0D0D"/>
          <w:sz w:val="24"/>
          <w:szCs w:val="24"/>
        </w:rPr>
        <w:t xml:space="preserve"> </w:t>
      </w:r>
      <w:r w:rsidRPr="00EE038F">
        <w:rPr>
          <w:rFonts w:ascii="Garamond" w:hAnsi="Garamond" w:cs="Times New Roman"/>
          <w:color w:val="0D0D0D"/>
          <w:sz w:val="24"/>
          <w:szCs w:val="24"/>
        </w:rPr>
        <w:t>qind në vit gjatë periudhës afatmesme vijuese 2025</w:t>
      </w:r>
      <w:r w:rsidR="00FB080E" w:rsidRPr="00EE038F">
        <w:rPr>
          <w:rFonts w:ascii="Garamond" w:hAnsi="Garamond" w:cs="Times New Roman"/>
          <w:color w:val="0D0D0D"/>
          <w:sz w:val="24"/>
          <w:szCs w:val="24"/>
        </w:rPr>
        <w:t>–</w:t>
      </w:r>
      <w:r w:rsidRPr="00EE038F">
        <w:rPr>
          <w:rFonts w:ascii="Garamond" w:hAnsi="Garamond" w:cs="Times New Roman"/>
          <w:color w:val="0D0D0D"/>
          <w:sz w:val="24"/>
          <w:szCs w:val="24"/>
        </w:rPr>
        <w:t>2027. Ndërkohë që, duke filluar prej vitit buxhetor 2024 e në vijim ky target është edhe ligjërisht i detyrueshëm, ku një rregull fiskal në LOB përcakton që duke filluar nga viti buxhetor 2024 e për çdo vit në vijim balanca primare duhet të rezultojë jo më e vogël se sa zero (pra së paku e balancuar ose pozitive). Në vitin 2025, balanca primare është projektuar në nivel neut</w:t>
      </w:r>
      <w:r w:rsidR="00B310AE" w:rsidRPr="00EE038F">
        <w:rPr>
          <w:rFonts w:ascii="Garamond" w:hAnsi="Garamond" w:cs="Times New Roman"/>
          <w:color w:val="0D0D0D"/>
          <w:sz w:val="24"/>
          <w:szCs w:val="24"/>
        </w:rPr>
        <w:t>r</w:t>
      </w:r>
      <w:r w:rsidRPr="00EE038F">
        <w:rPr>
          <w:rFonts w:ascii="Garamond" w:hAnsi="Garamond" w:cs="Times New Roman"/>
          <w:color w:val="0D0D0D"/>
          <w:sz w:val="24"/>
          <w:szCs w:val="24"/>
        </w:rPr>
        <w:t>al dhe të vazhdojë të zgjerohet më tej në normën prej 0.7 për</w:t>
      </w:r>
      <w:r w:rsidR="00FD6514" w:rsidRPr="00EE038F">
        <w:rPr>
          <w:rFonts w:ascii="Garamond" w:hAnsi="Garamond" w:cs="Times New Roman"/>
          <w:color w:val="0D0D0D"/>
          <w:sz w:val="24"/>
          <w:szCs w:val="24"/>
        </w:rPr>
        <w:t xml:space="preserve"> </w:t>
      </w:r>
      <w:r w:rsidRPr="00EE038F">
        <w:rPr>
          <w:rFonts w:ascii="Garamond" w:hAnsi="Garamond" w:cs="Times New Roman"/>
          <w:color w:val="0D0D0D"/>
          <w:sz w:val="24"/>
          <w:szCs w:val="24"/>
        </w:rPr>
        <w:t>qind në vitin 2026 dhe në 0.9 për</w:t>
      </w:r>
      <w:r w:rsidR="00FD6514" w:rsidRPr="00EE038F">
        <w:rPr>
          <w:rFonts w:ascii="Garamond" w:hAnsi="Garamond" w:cs="Times New Roman"/>
          <w:color w:val="0D0D0D"/>
          <w:sz w:val="24"/>
          <w:szCs w:val="24"/>
        </w:rPr>
        <w:t xml:space="preserve"> </w:t>
      </w:r>
      <w:r w:rsidRPr="00EE038F">
        <w:rPr>
          <w:rFonts w:ascii="Garamond" w:hAnsi="Garamond" w:cs="Times New Roman"/>
          <w:color w:val="0D0D0D"/>
          <w:sz w:val="24"/>
          <w:szCs w:val="24"/>
        </w:rPr>
        <w:t>qind në vitin 2027.</w:t>
      </w:r>
    </w:p>
    <w:p w14:paraId="4037235D" w14:textId="77BAEF61" w:rsidR="00B6191B" w:rsidRPr="00EE038F" w:rsidRDefault="00B6191B" w:rsidP="00B6191B">
      <w:pPr>
        <w:autoSpaceDE w:val="0"/>
        <w:autoSpaceDN w:val="0"/>
        <w:adjustRightInd w:val="0"/>
        <w:spacing w:after="0" w:line="240" w:lineRule="auto"/>
        <w:ind w:firstLine="284"/>
        <w:jc w:val="both"/>
        <w:rPr>
          <w:rFonts w:ascii="Garamond" w:hAnsi="Garamond" w:cs="Times New Roman"/>
          <w:color w:val="0D0D0D"/>
          <w:sz w:val="24"/>
          <w:szCs w:val="24"/>
        </w:rPr>
      </w:pPr>
      <w:r w:rsidRPr="00EE038F">
        <w:rPr>
          <w:rFonts w:ascii="Garamond" w:hAnsi="Garamond" w:cs="Times New Roman"/>
          <w:color w:val="0D0D0D"/>
          <w:sz w:val="24"/>
          <w:szCs w:val="24"/>
        </w:rPr>
        <w:t>Si rrjedhojë, borxhi publik ndaj PBB-së do të vazhdojë trajektoren rënëse në përputhje me rregull</w:t>
      </w:r>
      <w:r w:rsidR="00080BF2">
        <w:rPr>
          <w:rFonts w:ascii="Garamond" w:hAnsi="Garamond" w:cs="Times New Roman"/>
          <w:color w:val="0D0D0D"/>
          <w:sz w:val="24"/>
          <w:szCs w:val="24"/>
        </w:rPr>
        <w:t>ën</w:t>
      </w:r>
      <w:r w:rsidRPr="00EE038F">
        <w:rPr>
          <w:rFonts w:ascii="Garamond" w:hAnsi="Garamond" w:cs="Times New Roman"/>
          <w:color w:val="0D0D0D"/>
          <w:sz w:val="24"/>
          <w:szCs w:val="24"/>
        </w:rPr>
        <w:t xml:space="preserve"> fiskal</w:t>
      </w:r>
      <w:r w:rsidR="00080BF2">
        <w:rPr>
          <w:rFonts w:ascii="Garamond" w:hAnsi="Garamond" w:cs="Times New Roman"/>
          <w:color w:val="0D0D0D"/>
          <w:sz w:val="24"/>
          <w:szCs w:val="24"/>
        </w:rPr>
        <w:t>e</w:t>
      </w:r>
      <w:r w:rsidRPr="00EE038F">
        <w:rPr>
          <w:rFonts w:ascii="Garamond" w:hAnsi="Garamond" w:cs="Times New Roman"/>
          <w:color w:val="0D0D0D"/>
          <w:sz w:val="24"/>
          <w:szCs w:val="24"/>
        </w:rPr>
        <w:t xml:space="preserve"> përkatës</w:t>
      </w:r>
      <w:r w:rsidR="00080BF2">
        <w:rPr>
          <w:rFonts w:ascii="Garamond" w:hAnsi="Garamond" w:cs="Times New Roman"/>
          <w:color w:val="0D0D0D"/>
          <w:sz w:val="24"/>
          <w:szCs w:val="24"/>
        </w:rPr>
        <w:t>e</w:t>
      </w:r>
      <w:r w:rsidRPr="00EE038F">
        <w:rPr>
          <w:rFonts w:ascii="Garamond" w:hAnsi="Garamond" w:cs="Times New Roman"/>
          <w:color w:val="0D0D0D"/>
          <w:sz w:val="24"/>
          <w:szCs w:val="24"/>
        </w:rPr>
        <w:t>. Në vitin 2024, borxhi publik pritet të bjerë në rreth 55.2 për</w:t>
      </w:r>
      <w:r w:rsidR="00FD6514" w:rsidRPr="00EE038F">
        <w:rPr>
          <w:rFonts w:ascii="Garamond" w:hAnsi="Garamond" w:cs="Times New Roman"/>
          <w:color w:val="0D0D0D"/>
          <w:sz w:val="24"/>
          <w:szCs w:val="24"/>
        </w:rPr>
        <w:t xml:space="preserve"> </w:t>
      </w:r>
      <w:r w:rsidRPr="00EE038F">
        <w:rPr>
          <w:rFonts w:ascii="Garamond" w:hAnsi="Garamond" w:cs="Times New Roman"/>
          <w:color w:val="0D0D0D"/>
          <w:sz w:val="24"/>
          <w:szCs w:val="24"/>
        </w:rPr>
        <w:t xml:space="preserve">qind të PBB-së nga rreth 57.5 </w:t>
      </w:r>
      <w:r w:rsidR="00FD6514" w:rsidRPr="00EE038F">
        <w:rPr>
          <w:rFonts w:ascii="Garamond" w:hAnsi="Garamond" w:cs="Times New Roman"/>
          <w:color w:val="0D0D0D"/>
          <w:sz w:val="24"/>
          <w:szCs w:val="24"/>
        </w:rPr>
        <w:t>për qind</w:t>
      </w:r>
      <w:r w:rsidRPr="00EE038F">
        <w:rPr>
          <w:rFonts w:ascii="Garamond" w:hAnsi="Garamond" w:cs="Times New Roman"/>
          <w:color w:val="0D0D0D"/>
          <w:sz w:val="24"/>
          <w:szCs w:val="24"/>
        </w:rPr>
        <w:t xml:space="preserve"> në vitin 2023 dhe pritet të vazhdojë të bjerë më tej në rreth 54.8 </w:t>
      </w:r>
      <w:r w:rsidR="00FD6514" w:rsidRPr="00EE038F">
        <w:rPr>
          <w:rFonts w:ascii="Garamond" w:hAnsi="Garamond" w:cs="Times New Roman"/>
          <w:color w:val="0D0D0D"/>
          <w:sz w:val="24"/>
          <w:szCs w:val="24"/>
        </w:rPr>
        <w:t>për qind</w:t>
      </w:r>
      <w:r w:rsidRPr="00EE038F">
        <w:rPr>
          <w:rFonts w:ascii="Garamond" w:hAnsi="Garamond" w:cs="Times New Roman"/>
          <w:color w:val="0D0D0D"/>
          <w:sz w:val="24"/>
          <w:szCs w:val="24"/>
        </w:rPr>
        <w:t xml:space="preserve"> në vitin 2025. Sipas skenarit bazë, borxhi publik pritet të bjerë në rreth 53.2 </w:t>
      </w:r>
      <w:r w:rsidR="00FD6514" w:rsidRPr="00EE038F">
        <w:rPr>
          <w:rFonts w:ascii="Garamond" w:hAnsi="Garamond" w:cs="Times New Roman"/>
          <w:color w:val="0D0D0D"/>
          <w:sz w:val="24"/>
          <w:szCs w:val="24"/>
        </w:rPr>
        <w:t>për qind</w:t>
      </w:r>
      <w:r w:rsidRPr="00EE038F">
        <w:rPr>
          <w:rFonts w:ascii="Garamond" w:hAnsi="Garamond" w:cs="Times New Roman"/>
          <w:color w:val="0D0D0D"/>
          <w:sz w:val="24"/>
          <w:szCs w:val="24"/>
        </w:rPr>
        <w:t xml:space="preserve"> në vitin 2027 dhe më tej në rreth 48 </w:t>
      </w:r>
      <w:r w:rsidR="00FD6514" w:rsidRPr="00EE038F">
        <w:rPr>
          <w:rFonts w:ascii="Garamond" w:hAnsi="Garamond" w:cs="Times New Roman"/>
          <w:color w:val="0D0D0D"/>
          <w:sz w:val="24"/>
          <w:szCs w:val="24"/>
        </w:rPr>
        <w:t>për qind</w:t>
      </w:r>
      <w:r w:rsidRPr="00EE038F">
        <w:rPr>
          <w:rFonts w:ascii="Garamond" w:hAnsi="Garamond" w:cs="Times New Roman"/>
          <w:color w:val="0D0D0D"/>
          <w:sz w:val="24"/>
          <w:szCs w:val="24"/>
        </w:rPr>
        <w:t xml:space="preserve"> deri në vitin 2031.</w:t>
      </w:r>
    </w:p>
    <w:p w14:paraId="1E5486B2" w14:textId="22C7F3A7" w:rsidR="00B6191B" w:rsidRPr="00EE038F" w:rsidRDefault="00B6191B" w:rsidP="00B6191B">
      <w:pPr>
        <w:autoSpaceDE w:val="0"/>
        <w:autoSpaceDN w:val="0"/>
        <w:adjustRightInd w:val="0"/>
        <w:spacing w:after="0" w:line="240" w:lineRule="auto"/>
        <w:ind w:firstLine="284"/>
        <w:jc w:val="both"/>
        <w:rPr>
          <w:rFonts w:ascii="Garamond" w:hAnsi="Garamond" w:cs="Times New Roman"/>
          <w:color w:val="0D0D0D"/>
          <w:sz w:val="24"/>
          <w:szCs w:val="24"/>
        </w:rPr>
      </w:pPr>
      <w:r w:rsidRPr="00EE038F">
        <w:rPr>
          <w:rFonts w:ascii="Garamond" w:hAnsi="Garamond" w:cs="Times New Roman"/>
          <w:color w:val="0D0D0D"/>
          <w:sz w:val="24"/>
          <w:szCs w:val="24"/>
        </w:rPr>
        <w:t xml:space="preserve">Në të njëjtën kohë, krahas konsolidimit fiskal, do </w:t>
      </w:r>
      <w:r w:rsidR="00FD6514" w:rsidRPr="00EE038F">
        <w:rPr>
          <w:rFonts w:ascii="Garamond" w:hAnsi="Garamond" w:cs="Times New Roman"/>
          <w:color w:val="0D0D0D"/>
          <w:sz w:val="24"/>
          <w:szCs w:val="24"/>
        </w:rPr>
        <w:t xml:space="preserve">të </w:t>
      </w:r>
      <w:r w:rsidRPr="00EE038F">
        <w:rPr>
          <w:rFonts w:ascii="Garamond" w:hAnsi="Garamond" w:cs="Times New Roman"/>
          <w:color w:val="0D0D0D"/>
          <w:sz w:val="24"/>
          <w:szCs w:val="24"/>
        </w:rPr>
        <w:t xml:space="preserve">synojmë që të ruajmë një raport të shëndetshëm të shpenzimeve buxhetore korrente dhe kapitale, ku shpenzimet kapitale (pra, investimet publike) do </w:t>
      </w:r>
      <w:r w:rsidR="008B56E1" w:rsidRPr="00EE038F">
        <w:rPr>
          <w:rFonts w:ascii="Garamond" w:hAnsi="Garamond" w:cs="Times New Roman"/>
          <w:color w:val="0D0D0D"/>
          <w:sz w:val="24"/>
          <w:szCs w:val="24"/>
        </w:rPr>
        <w:t xml:space="preserve">të </w:t>
      </w:r>
      <w:r w:rsidRPr="00EE038F">
        <w:rPr>
          <w:rFonts w:ascii="Garamond" w:hAnsi="Garamond" w:cs="Times New Roman"/>
          <w:color w:val="0D0D0D"/>
          <w:sz w:val="24"/>
          <w:szCs w:val="24"/>
        </w:rPr>
        <w:t xml:space="preserve">targetohen të jenë mbi 5 </w:t>
      </w:r>
      <w:r w:rsidR="00FD6514" w:rsidRPr="00EE038F">
        <w:rPr>
          <w:rFonts w:ascii="Garamond" w:hAnsi="Garamond" w:cs="Times New Roman"/>
          <w:color w:val="0D0D0D"/>
          <w:sz w:val="24"/>
          <w:szCs w:val="24"/>
        </w:rPr>
        <w:t>për qind</w:t>
      </w:r>
      <w:r w:rsidRPr="00EE038F">
        <w:rPr>
          <w:rFonts w:ascii="Garamond" w:hAnsi="Garamond" w:cs="Times New Roman"/>
          <w:color w:val="0D0D0D"/>
          <w:sz w:val="24"/>
          <w:szCs w:val="24"/>
        </w:rPr>
        <w:t xml:space="preserve"> e PBB në çdo vit buxhetor për periudhën </w:t>
      </w:r>
      <w:r w:rsidR="003F70BC" w:rsidRPr="00EE038F">
        <w:rPr>
          <w:rFonts w:ascii="Garamond" w:hAnsi="Garamond" w:cs="Times New Roman"/>
          <w:color w:val="0D0D0D"/>
          <w:sz w:val="24"/>
          <w:szCs w:val="24"/>
        </w:rPr>
        <w:t xml:space="preserve">2025–2027 </w:t>
      </w:r>
      <w:r w:rsidRPr="00EE038F">
        <w:rPr>
          <w:rFonts w:ascii="Garamond" w:hAnsi="Garamond" w:cs="Times New Roman"/>
          <w:color w:val="0D0D0D"/>
          <w:sz w:val="24"/>
          <w:szCs w:val="24"/>
        </w:rPr>
        <w:t xml:space="preserve">(mesatarisht 6.1 </w:t>
      </w:r>
      <w:r w:rsidR="00FD6514" w:rsidRPr="00EE038F">
        <w:rPr>
          <w:rFonts w:ascii="Garamond" w:hAnsi="Garamond" w:cs="Times New Roman"/>
          <w:color w:val="0D0D0D"/>
          <w:sz w:val="24"/>
          <w:szCs w:val="24"/>
        </w:rPr>
        <w:t>për qind</w:t>
      </w:r>
      <w:r w:rsidRPr="00EE038F">
        <w:rPr>
          <w:rFonts w:ascii="Garamond" w:hAnsi="Garamond" w:cs="Times New Roman"/>
          <w:color w:val="0D0D0D"/>
          <w:sz w:val="24"/>
          <w:szCs w:val="24"/>
        </w:rPr>
        <w:t xml:space="preserve"> në vit), duke përfshirë këtu investimet e reja publike që potencialisht do të mundësohen në kuadër të </w:t>
      </w:r>
      <w:r w:rsidR="00457FAB" w:rsidRPr="00EE038F">
        <w:rPr>
          <w:rFonts w:ascii="Garamond" w:hAnsi="Garamond" w:cs="Times New Roman"/>
          <w:color w:val="0D0D0D"/>
          <w:sz w:val="24"/>
          <w:szCs w:val="24"/>
        </w:rPr>
        <w:t xml:space="preserve">planit të ri të rritjes </w:t>
      </w:r>
      <w:r w:rsidRPr="00EE038F">
        <w:rPr>
          <w:rFonts w:ascii="Garamond" w:hAnsi="Garamond" w:cs="Times New Roman"/>
          <w:color w:val="0D0D0D"/>
          <w:sz w:val="24"/>
          <w:szCs w:val="24"/>
        </w:rPr>
        <w:t>të zbatuar nga Bashkimi Evropian</w:t>
      </w:r>
      <w:r w:rsidR="00457FAB" w:rsidRPr="00EE038F">
        <w:rPr>
          <w:rFonts w:ascii="Garamond" w:hAnsi="Garamond" w:cs="Times New Roman"/>
          <w:color w:val="0D0D0D"/>
          <w:sz w:val="24"/>
          <w:szCs w:val="24"/>
        </w:rPr>
        <w:t>,</w:t>
      </w:r>
      <w:r w:rsidRPr="00EE038F">
        <w:rPr>
          <w:rFonts w:ascii="Garamond" w:hAnsi="Garamond" w:cs="Times New Roman"/>
          <w:color w:val="0D0D0D"/>
          <w:sz w:val="24"/>
          <w:szCs w:val="24"/>
        </w:rPr>
        <w:t xml:space="preserve"> me synimin përfundimtar për një zhvendosje të konsiderueshme të rritjes potenciale në vendet e Ballkanit Perëndimor). Ndërkohë që deficiti buxhetor për këtë periudhë targetohet në mesatarisht rreth 2.0 </w:t>
      </w:r>
      <w:r w:rsidR="00FD6514" w:rsidRPr="00EE038F">
        <w:rPr>
          <w:rFonts w:ascii="Garamond" w:hAnsi="Garamond" w:cs="Times New Roman"/>
          <w:color w:val="0D0D0D"/>
          <w:sz w:val="24"/>
          <w:szCs w:val="24"/>
        </w:rPr>
        <w:t>për qind</w:t>
      </w:r>
      <w:r w:rsidRPr="00EE038F">
        <w:rPr>
          <w:rFonts w:ascii="Garamond" w:hAnsi="Garamond" w:cs="Times New Roman"/>
          <w:color w:val="0D0D0D"/>
          <w:sz w:val="24"/>
          <w:szCs w:val="24"/>
        </w:rPr>
        <w:t xml:space="preserve"> në vit. Rrjedhimisht, bilanci korrent fiskal targetohet gjithmonë pozitiv, në përputhje kjo me rregull</w:t>
      </w:r>
      <w:r w:rsidR="003710A1" w:rsidRPr="00EE038F">
        <w:rPr>
          <w:rFonts w:ascii="Garamond" w:hAnsi="Garamond" w:cs="Times New Roman"/>
          <w:color w:val="0D0D0D"/>
          <w:sz w:val="24"/>
          <w:szCs w:val="24"/>
        </w:rPr>
        <w:t>ës</w:t>
      </w:r>
      <w:r w:rsidRPr="00EE038F">
        <w:rPr>
          <w:rFonts w:ascii="Garamond" w:hAnsi="Garamond" w:cs="Times New Roman"/>
          <w:color w:val="0D0D0D"/>
          <w:sz w:val="24"/>
          <w:szCs w:val="24"/>
        </w:rPr>
        <w:t xml:space="preserve"> respektiv</w:t>
      </w:r>
      <w:r w:rsidR="003710A1" w:rsidRPr="00EE038F">
        <w:rPr>
          <w:rFonts w:ascii="Garamond" w:hAnsi="Garamond" w:cs="Times New Roman"/>
          <w:color w:val="0D0D0D"/>
          <w:sz w:val="24"/>
          <w:szCs w:val="24"/>
        </w:rPr>
        <w:t>e</w:t>
      </w:r>
      <w:r w:rsidRPr="00EE038F">
        <w:rPr>
          <w:rFonts w:ascii="Garamond" w:hAnsi="Garamond" w:cs="Times New Roman"/>
          <w:color w:val="0D0D0D"/>
          <w:sz w:val="24"/>
          <w:szCs w:val="24"/>
        </w:rPr>
        <w:t xml:space="preserve"> fiskal</w:t>
      </w:r>
      <w:r w:rsidR="003710A1" w:rsidRPr="00EE038F">
        <w:rPr>
          <w:rFonts w:ascii="Garamond" w:hAnsi="Garamond" w:cs="Times New Roman"/>
          <w:color w:val="0D0D0D"/>
          <w:sz w:val="24"/>
          <w:szCs w:val="24"/>
        </w:rPr>
        <w:t>e</w:t>
      </w:r>
      <w:r w:rsidRPr="00EE038F">
        <w:rPr>
          <w:rFonts w:ascii="Garamond" w:hAnsi="Garamond" w:cs="Times New Roman"/>
          <w:color w:val="0D0D0D"/>
          <w:sz w:val="24"/>
          <w:szCs w:val="24"/>
        </w:rPr>
        <w:t xml:space="preserve"> (</w:t>
      </w:r>
      <w:r w:rsidR="00D555C7" w:rsidRPr="00EE038F">
        <w:rPr>
          <w:rFonts w:ascii="Garamond" w:hAnsi="Garamond" w:cs="Times New Roman"/>
          <w:color w:val="0D0D0D"/>
          <w:sz w:val="24"/>
          <w:szCs w:val="24"/>
        </w:rPr>
        <w:t>“</w:t>
      </w:r>
      <w:r w:rsidRPr="00EE038F">
        <w:rPr>
          <w:rFonts w:ascii="Garamond" w:hAnsi="Garamond" w:cs="Times New Roman"/>
          <w:color w:val="0D0D0D"/>
          <w:sz w:val="24"/>
          <w:szCs w:val="24"/>
        </w:rPr>
        <w:t>rregull</w:t>
      </w:r>
      <w:r w:rsidR="00457FAB" w:rsidRPr="00EE038F">
        <w:rPr>
          <w:rFonts w:ascii="Garamond" w:hAnsi="Garamond" w:cs="Times New Roman"/>
          <w:color w:val="0D0D0D"/>
          <w:sz w:val="24"/>
          <w:szCs w:val="24"/>
        </w:rPr>
        <w:t>a</w:t>
      </w:r>
      <w:r w:rsidRPr="00EE038F">
        <w:rPr>
          <w:rFonts w:ascii="Garamond" w:hAnsi="Garamond" w:cs="Times New Roman"/>
          <w:color w:val="0D0D0D"/>
          <w:sz w:val="24"/>
          <w:szCs w:val="24"/>
        </w:rPr>
        <w:t xml:space="preserve"> e artë</w:t>
      </w:r>
      <w:r w:rsidR="00D555C7" w:rsidRPr="00EE038F">
        <w:rPr>
          <w:rFonts w:ascii="Garamond" w:hAnsi="Garamond" w:cs="Times New Roman"/>
          <w:color w:val="0D0D0D"/>
          <w:sz w:val="24"/>
          <w:szCs w:val="24"/>
        </w:rPr>
        <w:t>”</w:t>
      </w:r>
      <w:r w:rsidRPr="00EE038F">
        <w:rPr>
          <w:rFonts w:ascii="Garamond" w:hAnsi="Garamond" w:cs="Times New Roman"/>
          <w:color w:val="0D0D0D"/>
          <w:sz w:val="24"/>
          <w:szCs w:val="24"/>
        </w:rPr>
        <w:t xml:space="preserve"> </w:t>
      </w:r>
      <w:r w:rsidR="003710A1" w:rsidRPr="00EE038F">
        <w:rPr>
          <w:rFonts w:ascii="Garamond" w:hAnsi="Garamond" w:cs="Times New Roman"/>
          <w:color w:val="0D0D0D"/>
          <w:sz w:val="24"/>
          <w:szCs w:val="24"/>
        </w:rPr>
        <w:t>e</w:t>
      </w:r>
      <w:r w:rsidRPr="00EE038F">
        <w:rPr>
          <w:rFonts w:ascii="Garamond" w:hAnsi="Garamond" w:cs="Times New Roman"/>
          <w:color w:val="0D0D0D"/>
          <w:sz w:val="24"/>
          <w:szCs w:val="24"/>
        </w:rPr>
        <w:t xml:space="preserve"> buxhetit), konkretisht në mesatarisht rreth +4.1 </w:t>
      </w:r>
      <w:r w:rsidR="00FD6514" w:rsidRPr="00EE038F">
        <w:rPr>
          <w:rFonts w:ascii="Garamond" w:hAnsi="Garamond" w:cs="Times New Roman"/>
          <w:color w:val="0D0D0D"/>
          <w:sz w:val="24"/>
          <w:szCs w:val="24"/>
        </w:rPr>
        <w:t>për qind</w:t>
      </w:r>
      <w:r w:rsidRPr="00EE038F">
        <w:rPr>
          <w:rFonts w:ascii="Garamond" w:hAnsi="Garamond" w:cs="Times New Roman"/>
          <w:color w:val="0D0D0D"/>
          <w:sz w:val="24"/>
          <w:szCs w:val="24"/>
        </w:rPr>
        <w:t xml:space="preserve"> në vit gjatë periudhës afatmesme 2025</w:t>
      </w:r>
      <w:r w:rsidR="003710A1" w:rsidRPr="00EE038F">
        <w:rPr>
          <w:rFonts w:ascii="Garamond" w:hAnsi="Garamond" w:cs="Times New Roman"/>
          <w:color w:val="0D0D0D"/>
          <w:sz w:val="24"/>
          <w:szCs w:val="24"/>
        </w:rPr>
        <w:t>–</w:t>
      </w:r>
      <w:r w:rsidRPr="00EE038F">
        <w:rPr>
          <w:rFonts w:ascii="Garamond" w:hAnsi="Garamond" w:cs="Times New Roman"/>
          <w:color w:val="0D0D0D"/>
          <w:sz w:val="24"/>
          <w:szCs w:val="24"/>
        </w:rPr>
        <w:t xml:space="preserve">2027. </w:t>
      </w:r>
    </w:p>
    <w:p w14:paraId="2BC02153" w14:textId="77777777" w:rsidR="00B6191B" w:rsidRPr="00EE038F" w:rsidRDefault="00B6191B" w:rsidP="00B6191B">
      <w:pPr>
        <w:autoSpaceDE w:val="0"/>
        <w:autoSpaceDN w:val="0"/>
        <w:adjustRightInd w:val="0"/>
        <w:spacing w:after="0" w:line="240" w:lineRule="auto"/>
        <w:ind w:firstLine="284"/>
        <w:jc w:val="both"/>
        <w:outlineLvl w:val="0"/>
        <w:rPr>
          <w:rFonts w:ascii="Garamond" w:hAnsi="Garamond" w:cs="Times New Roman"/>
          <w:color w:val="0D0D0D"/>
          <w:sz w:val="24"/>
          <w:szCs w:val="24"/>
        </w:rPr>
      </w:pPr>
      <w:r w:rsidRPr="00EE038F">
        <w:rPr>
          <w:rFonts w:ascii="Garamond" w:hAnsi="Garamond" w:cs="Times New Roman"/>
          <w:color w:val="0D0D0D"/>
          <w:sz w:val="24"/>
          <w:szCs w:val="24"/>
        </w:rPr>
        <w:t>2. ZBATIMI I UDHËZIMEVE TË POLITIKAVE</w:t>
      </w:r>
    </w:p>
    <w:p w14:paraId="04CB2BA5" w14:textId="63F40647" w:rsidR="00B6191B" w:rsidRPr="00EE038F" w:rsidRDefault="00B6191B" w:rsidP="00B6191B">
      <w:pPr>
        <w:autoSpaceDE w:val="0"/>
        <w:autoSpaceDN w:val="0"/>
        <w:adjustRightInd w:val="0"/>
        <w:spacing w:after="0" w:line="240" w:lineRule="auto"/>
        <w:ind w:firstLine="284"/>
        <w:jc w:val="both"/>
        <w:rPr>
          <w:rFonts w:ascii="Garamond" w:hAnsi="Garamond" w:cs="Times New Roman"/>
          <w:b/>
          <w:bCs/>
          <w:color w:val="0D0D0D"/>
          <w:sz w:val="24"/>
          <w:szCs w:val="24"/>
        </w:rPr>
      </w:pPr>
      <w:r w:rsidRPr="00EE038F">
        <w:rPr>
          <w:rFonts w:ascii="Garamond" w:hAnsi="Garamond" w:cs="Times New Roman"/>
          <w:b/>
          <w:bCs/>
          <w:color w:val="0D0D0D"/>
          <w:sz w:val="24"/>
          <w:szCs w:val="24"/>
        </w:rPr>
        <w:t xml:space="preserve">1. Udhëzimi i </w:t>
      </w:r>
      <w:r w:rsidR="00B41EC3" w:rsidRPr="00EE038F">
        <w:rPr>
          <w:rFonts w:ascii="Garamond" w:hAnsi="Garamond" w:cs="Times New Roman"/>
          <w:b/>
          <w:bCs/>
          <w:color w:val="0D0D0D"/>
          <w:sz w:val="24"/>
          <w:szCs w:val="24"/>
        </w:rPr>
        <w:t xml:space="preserve">politikave </w:t>
      </w:r>
      <w:r w:rsidRPr="00EE038F">
        <w:rPr>
          <w:rFonts w:ascii="Garamond" w:hAnsi="Garamond" w:cs="Times New Roman"/>
          <w:b/>
          <w:bCs/>
          <w:color w:val="0D0D0D"/>
          <w:sz w:val="24"/>
          <w:szCs w:val="24"/>
        </w:rPr>
        <w:t>1</w:t>
      </w:r>
    </w:p>
    <w:p w14:paraId="01561F27" w14:textId="4471BA08" w:rsidR="00B6191B" w:rsidRPr="00EE038F" w:rsidRDefault="00B6191B" w:rsidP="00B6191B">
      <w:pPr>
        <w:autoSpaceDE w:val="0"/>
        <w:autoSpaceDN w:val="0"/>
        <w:adjustRightInd w:val="0"/>
        <w:spacing w:after="0" w:line="240" w:lineRule="auto"/>
        <w:ind w:firstLine="284"/>
        <w:jc w:val="both"/>
        <w:rPr>
          <w:rFonts w:ascii="Garamond" w:hAnsi="Garamond" w:cs="Times New Roman"/>
          <w:i/>
          <w:iCs/>
          <w:color w:val="000000"/>
          <w:sz w:val="24"/>
          <w:szCs w:val="24"/>
        </w:rPr>
      </w:pPr>
      <w:r w:rsidRPr="00EE038F">
        <w:rPr>
          <w:rFonts w:ascii="Garamond" w:hAnsi="Garamond" w:cs="Times New Roman"/>
          <w:i/>
          <w:iCs/>
          <w:color w:val="000000"/>
          <w:sz w:val="24"/>
          <w:szCs w:val="24"/>
        </w:rPr>
        <w:lastRenderedPageBreak/>
        <w:t>1.1.</w:t>
      </w:r>
      <w:r w:rsidRPr="00EE038F">
        <w:rPr>
          <w:rFonts w:ascii="Garamond" w:hAnsi="Garamond" w:cs="Times New Roman"/>
          <w:b/>
          <w:bCs/>
          <w:i/>
          <w:iCs/>
          <w:color w:val="000000"/>
          <w:sz w:val="24"/>
          <w:szCs w:val="24"/>
        </w:rPr>
        <w:t xml:space="preserve"> </w:t>
      </w:r>
      <w:r w:rsidRPr="00EE038F">
        <w:rPr>
          <w:rFonts w:ascii="Garamond" w:hAnsi="Garamond" w:cs="Times New Roman"/>
          <w:i/>
          <w:iCs/>
          <w:color w:val="000000"/>
          <w:sz w:val="24"/>
          <w:szCs w:val="24"/>
        </w:rPr>
        <w:t xml:space="preserve">Të sigurohet pajtueshmëria me rregullat fiskale të përcaktuara në </w:t>
      </w:r>
      <w:r w:rsidR="00B41EC3" w:rsidRPr="00EE038F">
        <w:rPr>
          <w:rFonts w:ascii="Garamond" w:hAnsi="Garamond" w:cs="Times New Roman"/>
          <w:i/>
          <w:iCs/>
          <w:color w:val="000000"/>
          <w:sz w:val="24"/>
          <w:szCs w:val="24"/>
        </w:rPr>
        <w:t>ligjin organik të buxhetit</w:t>
      </w:r>
      <w:r w:rsidRPr="00EE038F">
        <w:rPr>
          <w:rFonts w:ascii="Garamond" w:hAnsi="Garamond" w:cs="Times New Roman"/>
          <w:i/>
          <w:iCs/>
          <w:color w:val="000000"/>
          <w:sz w:val="24"/>
          <w:szCs w:val="24"/>
        </w:rPr>
        <w:t>, duke përfshirë arritjen e një balance primare jonegative dhe garantimin e një trendi rënës të raportit të borxhit publik ndaj PBB-së</w:t>
      </w:r>
      <w:r w:rsidR="00B41EC3" w:rsidRPr="00EE038F">
        <w:rPr>
          <w:rFonts w:ascii="Garamond" w:hAnsi="Garamond" w:cs="Times New Roman"/>
          <w:i/>
          <w:iCs/>
          <w:color w:val="000000"/>
          <w:sz w:val="24"/>
          <w:szCs w:val="24"/>
        </w:rPr>
        <w:t>,</w:t>
      </w:r>
      <w:r w:rsidRPr="00EE038F">
        <w:rPr>
          <w:rFonts w:ascii="Garamond" w:hAnsi="Garamond" w:cs="Times New Roman"/>
          <w:i/>
          <w:iCs/>
          <w:color w:val="000000"/>
          <w:sz w:val="24"/>
          <w:szCs w:val="24"/>
        </w:rPr>
        <w:t xml:space="preserve"> si dhe të përshpejtohet ritmi i konsolidimit fiskal në rast se ekonomia performon më mirë se pritshmëritë dhe të ardhurat buxhetore tejkalojnë parashikimet.</w:t>
      </w:r>
    </w:p>
    <w:p w14:paraId="5FF5D636" w14:textId="3D0DF379" w:rsidR="00B6191B" w:rsidRPr="00EE038F" w:rsidRDefault="00B6191B" w:rsidP="00B6191B">
      <w:pPr>
        <w:autoSpaceDE w:val="0"/>
        <w:autoSpaceDN w:val="0"/>
        <w:adjustRightInd w:val="0"/>
        <w:spacing w:after="0" w:line="240" w:lineRule="auto"/>
        <w:ind w:firstLine="284"/>
        <w:jc w:val="both"/>
        <w:rPr>
          <w:rFonts w:ascii="Garamond" w:hAnsi="Garamond" w:cs="Times New Roman"/>
          <w:color w:val="0D0D0D"/>
          <w:sz w:val="24"/>
          <w:szCs w:val="24"/>
        </w:rPr>
      </w:pPr>
      <w:r w:rsidRPr="00EE038F">
        <w:rPr>
          <w:rFonts w:ascii="Garamond" w:hAnsi="Garamond" w:cs="Times New Roman"/>
          <w:color w:val="0D0D0D"/>
          <w:sz w:val="24"/>
          <w:szCs w:val="24"/>
        </w:rPr>
        <w:t xml:space="preserve">Për të garantuar respektimin e rregullave fiskale të përcaktuara në </w:t>
      </w:r>
      <w:r w:rsidR="00B41EC3" w:rsidRPr="00EE038F">
        <w:rPr>
          <w:rFonts w:ascii="Garamond" w:hAnsi="Garamond" w:cs="Times New Roman"/>
          <w:color w:val="0D0D0D"/>
          <w:sz w:val="24"/>
          <w:szCs w:val="24"/>
        </w:rPr>
        <w:t xml:space="preserve">ligjin organik të buxhetit </w:t>
      </w:r>
      <w:r w:rsidRPr="00EE038F">
        <w:rPr>
          <w:rFonts w:ascii="Garamond" w:hAnsi="Garamond" w:cs="Times New Roman"/>
          <w:color w:val="0D0D0D"/>
          <w:sz w:val="24"/>
          <w:szCs w:val="24"/>
        </w:rPr>
        <w:t>(LOB), qeveria është e angazhuar të zbatojë një strategji gjithëpërfshirëse</w:t>
      </w:r>
      <w:r w:rsidR="00B41EC3" w:rsidRPr="00EE038F">
        <w:rPr>
          <w:rFonts w:ascii="Garamond" w:hAnsi="Garamond" w:cs="Times New Roman"/>
          <w:color w:val="0D0D0D"/>
          <w:sz w:val="24"/>
          <w:szCs w:val="24"/>
        </w:rPr>
        <w:t>,</w:t>
      </w:r>
      <w:r w:rsidRPr="00EE038F">
        <w:rPr>
          <w:rFonts w:ascii="Garamond" w:hAnsi="Garamond" w:cs="Times New Roman"/>
          <w:color w:val="0D0D0D"/>
          <w:sz w:val="24"/>
          <w:szCs w:val="24"/>
        </w:rPr>
        <w:t xml:space="preserve"> që synon ruajtjen e një balance primare jonegative dhe uljen e qëndrueshme të raportit të borxhit publik ndaj PBB-së. Për periudhën afatmesme </w:t>
      </w:r>
      <w:r w:rsidR="00B41EC3" w:rsidRPr="00EE038F">
        <w:rPr>
          <w:rFonts w:ascii="Garamond" w:hAnsi="Garamond" w:cs="Times New Roman"/>
          <w:color w:val="0D0D0D"/>
          <w:sz w:val="24"/>
          <w:szCs w:val="24"/>
        </w:rPr>
        <w:t>2025–2027</w:t>
      </w:r>
      <w:r w:rsidRPr="00EE038F">
        <w:rPr>
          <w:rFonts w:ascii="Garamond" w:hAnsi="Garamond" w:cs="Times New Roman"/>
          <w:color w:val="0D0D0D"/>
          <w:sz w:val="24"/>
          <w:szCs w:val="24"/>
        </w:rPr>
        <w:t>, prioritet mbetet forcimi i disiplinës fiskale, përafrimi i politikave buxhetore me parimet e LOB</w:t>
      </w:r>
      <w:r w:rsidR="00B41EC3" w:rsidRPr="00EE038F">
        <w:rPr>
          <w:rFonts w:ascii="Garamond" w:hAnsi="Garamond" w:cs="Times New Roman"/>
          <w:color w:val="0D0D0D"/>
          <w:sz w:val="24"/>
          <w:szCs w:val="24"/>
        </w:rPr>
        <w:t>-së</w:t>
      </w:r>
      <w:r w:rsidRPr="00EE038F">
        <w:rPr>
          <w:rFonts w:ascii="Garamond" w:hAnsi="Garamond" w:cs="Times New Roman"/>
          <w:color w:val="0D0D0D"/>
          <w:sz w:val="24"/>
          <w:szCs w:val="24"/>
        </w:rPr>
        <w:t xml:space="preserve"> dhe zvogëlimi i varësisë nga huamarrja e jashtme komerciale.</w:t>
      </w:r>
    </w:p>
    <w:p w14:paraId="7527B48D" w14:textId="77777777" w:rsidR="00B6191B" w:rsidRPr="00EE038F" w:rsidRDefault="00B6191B" w:rsidP="00B6191B">
      <w:pPr>
        <w:autoSpaceDE w:val="0"/>
        <w:autoSpaceDN w:val="0"/>
        <w:adjustRightInd w:val="0"/>
        <w:spacing w:after="0" w:line="240" w:lineRule="auto"/>
        <w:ind w:firstLine="284"/>
        <w:jc w:val="both"/>
        <w:rPr>
          <w:rFonts w:ascii="Garamond" w:hAnsi="Garamond" w:cs="Times New Roman"/>
          <w:color w:val="0D0D0D"/>
          <w:sz w:val="24"/>
          <w:szCs w:val="24"/>
        </w:rPr>
      </w:pPr>
      <w:r w:rsidRPr="00EE038F">
        <w:rPr>
          <w:rFonts w:ascii="Garamond" w:hAnsi="Garamond" w:cs="Times New Roman"/>
          <w:color w:val="0D0D0D"/>
          <w:sz w:val="24"/>
          <w:szCs w:val="24"/>
        </w:rPr>
        <w:t xml:space="preserve">Strategjia e qeverisë për reduktimin e borxhit publik do të fokusohet në prioritizimin me kujdes të shpenzimeve, optimizimin e investimeve publike dhe nxitjen e gjenerimit të qëndrueshëm të të ardhurave për të rritur stabilitetin fiskal. </w:t>
      </w:r>
    </w:p>
    <w:p w14:paraId="0F466FD9" w14:textId="397F51E0" w:rsidR="00B6191B" w:rsidRPr="00EE038F" w:rsidRDefault="00B6191B" w:rsidP="00B6191B">
      <w:pPr>
        <w:autoSpaceDE w:val="0"/>
        <w:autoSpaceDN w:val="0"/>
        <w:adjustRightInd w:val="0"/>
        <w:spacing w:after="0" w:line="240" w:lineRule="auto"/>
        <w:ind w:firstLine="284"/>
        <w:jc w:val="both"/>
        <w:rPr>
          <w:rFonts w:ascii="Garamond" w:hAnsi="Garamond" w:cs="Times New Roman"/>
          <w:color w:val="0D0D0D"/>
          <w:sz w:val="24"/>
          <w:szCs w:val="24"/>
        </w:rPr>
      </w:pPr>
      <w:r w:rsidRPr="00EE038F">
        <w:rPr>
          <w:rFonts w:ascii="Garamond" w:hAnsi="Garamond" w:cs="Times New Roman"/>
          <w:color w:val="0D0D0D"/>
          <w:sz w:val="24"/>
          <w:szCs w:val="24"/>
        </w:rPr>
        <w:t>Në vitin 2024, balanca primare pritet të jetë pozitive prej të paktën 0.6 për qind të PBB-së. Në përputhje me detyrimet e LOB-it, balanca primare do të vijoj</w:t>
      </w:r>
      <w:r w:rsidR="00F94FF2" w:rsidRPr="00EE038F">
        <w:rPr>
          <w:rFonts w:ascii="Garamond" w:hAnsi="Garamond" w:cs="Times New Roman"/>
          <w:color w:val="0D0D0D"/>
          <w:sz w:val="24"/>
          <w:szCs w:val="24"/>
        </w:rPr>
        <w:t>ë</w:t>
      </w:r>
      <w:r w:rsidRPr="00EE038F">
        <w:rPr>
          <w:rFonts w:ascii="Garamond" w:hAnsi="Garamond" w:cs="Times New Roman"/>
          <w:color w:val="0D0D0D"/>
          <w:sz w:val="24"/>
          <w:szCs w:val="24"/>
        </w:rPr>
        <w:t xml:space="preserve"> të mbetet pozitive në vitet pasuese, duke ndjekur një trajektore rritëse. Për vitin 2025 synohet një balancë primare neutrale, ndërsa për vitet 2026 dhe 2027 parashikohen nivele pozitive prej 0.7% dhe 0.9% të PBB-së, përkatësisht.</w:t>
      </w:r>
    </w:p>
    <w:p w14:paraId="1C3D9D98" w14:textId="77D08B1C" w:rsidR="00B6191B" w:rsidRPr="00EE038F" w:rsidRDefault="00B6191B" w:rsidP="00B6191B">
      <w:pPr>
        <w:autoSpaceDE w:val="0"/>
        <w:autoSpaceDN w:val="0"/>
        <w:adjustRightInd w:val="0"/>
        <w:spacing w:after="0" w:line="240" w:lineRule="auto"/>
        <w:ind w:firstLine="284"/>
        <w:jc w:val="both"/>
        <w:rPr>
          <w:rFonts w:ascii="Garamond" w:hAnsi="Garamond" w:cs="Times New Roman"/>
          <w:color w:val="0D0D0D"/>
          <w:sz w:val="24"/>
          <w:szCs w:val="24"/>
        </w:rPr>
      </w:pPr>
      <w:r w:rsidRPr="00EE038F">
        <w:rPr>
          <w:rFonts w:ascii="Garamond" w:hAnsi="Garamond" w:cs="Times New Roman"/>
          <w:color w:val="0D0D0D"/>
          <w:sz w:val="24"/>
          <w:szCs w:val="24"/>
        </w:rPr>
        <w:t>Në të njëjtën kohë, borxhi publik bruto do të reduktohet në përputhje me rregull</w:t>
      </w:r>
      <w:r w:rsidR="00F94FF2" w:rsidRPr="00EE038F">
        <w:rPr>
          <w:rFonts w:ascii="Garamond" w:hAnsi="Garamond" w:cs="Times New Roman"/>
          <w:color w:val="0D0D0D"/>
          <w:sz w:val="24"/>
          <w:szCs w:val="24"/>
        </w:rPr>
        <w:t>ën</w:t>
      </w:r>
      <w:r w:rsidRPr="00EE038F">
        <w:rPr>
          <w:rFonts w:ascii="Garamond" w:hAnsi="Garamond" w:cs="Times New Roman"/>
          <w:color w:val="0D0D0D"/>
          <w:sz w:val="24"/>
          <w:szCs w:val="24"/>
        </w:rPr>
        <w:t xml:space="preserve"> respektiv</w:t>
      </w:r>
      <w:r w:rsidR="00F94FF2" w:rsidRPr="00EE038F">
        <w:rPr>
          <w:rFonts w:ascii="Garamond" w:hAnsi="Garamond" w:cs="Times New Roman"/>
          <w:color w:val="0D0D0D"/>
          <w:sz w:val="24"/>
          <w:szCs w:val="24"/>
        </w:rPr>
        <w:t>e</w:t>
      </w:r>
      <w:r w:rsidRPr="00EE038F">
        <w:rPr>
          <w:rFonts w:ascii="Garamond" w:hAnsi="Garamond" w:cs="Times New Roman"/>
          <w:color w:val="0D0D0D"/>
          <w:sz w:val="24"/>
          <w:szCs w:val="24"/>
        </w:rPr>
        <w:t xml:space="preserve"> të përcaktuar në LOB. Sipas parashikimeve të Ministrisë së Financave, borxhi publik parashikohet të ulet nga rreth 55.2% e PBB-së në vitin 2024 në 54.8% në vitin 2025, në 53.2% në vitin 2027 dhe më tej në rreth 48 </w:t>
      </w:r>
      <w:r w:rsidR="00FD6514" w:rsidRPr="00EE038F">
        <w:rPr>
          <w:rFonts w:ascii="Garamond" w:hAnsi="Garamond" w:cs="Times New Roman"/>
          <w:color w:val="0D0D0D"/>
          <w:sz w:val="24"/>
          <w:szCs w:val="24"/>
        </w:rPr>
        <w:t>për qind</w:t>
      </w:r>
      <w:r w:rsidRPr="00EE038F">
        <w:rPr>
          <w:rFonts w:ascii="Garamond" w:hAnsi="Garamond" w:cs="Times New Roman"/>
          <w:color w:val="0D0D0D"/>
          <w:sz w:val="24"/>
          <w:szCs w:val="24"/>
        </w:rPr>
        <w:t xml:space="preserve"> deri në vitin 2031. Kjo qasje synon të rrisë qëndrueshmërinë fiskale, të forcojë besueshmërinë e politikave buxhetore dhe të krijojë hapësirë për manovra financiare për përballimin e sfidave ekonomike në të ardhmen.</w:t>
      </w:r>
    </w:p>
    <w:p w14:paraId="02D387D2" w14:textId="77777777" w:rsidR="00B6191B" w:rsidRPr="00EE038F" w:rsidRDefault="00B6191B" w:rsidP="00B6191B">
      <w:pPr>
        <w:autoSpaceDE w:val="0"/>
        <w:autoSpaceDN w:val="0"/>
        <w:adjustRightInd w:val="0"/>
        <w:spacing w:after="0" w:line="240" w:lineRule="auto"/>
        <w:ind w:firstLine="284"/>
        <w:jc w:val="both"/>
        <w:rPr>
          <w:rFonts w:ascii="Garamond" w:hAnsi="Garamond" w:cs="Times New Roman"/>
          <w:i/>
          <w:iCs/>
          <w:color w:val="0D0D0D"/>
          <w:sz w:val="24"/>
          <w:szCs w:val="24"/>
        </w:rPr>
      </w:pPr>
      <w:r w:rsidRPr="00361018">
        <w:rPr>
          <w:rFonts w:ascii="Garamond" w:hAnsi="Garamond" w:cs="Times New Roman"/>
          <w:bCs/>
          <w:i/>
          <w:iCs/>
          <w:color w:val="000000"/>
          <w:sz w:val="24"/>
          <w:szCs w:val="24"/>
        </w:rPr>
        <w:t>1.2.</w:t>
      </w:r>
      <w:r w:rsidRPr="00EE038F">
        <w:rPr>
          <w:rFonts w:ascii="Garamond" w:hAnsi="Garamond" w:cs="Times New Roman"/>
          <w:b/>
          <w:bCs/>
          <w:i/>
          <w:iCs/>
          <w:color w:val="000000"/>
          <w:sz w:val="24"/>
          <w:szCs w:val="24"/>
        </w:rPr>
        <w:t xml:space="preserve"> </w:t>
      </w:r>
      <w:r w:rsidRPr="00EE038F">
        <w:rPr>
          <w:rFonts w:ascii="Garamond" w:hAnsi="Garamond" w:cs="Times New Roman"/>
          <w:i/>
          <w:iCs/>
          <w:color w:val="000000"/>
          <w:sz w:val="24"/>
          <w:szCs w:val="24"/>
        </w:rPr>
        <w:t>Reduktoni akumulimin e detyrimeve të reja të prapambetura dhe stokun e përgjithshëm të papaguar, duke siguruar që detyrimet e prapambetura të mos kalojnë 2% të shpenzimeve totale deri në fund të viti 2024.</w:t>
      </w:r>
    </w:p>
    <w:p w14:paraId="080E2E3A" w14:textId="069AE8C3" w:rsidR="00B6191B" w:rsidRPr="00EE038F" w:rsidRDefault="00B6191B" w:rsidP="00B6191B">
      <w:pPr>
        <w:autoSpaceDE w:val="0"/>
        <w:autoSpaceDN w:val="0"/>
        <w:adjustRightInd w:val="0"/>
        <w:spacing w:after="0" w:line="240" w:lineRule="auto"/>
        <w:ind w:firstLine="284"/>
        <w:jc w:val="both"/>
        <w:rPr>
          <w:rFonts w:ascii="Garamond" w:hAnsi="Garamond" w:cs="Times New Roman"/>
          <w:b/>
          <w:bCs/>
          <w:color w:val="000000"/>
          <w:sz w:val="24"/>
          <w:szCs w:val="24"/>
        </w:rPr>
      </w:pPr>
      <w:r w:rsidRPr="00EE038F">
        <w:rPr>
          <w:rFonts w:ascii="Garamond" w:hAnsi="Garamond" w:cs="Times New Roman"/>
          <w:b/>
          <w:bCs/>
          <w:color w:val="000000"/>
          <w:sz w:val="24"/>
          <w:szCs w:val="24"/>
        </w:rPr>
        <w:t xml:space="preserve">Detyrimet e </w:t>
      </w:r>
      <w:r w:rsidR="00372502" w:rsidRPr="00EE038F">
        <w:rPr>
          <w:rFonts w:ascii="Garamond" w:hAnsi="Garamond" w:cs="Times New Roman"/>
          <w:b/>
          <w:bCs/>
          <w:color w:val="000000"/>
          <w:sz w:val="24"/>
          <w:szCs w:val="24"/>
        </w:rPr>
        <w:t>prapambetura të qeverisjes së përgjithshme</w:t>
      </w:r>
    </w:p>
    <w:p w14:paraId="23101D9F" w14:textId="77103046" w:rsidR="00B6191B" w:rsidRPr="00EE038F" w:rsidRDefault="00B6191B" w:rsidP="00B6191B">
      <w:pPr>
        <w:autoSpaceDE w:val="0"/>
        <w:autoSpaceDN w:val="0"/>
        <w:adjustRightInd w:val="0"/>
        <w:spacing w:after="0" w:line="240" w:lineRule="auto"/>
        <w:ind w:firstLine="284"/>
        <w:jc w:val="both"/>
        <w:rPr>
          <w:rFonts w:ascii="Garamond" w:hAnsi="Garamond" w:cs="Times New Roman"/>
          <w:color w:val="000000"/>
          <w:sz w:val="24"/>
          <w:szCs w:val="24"/>
        </w:rPr>
      </w:pPr>
      <w:r w:rsidRPr="00EE038F">
        <w:rPr>
          <w:rFonts w:ascii="Garamond" w:hAnsi="Garamond" w:cs="Times New Roman"/>
          <w:color w:val="000000"/>
          <w:sz w:val="24"/>
          <w:szCs w:val="24"/>
        </w:rPr>
        <w:t>Prioriteti kryesor i Ministrisë së Financave në periudhën afatmesme mbetet reduktimi i stokut të detyrimeve të prapambetura dhe parandalimi i akumulimit të tyre. Në vitet e fundit</w:t>
      </w:r>
      <w:r w:rsidR="00F94FF2" w:rsidRPr="00EE038F">
        <w:rPr>
          <w:rFonts w:ascii="Garamond" w:hAnsi="Garamond" w:cs="Times New Roman"/>
          <w:color w:val="000000"/>
          <w:sz w:val="24"/>
          <w:szCs w:val="24"/>
        </w:rPr>
        <w:t>,</w:t>
      </w:r>
      <w:r w:rsidRPr="00EE038F">
        <w:rPr>
          <w:rFonts w:ascii="Garamond" w:hAnsi="Garamond" w:cs="Times New Roman"/>
          <w:color w:val="000000"/>
          <w:sz w:val="24"/>
          <w:szCs w:val="24"/>
        </w:rPr>
        <w:t xml:space="preserve"> ky objektiv është arritur, pasi stoku i detyrimeve të prapambetura ka ndjekur një trend rënës, siç vërehet në grafikun nr.</w:t>
      </w:r>
      <w:r w:rsidR="00F94FF2" w:rsidRPr="00EE038F">
        <w:rPr>
          <w:rFonts w:ascii="Garamond" w:hAnsi="Garamond" w:cs="Times New Roman"/>
          <w:color w:val="000000"/>
          <w:sz w:val="24"/>
          <w:szCs w:val="24"/>
        </w:rPr>
        <w:t xml:space="preserve"> </w:t>
      </w:r>
      <w:r w:rsidRPr="00EE038F">
        <w:rPr>
          <w:rFonts w:ascii="Garamond" w:hAnsi="Garamond" w:cs="Times New Roman"/>
          <w:color w:val="000000"/>
          <w:sz w:val="24"/>
          <w:szCs w:val="24"/>
        </w:rPr>
        <w:t xml:space="preserve">1. Vitet e fundit faktorë të tillë si efektet e krizës globale energjetike, lufta në Ukrainë dhe luhatjet e çmimeve të lëndëve të para, kanë ndikuar negativisht në </w:t>
      </w:r>
      <w:r w:rsidR="00D555C7" w:rsidRPr="00EE038F">
        <w:rPr>
          <w:rFonts w:ascii="Garamond" w:hAnsi="Garamond" w:cs="Times New Roman"/>
          <w:color w:val="000000"/>
          <w:sz w:val="24"/>
          <w:szCs w:val="24"/>
        </w:rPr>
        <w:t>“</w:t>
      </w:r>
      <w:r w:rsidRPr="00EE038F">
        <w:rPr>
          <w:rFonts w:ascii="Garamond" w:hAnsi="Garamond" w:cs="Times New Roman"/>
          <w:color w:val="000000"/>
          <w:sz w:val="24"/>
          <w:szCs w:val="24"/>
        </w:rPr>
        <w:t>sjelljen</w:t>
      </w:r>
      <w:r w:rsidR="00D555C7" w:rsidRPr="00EE038F">
        <w:rPr>
          <w:rFonts w:ascii="Garamond" w:hAnsi="Garamond" w:cs="Times New Roman"/>
          <w:color w:val="000000"/>
          <w:sz w:val="24"/>
          <w:szCs w:val="24"/>
        </w:rPr>
        <w:t>”</w:t>
      </w:r>
      <w:r w:rsidRPr="00EE038F">
        <w:rPr>
          <w:rFonts w:ascii="Garamond" w:hAnsi="Garamond" w:cs="Times New Roman"/>
          <w:color w:val="000000"/>
          <w:sz w:val="24"/>
          <w:szCs w:val="24"/>
        </w:rPr>
        <w:t xml:space="preserve"> dhe ecurinë e reduktimit të mëtejshëm të stokut total të detyrimeve të prapambetura. Megjithatë, vendosja e objektivave specifik</w:t>
      </w:r>
      <w:r w:rsidR="00F94FF2" w:rsidRPr="00EE038F">
        <w:rPr>
          <w:rFonts w:ascii="Garamond" w:hAnsi="Garamond" w:cs="Times New Roman"/>
          <w:color w:val="000000"/>
          <w:sz w:val="24"/>
          <w:szCs w:val="24"/>
        </w:rPr>
        <w:t>ë</w:t>
      </w:r>
      <w:r w:rsidRPr="00EE038F">
        <w:rPr>
          <w:rFonts w:ascii="Garamond" w:hAnsi="Garamond" w:cs="Times New Roman"/>
          <w:color w:val="000000"/>
          <w:sz w:val="24"/>
          <w:szCs w:val="24"/>
        </w:rPr>
        <w:t xml:space="preserve"> ndër vite</w:t>
      </w:r>
      <w:r w:rsidR="00AD3D9C" w:rsidRPr="00EE038F">
        <w:rPr>
          <w:rFonts w:ascii="Garamond" w:hAnsi="Garamond" w:cs="Times New Roman"/>
          <w:color w:val="000000"/>
          <w:sz w:val="24"/>
          <w:szCs w:val="24"/>
        </w:rPr>
        <w:t xml:space="preserve"> </w:t>
      </w:r>
      <w:r w:rsidRPr="00EE038F">
        <w:rPr>
          <w:rFonts w:ascii="Garamond" w:hAnsi="Garamond" w:cs="Times New Roman"/>
          <w:color w:val="000000"/>
          <w:sz w:val="24"/>
          <w:szCs w:val="24"/>
        </w:rPr>
        <w:t>(p</w:t>
      </w:r>
      <w:r w:rsidR="00F200EF" w:rsidRPr="00EE038F">
        <w:rPr>
          <w:rFonts w:ascii="Garamond" w:hAnsi="Garamond" w:cs="Times New Roman"/>
          <w:color w:val="000000"/>
          <w:sz w:val="24"/>
          <w:szCs w:val="24"/>
        </w:rPr>
        <w:t>.</w:t>
      </w:r>
      <w:r w:rsidRPr="00EE038F">
        <w:rPr>
          <w:rFonts w:ascii="Garamond" w:hAnsi="Garamond" w:cs="Times New Roman"/>
          <w:color w:val="000000"/>
          <w:sz w:val="24"/>
          <w:szCs w:val="24"/>
        </w:rPr>
        <w:t xml:space="preserve">sh. </w:t>
      </w:r>
      <w:r w:rsidR="00F94FF2" w:rsidRPr="00EE038F">
        <w:rPr>
          <w:rFonts w:ascii="Garamond" w:hAnsi="Garamond" w:cs="Times New Roman"/>
          <w:color w:val="000000"/>
          <w:sz w:val="24"/>
          <w:szCs w:val="24"/>
        </w:rPr>
        <w:t xml:space="preserve">vlerësimi </w:t>
      </w:r>
      <w:r w:rsidRPr="00EE038F">
        <w:rPr>
          <w:rFonts w:ascii="Garamond" w:hAnsi="Garamond" w:cs="Times New Roman"/>
          <w:color w:val="000000"/>
          <w:sz w:val="24"/>
          <w:szCs w:val="24"/>
        </w:rPr>
        <w:t xml:space="preserve">PEFA, </w:t>
      </w:r>
      <w:r w:rsidR="00F94FF2" w:rsidRPr="00EE038F">
        <w:rPr>
          <w:rFonts w:ascii="Garamond" w:hAnsi="Garamond" w:cs="Times New Roman"/>
          <w:color w:val="000000"/>
          <w:sz w:val="24"/>
          <w:szCs w:val="24"/>
        </w:rPr>
        <w:t>mirëqeverisja</w:t>
      </w:r>
      <w:r w:rsidRPr="00EE038F">
        <w:rPr>
          <w:rFonts w:ascii="Garamond" w:hAnsi="Garamond" w:cs="Times New Roman"/>
          <w:color w:val="000000"/>
          <w:sz w:val="24"/>
          <w:szCs w:val="24"/>
        </w:rPr>
        <w:t xml:space="preserve">/PFM, dhe ERP) kanë ndikuar pozitivisht, në vijimin drejt reduktimit të stokut të detyrimeve të prapambetura në vitet e fundit. </w:t>
      </w:r>
    </w:p>
    <w:p w14:paraId="3C4D3039" w14:textId="2C8AEA58" w:rsidR="00B6191B" w:rsidRPr="00EE038F" w:rsidRDefault="00B6191B" w:rsidP="00B6191B">
      <w:pPr>
        <w:autoSpaceDE w:val="0"/>
        <w:autoSpaceDN w:val="0"/>
        <w:adjustRightInd w:val="0"/>
        <w:spacing w:after="0" w:line="240" w:lineRule="auto"/>
        <w:ind w:firstLine="284"/>
        <w:jc w:val="both"/>
        <w:rPr>
          <w:rFonts w:ascii="Garamond" w:hAnsi="Garamond" w:cs="Times New Roman"/>
          <w:color w:val="000000"/>
          <w:sz w:val="24"/>
          <w:szCs w:val="24"/>
        </w:rPr>
      </w:pPr>
      <w:r w:rsidRPr="00EE038F">
        <w:rPr>
          <w:rFonts w:ascii="Garamond" w:hAnsi="Garamond" w:cs="Times New Roman"/>
          <w:color w:val="000000"/>
          <w:sz w:val="24"/>
          <w:szCs w:val="24"/>
        </w:rPr>
        <w:t>Për vitin 2023 janë përmbushur të gjith</w:t>
      </w:r>
      <w:r w:rsidR="00F94FF2" w:rsidRPr="00EE038F">
        <w:rPr>
          <w:rFonts w:ascii="Garamond" w:hAnsi="Garamond" w:cs="Times New Roman"/>
          <w:color w:val="000000"/>
          <w:sz w:val="24"/>
          <w:szCs w:val="24"/>
        </w:rPr>
        <w:t xml:space="preserve">ë </w:t>
      </w:r>
      <w:r w:rsidRPr="00EE038F">
        <w:rPr>
          <w:rFonts w:ascii="Garamond" w:hAnsi="Garamond" w:cs="Times New Roman"/>
          <w:color w:val="000000"/>
          <w:sz w:val="24"/>
          <w:szCs w:val="24"/>
        </w:rPr>
        <w:t>objektivat në bazë tremujor</w:t>
      </w:r>
      <w:r w:rsidR="00F94FF2" w:rsidRPr="00EE038F">
        <w:rPr>
          <w:rFonts w:ascii="Garamond" w:hAnsi="Garamond" w:cs="Times New Roman"/>
          <w:color w:val="000000"/>
          <w:sz w:val="24"/>
          <w:szCs w:val="24"/>
        </w:rPr>
        <w:t>e</w:t>
      </w:r>
      <w:r w:rsidR="00E203EC" w:rsidRPr="00EE038F">
        <w:rPr>
          <w:rFonts w:ascii="Garamond" w:hAnsi="Garamond" w:cs="Times New Roman"/>
          <w:color w:val="000000"/>
          <w:sz w:val="24"/>
          <w:szCs w:val="24"/>
        </w:rPr>
        <w:t xml:space="preserve"> </w:t>
      </w:r>
      <w:r w:rsidRPr="00EE038F">
        <w:rPr>
          <w:rFonts w:ascii="Garamond" w:hAnsi="Garamond" w:cs="Times New Roman"/>
          <w:color w:val="000000"/>
          <w:sz w:val="24"/>
          <w:szCs w:val="24"/>
        </w:rPr>
        <w:t>dhe vjetor</w:t>
      </w:r>
      <w:r w:rsidR="00F94FF2" w:rsidRPr="00EE038F">
        <w:rPr>
          <w:rFonts w:ascii="Garamond" w:hAnsi="Garamond" w:cs="Times New Roman"/>
          <w:color w:val="000000"/>
          <w:sz w:val="24"/>
          <w:szCs w:val="24"/>
        </w:rPr>
        <w:t>e</w:t>
      </w:r>
      <w:r w:rsidRPr="00EE038F">
        <w:rPr>
          <w:rFonts w:ascii="Garamond" w:hAnsi="Garamond" w:cs="Times New Roman"/>
          <w:color w:val="000000"/>
          <w:sz w:val="24"/>
          <w:szCs w:val="24"/>
        </w:rPr>
        <w:t>. Për vitin 2024 objektivat e vendosur janë në bazë vjetore. Konkretisht:</w:t>
      </w:r>
    </w:p>
    <w:p w14:paraId="783FD2A2" w14:textId="01990A63" w:rsidR="00B6191B" w:rsidRPr="00EE038F" w:rsidRDefault="00B6191B" w:rsidP="00B6191B">
      <w:pPr>
        <w:autoSpaceDE w:val="0"/>
        <w:autoSpaceDN w:val="0"/>
        <w:adjustRightInd w:val="0"/>
        <w:spacing w:after="0" w:line="240" w:lineRule="auto"/>
        <w:ind w:firstLine="284"/>
        <w:jc w:val="both"/>
        <w:rPr>
          <w:rFonts w:ascii="Garamond" w:hAnsi="Garamond" w:cs="Times New Roman"/>
          <w:b/>
          <w:bCs/>
          <w:sz w:val="24"/>
          <w:szCs w:val="24"/>
        </w:rPr>
      </w:pPr>
      <w:r w:rsidRPr="00EE038F">
        <w:rPr>
          <w:rFonts w:ascii="Garamond" w:hAnsi="Garamond" w:cs="Times New Roman"/>
          <w:b/>
          <w:bCs/>
          <w:color w:val="000000"/>
          <w:sz w:val="24"/>
          <w:szCs w:val="24"/>
        </w:rPr>
        <w:t>Objektivat e vendosur për vitin 2024</w:t>
      </w:r>
    </w:p>
    <w:p w14:paraId="438083CB" w14:textId="77777777" w:rsidR="00B6191B" w:rsidRPr="00EE038F" w:rsidRDefault="00B6191B" w:rsidP="00B6191B">
      <w:pPr>
        <w:autoSpaceDE w:val="0"/>
        <w:autoSpaceDN w:val="0"/>
        <w:adjustRightInd w:val="0"/>
        <w:spacing w:after="0" w:line="240" w:lineRule="auto"/>
        <w:ind w:firstLine="284"/>
        <w:jc w:val="both"/>
        <w:rPr>
          <w:rFonts w:ascii="Garamond" w:hAnsi="Garamond" w:cs="Times New Roman"/>
          <w:color w:val="000000"/>
          <w:sz w:val="24"/>
          <w:szCs w:val="24"/>
        </w:rPr>
      </w:pPr>
      <w:r w:rsidRPr="00EE038F">
        <w:rPr>
          <w:rFonts w:ascii="Garamond" w:hAnsi="Garamond" w:cs="Times New Roman"/>
          <w:color w:val="000000"/>
          <w:sz w:val="24"/>
          <w:szCs w:val="24"/>
        </w:rPr>
        <w:t>Vlerësimi PEFA</w:t>
      </w:r>
    </w:p>
    <w:p w14:paraId="344CCECD" w14:textId="69CE242D" w:rsidR="00B6191B" w:rsidRPr="00EE038F" w:rsidRDefault="00C50585" w:rsidP="00B6191B">
      <w:pPr>
        <w:autoSpaceDE w:val="0"/>
        <w:autoSpaceDN w:val="0"/>
        <w:adjustRightInd w:val="0"/>
        <w:spacing w:after="0" w:line="240" w:lineRule="auto"/>
        <w:ind w:firstLine="284"/>
        <w:jc w:val="both"/>
        <w:rPr>
          <w:rFonts w:ascii="Garamond" w:hAnsi="Garamond" w:cs="Times New Roman"/>
          <w:i/>
          <w:iCs/>
          <w:color w:val="000000"/>
          <w:sz w:val="24"/>
          <w:szCs w:val="24"/>
        </w:rPr>
      </w:pPr>
      <w:r w:rsidRPr="00EE038F">
        <w:rPr>
          <w:rFonts w:ascii="Garamond" w:hAnsi="Garamond" w:cs="Wingdings"/>
          <w:color w:val="000000"/>
          <w:sz w:val="24"/>
          <w:szCs w:val="24"/>
        </w:rPr>
        <w:t>-</w:t>
      </w:r>
      <w:r w:rsidR="00B6191B" w:rsidRPr="00EE038F">
        <w:rPr>
          <w:rFonts w:ascii="Garamond" w:hAnsi="Garamond" w:cs="Wingdings"/>
          <w:color w:val="000000"/>
          <w:sz w:val="24"/>
          <w:szCs w:val="24"/>
        </w:rPr>
        <w:t xml:space="preserve"> </w:t>
      </w:r>
      <w:r w:rsidR="00B6191B" w:rsidRPr="00EE038F">
        <w:rPr>
          <w:rFonts w:ascii="Garamond" w:hAnsi="Garamond" w:cs="Times New Roman"/>
          <w:i/>
          <w:iCs/>
          <w:color w:val="000000"/>
          <w:sz w:val="24"/>
          <w:szCs w:val="24"/>
        </w:rPr>
        <w:t>Stoku i detyrimeve të prapambetura vjetore nuk kalon 2% të totalit të shpenzimeve, në të paktën dy nga tre v</w:t>
      </w:r>
      <w:r w:rsidR="00E203EC" w:rsidRPr="00EE038F">
        <w:rPr>
          <w:rFonts w:ascii="Garamond" w:hAnsi="Garamond" w:cs="Times New Roman"/>
          <w:i/>
          <w:iCs/>
          <w:color w:val="000000"/>
          <w:sz w:val="24"/>
          <w:szCs w:val="24"/>
        </w:rPr>
        <w:t>jetët</w:t>
      </w:r>
      <w:r w:rsidR="00B6191B" w:rsidRPr="00EE038F">
        <w:rPr>
          <w:rFonts w:ascii="Garamond" w:hAnsi="Garamond" w:cs="Times New Roman"/>
          <w:i/>
          <w:iCs/>
          <w:color w:val="000000"/>
          <w:sz w:val="24"/>
          <w:szCs w:val="24"/>
        </w:rPr>
        <w:t xml:space="preserve"> e fundit fiskalë. Ky target është arritur, për të paktën dy v</w:t>
      </w:r>
      <w:r w:rsidR="00E203EC" w:rsidRPr="00EE038F">
        <w:rPr>
          <w:rFonts w:ascii="Garamond" w:hAnsi="Garamond" w:cs="Times New Roman"/>
          <w:i/>
          <w:iCs/>
          <w:color w:val="000000"/>
          <w:sz w:val="24"/>
          <w:szCs w:val="24"/>
        </w:rPr>
        <w:t xml:space="preserve">jetët </w:t>
      </w:r>
      <w:r w:rsidR="00B6191B" w:rsidRPr="00EE038F">
        <w:rPr>
          <w:rFonts w:ascii="Garamond" w:hAnsi="Garamond" w:cs="Times New Roman"/>
          <w:i/>
          <w:iCs/>
          <w:color w:val="000000"/>
          <w:sz w:val="24"/>
          <w:szCs w:val="24"/>
        </w:rPr>
        <w:t>e fundit (2022 dhe 2023), dhe pritshmëritë janë pozitive për plotësimin e plotë të tij dhe për vitin 2024, me finalizimin e të dhënat vjetore në fund të vitit 2024.</w:t>
      </w:r>
    </w:p>
    <w:p w14:paraId="01A64FF7" w14:textId="77777777" w:rsidR="00B6191B" w:rsidRPr="00EE038F" w:rsidRDefault="00B6191B" w:rsidP="00B6191B">
      <w:pPr>
        <w:autoSpaceDE w:val="0"/>
        <w:autoSpaceDN w:val="0"/>
        <w:adjustRightInd w:val="0"/>
        <w:spacing w:after="0" w:line="240" w:lineRule="auto"/>
        <w:ind w:firstLine="284"/>
        <w:jc w:val="both"/>
        <w:rPr>
          <w:rFonts w:ascii="Garamond" w:hAnsi="Garamond" w:cs="Times New Roman"/>
          <w:color w:val="000000"/>
          <w:sz w:val="24"/>
          <w:szCs w:val="24"/>
        </w:rPr>
      </w:pPr>
      <w:r w:rsidRPr="00EE038F">
        <w:rPr>
          <w:rFonts w:ascii="Garamond" w:hAnsi="Garamond" w:cs="Times New Roman"/>
          <w:color w:val="000000"/>
          <w:sz w:val="24"/>
          <w:szCs w:val="24"/>
        </w:rPr>
        <w:t xml:space="preserve">ERP </w:t>
      </w:r>
    </w:p>
    <w:p w14:paraId="645660C3" w14:textId="5DB73687" w:rsidR="00B6191B" w:rsidRPr="00EE038F" w:rsidRDefault="00C50585" w:rsidP="00B6191B">
      <w:pPr>
        <w:autoSpaceDE w:val="0"/>
        <w:autoSpaceDN w:val="0"/>
        <w:adjustRightInd w:val="0"/>
        <w:spacing w:after="0" w:line="240" w:lineRule="auto"/>
        <w:ind w:firstLine="284"/>
        <w:jc w:val="both"/>
        <w:rPr>
          <w:rFonts w:ascii="Garamond" w:hAnsi="Garamond" w:cs="Times New Roman"/>
          <w:i/>
          <w:iCs/>
          <w:color w:val="000000"/>
          <w:sz w:val="24"/>
          <w:szCs w:val="24"/>
        </w:rPr>
      </w:pPr>
      <w:r w:rsidRPr="00EE038F">
        <w:rPr>
          <w:rFonts w:ascii="Garamond" w:hAnsi="Garamond" w:cs="Wingdings"/>
          <w:color w:val="000000"/>
          <w:sz w:val="24"/>
          <w:szCs w:val="24"/>
        </w:rPr>
        <w:t>-</w:t>
      </w:r>
      <w:r w:rsidR="00B6191B" w:rsidRPr="00EE038F">
        <w:rPr>
          <w:rFonts w:ascii="Garamond" w:hAnsi="Garamond" w:cs="Wingdings"/>
          <w:color w:val="000000"/>
          <w:sz w:val="24"/>
          <w:szCs w:val="24"/>
        </w:rPr>
        <w:t xml:space="preserve"> </w:t>
      </w:r>
      <w:r w:rsidR="00B6191B" w:rsidRPr="00EE038F">
        <w:rPr>
          <w:rFonts w:ascii="Garamond" w:hAnsi="Garamond" w:cs="Times New Roman"/>
          <w:i/>
          <w:iCs/>
          <w:color w:val="000000"/>
          <w:sz w:val="24"/>
          <w:szCs w:val="24"/>
        </w:rPr>
        <w:t xml:space="preserve">Targeti i detyrimeve të prapambetura të qeverisë së përgjithshme si </w:t>
      </w:r>
      <w:r w:rsidR="003771A2" w:rsidRPr="00EE038F">
        <w:rPr>
          <w:rFonts w:ascii="Garamond" w:hAnsi="Garamond" w:cs="Times New Roman"/>
          <w:i/>
          <w:iCs/>
          <w:color w:val="000000"/>
          <w:sz w:val="24"/>
          <w:szCs w:val="24"/>
        </w:rPr>
        <w:t xml:space="preserve">përqindje </w:t>
      </w:r>
      <w:r w:rsidR="00B6191B" w:rsidRPr="00EE038F">
        <w:rPr>
          <w:rFonts w:ascii="Garamond" w:hAnsi="Garamond" w:cs="Times New Roman"/>
          <w:i/>
          <w:iCs/>
          <w:color w:val="000000"/>
          <w:sz w:val="24"/>
          <w:szCs w:val="24"/>
        </w:rPr>
        <w:t>e totalit të shpenzimeve për vitin 2024 është vendosur në masën: =/&lt;2.0% në nivel vjetor. Për 9-mujorin 2024, objektivi për ERP është në nivelin 1.37%, dhe pritshmëritë janë pozitive për plotësimin e plotë të tij në fund të vitit 2024.</w:t>
      </w:r>
    </w:p>
    <w:p w14:paraId="60CB1538" w14:textId="7DC2A275" w:rsidR="00B6191B" w:rsidRPr="00EE038F" w:rsidRDefault="00B6191B" w:rsidP="00B6191B">
      <w:pPr>
        <w:autoSpaceDE w:val="0"/>
        <w:autoSpaceDN w:val="0"/>
        <w:adjustRightInd w:val="0"/>
        <w:spacing w:after="0" w:line="240" w:lineRule="auto"/>
        <w:ind w:firstLine="284"/>
        <w:jc w:val="both"/>
        <w:rPr>
          <w:rFonts w:ascii="Garamond" w:hAnsi="Garamond" w:cs="Times New Roman"/>
          <w:color w:val="000000"/>
          <w:sz w:val="24"/>
          <w:szCs w:val="24"/>
        </w:rPr>
      </w:pPr>
      <w:r w:rsidRPr="00EE038F">
        <w:rPr>
          <w:rFonts w:ascii="Garamond" w:hAnsi="Garamond" w:cs="Times New Roman"/>
          <w:color w:val="000000"/>
          <w:sz w:val="24"/>
          <w:szCs w:val="24"/>
        </w:rPr>
        <w:t>Në zbatim të ligjit organik të buxhetit nr.</w:t>
      </w:r>
      <w:r w:rsidR="003771A2" w:rsidRPr="00EE038F">
        <w:rPr>
          <w:rFonts w:ascii="Garamond" w:hAnsi="Garamond" w:cs="Times New Roman"/>
          <w:color w:val="000000"/>
          <w:sz w:val="24"/>
          <w:szCs w:val="24"/>
        </w:rPr>
        <w:t xml:space="preserve"> </w:t>
      </w:r>
      <w:r w:rsidRPr="00EE038F">
        <w:rPr>
          <w:rFonts w:ascii="Garamond" w:hAnsi="Garamond" w:cs="Times New Roman"/>
          <w:color w:val="000000"/>
          <w:sz w:val="24"/>
          <w:szCs w:val="24"/>
        </w:rPr>
        <w:t>9936 datë 26.6.2008</w:t>
      </w:r>
      <w:r w:rsidR="003771A2" w:rsidRPr="00EE038F">
        <w:rPr>
          <w:rFonts w:ascii="Garamond" w:hAnsi="Garamond" w:cs="Times New Roman"/>
          <w:color w:val="000000"/>
          <w:sz w:val="24"/>
          <w:szCs w:val="24"/>
        </w:rPr>
        <w:t>,</w:t>
      </w:r>
      <w:r w:rsidRPr="00EE038F">
        <w:rPr>
          <w:rFonts w:ascii="Garamond" w:hAnsi="Garamond" w:cs="Times New Roman"/>
          <w:color w:val="000000"/>
          <w:sz w:val="24"/>
          <w:szCs w:val="24"/>
        </w:rPr>
        <w:t xml:space="preserve"> </w:t>
      </w:r>
      <w:r w:rsidR="00D555C7" w:rsidRPr="00EE038F">
        <w:rPr>
          <w:rFonts w:ascii="Garamond" w:hAnsi="Garamond" w:cs="Times New Roman"/>
          <w:color w:val="000000"/>
          <w:sz w:val="24"/>
          <w:szCs w:val="24"/>
        </w:rPr>
        <w:t>“</w:t>
      </w:r>
      <w:r w:rsidRPr="00EE038F">
        <w:rPr>
          <w:rFonts w:ascii="Garamond" w:hAnsi="Garamond" w:cs="Times New Roman"/>
          <w:color w:val="000000"/>
          <w:sz w:val="24"/>
          <w:szCs w:val="24"/>
        </w:rPr>
        <w:t>Për menaxhimin e sistemit buxhetor në Republikën e Shqipërisë</w:t>
      </w:r>
      <w:r w:rsidR="00D555C7" w:rsidRPr="00EE038F">
        <w:rPr>
          <w:rFonts w:ascii="Garamond" w:hAnsi="Garamond" w:cs="Times New Roman"/>
          <w:color w:val="000000"/>
          <w:sz w:val="24"/>
          <w:szCs w:val="24"/>
        </w:rPr>
        <w:t>”</w:t>
      </w:r>
      <w:r w:rsidRPr="00EE038F">
        <w:rPr>
          <w:rFonts w:ascii="Garamond" w:hAnsi="Garamond" w:cs="Times New Roman"/>
          <w:color w:val="000000"/>
          <w:sz w:val="24"/>
          <w:szCs w:val="24"/>
        </w:rPr>
        <w:t xml:space="preserve">, </w:t>
      </w:r>
      <w:r w:rsidR="003771A2" w:rsidRPr="00EE038F">
        <w:rPr>
          <w:rFonts w:ascii="Garamond" w:hAnsi="Garamond" w:cs="Times New Roman"/>
          <w:color w:val="000000"/>
          <w:sz w:val="24"/>
          <w:szCs w:val="24"/>
        </w:rPr>
        <w:t>të</w:t>
      </w:r>
      <w:r w:rsidRPr="00EE038F">
        <w:rPr>
          <w:rFonts w:ascii="Garamond" w:hAnsi="Garamond" w:cs="Times New Roman"/>
          <w:color w:val="000000"/>
          <w:sz w:val="24"/>
          <w:szCs w:val="24"/>
        </w:rPr>
        <w:t xml:space="preserve"> ndryshuar, në nenin 52, përcaktohet qartë</w:t>
      </w:r>
      <w:r w:rsidR="003771A2" w:rsidRPr="00EE038F">
        <w:rPr>
          <w:rFonts w:ascii="Garamond" w:hAnsi="Garamond" w:cs="Times New Roman"/>
          <w:color w:val="000000"/>
          <w:sz w:val="24"/>
          <w:szCs w:val="24"/>
        </w:rPr>
        <w:t>,</w:t>
      </w:r>
      <w:r w:rsidRPr="00EE038F">
        <w:rPr>
          <w:rFonts w:ascii="Garamond" w:hAnsi="Garamond" w:cs="Times New Roman"/>
          <w:color w:val="000000"/>
          <w:sz w:val="24"/>
          <w:szCs w:val="24"/>
        </w:rPr>
        <w:t xml:space="preserve"> se: </w:t>
      </w:r>
      <w:r w:rsidR="00D555C7" w:rsidRPr="00EE038F">
        <w:rPr>
          <w:rFonts w:ascii="Garamond" w:hAnsi="Garamond" w:cs="Times New Roman"/>
          <w:i/>
          <w:iCs/>
          <w:color w:val="000000"/>
          <w:sz w:val="24"/>
          <w:szCs w:val="24"/>
        </w:rPr>
        <w:t>“</w:t>
      </w:r>
      <w:r w:rsidRPr="00EE038F">
        <w:rPr>
          <w:rFonts w:ascii="Garamond" w:hAnsi="Garamond" w:cs="Times New Roman"/>
          <w:i/>
          <w:iCs/>
          <w:color w:val="000000"/>
          <w:sz w:val="24"/>
          <w:szCs w:val="24"/>
        </w:rPr>
        <w:t>...</w:t>
      </w:r>
      <w:r w:rsidR="008C2AB4" w:rsidRPr="00EE038F">
        <w:rPr>
          <w:rFonts w:ascii="Garamond" w:hAnsi="Garamond" w:cs="Times New Roman"/>
          <w:i/>
          <w:iCs/>
          <w:color w:val="000000"/>
          <w:sz w:val="24"/>
          <w:szCs w:val="24"/>
        </w:rPr>
        <w:t xml:space="preserve"> </w:t>
      </w:r>
      <w:r w:rsidRPr="00EE038F">
        <w:rPr>
          <w:rFonts w:ascii="Garamond" w:hAnsi="Garamond" w:cs="Times New Roman"/>
          <w:i/>
          <w:iCs/>
          <w:color w:val="000000"/>
          <w:sz w:val="24"/>
          <w:szCs w:val="24"/>
        </w:rPr>
        <w:t>Shpenzimet që rezultojnë nga angazhimet e ndërmarra gjatë viteve të mëparshme, në përputhje me dispozitat e veçanta të ligjit të buxhetit vjetor, përfshihen në buxhetin e vitit pasardhës. Shlyerja e angazhimeve, me përfundimin e afatit, kryhet me fondet e miratuara për vitin buxhetor pasardhës...</w:t>
      </w:r>
      <w:r w:rsidR="00D555C7" w:rsidRPr="00EE038F">
        <w:rPr>
          <w:rFonts w:ascii="Garamond" w:hAnsi="Garamond" w:cs="Times New Roman"/>
          <w:i/>
          <w:iCs/>
          <w:color w:val="000000"/>
          <w:sz w:val="24"/>
          <w:szCs w:val="24"/>
        </w:rPr>
        <w:t>”</w:t>
      </w:r>
      <w:r w:rsidRPr="00EE038F">
        <w:rPr>
          <w:rFonts w:ascii="Garamond" w:hAnsi="Garamond" w:cs="Times New Roman"/>
          <w:color w:val="000000"/>
          <w:sz w:val="24"/>
          <w:szCs w:val="24"/>
        </w:rPr>
        <w:t>. Nisur nga sa më sipër, shlyerja e detyrimeve të prapambetura përbën një detyrim ligjor për të gjitha njësitë e qeverisjes së përgjithshme.</w:t>
      </w:r>
    </w:p>
    <w:p w14:paraId="69F9FEBA" w14:textId="08F62701" w:rsidR="00B6191B" w:rsidRPr="00EE038F" w:rsidRDefault="00B6191B" w:rsidP="00C50585">
      <w:pPr>
        <w:pStyle w:val="TEKSTIIIIII"/>
      </w:pPr>
      <w:r w:rsidRPr="00EE038F">
        <w:lastRenderedPageBreak/>
        <w:t xml:space="preserve">Për të parandaluar akumulimin dhe ulur stokun total të detyrimeve të prapambetura ndër vite, si në rastin e detyrimeve të prapambetura nga vendimet gjyqësore, Ministria e Financave, krahas monitorimit periodik të tyre, apelon edhe tek institucionet buxhetore që të ulin edhe më tej barrën e tyre buxhetore, nëpërmjet aplikimit në kohë të kësteve të pagesave ose implementimin e instrumente të tjera lehtësuese ndaj përfituesve të </w:t>
      </w:r>
      <w:r w:rsidR="00E37126" w:rsidRPr="00EE038F">
        <w:t>vendimeve gjyqësore</w:t>
      </w:r>
      <w:r w:rsidRPr="00EE038F">
        <w:t>. Këto dhe masa të tjera të ndërmarra nga MF</w:t>
      </w:r>
      <w:r w:rsidR="00110567" w:rsidRPr="00EE038F">
        <w:t>-ja</w:t>
      </w:r>
      <w:r w:rsidRPr="00EE038F">
        <w:t xml:space="preserve"> kanë ndihmuar në mbajtjen nën kontroll të stokut të detyrimeve të prapambetura dhe në arritjen e të gjithë objektivave të vendosur në fillim të vitit. Grafiku më poshtë ilustron ecurinë e detyrimeve të prapambetura të qeverisë së përgjithshme për periudhën 2018–9M 2024:</w:t>
      </w:r>
    </w:p>
    <w:p w14:paraId="36AE094D" w14:textId="77777777" w:rsidR="00B6191B" w:rsidRPr="00EE038F" w:rsidRDefault="00B6191B" w:rsidP="00B6191B">
      <w:pPr>
        <w:spacing w:after="0" w:line="240" w:lineRule="auto"/>
        <w:ind w:firstLine="284"/>
        <w:jc w:val="both"/>
        <w:rPr>
          <w:rFonts w:ascii="Garamond" w:eastAsia="Times New Roman" w:hAnsi="Garamond" w:cs="Times New Roman"/>
          <w:bCs/>
          <w:sz w:val="24"/>
          <w:szCs w:val="24"/>
          <w:lang w:bidi="en-US"/>
        </w:rPr>
      </w:pPr>
    </w:p>
    <w:p w14:paraId="4DA79FBF" w14:textId="77777777" w:rsidR="00363C53" w:rsidRPr="00EE038F" w:rsidRDefault="00363C53" w:rsidP="00F200EF">
      <w:pPr>
        <w:pStyle w:val="TEKSTIII"/>
        <w:jc w:val="center"/>
        <w:rPr>
          <w:i/>
        </w:rPr>
      </w:pPr>
      <w:r w:rsidRPr="00EE038F">
        <w:rPr>
          <w:i/>
        </w:rPr>
        <w:t>Grafiku 1: Stoku i detyrimeve të prapambetura të qeverisë së përgjithshme, në milionë lekë</w:t>
      </w:r>
    </w:p>
    <w:p w14:paraId="32A834E2" w14:textId="77777777" w:rsidR="00363C53" w:rsidRPr="00EE038F" w:rsidRDefault="00363C53" w:rsidP="002A4EDE">
      <w:pPr>
        <w:spacing w:after="0"/>
        <w:contextualSpacing/>
        <w:jc w:val="both"/>
        <w:rPr>
          <w:rFonts w:ascii="Times New Roman" w:hAnsi="Times New Roman"/>
          <w:i/>
          <w:color w:val="000000" w:themeColor="text1"/>
        </w:rPr>
      </w:pPr>
      <w:r w:rsidRPr="00EE038F">
        <w:rPr>
          <w:rFonts w:ascii="Times New Roman" w:hAnsi="Times New Roman"/>
          <w:noProof/>
          <w:lang w:eastAsia="en-GB"/>
        </w:rPr>
        <w:drawing>
          <wp:inline distT="0" distB="0" distL="0" distR="0" wp14:anchorId="1F972E25" wp14:editId="05D20FE5">
            <wp:extent cx="5468587" cy="1822863"/>
            <wp:effectExtent l="0" t="0" r="18415" b="6350"/>
            <wp:docPr id="1178201314" name="Chart 11782013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A019B6A" w14:textId="77777777" w:rsidR="00363C53" w:rsidRPr="00EE038F" w:rsidRDefault="00363C53" w:rsidP="00F200EF">
      <w:pPr>
        <w:pStyle w:val="TEKSTIII"/>
        <w:jc w:val="center"/>
        <w:rPr>
          <w:i/>
        </w:rPr>
      </w:pPr>
      <w:r w:rsidRPr="00EE038F">
        <w:rPr>
          <w:i/>
        </w:rPr>
        <w:t>Burimi: Ministria e Financave (2024)</w:t>
      </w:r>
    </w:p>
    <w:p w14:paraId="2AB41F21" w14:textId="77777777" w:rsidR="00363C53" w:rsidRPr="00EE038F" w:rsidRDefault="00363C53" w:rsidP="00B6191B">
      <w:pPr>
        <w:spacing w:after="0" w:line="240" w:lineRule="auto"/>
        <w:ind w:firstLine="284"/>
        <w:jc w:val="both"/>
        <w:rPr>
          <w:rFonts w:ascii="Garamond" w:eastAsia="Times New Roman" w:hAnsi="Garamond" w:cs="Times New Roman"/>
          <w:bCs/>
          <w:sz w:val="24"/>
          <w:szCs w:val="24"/>
          <w:lang w:bidi="en-US"/>
        </w:rPr>
      </w:pPr>
    </w:p>
    <w:p w14:paraId="5B1B04EF" w14:textId="77777777" w:rsidR="00C50585" w:rsidRPr="00EE038F" w:rsidRDefault="00C50585" w:rsidP="00C50585">
      <w:pPr>
        <w:spacing w:after="0" w:line="240" w:lineRule="auto"/>
        <w:ind w:firstLine="284"/>
        <w:contextualSpacing/>
        <w:jc w:val="both"/>
        <w:rPr>
          <w:rFonts w:ascii="Garamond" w:hAnsi="Garamond"/>
          <w:lang w:eastAsia="zh-CN"/>
        </w:rPr>
      </w:pPr>
      <w:r w:rsidRPr="00EE038F">
        <w:rPr>
          <w:rFonts w:ascii="Garamond" w:hAnsi="Garamond"/>
        </w:rPr>
        <w:t>Deri</w:t>
      </w:r>
      <w:r w:rsidRPr="00EE038F">
        <w:rPr>
          <w:rFonts w:ascii="Garamond" w:hAnsi="Garamond"/>
          <w:lang w:eastAsia="zh-CN"/>
        </w:rPr>
        <w:t xml:space="preserve"> në fund të muajit Shtator 2024, u regjistrua një stok kumulativ prej 10.55</w:t>
      </w:r>
      <w:r w:rsidRPr="00EE038F">
        <w:rPr>
          <w:rFonts w:ascii="Garamond" w:hAnsi="Garamond"/>
          <w:vertAlign w:val="superscript"/>
          <w:lang w:eastAsia="zh-CN"/>
        </w:rPr>
        <w:footnoteReference w:id="2"/>
      </w:r>
      <w:r w:rsidRPr="00EE038F">
        <w:rPr>
          <w:rFonts w:ascii="Garamond" w:hAnsi="Garamond"/>
          <w:lang w:eastAsia="zh-CN"/>
        </w:rPr>
        <w:t xml:space="preserve"> miliardë lekë i detyrimeve të prapambetura nga njësitë e qeverisjes së përgjithshme, nga të cilat:</w:t>
      </w:r>
    </w:p>
    <w:p w14:paraId="36993DC2" w14:textId="299D403D" w:rsidR="00C50585" w:rsidRPr="00EE038F" w:rsidRDefault="00C50585" w:rsidP="00C50585">
      <w:pPr>
        <w:pStyle w:val="TEKSTIIIIII"/>
        <w:rPr>
          <w:i/>
        </w:rPr>
      </w:pPr>
      <w:r w:rsidRPr="00EE038F">
        <w:rPr>
          <w:i/>
        </w:rPr>
        <w:t>- Totali detyrimeve të prapambetura të qeverisjes qendrore rreth 7.00 miliardë lekë</w:t>
      </w:r>
      <w:r w:rsidR="00280E21" w:rsidRPr="00EE038F">
        <w:rPr>
          <w:i/>
        </w:rPr>
        <w:t>;</w:t>
      </w:r>
    </w:p>
    <w:p w14:paraId="2FE31BC3" w14:textId="10B63469" w:rsidR="00C50585" w:rsidRPr="00EE038F" w:rsidRDefault="00C50585" w:rsidP="00C50585">
      <w:pPr>
        <w:pStyle w:val="TEKSTIIIIII"/>
        <w:rPr>
          <w:i/>
        </w:rPr>
      </w:pPr>
      <w:r w:rsidRPr="00EE038F">
        <w:rPr>
          <w:i/>
          <w:lang w:eastAsia="zh-CN"/>
        </w:rPr>
        <w:t>- Totali detyrimeve të prapambetura të qeverisjes vendore rreth 3.55 miliardë lekë</w:t>
      </w:r>
      <w:r w:rsidR="00280E21" w:rsidRPr="00EE038F">
        <w:rPr>
          <w:i/>
          <w:lang w:eastAsia="zh-CN"/>
        </w:rPr>
        <w:t>.</w:t>
      </w:r>
    </w:p>
    <w:p w14:paraId="36ACCAFA" w14:textId="77777777" w:rsidR="00C50585" w:rsidRPr="00EE038F" w:rsidRDefault="00C50585" w:rsidP="00C50585">
      <w:pPr>
        <w:pStyle w:val="TEKSTIIIIII"/>
      </w:pPr>
      <w:r w:rsidRPr="00EE038F">
        <w:t>Krahasuar me stokun e detyrimeve të prapambetura të raportuara për 12M 2023, rezulton se:</w:t>
      </w:r>
    </w:p>
    <w:p w14:paraId="1DF3A912" w14:textId="77777777" w:rsidR="00C50585" w:rsidRPr="00EE038F" w:rsidRDefault="00C50585" w:rsidP="00C50585">
      <w:pPr>
        <w:pStyle w:val="TEKSTIIIIII"/>
        <w:rPr>
          <w:i/>
        </w:rPr>
      </w:pPr>
      <w:r w:rsidRPr="00EE038F">
        <w:rPr>
          <w:i/>
        </w:rPr>
        <w:t>- Niveli i përgjithshëm i detyrimeve të prapambetura është rreth 2.7 miliardë lekë më i lartë, ose një rritje me 34.4%, ku detyrimet e prapambetura nga qeverisja qendrore janë rritur me rreth 3.99 miliardë lekë dhe detyrimet e prapambetura nga qeverisja vendore janë ulur me rreth 1.29 miliardë lekë, krahasuar me 12M 2023.</w:t>
      </w:r>
    </w:p>
    <w:p w14:paraId="27A9DF9F" w14:textId="70D3210D" w:rsidR="00C50585" w:rsidRPr="00EE038F" w:rsidRDefault="00C50585" w:rsidP="00C50585">
      <w:pPr>
        <w:pStyle w:val="TEKSTIIIIII"/>
        <w:rPr>
          <w:i/>
        </w:rPr>
      </w:pPr>
      <w:r w:rsidRPr="00EE038F">
        <w:rPr>
          <w:i/>
        </w:rPr>
        <w:t>- Për periudhën 9</w:t>
      </w:r>
      <w:r w:rsidR="0046424A" w:rsidRPr="00EE038F">
        <w:rPr>
          <w:i/>
        </w:rPr>
        <w:t>-</w:t>
      </w:r>
      <w:r w:rsidRPr="00EE038F">
        <w:rPr>
          <w:i/>
        </w:rPr>
        <w:t>mujore 2024, ashtu si në periudhën 12</w:t>
      </w:r>
      <w:r w:rsidR="00210B9A" w:rsidRPr="00EE038F">
        <w:rPr>
          <w:i/>
        </w:rPr>
        <w:t>-</w:t>
      </w:r>
      <w:r w:rsidRPr="00EE038F">
        <w:rPr>
          <w:i/>
        </w:rPr>
        <w:t>mujore 2023, nuk rezultojnë detyrime për rimbursimin e TVSH-së.</w:t>
      </w:r>
    </w:p>
    <w:p w14:paraId="3AF4A690" w14:textId="77777777" w:rsidR="00C50585" w:rsidRPr="00EE038F" w:rsidRDefault="00C50585" w:rsidP="00C50585">
      <w:pPr>
        <w:pStyle w:val="TEKSTIIIIII"/>
      </w:pPr>
      <w:r w:rsidRPr="00EE038F">
        <w:t xml:space="preserve">Në vijim të informacionit të dhënë, është e rëndësishme të theksohet se megjithëse detyrimet e prapambetura të qeverisë së përgjithshme në 9M 2024 janë rritur krahasuar me periudhën 12-mujore të 2023, ato mbeten dukshëm më të ulëta se sa ishin në të njëjtën periudhë të vitit të kaluar (9M 2023). Konkretisht, detyrimet e prapambetura të qeverisë së përgjithshme në 9M 2024 arrijnë në rreth 10.55 miliardë lekë, ose 48.1% më e ulët se 20.33 miliardë lekë të regjistruara në të njëjtën periudhë të vitit të kaluar (9M 2023). </w:t>
      </w:r>
    </w:p>
    <w:p w14:paraId="56A6A6F2" w14:textId="1BA32718" w:rsidR="00C50585" w:rsidRPr="00EE038F" w:rsidRDefault="00C50585" w:rsidP="00C50585">
      <w:pPr>
        <w:pStyle w:val="TEKSTIIIIII"/>
      </w:pPr>
      <w:r w:rsidRPr="00EE038F">
        <w:t>Gjithashtu, është e rëndësishme të theksohet se pavarësisht nivelit aktual të detyrimeve të prapambetura, të gjith</w:t>
      </w:r>
      <w:r w:rsidR="00210B9A" w:rsidRPr="00EE038F">
        <w:t>ë</w:t>
      </w:r>
      <w:r w:rsidRPr="00EE038F">
        <w:t xml:space="preserve"> objektivat e vendosur në fillim të vitit </w:t>
      </w:r>
      <w:r w:rsidRPr="00EE038F">
        <w:rPr>
          <w:i/>
          <w:iCs/>
        </w:rPr>
        <w:t>(si vlerësimi ERP dhe PEFA),</w:t>
      </w:r>
      <w:r w:rsidRPr="00EE038F">
        <w:rPr>
          <w:i/>
        </w:rPr>
        <w:t xml:space="preserve"> </w:t>
      </w:r>
      <w:r w:rsidRPr="00EE038F">
        <w:t>janë në rrugën e duhur për t’u përmbushur plotësisht deri në fund të vitit 2024. Aktualisht, niveli i detyrimeve të prapambetura të qeverisjes së përgjithshme për 9</w:t>
      </w:r>
      <w:r w:rsidR="00210B9A" w:rsidRPr="00EE038F">
        <w:t>-</w:t>
      </w:r>
      <w:r w:rsidRPr="00EE038F">
        <w:t>mujorin 2024 përbën 1.37% të shpenzimeve të përgjithshme të miratuara në ligjin e buxhetit 2024 dhe pritshmëritë janë pozitive që ai të mbetet nën 2% deri në fund të vitit 2024, duke përmbushur në këtë mënyrë objektivin vjetor.</w:t>
      </w:r>
    </w:p>
    <w:p w14:paraId="525F7A70" w14:textId="77777777" w:rsidR="00C50585" w:rsidRPr="00EE038F" w:rsidRDefault="00C50585" w:rsidP="00C50585">
      <w:pPr>
        <w:pStyle w:val="TEKSTIIIIII"/>
        <w:rPr>
          <w:rStyle w:val="Hyperlink"/>
          <w:iCs/>
          <w:u w:val="none"/>
        </w:rPr>
      </w:pPr>
      <w:r w:rsidRPr="00EE038F">
        <w:t xml:space="preserve">Informacioni mbi detyrimet e prapambetura sipas kategorisë dhe institucioneve gjendet i publikuar në faqen zyrtare të Ministrisë së Financave në linkun: </w:t>
      </w:r>
      <w:hyperlink r:id="rId13" w:history="1">
        <w:r w:rsidRPr="00EE038F">
          <w:rPr>
            <w:rStyle w:val="Hyperlink"/>
            <w:iCs/>
            <w:u w:val="none"/>
          </w:rPr>
          <w:t>https://financa.gov.al/detyrimet-e-prapambetura/</w:t>
        </w:r>
      </w:hyperlink>
    </w:p>
    <w:p w14:paraId="33E90370" w14:textId="08ECC0FE" w:rsidR="00C50585" w:rsidRPr="00EE038F" w:rsidRDefault="004D6B09" w:rsidP="004D6B09">
      <w:pPr>
        <w:pStyle w:val="TEKSTIIIIII"/>
        <w:rPr>
          <w:i/>
        </w:rPr>
      </w:pPr>
      <w:r w:rsidRPr="00EE038F">
        <w:rPr>
          <w:i/>
        </w:rPr>
        <w:lastRenderedPageBreak/>
        <w:t xml:space="preserve">1.3 </w:t>
      </w:r>
      <w:r w:rsidR="00C50585" w:rsidRPr="00EE038F">
        <w:rPr>
          <w:i/>
        </w:rPr>
        <w:t xml:space="preserve">Rritja e të ardhurave tatimore si pjesë e PBB-së në një mënyrë të favorshme për rritjen, duke përfshirë përmirësimin e administratës tatimore, rritjen e regjistrimeve për TVSH-në dhe reduktimin e punës së padeklaruar dhe mashtrimit tatimor; të rishikojë </w:t>
      </w:r>
      <w:r w:rsidR="00695C3E" w:rsidRPr="00EE038F">
        <w:rPr>
          <w:i/>
        </w:rPr>
        <w:t xml:space="preserve">strategjinë afatmesme të të ardhurave </w:t>
      </w:r>
      <w:r w:rsidR="00C50585" w:rsidRPr="00EE038F">
        <w:rPr>
          <w:i/>
        </w:rPr>
        <w:t>dhe të sigurojë zbatimin e saj.</w:t>
      </w:r>
    </w:p>
    <w:p w14:paraId="0D35B6FB" w14:textId="48B4FCC4" w:rsidR="00C50585" w:rsidRPr="00EE038F" w:rsidRDefault="00C50585" w:rsidP="004D6B09">
      <w:pPr>
        <w:pStyle w:val="TEKSTIIIIII"/>
        <w:rPr>
          <w:rFonts w:eastAsia="Times New Roman"/>
          <w:lang w:eastAsia="en-GB"/>
        </w:rPr>
      </w:pPr>
      <w:r w:rsidRPr="00EE038F">
        <w:rPr>
          <w:rFonts w:eastAsia="Times New Roman"/>
          <w:lang w:eastAsia="en-GB"/>
        </w:rPr>
        <w:t>Draft</w:t>
      </w:r>
      <w:r w:rsidR="0051685D" w:rsidRPr="00EE038F">
        <w:rPr>
          <w:rFonts w:eastAsia="Times New Roman"/>
          <w:lang w:eastAsia="en-GB"/>
        </w:rPr>
        <w:t>s</w:t>
      </w:r>
      <w:r w:rsidRPr="00EE038F">
        <w:rPr>
          <w:rFonts w:eastAsia="Times New Roman"/>
          <w:lang w:eastAsia="en-GB"/>
        </w:rPr>
        <w:t xml:space="preserve">trategjia </w:t>
      </w:r>
      <w:r w:rsidR="00695C3E" w:rsidRPr="00EE038F">
        <w:rPr>
          <w:rFonts w:eastAsia="Times New Roman"/>
          <w:lang w:eastAsia="en-GB"/>
        </w:rPr>
        <w:t xml:space="preserve">afatmesme e të ardhurave </w:t>
      </w:r>
      <w:r w:rsidRPr="00EE038F">
        <w:rPr>
          <w:rFonts w:eastAsia="Times New Roman"/>
          <w:lang w:eastAsia="en-GB"/>
        </w:rPr>
        <w:t>(MTRS)</w:t>
      </w:r>
      <w:r w:rsidR="0051685D" w:rsidRPr="00EE038F">
        <w:rPr>
          <w:rFonts w:eastAsia="Times New Roman"/>
          <w:lang w:eastAsia="en-GB"/>
        </w:rPr>
        <w:t>,</w:t>
      </w:r>
      <w:r w:rsidRPr="00EE038F">
        <w:rPr>
          <w:rFonts w:eastAsia="Times New Roman"/>
          <w:lang w:eastAsia="en-GB"/>
        </w:rPr>
        <w:t xml:space="preserve"> e cila është miratuar me anë të </w:t>
      </w:r>
      <w:r w:rsidR="0051685D" w:rsidRPr="00EE038F">
        <w:rPr>
          <w:rFonts w:eastAsia="Times New Roman"/>
          <w:lang w:eastAsia="en-GB"/>
        </w:rPr>
        <w:t xml:space="preserve">vendimit </w:t>
      </w:r>
      <w:r w:rsidRPr="00EE038F">
        <w:rPr>
          <w:rFonts w:eastAsia="Times New Roman"/>
          <w:lang w:eastAsia="en-GB"/>
        </w:rPr>
        <w:t xml:space="preserve">të Këshillit të Ministrave më datë 26 dhjetor, ka si qëllim mobilizimin e të ardhurave përmes politikave të qëndrueshme fiskale dhe reformave administrative tatimore e doganore, duke thjeshtuar </w:t>
      </w:r>
      <w:r w:rsidR="0051685D" w:rsidRPr="00EE038F">
        <w:rPr>
          <w:rFonts w:eastAsia="Times New Roman"/>
          <w:lang w:eastAsia="en-GB"/>
        </w:rPr>
        <w:t>procedurat</w:t>
      </w:r>
      <w:r w:rsidRPr="00EE038F">
        <w:rPr>
          <w:rFonts w:eastAsia="Times New Roman"/>
          <w:lang w:eastAsia="en-GB"/>
        </w:rPr>
        <w:t xml:space="preserve">, kostot e pajtimit, luftën ndaj shmangieve dhe evazionit tatimor, me qëllim krijimin e hapësirave fiskale për më shumë investime dhe zhvillim të qëndrueshëm, përfshirë shëndetësinë, arsimin, mbrojtjen sociale dhe infrastrukturën. </w:t>
      </w:r>
    </w:p>
    <w:p w14:paraId="60B9861C" w14:textId="001AB9BA" w:rsidR="00C50585" w:rsidRPr="00EE038F" w:rsidRDefault="00695C3E" w:rsidP="004D6B09">
      <w:pPr>
        <w:pStyle w:val="TEKSTIIIIII"/>
        <w:rPr>
          <w:rFonts w:eastAsia="Times New Roman"/>
          <w:lang w:eastAsia="en-GB"/>
        </w:rPr>
      </w:pPr>
      <w:r>
        <w:rPr>
          <w:rFonts w:eastAsia="Times New Roman"/>
          <w:lang w:eastAsia="en-GB"/>
        </w:rPr>
        <w:t>“</w:t>
      </w:r>
      <w:r w:rsidR="00C50585" w:rsidRPr="00EE038F">
        <w:rPr>
          <w:rFonts w:eastAsia="Times New Roman"/>
          <w:lang w:eastAsia="en-GB"/>
        </w:rPr>
        <w:t xml:space="preserve">Strategjia </w:t>
      </w:r>
      <w:r w:rsidRPr="00EE038F">
        <w:rPr>
          <w:rFonts w:eastAsia="Times New Roman"/>
          <w:lang w:eastAsia="en-GB"/>
        </w:rPr>
        <w:t xml:space="preserve">afatmesme e të ardhurave </w:t>
      </w:r>
      <w:r w:rsidR="00C50585" w:rsidRPr="00EE038F">
        <w:rPr>
          <w:rFonts w:eastAsia="Times New Roman"/>
          <w:lang w:eastAsia="en-GB"/>
        </w:rPr>
        <w:t>(MTRS) 2024</w:t>
      </w:r>
      <w:r w:rsidR="0051685D" w:rsidRPr="00EE038F">
        <w:rPr>
          <w:rFonts w:eastAsia="Times New Roman"/>
          <w:lang w:eastAsia="en-GB"/>
        </w:rPr>
        <w:t>–</w:t>
      </w:r>
      <w:r w:rsidR="00C50585" w:rsidRPr="00EE038F">
        <w:rPr>
          <w:rFonts w:eastAsia="Times New Roman"/>
          <w:lang w:eastAsia="en-GB"/>
        </w:rPr>
        <w:t xml:space="preserve">2027 dhe </w:t>
      </w:r>
      <w:r w:rsidR="00CB56E3" w:rsidRPr="00EE038F">
        <w:rPr>
          <w:rFonts w:eastAsia="Times New Roman"/>
          <w:lang w:eastAsia="en-GB"/>
        </w:rPr>
        <w:t>plani i veprimit</w:t>
      </w:r>
      <w:r>
        <w:rPr>
          <w:rFonts w:eastAsia="Times New Roman"/>
          <w:lang w:eastAsia="en-GB"/>
        </w:rPr>
        <w:t>”</w:t>
      </w:r>
      <w:r w:rsidR="00CB56E3" w:rsidRPr="00EE038F">
        <w:rPr>
          <w:rFonts w:eastAsia="Times New Roman"/>
          <w:lang w:eastAsia="en-GB"/>
        </w:rPr>
        <w:t xml:space="preserve"> </w:t>
      </w:r>
      <w:r w:rsidR="00C50585" w:rsidRPr="00EE038F">
        <w:rPr>
          <w:rFonts w:eastAsia="Times New Roman"/>
          <w:lang w:eastAsia="en-GB"/>
        </w:rPr>
        <w:t>paraqesin reforma të detajuara që do të ndërmerren në politikat fiskale dhe miradministrimin tatimor dhe doganor, të cilat së bashku do të sjellin një rritje të të ardhurave tatimore prej 64.8 miliardë lekë</w:t>
      </w:r>
      <w:r w:rsidR="00CB56E3" w:rsidRPr="00EE038F">
        <w:rPr>
          <w:rFonts w:eastAsia="Times New Roman"/>
          <w:lang w:eastAsia="en-GB"/>
        </w:rPr>
        <w:t>sh</w:t>
      </w:r>
      <w:r w:rsidR="00C50585" w:rsidRPr="00EE038F">
        <w:rPr>
          <w:rFonts w:eastAsia="Times New Roman"/>
          <w:lang w:eastAsia="en-GB"/>
        </w:rPr>
        <w:t xml:space="preserve"> gjatë periudhës 2024</w:t>
      </w:r>
      <w:r w:rsidR="00CB56E3" w:rsidRPr="00EE038F">
        <w:rPr>
          <w:rFonts w:eastAsia="Times New Roman"/>
          <w:lang w:eastAsia="en-GB"/>
        </w:rPr>
        <w:t>–</w:t>
      </w:r>
      <w:r w:rsidR="00C50585" w:rsidRPr="00EE038F">
        <w:rPr>
          <w:rFonts w:eastAsia="Times New Roman"/>
          <w:lang w:eastAsia="en-GB"/>
        </w:rPr>
        <w:t>2027. Këto të ardhura shtesë do të krijohen nga rritja e të ardhurave nga politikat fiskale me rreth 9.28 miliardë lekë ose 0.33% të PBB-së, rritja e të ardhurave nga miradministrimi</w:t>
      </w:r>
      <w:r w:rsidR="00AD3D9C" w:rsidRPr="00EE038F">
        <w:rPr>
          <w:rFonts w:eastAsia="Times New Roman"/>
          <w:lang w:eastAsia="en-GB"/>
        </w:rPr>
        <w:t xml:space="preserve"> </w:t>
      </w:r>
      <w:r w:rsidR="00C50585" w:rsidRPr="00EE038F">
        <w:rPr>
          <w:rFonts w:eastAsia="Times New Roman"/>
          <w:lang w:eastAsia="en-GB"/>
        </w:rPr>
        <w:t>tatimor me 51 miliardë lekë ose 1.96% të PBB-së dhe rritja e të ardhurave nga miradministrimi</w:t>
      </w:r>
      <w:r w:rsidR="00AD3D9C" w:rsidRPr="00EE038F">
        <w:rPr>
          <w:rFonts w:eastAsia="Times New Roman"/>
          <w:lang w:eastAsia="en-GB"/>
        </w:rPr>
        <w:t xml:space="preserve"> </w:t>
      </w:r>
      <w:r w:rsidR="00C50585" w:rsidRPr="00EE038F">
        <w:rPr>
          <w:rFonts w:eastAsia="Times New Roman"/>
          <w:lang w:eastAsia="en-GB"/>
        </w:rPr>
        <w:t>doganor, me 4.5 miliardë lekë ose 0.17% të PBB-së.</w:t>
      </w:r>
    </w:p>
    <w:p w14:paraId="485AD296" w14:textId="521AB2D4" w:rsidR="00C50585" w:rsidRPr="00EE038F" w:rsidRDefault="00C50585" w:rsidP="004D6B09">
      <w:pPr>
        <w:pStyle w:val="TEKSTIIIIII"/>
        <w:rPr>
          <w:rFonts w:eastAsia="Times New Roman"/>
          <w:lang w:eastAsia="en-GB"/>
        </w:rPr>
      </w:pPr>
      <w:r w:rsidRPr="00EE038F">
        <w:rPr>
          <w:rFonts w:eastAsia="Times New Roman"/>
          <w:lang w:eastAsia="en-GB"/>
        </w:rPr>
        <w:t>Për periudhën 2024</w:t>
      </w:r>
      <w:r w:rsidR="00B65F24" w:rsidRPr="00EE038F">
        <w:rPr>
          <w:rFonts w:eastAsia="Times New Roman"/>
          <w:lang w:eastAsia="en-GB"/>
        </w:rPr>
        <w:t>–</w:t>
      </w:r>
      <w:r w:rsidRPr="00EE038F">
        <w:rPr>
          <w:rFonts w:eastAsia="Times New Roman"/>
          <w:lang w:eastAsia="en-GB"/>
        </w:rPr>
        <w:t>2027, të ardhurat tatimore si pjesë e PBB-së pritet të rriten me 1.8%</w:t>
      </w:r>
      <w:r w:rsidR="002061C2" w:rsidRPr="00EE038F">
        <w:rPr>
          <w:rFonts w:eastAsia="Times New Roman"/>
          <w:lang w:eastAsia="en-GB"/>
        </w:rPr>
        <w:t>,</w:t>
      </w:r>
      <w:r w:rsidRPr="00EE038F">
        <w:rPr>
          <w:rFonts w:eastAsia="Times New Roman"/>
          <w:lang w:eastAsia="en-GB"/>
        </w:rPr>
        <w:t xml:space="preserve"> duke arritur në 27.7% të PBB-së në vitin 2027, mbështetur nga masat e përfshira në këtë strategji. Duke marrë në konsideratë</w:t>
      </w:r>
      <w:r w:rsidR="00AD3D9C" w:rsidRPr="00EE038F">
        <w:rPr>
          <w:rFonts w:eastAsia="Times New Roman"/>
          <w:lang w:eastAsia="en-GB"/>
        </w:rPr>
        <w:t xml:space="preserve"> </w:t>
      </w:r>
      <w:r w:rsidRPr="00EE038F">
        <w:rPr>
          <w:rFonts w:eastAsia="Times New Roman"/>
          <w:lang w:eastAsia="en-GB"/>
        </w:rPr>
        <w:t>vitin 2019 deri në vitin 2027, të ardhurat tatimore si pjesë e PBB-së pritet të rriten me 2.5 %, duke reflektuar efektet e masave të zbatueshme deri tani nga MTRS e mëparshme, masat e propozuara aktualisht, si dhe faktorë të tjerë ekonomikë.</w:t>
      </w:r>
    </w:p>
    <w:p w14:paraId="5F4DAC57" w14:textId="7D589898" w:rsidR="00C50585" w:rsidRPr="00EE038F" w:rsidRDefault="00C50585" w:rsidP="004D6B09">
      <w:pPr>
        <w:pStyle w:val="TEKSTIIIIII"/>
        <w:rPr>
          <w:rFonts w:eastAsia="Times New Roman"/>
        </w:rPr>
      </w:pPr>
      <w:r w:rsidRPr="00EE038F">
        <w:rPr>
          <w:rFonts w:eastAsia="Times New Roman"/>
        </w:rPr>
        <w:t>Reformat e parashikuara për periudhën 2024</w:t>
      </w:r>
      <w:r w:rsidR="00207DD6" w:rsidRPr="00EE038F">
        <w:rPr>
          <w:rFonts w:eastAsia="Times New Roman"/>
          <w:lang w:eastAsia="en-GB"/>
        </w:rPr>
        <w:t>–</w:t>
      </w:r>
      <w:r w:rsidRPr="00EE038F">
        <w:rPr>
          <w:rFonts w:eastAsia="Times New Roman"/>
        </w:rPr>
        <w:t>2027 synojnë:</w:t>
      </w:r>
    </w:p>
    <w:p w14:paraId="41D97C5E" w14:textId="77777777" w:rsidR="00C50585" w:rsidRPr="00EE038F" w:rsidRDefault="004D6B09" w:rsidP="004D6B09">
      <w:pPr>
        <w:pStyle w:val="TEKSTIIIIII"/>
        <w:rPr>
          <w:rFonts w:eastAsia="Times New Roman"/>
        </w:rPr>
      </w:pPr>
      <w:r w:rsidRPr="00EE038F">
        <w:rPr>
          <w:rFonts w:eastAsia="Times New Roman"/>
        </w:rPr>
        <w:t xml:space="preserve">- </w:t>
      </w:r>
      <w:r w:rsidR="00C50585" w:rsidRPr="00EE038F">
        <w:rPr>
          <w:rFonts w:eastAsia="Times New Roman"/>
        </w:rPr>
        <w:t>Të thellojnë më tej reformat në fushën e politikave dhe sidomos në drejtim të administrimit tatimor e doganor, duke bërë të mundur rritjen e neutralitetit të sistemit tatimor, eliminimin e deformimeve të krijuara në sistem, përmirësimin e nivelit të normave tatimore dhe rritjen e bazës së tatimit.</w:t>
      </w:r>
    </w:p>
    <w:p w14:paraId="4F84F82A" w14:textId="0321F145" w:rsidR="00C50585" w:rsidRPr="00EE038F" w:rsidRDefault="004D6B09" w:rsidP="004D6B09">
      <w:pPr>
        <w:pStyle w:val="TEKSTIIIIII"/>
        <w:rPr>
          <w:rFonts w:eastAsia="Times New Roman"/>
        </w:rPr>
      </w:pPr>
      <w:r w:rsidRPr="00EE038F">
        <w:rPr>
          <w:rFonts w:eastAsia="Times New Roman"/>
        </w:rPr>
        <w:t xml:space="preserve">- </w:t>
      </w:r>
      <w:r w:rsidR="00C50585" w:rsidRPr="00EE038F">
        <w:rPr>
          <w:rFonts w:eastAsia="Times New Roman"/>
        </w:rPr>
        <w:t>Të shërbejnë si një guidë e rëndësishme në vendim</w:t>
      </w:r>
      <w:r w:rsidR="00F200EF" w:rsidRPr="00EE038F">
        <w:rPr>
          <w:rFonts w:eastAsia="Times New Roman"/>
        </w:rPr>
        <w:t>m</w:t>
      </w:r>
      <w:r w:rsidR="00C50585" w:rsidRPr="00EE038F">
        <w:rPr>
          <w:rFonts w:eastAsia="Times New Roman"/>
        </w:rPr>
        <w:t>arrjen politike në lidhje me politikat fiskale të vendit, si dhe në vendim</w:t>
      </w:r>
      <w:r w:rsidR="00F200EF" w:rsidRPr="00EE038F">
        <w:rPr>
          <w:rFonts w:eastAsia="Times New Roman"/>
        </w:rPr>
        <w:t>m</w:t>
      </w:r>
      <w:r w:rsidR="00C50585" w:rsidRPr="00EE038F">
        <w:rPr>
          <w:rFonts w:eastAsia="Times New Roman"/>
        </w:rPr>
        <w:t>arrjet e operatorëve ekonomikë</w:t>
      </w:r>
      <w:r w:rsidR="00DC1201" w:rsidRPr="00EE038F">
        <w:rPr>
          <w:rFonts w:eastAsia="Times New Roman"/>
        </w:rPr>
        <w:t>,</w:t>
      </w:r>
      <w:r w:rsidR="00C50585" w:rsidRPr="00EE038F">
        <w:rPr>
          <w:rFonts w:eastAsia="Times New Roman"/>
        </w:rPr>
        <w:t xml:space="preserve"> në lidhje me strategjitë e biznesit, të cilat kërkojnë qëndrueshmëri në politikat fiskale</w:t>
      </w:r>
      <w:r w:rsidR="00DC1201" w:rsidRPr="00EE038F">
        <w:rPr>
          <w:rFonts w:eastAsia="Times New Roman"/>
        </w:rPr>
        <w:t>,</w:t>
      </w:r>
      <w:r w:rsidR="00C50585" w:rsidRPr="00EE038F">
        <w:rPr>
          <w:rFonts w:eastAsia="Times New Roman"/>
        </w:rPr>
        <w:t xml:space="preserve"> me qëllim programimin e veprimtarisë dhe aktiviteteve në terma afatgjatë. </w:t>
      </w:r>
    </w:p>
    <w:p w14:paraId="3B31512E" w14:textId="3019D1FC" w:rsidR="00C50585" w:rsidRPr="00EE038F" w:rsidRDefault="004D6B09" w:rsidP="004D6B09">
      <w:pPr>
        <w:pStyle w:val="TEKSTIIIIII"/>
        <w:rPr>
          <w:rFonts w:eastAsia="Times New Roman"/>
        </w:rPr>
      </w:pPr>
      <w:r w:rsidRPr="00EE038F">
        <w:rPr>
          <w:rFonts w:eastAsia="Times New Roman"/>
        </w:rPr>
        <w:t xml:space="preserve">- </w:t>
      </w:r>
      <w:r w:rsidR="00C50585" w:rsidRPr="00EE038F">
        <w:rPr>
          <w:rFonts w:eastAsia="Times New Roman"/>
        </w:rPr>
        <w:t>T’i ofrojnë qeverisë një pasqyrë të qartë të nivelit të të ardhurave tatimore të pritshme në secilin vit të kësaj periudhe 4</w:t>
      </w:r>
      <w:r w:rsidR="00DC1201" w:rsidRPr="00EE038F">
        <w:rPr>
          <w:rFonts w:eastAsia="Times New Roman"/>
        </w:rPr>
        <w:t>-</w:t>
      </w:r>
      <w:r w:rsidR="00C50585" w:rsidRPr="00EE038F">
        <w:rPr>
          <w:rFonts w:eastAsia="Times New Roman"/>
        </w:rPr>
        <w:t xml:space="preserve">vjeçare, </w:t>
      </w:r>
    </w:p>
    <w:p w14:paraId="6E041718" w14:textId="3FCC8741" w:rsidR="00C50585" w:rsidRPr="00EE038F" w:rsidRDefault="004D6B09" w:rsidP="004D6B09">
      <w:pPr>
        <w:pStyle w:val="TEKSTIIIIII"/>
        <w:rPr>
          <w:rFonts w:eastAsia="Times New Roman"/>
        </w:rPr>
      </w:pPr>
      <w:r w:rsidRPr="00EE038F">
        <w:rPr>
          <w:rFonts w:eastAsia="Times New Roman"/>
        </w:rPr>
        <w:t xml:space="preserve">- </w:t>
      </w:r>
      <w:r w:rsidR="00C50585" w:rsidRPr="00EE038F">
        <w:rPr>
          <w:rFonts w:eastAsia="Times New Roman"/>
        </w:rPr>
        <w:t>T’</w:t>
      </w:r>
      <w:r w:rsidR="00DC1201" w:rsidRPr="00EE038F">
        <w:rPr>
          <w:rFonts w:eastAsia="Times New Roman"/>
        </w:rPr>
        <w:t>u</w:t>
      </w:r>
      <w:r w:rsidR="00C50585" w:rsidRPr="00EE038F">
        <w:rPr>
          <w:rFonts w:eastAsia="Times New Roman"/>
        </w:rPr>
        <w:t xml:space="preserve"> ofrojnë operatorëve ekonomikë pamje të qartë dhe mbi të gjitha më shumë siguri, mbi mënyrën se si do të trajtohen dhe cilat do të jenë detyrimet tatimore në lidhje me vendimet që do ndërmarrin për investimet e tyre. </w:t>
      </w:r>
    </w:p>
    <w:p w14:paraId="2DF6D534" w14:textId="3FA288EF" w:rsidR="00C50585" w:rsidRPr="00EE038F" w:rsidRDefault="00C50585" w:rsidP="004D6B09">
      <w:pPr>
        <w:pStyle w:val="TEKSTIIIIII"/>
        <w:rPr>
          <w:rFonts w:eastAsia="Times New Roman"/>
        </w:rPr>
      </w:pPr>
      <w:r w:rsidRPr="00EE038F">
        <w:rPr>
          <w:rFonts w:eastAsia="Times New Roman"/>
        </w:rPr>
        <w:t>Për të ardhurat tatimore të cilat përfshijnë:</w:t>
      </w:r>
      <w:r w:rsidR="005A50F1" w:rsidRPr="00EE038F">
        <w:rPr>
          <w:rFonts w:eastAsia="Times New Roman"/>
        </w:rPr>
        <w:t xml:space="preserve"> </w:t>
      </w:r>
      <w:r w:rsidRPr="00EE038F">
        <w:rPr>
          <w:rFonts w:eastAsia="Times New Roman"/>
        </w:rPr>
        <w:t>i</w:t>
      </w:r>
      <w:r w:rsidR="005A50F1" w:rsidRPr="00EE038F">
        <w:rPr>
          <w:rFonts w:eastAsia="Times New Roman"/>
        </w:rPr>
        <w:t>.</w:t>
      </w:r>
      <w:r w:rsidRPr="00EE038F">
        <w:rPr>
          <w:rFonts w:eastAsia="Times New Roman"/>
        </w:rPr>
        <w:t xml:space="preserve"> të ardhurat tatimore nga tatimet dhe doganat; ii</w:t>
      </w:r>
      <w:r w:rsidR="005A50F1" w:rsidRPr="00EE038F">
        <w:rPr>
          <w:rFonts w:eastAsia="Times New Roman"/>
        </w:rPr>
        <w:t>.</w:t>
      </w:r>
      <w:r w:rsidRPr="00EE038F">
        <w:rPr>
          <w:rFonts w:eastAsia="Times New Roman"/>
        </w:rPr>
        <w:t xml:space="preserve"> të ardhurat nga taksat vendore</w:t>
      </w:r>
      <w:r w:rsidR="005A50F1" w:rsidRPr="00EE038F">
        <w:rPr>
          <w:rFonts w:eastAsia="Times New Roman"/>
        </w:rPr>
        <w:t>;</w:t>
      </w:r>
      <w:r w:rsidRPr="00EE038F">
        <w:rPr>
          <w:rFonts w:eastAsia="Times New Roman"/>
        </w:rPr>
        <w:t xml:space="preserve"> dhe iii</w:t>
      </w:r>
      <w:r w:rsidR="005A50F1" w:rsidRPr="00EE038F">
        <w:rPr>
          <w:rFonts w:eastAsia="Times New Roman"/>
        </w:rPr>
        <w:t xml:space="preserve">. </w:t>
      </w:r>
      <w:r w:rsidRPr="00EE038F">
        <w:rPr>
          <w:rFonts w:eastAsia="Times New Roman"/>
        </w:rPr>
        <w:t xml:space="preserve">të ardhurat nga kontributet e sigurimeve shoqërore dhe shëndetësore, në </w:t>
      </w:r>
      <w:r w:rsidR="00080BF2" w:rsidRPr="00EE038F">
        <w:rPr>
          <w:rFonts w:eastAsia="Times New Roman"/>
        </w:rPr>
        <w:t xml:space="preserve">strategji </w:t>
      </w:r>
      <w:r w:rsidRPr="00EE038F">
        <w:rPr>
          <w:rFonts w:eastAsia="Times New Roman"/>
        </w:rPr>
        <w:t>janë programuar një sërë masash të ndara në tr</w:t>
      </w:r>
      <w:r w:rsidR="00D97C8E" w:rsidRPr="00EE038F">
        <w:rPr>
          <w:rFonts w:eastAsia="Times New Roman"/>
        </w:rPr>
        <w:t>i</w:t>
      </w:r>
      <w:r w:rsidRPr="00EE038F">
        <w:rPr>
          <w:rFonts w:eastAsia="Times New Roman"/>
        </w:rPr>
        <w:t xml:space="preserve"> shtylla kryesore:</w:t>
      </w:r>
    </w:p>
    <w:p w14:paraId="715DEB81" w14:textId="77777777" w:rsidR="00C50585" w:rsidRPr="00EE038F" w:rsidRDefault="00C50585" w:rsidP="004D6B09">
      <w:pPr>
        <w:pStyle w:val="TEKSTIIIIII"/>
        <w:rPr>
          <w:rFonts w:eastAsia="Times New Roman"/>
          <w:b/>
        </w:rPr>
      </w:pPr>
      <w:r w:rsidRPr="00EE038F">
        <w:rPr>
          <w:rFonts w:eastAsia="Times New Roman"/>
          <w:b/>
        </w:rPr>
        <w:t>Shtylla 1: Rishikimi i politikës tatimore</w:t>
      </w:r>
    </w:p>
    <w:p w14:paraId="3B2095DF" w14:textId="77777777" w:rsidR="00C50585" w:rsidRPr="00EE038F" w:rsidRDefault="004D6B09" w:rsidP="004D6B09">
      <w:pPr>
        <w:pStyle w:val="TEKSTIIIIII"/>
        <w:rPr>
          <w:rFonts w:eastAsia="Times New Roman"/>
        </w:rPr>
      </w:pPr>
      <w:r w:rsidRPr="00EE038F">
        <w:rPr>
          <w:rFonts w:eastAsia="Times New Roman"/>
        </w:rPr>
        <w:t xml:space="preserve">1. </w:t>
      </w:r>
      <w:r w:rsidR="00C50585" w:rsidRPr="00EE038F">
        <w:rPr>
          <w:rFonts w:eastAsia="Times New Roman"/>
        </w:rPr>
        <w:t>Rishikimi i politikës tatimore të tatimeve mbi konsumin;</w:t>
      </w:r>
    </w:p>
    <w:p w14:paraId="6C2255F7" w14:textId="77777777" w:rsidR="00C50585" w:rsidRPr="00EE038F" w:rsidRDefault="004D6B09" w:rsidP="004D6B09">
      <w:pPr>
        <w:pStyle w:val="TEKSTIIIIII"/>
        <w:rPr>
          <w:rFonts w:eastAsia="Times New Roman"/>
        </w:rPr>
      </w:pPr>
      <w:r w:rsidRPr="00EE038F">
        <w:rPr>
          <w:rFonts w:eastAsia="Times New Roman"/>
        </w:rPr>
        <w:t xml:space="preserve">2. </w:t>
      </w:r>
      <w:r w:rsidR="00C50585" w:rsidRPr="00EE038F">
        <w:rPr>
          <w:rFonts w:eastAsia="Times New Roman"/>
        </w:rPr>
        <w:t>Rishikimi i politikës tatimore të tatimeve dhe taksave direkte;</w:t>
      </w:r>
    </w:p>
    <w:p w14:paraId="7C48C948" w14:textId="77777777" w:rsidR="00C50585" w:rsidRPr="00EE038F" w:rsidRDefault="004D6B09" w:rsidP="004D6B09">
      <w:pPr>
        <w:pStyle w:val="TEKSTIIIIII"/>
        <w:rPr>
          <w:rFonts w:eastAsia="Times New Roman"/>
        </w:rPr>
      </w:pPr>
      <w:r w:rsidRPr="00EE038F">
        <w:rPr>
          <w:rFonts w:eastAsia="Times New Roman"/>
        </w:rPr>
        <w:t xml:space="preserve">3. </w:t>
      </w:r>
      <w:r w:rsidR="00C50585" w:rsidRPr="00EE038F">
        <w:rPr>
          <w:rFonts w:eastAsia="Times New Roman"/>
        </w:rPr>
        <w:t>Rishikimi i politikës tatimore të taksës mbi pasuritë e paluajtshme.</w:t>
      </w:r>
    </w:p>
    <w:p w14:paraId="0F5EC65F" w14:textId="42639030" w:rsidR="00C50585" w:rsidRPr="00EE038F" w:rsidRDefault="00C50585" w:rsidP="004D6B09">
      <w:pPr>
        <w:pStyle w:val="TEKSTIIIIII"/>
        <w:rPr>
          <w:rFonts w:eastAsia="Times New Roman"/>
          <w:b/>
        </w:rPr>
      </w:pPr>
      <w:r w:rsidRPr="00EE038F">
        <w:rPr>
          <w:rFonts w:eastAsia="Times New Roman"/>
          <w:b/>
        </w:rPr>
        <w:t>Shtylla 2: Miradministrimi tatimor</w:t>
      </w:r>
    </w:p>
    <w:p w14:paraId="41ECDDB0" w14:textId="77777777" w:rsidR="00C50585" w:rsidRPr="00EE038F" w:rsidRDefault="004D6B09" w:rsidP="004D6B09">
      <w:pPr>
        <w:pStyle w:val="TEKSTIIIIII"/>
        <w:rPr>
          <w:rFonts w:eastAsia="Times New Roman"/>
        </w:rPr>
      </w:pPr>
      <w:r w:rsidRPr="00EE038F">
        <w:rPr>
          <w:rFonts w:eastAsia="Times New Roman"/>
        </w:rPr>
        <w:t xml:space="preserve">1. </w:t>
      </w:r>
      <w:r w:rsidR="00C50585" w:rsidRPr="00EE038F">
        <w:rPr>
          <w:rFonts w:eastAsia="Times New Roman"/>
        </w:rPr>
        <w:t>Zvogëlimi i hendekut të përmbushjes në lidhje me TVSH-në;</w:t>
      </w:r>
    </w:p>
    <w:p w14:paraId="3701851A" w14:textId="77777777" w:rsidR="00C50585" w:rsidRPr="00EE038F" w:rsidRDefault="004D6B09" w:rsidP="004D6B09">
      <w:pPr>
        <w:pStyle w:val="TEKSTIIIIII"/>
        <w:rPr>
          <w:rFonts w:eastAsia="Times New Roman"/>
        </w:rPr>
      </w:pPr>
      <w:r w:rsidRPr="00EE038F">
        <w:rPr>
          <w:rFonts w:eastAsia="Times New Roman"/>
        </w:rPr>
        <w:t xml:space="preserve">2. </w:t>
      </w:r>
      <w:r w:rsidR="00C50585" w:rsidRPr="00EE038F">
        <w:rPr>
          <w:rFonts w:eastAsia="Times New Roman"/>
        </w:rPr>
        <w:t>Reduktimi i punës së padeklaruar dhe të nëndeklarimit të pagës reale;</w:t>
      </w:r>
    </w:p>
    <w:p w14:paraId="505BF9F4" w14:textId="77777777" w:rsidR="00C50585" w:rsidRPr="00EE038F" w:rsidRDefault="004D6B09" w:rsidP="004D6B09">
      <w:pPr>
        <w:pStyle w:val="TEKSTIIIIII"/>
        <w:rPr>
          <w:rFonts w:eastAsia="Times New Roman"/>
        </w:rPr>
      </w:pPr>
      <w:r w:rsidRPr="00EE038F">
        <w:rPr>
          <w:rFonts w:eastAsia="Times New Roman"/>
        </w:rPr>
        <w:t xml:space="preserve">3. </w:t>
      </w:r>
      <w:r w:rsidR="00C50585" w:rsidRPr="00EE038F">
        <w:rPr>
          <w:rFonts w:eastAsia="Times New Roman"/>
        </w:rPr>
        <w:t>Ulja e pagesave me para në dorë në ekonomi;</w:t>
      </w:r>
    </w:p>
    <w:p w14:paraId="7390F8BA" w14:textId="77777777" w:rsidR="00C50585" w:rsidRPr="00EE038F" w:rsidRDefault="004D6B09" w:rsidP="004D6B09">
      <w:pPr>
        <w:pStyle w:val="TEKSTIIIIII"/>
        <w:rPr>
          <w:rFonts w:eastAsia="Times New Roman"/>
        </w:rPr>
      </w:pPr>
      <w:r w:rsidRPr="00EE038F">
        <w:rPr>
          <w:rFonts w:eastAsia="Times New Roman"/>
        </w:rPr>
        <w:t xml:space="preserve">4. </w:t>
      </w:r>
      <w:r w:rsidR="00C50585" w:rsidRPr="00EE038F">
        <w:rPr>
          <w:rFonts w:eastAsia="Times New Roman"/>
        </w:rPr>
        <w:t>Hetimi i pasurisë së pajustifikuar;</w:t>
      </w:r>
    </w:p>
    <w:p w14:paraId="1BA2F7C6" w14:textId="77777777" w:rsidR="00C50585" w:rsidRPr="00EE038F" w:rsidRDefault="004D6B09" w:rsidP="004D6B09">
      <w:pPr>
        <w:pStyle w:val="TEKSTIIIIII"/>
        <w:rPr>
          <w:rFonts w:eastAsia="Times New Roman"/>
        </w:rPr>
      </w:pPr>
      <w:r w:rsidRPr="00EE038F">
        <w:rPr>
          <w:rFonts w:eastAsia="Times New Roman"/>
        </w:rPr>
        <w:t xml:space="preserve">5. </w:t>
      </w:r>
      <w:r w:rsidR="00C50585" w:rsidRPr="00EE038F">
        <w:rPr>
          <w:rFonts w:eastAsia="Times New Roman"/>
        </w:rPr>
        <w:t>Zvogëlimi i shmangies tatimore;</w:t>
      </w:r>
    </w:p>
    <w:p w14:paraId="560838AD" w14:textId="54C8FEA0" w:rsidR="00C50585" w:rsidRPr="00EE038F" w:rsidRDefault="004D6B09" w:rsidP="004D6B09">
      <w:pPr>
        <w:pStyle w:val="TEKSTIIIIII"/>
        <w:rPr>
          <w:rFonts w:eastAsia="Times New Roman"/>
        </w:rPr>
      </w:pPr>
      <w:r w:rsidRPr="00EE038F">
        <w:rPr>
          <w:rFonts w:eastAsia="Times New Roman"/>
        </w:rPr>
        <w:t xml:space="preserve">6. </w:t>
      </w:r>
      <w:r w:rsidR="00C50585" w:rsidRPr="00EE038F">
        <w:rPr>
          <w:rFonts w:eastAsia="Times New Roman"/>
        </w:rPr>
        <w:t>Reduktimi i kostove të përmbushjes dhe rritja e sigurisë tatimore dhe besimit te</w:t>
      </w:r>
      <w:r w:rsidR="00C91045">
        <w:rPr>
          <w:rFonts w:eastAsia="Times New Roman"/>
        </w:rPr>
        <w:t>k</w:t>
      </w:r>
      <w:r w:rsidR="00C50585" w:rsidRPr="00EE038F">
        <w:rPr>
          <w:rFonts w:eastAsia="Times New Roman"/>
        </w:rPr>
        <w:t xml:space="preserve"> administrata tatimore; </w:t>
      </w:r>
    </w:p>
    <w:p w14:paraId="14732535" w14:textId="6D37E58C" w:rsidR="00C50585" w:rsidRPr="00EE038F" w:rsidRDefault="004D6B09" w:rsidP="004D6B09">
      <w:pPr>
        <w:pStyle w:val="TEKSTIIIIII"/>
        <w:rPr>
          <w:rFonts w:eastAsia="Times New Roman"/>
        </w:rPr>
      </w:pPr>
      <w:r w:rsidRPr="00EE038F">
        <w:rPr>
          <w:rFonts w:eastAsia="Times New Roman"/>
        </w:rPr>
        <w:lastRenderedPageBreak/>
        <w:t>7.</w:t>
      </w:r>
      <w:r w:rsidR="006863ED" w:rsidRPr="00EE038F">
        <w:rPr>
          <w:rFonts w:eastAsia="Times New Roman"/>
        </w:rPr>
        <w:t xml:space="preserve"> </w:t>
      </w:r>
      <w:r w:rsidR="00C50585" w:rsidRPr="00EE038F">
        <w:rPr>
          <w:rFonts w:eastAsia="Times New Roman"/>
        </w:rPr>
        <w:t xml:space="preserve">Përmirësimi i cilësisë së shërbimit të ofruar nga </w:t>
      </w:r>
      <w:r w:rsidR="001B38B7" w:rsidRPr="00EE038F">
        <w:rPr>
          <w:rFonts w:eastAsia="Times New Roman"/>
        </w:rPr>
        <w:t xml:space="preserve">administrata tatimore </w:t>
      </w:r>
      <w:r w:rsidR="00C50585" w:rsidRPr="00EE038F">
        <w:rPr>
          <w:rFonts w:eastAsia="Times New Roman"/>
        </w:rPr>
        <w:t xml:space="preserve">(AT) nëpërmjet zhvillimit të kapaciteteve institucionale të administratës tatimore. </w:t>
      </w:r>
    </w:p>
    <w:p w14:paraId="20672C5C" w14:textId="4027DD49" w:rsidR="00C50585" w:rsidRPr="00EE038F" w:rsidRDefault="00C50585" w:rsidP="004D6B09">
      <w:pPr>
        <w:pStyle w:val="TEKSTIIIIII"/>
        <w:rPr>
          <w:rFonts w:eastAsia="Times New Roman"/>
          <w:b/>
        </w:rPr>
      </w:pPr>
      <w:r w:rsidRPr="00EE038F">
        <w:rPr>
          <w:rFonts w:eastAsia="Times New Roman"/>
          <w:b/>
        </w:rPr>
        <w:t xml:space="preserve">Shtylla 3: Miradministrimi doganor </w:t>
      </w:r>
    </w:p>
    <w:p w14:paraId="311D918D" w14:textId="2C4FF52A" w:rsidR="00C50585" w:rsidRPr="00EE038F" w:rsidRDefault="00C45A19" w:rsidP="004D6B09">
      <w:pPr>
        <w:pStyle w:val="TEKSTIIIIII"/>
        <w:rPr>
          <w:rFonts w:eastAsia="Times New Roman"/>
        </w:rPr>
      </w:pPr>
      <w:r w:rsidRPr="00EE038F">
        <w:rPr>
          <w:rFonts w:eastAsia="Times New Roman"/>
        </w:rPr>
        <w:t xml:space="preserve">1. </w:t>
      </w:r>
      <w:r w:rsidR="00C50585" w:rsidRPr="00EE038F">
        <w:rPr>
          <w:rFonts w:eastAsia="Times New Roman"/>
        </w:rPr>
        <w:t xml:space="preserve">Modernizimi i </w:t>
      </w:r>
      <w:r w:rsidR="00550743" w:rsidRPr="00EE038F">
        <w:rPr>
          <w:rFonts w:eastAsia="Times New Roman"/>
        </w:rPr>
        <w:t>proceseve</w:t>
      </w:r>
      <w:r w:rsidR="00C50585" w:rsidRPr="00EE038F">
        <w:rPr>
          <w:rFonts w:eastAsia="Times New Roman"/>
        </w:rPr>
        <w:t xml:space="preserve"> të biznesit, duke përfshirë centralizimin e funksionit të profilizimit të rrezikut;</w:t>
      </w:r>
    </w:p>
    <w:p w14:paraId="566596AD" w14:textId="77777777" w:rsidR="00C50585" w:rsidRPr="00EE038F" w:rsidRDefault="00C45A19" w:rsidP="004D6B09">
      <w:pPr>
        <w:pStyle w:val="TEKSTIIIIII"/>
        <w:rPr>
          <w:rFonts w:eastAsia="Times New Roman"/>
        </w:rPr>
      </w:pPr>
      <w:r w:rsidRPr="00EE038F">
        <w:rPr>
          <w:rFonts w:eastAsia="Times New Roman"/>
        </w:rPr>
        <w:t xml:space="preserve">2. </w:t>
      </w:r>
      <w:r w:rsidR="00C50585" w:rsidRPr="00EE038F">
        <w:rPr>
          <w:rFonts w:eastAsia="Times New Roman"/>
        </w:rPr>
        <w:t>Zhvillimi i aftësive të zgjeruara analitike të të dhënave;</w:t>
      </w:r>
    </w:p>
    <w:p w14:paraId="12525D7E" w14:textId="76FFB443" w:rsidR="00C50585" w:rsidRPr="00EE038F" w:rsidRDefault="00C45A19" w:rsidP="004D6B09">
      <w:pPr>
        <w:pStyle w:val="TEKSTIIIIII"/>
        <w:rPr>
          <w:rFonts w:eastAsia="Times New Roman"/>
        </w:rPr>
      </w:pPr>
      <w:r w:rsidRPr="00EE038F">
        <w:rPr>
          <w:rFonts w:eastAsia="Times New Roman"/>
        </w:rPr>
        <w:t xml:space="preserve">3. </w:t>
      </w:r>
      <w:r w:rsidR="00C50585" w:rsidRPr="00EE038F">
        <w:rPr>
          <w:rFonts w:eastAsia="Times New Roman"/>
        </w:rPr>
        <w:t xml:space="preserve">Rritja e investimeve në zhvillimin e sistemeve të </w:t>
      </w:r>
      <w:r w:rsidR="00550743" w:rsidRPr="00EE038F">
        <w:rPr>
          <w:rFonts w:eastAsia="Times New Roman"/>
        </w:rPr>
        <w:t>teknologjisë së informacionit;</w:t>
      </w:r>
    </w:p>
    <w:p w14:paraId="7CD95ACD" w14:textId="5CD34836" w:rsidR="00C50585" w:rsidRPr="00EE038F" w:rsidRDefault="00C45A19" w:rsidP="004D6B09">
      <w:pPr>
        <w:pStyle w:val="TEKSTIIIIII"/>
        <w:rPr>
          <w:rFonts w:eastAsia="Times New Roman"/>
        </w:rPr>
      </w:pPr>
      <w:r w:rsidRPr="00EE038F">
        <w:rPr>
          <w:rFonts w:eastAsia="Times New Roman"/>
        </w:rPr>
        <w:t xml:space="preserve">4. </w:t>
      </w:r>
      <w:r w:rsidR="00C50585" w:rsidRPr="00EE038F">
        <w:rPr>
          <w:rFonts w:eastAsia="Times New Roman"/>
        </w:rPr>
        <w:t>Zhvillimi dhe zbatimi plotësisht i një kornizë integriteti për të ndihmuar në ndërtimin e besimit të komunitetit</w:t>
      </w:r>
      <w:r w:rsidR="00550743" w:rsidRPr="00EE038F">
        <w:rPr>
          <w:rFonts w:eastAsia="Times New Roman"/>
        </w:rPr>
        <w:t>;</w:t>
      </w:r>
    </w:p>
    <w:p w14:paraId="397D54DF" w14:textId="77777777" w:rsidR="00C50585" w:rsidRPr="00EE038F" w:rsidRDefault="00C45A19" w:rsidP="004D6B09">
      <w:pPr>
        <w:pStyle w:val="TEKSTIIIIII"/>
        <w:rPr>
          <w:rFonts w:eastAsia="Times New Roman"/>
        </w:rPr>
      </w:pPr>
      <w:r w:rsidRPr="00EE038F">
        <w:rPr>
          <w:rFonts w:eastAsia="Times New Roman"/>
        </w:rPr>
        <w:t xml:space="preserve">5. </w:t>
      </w:r>
      <w:r w:rsidR="00C50585" w:rsidRPr="00EE038F">
        <w:rPr>
          <w:rFonts w:eastAsia="Times New Roman"/>
        </w:rPr>
        <w:t>Rritja e numrit të operatorëve ekonomikë të autorizuar;</w:t>
      </w:r>
    </w:p>
    <w:p w14:paraId="182DC628" w14:textId="77777777" w:rsidR="00C50585" w:rsidRPr="00EE038F" w:rsidRDefault="00C45A19" w:rsidP="004D6B09">
      <w:pPr>
        <w:pStyle w:val="TEKSTIIIIII"/>
        <w:rPr>
          <w:rFonts w:eastAsia="Times New Roman"/>
          <w:i/>
          <w:iCs/>
        </w:rPr>
      </w:pPr>
      <w:r w:rsidRPr="00EE038F">
        <w:rPr>
          <w:rFonts w:eastAsia="Times New Roman"/>
        </w:rPr>
        <w:t xml:space="preserve">6. </w:t>
      </w:r>
      <w:r w:rsidR="00C50585" w:rsidRPr="00EE038F">
        <w:rPr>
          <w:rFonts w:eastAsia="Times New Roman"/>
        </w:rPr>
        <w:t xml:space="preserve">Zbatimi i Dritares së Vetme Kombëtare </w:t>
      </w:r>
      <w:r w:rsidR="00C50585" w:rsidRPr="00EE038F">
        <w:rPr>
          <w:rFonts w:eastAsia="Times New Roman"/>
          <w:i/>
          <w:iCs/>
        </w:rPr>
        <w:t>(National Single Window);</w:t>
      </w:r>
    </w:p>
    <w:p w14:paraId="2F17A986" w14:textId="77777777" w:rsidR="00C50585" w:rsidRPr="00EE038F" w:rsidRDefault="00C45A19" w:rsidP="004D6B09">
      <w:pPr>
        <w:pStyle w:val="TEKSTIIIIII"/>
        <w:rPr>
          <w:rFonts w:eastAsia="Times New Roman"/>
        </w:rPr>
      </w:pPr>
      <w:r w:rsidRPr="00EE038F">
        <w:rPr>
          <w:rFonts w:eastAsia="Times New Roman"/>
        </w:rPr>
        <w:t xml:space="preserve">7. </w:t>
      </w:r>
      <w:r w:rsidR="00C50585" w:rsidRPr="00EE038F">
        <w:rPr>
          <w:rFonts w:eastAsia="Times New Roman"/>
        </w:rPr>
        <w:t>Përmirësimi i përdorimit të Sistemit të Ri të Kompjuterizuar të Transitit (SRKT);</w:t>
      </w:r>
    </w:p>
    <w:p w14:paraId="39CF4DFA" w14:textId="77777777" w:rsidR="00C50585" w:rsidRPr="00EE038F" w:rsidRDefault="00C45A19" w:rsidP="004D6B09">
      <w:pPr>
        <w:pStyle w:val="TEKSTIIIIII"/>
        <w:rPr>
          <w:rFonts w:eastAsia="Times New Roman"/>
        </w:rPr>
      </w:pPr>
      <w:r w:rsidRPr="00EE038F">
        <w:rPr>
          <w:rFonts w:eastAsia="Times New Roman"/>
        </w:rPr>
        <w:t xml:space="preserve">8. </w:t>
      </w:r>
      <w:r w:rsidR="00C50585" w:rsidRPr="00EE038F">
        <w:rPr>
          <w:rFonts w:eastAsia="Times New Roman"/>
        </w:rPr>
        <w:t>Rritja e bashkëpunimit në luftën kundër informalitetit, kontrabandës, korrupsionit dhe importit të mallrave të falsifikuara;</w:t>
      </w:r>
    </w:p>
    <w:p w14:paraId="60EF308F" w14:textId="10D8B0F3" w:rsidR="00C50585" w:rsidRPr="00EE038F" w:rsidRDefault="00C45A19" w:rsidP="004D6B09">
      <w:pPr>
        <w:pStyle w:val="TEKSTIIIIII"/>
        <w:rPr>
          <w:rFonts w:eastAsia="Times New Roman"/>
        </w:rPr>
      </w:pPr>
      <w:r w:rsidRPr="00EE038F">
        <w:rPr>
          <w:rFonts w:eastAsia="Times New Roman"/>
        </w:rPr>
        <w:t xml:space="preserve">9. </w:t>
      </w:r>
      <w:r w:rsidR="00C50585" w:rsidRPr="00EE038F">
        <w:rPr>
          <w:rFonts w:eastAsia="Times New Roman"/>
        </w:rPr>
        <w:t xml:space="preserve">Zgjerimi i shkëmbimit të informacionit me partnerët </w:t>
      </w:r>
      <w:r w:rsidR="007F728D" w:rsidRPr="00EE038F">
        <w:rPr>
          <w:rFonts w:eastAsia="Times New Roman"/>
        </w:rPr>
        <w:t>vendës</w:t>
      </w:r>
      <w:r w:rsidR="00C50585" w:rsidRPr="00EE038F">
        <w:rPr>
          <w:rFonts w:eastAsia="Times New Roman"/>
        </w:rPr>
        <w:t xml:space="preserve"> dhe ndërkombëtarë për të përmirësuar profilin e rrezikut.</w:t>
      </w:r>
      <w:r w:rsidR="00AD3D9C" w:rsidRPr="00EE038F">
        <w:rPr>
          <w:rFonts w:eastAsia="Times New Roman"/>
        </w:rPr>
        <w:t xml:space="preserve"> </w:t>
      </w:r>
    </w:p>
    <w:p w14:paraId="5326B564" w14:textId="4437D236" w:rsidR="00C50585" w:rsidRPr="00EE038F" w:rsidRDefault="00C50585" w:rsidP="00C45A19">
      <w:pPr>
        <w:pStyle w:val="TEKSTIIIIII"/>
        <w:rPr>
          <w:rFonts w:eastAsia="Times New Roman"/>
        </w:rPr>
      </w:pPr>
      <w:r w:rsidRPr="00EE038F">
        <w:rPr>
          <w:rFonts w:eastAsia="Times New Roman"/>
        </w:rPr>
        <w:t>Të ardhurat e pritura nga strategjia për periudhë afatmesme</w:t>
      </w:r>
      <w:r w:rsidR="00AD3D9C" w:rsidRPr="00EE038F">
        <w:rPr>
          <w:rFonts w:eastAsia="Times New Roman"/>
        </w:rPr>
        <w:t xml:space="preserve"> </w:t>
      </w:r>
      <w:r w:rsidRPr="00EE038F">
        <w:rPr>
          <w:rFonts w:eastAsia="Times New Roman"/>
        </w:rPr>
        <w:t>janë në tabelën më poshtë:</w:t>
      </w:r>
    </w:p>
    <w:p w14:paraId="2C883A1C" w14:textId="77777777" w:rsidR="00D916F1" w:rsidRPr="00EE038F" w:rsidRDefault="00D916F1" w:rsidP="00C45A19">
      <w:pPr>
        <w:pStyle w:val="TEKSTIIIIII"/>
        <w:rPr>
          <w:rFonts w:eastAsia="Times New Roman"/>
        </w:rPr>
      </w:pPr>
    </w:p>
    <w:tbl>
      <w:tblPr>
        <w:tblStyle w:val="TableGridLight"/>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8"/>
        <w:gridCol w:w="1122"/>
        <w:gridCol w:w="1122"/>
        <w:gridCol w:w="1122"/>
        <w:gridCol w:w="828"/>
        <w:gridCol w:w="1548"/>
      </w:tblGrid>
      <w:tr w:rsidR="00C50585" w:rsidRPr="00EE038F" w14:paraId="3F789C0F" w14:textId="77777777" w:rsidTr="0001031D">
        <w:trPr>
          <w:trHeight w:val="201"/>
          <w:jc w:val="center"/>
        </w:trPr>
        <w:tc>
          <w:tcPr>
            <w:tcW w:w="5000" w:type="pct"/>
            <w:gridSpan w:val="6"/>
            <w:hideMark/>
          </w:tcPr>
          <w:p w14:paraId="0F099632" w14:textId="77777777" w:rsidR="00C50585" w:rsidRPr="00EE038F" w:rsidRDefault="00C50585" w:rsidP="00C45A19">
            <w:pPr>
              <w:pStyle w:val="NoSpacing"/>
              <w:jc w:val="both"/>
              <w:rPr>
                <w:rFonts w:ascii="Garamond" w:hAnsi="Garamond"/>
                <w:i/>
                <w:sz w:val="20"/>
                <w:szCs w:val="24"/>
                <w:lang w:val="sq-AL"/>
              </w:rPr>
            </w:pPr>
            <w:r w:rsidRPr="00EE038F">
              <w:rPr>
                <w:rFonts w:ascii="Garamond" w:eastAsia="Times New Roman" w:hAnsi="Garamond"/>
                <w:i/>
                <w:iCs/>
                <w:color w:val="000000"/>
                <w:sz w:val="20"/>
                <w:szCs w:val="24"/>
                <w:lang w:val="sq-AL"/>
              </w:rPr>
              <w:t>në milionë lekë</w:t>
            </w:r>
          </w:p>
          <w:p w14:paraId="7DD3BFF9" w14:textId="77777777" w:rsidR="00C50585" w:rsidRPr="00EE038F" w:rsidRDefault="00C50585" w:rsidP="00C45A19">
            <w:pPr>
              <w:jc w:val="both"/>
              <w:rPr>
                <w:rFonts w:ascii="Garamond" w:eastAsia="Times New Roman" w:hAnsi="Garamond"/>
                <w:sz w:val="20"/>
                <w:lang w:val="sq-AL"/>
              </w:rPr>
            </w:pPr>
          </w:p>
        </w:tc>
      </w:tr>
      <w:tr w:rsidR="00C50585" w:rsidRPr="00EE038F" w14:paraId="299D6EEA" w14:textId="77777777" w:rsidTr="0001031D">
        <w:trPr>
          <w:trHeight w:val="375"/>
          <w:jc w:val="center"/>
        </w:trPr>
        <w:tc>
          <w:tcPr>
            <w:tcW w:w="1817" w:type="pct"/>
            <w:vAlign w:val="center"/>
            <w:hideMark/>
          </w:tcPr>
          <w:p w14:paraId="1107B4CF" w14:textId="65BC7C0E" w:rsidR="00C50585" w:rsidRPr="00EE038F" w:rsidRDefault="00C50585" w:rsidP="00D916F1">
            <w:pPr>
              <w:jc w:val="center"/>
              <w:rPr>
                <w:rFonts w:ascii="Garamond" w:eastAsia="Times New Roman" w:hAnsi="Garamond"/>
                <w:b/>
                <w:bCs/>
                <w:color w:val="000000"/>
                <w:sz w:val="20"/>
                <w:lang w:val="sq-AL"/>
              </w:rPr>
            </w:pPr>
            <w:r w:rsidRPr="00EE038F">
              <w:rPr>
                <w:rFonts w:ascii="Garamond" w:eastAsia="Times New Roman" w:hAnsi="Garamond"/>
                <w:b/>
                <w:bCs/>
                <w:color w:val="000000"/>
                <w:sz w:val="20"/>
                <w:lang w:val="sq-AL"/>
              </w:rPr>
              <w:t xml:space="preserve">Shtyllat e </w:t>
            </w:r>
            <w:r w:rsidR="00695C3E" w:rsidRPr="00EE038F">
              <w:rPr>
                <w:rFonts w:ascii="Garamond" w:eastAsia="Times New Roman" w:hAnsi="Garamond"/>
                <w:b/>
                <w:bCs/>
                <w:color w:val="000000"/>
                <w:sz w:val="20"/>
                <w:lang w:val="sq-AL"/>
              </w:rPr>
              <w:t>strategjisë</w:t>
            </w:r>
          </w:p>
        </w:tc>
        <w:tc>
          <w:tcPr>
            <w:tcW w:w="622" w:type="pct"/>
            <w:vAlign w:val="center"/>
            <w:hideMark/>
          </w:tcPr>
          <w:p w14:paraId="6FB01601" w14:textId="77777777" w:rsidR="00C50585" w:rsidRPr="00EE038F" w:rsidRDefault="00C50585" w:rsidP="00D916F1">
            <w:pPr>
              <w:jc w:val="center"/>
              <w:rPr>
                <w:rFonts w:ascii="Garamond" w:eastAsia="Times New Roman" w:hAnsi="Garamond"/>
                <w:b/>
                <w:bCs/>
                <w:color w:val="000000"/>
                <w:sz w:val="20"/>
                <w:lang w:val="sq-AL"/>
              </w:rPr>
            </w:pPr>
            <w:r w:rsidRPr="00EE038F">
              <w:rPr>
                <w:rFonts w:ascii="Garamond" w:eastAsia="Times New Roman" w:hAnsi="Garamond"/>
                <w:b/>
                <w:bCs/>
                <w:color w:val="000000"/>
                <w:sz w:val="20"/>
                <w:lang w:val="sq-AL"/>
              </w:rPr>
              <w:t>2024</w:t>
            </w:r>
          </w:p>
        </w:tc>
        <w:tc>
          <w:tcPr>
            <w:tcW w:w="622" w:type="pct"/>
            <w:vAlign w:val="center"/>
            <w:hideMark/>
          </w:tcPr>
          <w:p w14:paraId="51491607" w14:textId="77777777" w:rsidR="00C50585" w:rsidRPr="00EE038F" w:rsidRDefault="00C50585" w:rsidP="00D916F1">
            <w:pPr>
              <w:jc w:val="center"/>
              <w:rPr>
                <w:rFonts w:ascii="Garamond" w:eastAsia="Times New Roman" w:hAnsi="Garamond"/>
                <w:b/>
                <w:bCs/>
                <w:color w:val="000000"/>
                <w:sz w:val="20"/>
                <w:lang w:val="sq-AL"/>
              </w:rPr>
            </w:pPr>
            <w:r w:rsidRPr="00EE038F">
              <w:rPr>
                <w:rFonts w:ascii="Garamond" w:eastAsia="Times New Roman" w:hAnsi="Garamond"/>
                <w:b/>
                <w:bCs/>
                <w:color w:val="000000"/>
                <w:sz w:val="20"/>
                <w:lang w:val="sq-AL"/>
              </w:rPr>
              <w:t>2025</w:t>
            </w:r>
          </w:p>
        </w:tc>
        <w:tc>
          <w:tcPr>
            <w:tcW w:w="622" w:type="pct"/>
            <w:vAlign w:val="center"/>
            <w:hideMark/>
          </w:tcPr>
          <w:p w14:paraId="7BDEF982" w14:textId="77777777" w:rsidR="00C50585" w:rsidRPr="00EE038F" w:rsidRDefault="00C50585" w:rsidP="00D916F1">
            <w:pPr>
              <w:jc w:val="center"/>
              <w:rPr>
                <w:rFonts w:ascii="Garamond" w:eastAsia="Times New Roman" w:hAnsi="Garamond"/>
                <w:b/>
                <w:bCs/>
                <w:color w:val="000000"/>
                <w:sz w:val="20"/>
                <w:lang w:val="sq-AL"/>
              </w:rPr>
            </w:pPr>
            <w:r w:rsidRPr="00EE038F">
              <w:rPr>
                <w:rFonts w:ascii="Garamond" w:eastAsia="Times New Roman" w:hAnsi="Garamond"/>
                <w:b/>
                <w:bCs/>
                <w:color w:val="000000"/>
                <w:sz w:val="20"/>
                <w:lang w:val="sq-AL"/>
              </w:rPr>
              <w:t>2026</w:t>
            </w:r>
          </w:p>
        </w:tc>
        <w:tc>
          <w:tcPr>
            <w:tcW w:w="459" w:type="pct"/>
            <w:vAlign w:val="center"/>
            <w:hideMark/>
          </w:tcPr>
          <w:p w14:paraId="3416F0CE" w14:textId="77777777" w:rsidR="00C50585" w:rsidRPr="00EE038F" w:rsidRDefault="00C50585" w:rsidP="00D916F1">
            <w:pPr>
              <w:jc w:val="center"/>
              <w:rPr>
                <w:rFonts w:ascii="Garamond" w:eastAsia="Times New Roman" w:hAnsi="Garamond"/>
                <w:b/>
                <w:bCs/>
                <w:color w:val="000000"/>
                <w:sz w:val="20"/>
                <w:lang w:val="sq-AL"/>
              </w:rPr>
            </w:pPr>
            <w:r w:rsidRPr="00EE038F">
              <w:rPr>
                <w:rFonts w:ascii="Garamond" w:eastAsia="Times New Roman" w:hAnsi="Garamond"/>
                <w:b/>
                <w:bCs/>
                <w:color w:val="000000"/>
                <w:sz w:val="20"/>
                <w:lang w:val="sq-AL"/>
              </w:rPr>
              <w:t>2027</w:t>
            </w:r>
          </w:p>
        </w:tc>
        <w:tc>
          <w:tcPr>
            <w:tcW w:w="857" w:type="pct"/>
            <w:vAlign w:val="center"/>
            <w:hideMark/>
          </w:tcPr>
          <w:p w14:paraId="6F20DCFC" w14:textId="77777777" w:rsidR="00C50585" w:rsidRPr="00EE038F" w:rsidRDefault="00C50585" w:rsidP="00D916F1">
            <w:pPr>
              <w:jc w:val="center"/>
              <w:rPr>
                <w:rFonts w:ascii="Garamond" w:eastAsia="Times New Roman" w:hAnsi="Garamond"/>
                <w:b/>
                <w:bCs/>
                <w:color w:val="000000"/>
                <w:sz w:val="20"/>
                <w:lang w:val="sq-AL"/>
              </w:rPr>
            </w:pPr>
            <w:r w:rsidRPr="00EE038F">
              <w:rPr>
                <w:rFonts w:ascii="Garamond" w:eastAsia="Times New Roman" w:hAnsi="Garamond"/>
                <w:b/>
                <w:bCs/>
                <w:color w:val="000000"/>
                <w:sz w:val="20"/>
                <w:lang w:val="sq-AL"/>
              </w:rPr>
              <w:t>Totali</w:t>
            </w:r>
          </w:p>
          <w:p w14:paraId="5ACA9AB1" w14:textId="33F197E6" w:rsidR="00C50585" w:rsidRPr="00EE038F" w:rsidRDefault="00C50585" w:rsidP="00D916F1">
            <w:pPr>
              <w:jc w:val="center"/>
              <w:rPr>
                <w:rFonts w:ascii="Garamond" w:eastAsia="Times New Roman" w:hAnsi="Garamond"/>
                <w:b/>
                <w:bCs/>
                <w:color w:val="000000"/>
                <w:sz w:val="20"/>
                <w:lang w:val="sq-AL"/>
              </w:rPr>
            </w:pPr>
            <w:r w:rsidRPr="00EE038F">
              <w:rPr>
                <w:rFonts w:ascii="Garamond" w:eastAsia="Times New Roman" w:hAnsi="Garamond"/>
                <w:b/>
                <w:bCs/>
                <w:color w:val="000000"/>
                <w:sz w:val="20"/>
                <w:lang w:val="sq-AL"/>
              </w:rPr>
              <w:t>2024</w:t>
            </w:r>
            <w:r w:rsidR="00D916F1" w:rsidRPr="00EE038F">
              <w:rPr>
                <w:rFonts w:ascii="Garamond" w:eastAsia="Times New Roman" w:hAnsi="Garamond"/>
                <w:b/>
                <w:bCs/>
                <w:color w:val="000000"/>
                <w:sz w:val="20"/>
                <w:lang w:val="sq-AL"/>
              </w:rPr>
              <w:t>–</w:t>
            </w:r>
            <w:r w:rsidRPr="00EE038F">
              <w:rPr>
                <w:rFonts w:ascii="Garamond" w:eastAsia="Times New Roman" w:hAnsi="Garamond"/>
                <w:b/>
                <w:bCs/>
                <w:color w:val="000000"/>
                <w:sz w:val="20"/>
                <w:lang w:val="sq-AL"/>
              </w:rPr>
              <w:t>2027</w:t>
            </w:r>
          </w:p>
        </w:tc>
      </w:tr>
      <w:tr w:rsidR="00C50585" w:rsidRPr="00EE038F" w14:paraId="3DB468E8" w14:textId="77777777" w:rsidTr="0001031D">
        <w:trPr>
          <w:trHeight w:val="220"/>
          <w:jc w:val="center"/>
        </w:trPr>
        <w:tc>
          <w:tcPr>
            <w:tcW w:w="1817" w:type="pct"/>
            <w:hideMark/>
          </w:tcPr>
          <w:p w14:paraId="17B4CF17" w14:textId="77777777" w:rsidR="00C50585" w:rsidRPr="00EE038F" w:rsidRDefault="00C50585" w:rsidP="00C45A19">
            <w:pPr>
              <w:jc w:val="both"/>
              <w:rPr>
                <w:rFonts w:ascii="Garamond" w:eastAsia="Times New Roman" w:hAnsi="Garamond"/>
                <w:b/>
                <w:bCs/>
                <w:color w:val="000000"/>
                <w:sz w:val="20"/>
                <w:lang w:val="sq-AL"/>
              </w:rPr>
            </w:pPr>
            <w:r w:rsidRPr="00EE038F">
              <w:rPr>
                <w:rFonts w:ascii="Garamond" w:eastAsia="Times New Roman" w:hAnsi="Garamond"/>
                <w:b/>
                <w:bCs/>
                <w:color w:val="000000"/>
                <w:sz w:val="20"/>
                <w:lang w:val="sq-AL"/>
              </w:rPr>
              <w:t>Shtylla 1:</w:t>
            </w:r>
            <w:r w:rsidRPr="00EE038F">
              <w:rPr>
                <w:rFonts w:ascii="Garamond" w:hAnsi="Garamond"/>
                <w:sz w:val="20"/>
                <w:lang w:val="sq-AL"/>
              </w:rPr>
              <w:t xml:space="preserve"> Rishikimi i politikës tatimore</w:t>
            </w:r>
          </w:p>
        </w:tc>
        <w:tc>
          <w:tcPr>
            <w:tcW w:w="622" w:type="pct"/>
            <w:hideMark/>
          </w:tcPr>
          <w:p w14:paraId="0E797528" w14:textId="77777777" w:rsidR="00C50585" w:rsidRPr="00EE038F" w:rsidRDefault="00C50585" w:rsidP="00D916F1">
            <w:pPr>
              <w:jc w:val="right"/>
              <w:rPr>
                <w:rFonts w:ascii="Garamond" w:eastAsia="Times New Roman" w:hAnsi="Garamond"/>
                <w:color w:val="000000"/>
                <w:sz w:val="20"/>
                <w:lang w:val="sq-AL"/>
              </w:rPr>
            </w:pPr>
            <w:r w:rsidRPr="00EE038F">
              <w:rPr>
                <w:rFonts w:ascii="Garamond" w:hAnsi="Garamond"/>
                <w:color w:val="000000"/>
                <w:sz w:val="20"/>
                <w:lang w:val="sq-AL"/>
              </w:rPr>
              <w:t>1,010</w:t>
            </w:r>
          </w:p>
        </w:tc>
        <w:tc>
          <w:tcPr>
            <w:tcW w:w="622" w:type="pct"/>
            <w:hideMark/>
          </w:tcPr>
          <w:p w14:paraId="6490442A" w14:textId="77777777" w:rsidR="00C50585" w:rsidRPr="00EE038F" w:rsidRDefault="00C50585" w:rsidP="00D916F1">
            <w:pPr>
              <w:jc w:val="right"/>
              <w:rPr>
                <w:rFonts w:ascii="Garamond" w:eastAsia="Times New Roman" w:hAnsi="Garamond"/>
                <w:color w:val="000000"/>
                <w:sz w:val="20"/>
                <w:lang w:val="sq-AL"/>
              </w:rPr>
            </w:pPr>
            <w:r w:rsidRPr="00EE038F">
              <w:rPr>
                <w:rFonts w:ascii="Garamond" w:hAnsi="Garamond"/>
                <w:color w:val="000000"/>
                <w:sz w:val="20"/>
                <w:lang w:val="sq-AL"/>
              </w:rPr>
              <w:t>800</w:t>
            </w:r>
          </w:p>
        </w:tc>
        <w:tc>
          <w:tcPr>
            <w:tcW w:w="622" w:type="pct"/>
            <w:hideMark/>
          </w:tcPr>
          <w:p w14:paraId="0D93E7C9" w14:textId="77777777" w:rsidR="00C50585" w:rsidRPr="00EE038F" w:rsidRDefault="00C50585" w:rsidP="00D916F1">
            <w:pPr>
              <w:jc w:val="right"/>
              <w:rPr>
                <w:rFonts w:ascii="Garamond" w:eastAsia="Times New Roman" w:hAnsi="Garamond"/>
                <w:color w:val="000000"/>
                <w:sz w:val="20"/>
                <w:lang w:val="sq-AL"/>
              </w:rPr>
            </w:pPr>
            <w:r w:rsidRPr="00EE038F">
              <w:rPr>
                <w:rFonts w:ascii="Garamond" w:hAnsi="Garamond"/>
                <w:color w:val="000000"/>
                <w:sz w:val="20"/>
                <w:lang w:val="sq-AL"/>
              </w:rPr>
              <w:t>1,000</w:t>
            </w:r>
          </w:p>
        </w:tc>
        <w:tc>
          <w:tcPr>
            <w:tcW w:w="459" w:type="pct"/>
            <w:hideMark/>
          </w:tcPr>
          <w:p w14:paraId="7E2FCC67" w14:textId="77777777" w:rsidR="00C50585" w:rsidRPr="00EE038F" w:rsidRDefault="00C50585" w:rsidP="00D916F1">
            <w:pPr>
              <w:jc w:val="right"/>
              <w:rPr>
                <w:rFonts w:ascii="Garamond" w:eastAsia="Times New Roman" w:hAnsi="Garamond"/>
                <w:color w:val="000000"/>
                <w:sz w:val="20"/>
                <w:lang w:val="sq-AL"/>
              </w:rPr>
            </w:pPr>
            <w:r w:rsidRPr="00EE038F">
              <w:rPr>
                <w:rFonts w:ascii="Garamond" w:hAnsi="Garamond"/>
                <w:color w:val="000000"/>
                <w:sz w:val="20"/>
                <w:lang w:val="sq-AL"/>
              </w:rPr>
              <w:t>6,473</w:t>
            </w:r>
          </w:p>
        </w:tc>
        <w:tc>
          <w:tcPr>
            <w:tcW w:w="857" w:type="pct"/>
            <w:hideMark/>
          </w:tcPr>
          <w:p w14:paraId="0AC18914" w14:textId="77777777" w:rsidR="00C50585" w:rsidRPr="00EE038F" w:rsidRDefault="00C50585" w:rsidP="00D916F1">
            <w:pPr>
              <w:jc w:val="right"/>
              <w:rPr>
                <w:rFonts w:ascii="Garamond" w:hAnsi="Garamond"/>
                <w:color w:val="000000"/>
                <w:sz w:val="20"/>
                <w:lang w:val="sq-AL"/>
              </w:rPr>
            </w:pPr>
            <w:r w:rsidRPr="00EE038F">
              <w:rPr>
                <w:rFonts w:ascii="Garamond" w:hAnsi="Garamond"/>
                <w:color w:val="000000"/>
                <w:sz w:val="20"/>
                <w:lang w:val="sq-AL"/>
              </w:rPr>
              <w:t>9,283</w:t>
            </w:r>
          </w:p>
        </w:tc>
      </w:tr>
      <w:tr w:rsidR="00C50585" w:rsidRPr="00EE038F" w14:paraId="5991E337" w14:textId="77777777" w:rsidTr="0001031D">
        <w:trPr>
          <w:trHeight w:val="201"/>
          <w:jc w:val="center"/>
        </w:trPr>
        <w:tc>
          <w:tcPr>
            <w:tcW w:w="1817" w:type="pct"/>
            <w:hideMark/>
          </w:tcPr>
          <w:p w14:paraId="4D295F4D" w14:textId="45ADC123" w:rsidR="00C50585" w:rsidRPr="00EE038F" w:rsidRDefault="00C50585" w:rsidP="00C45A19">
            <w:pPr>
              <w:jc w:val="both"/>
              <w:rPr>
                <w:rFonts w:ascii="Garamond" w:eastAsia="Times New Roman" w:hAnsi="Garamond"/>
                <w:b/>
                <w:bCs/>
                <w:color w:val="000000"/>
                <w:sz w:val="20"/>
                <w:lang w:val="sq-AL"/>
              </w:rPr>
            </w:pPr>
            <w:r w:rsidRPr="00EE038F">
              <w:rPr>
                <w:rFonts w:ascii="Garamond" w:eastAsia="Times New Roman" w:hAnsi="Garamond"/>
                <w:b/>
                <w:bCs/>
                <w:color w:val="000000"/>
                <w:sz w:val="20"/>
                <w:lang w:val="sq-AL"/>
              </w:rPr>
              <w:t>Shtylla 2:</w:t>
            </w:r>
            <w:r w:rsidRPr="00EE038F">
              <w:rPr>
                <w:rFonts w:ascii="Garamond" w:hAnsi="Garamond"/>
                <w:sz w:val="20"/>
                <w:lang w:val="sq-AL"/>
              </w:rPr>
              <w:t xml:space="preserve"> Miradministrimi tatimor</w:t>
            </w:r>
          </w:p>
        </w:tc>
        <w:tc>
          <w:tcPr>
            <w:tcW w:w="622" w:type="pct"/>
            <w:hideMark/>
          </w:tcPr>
          <w:p w14:paraId="4739F0B4" w14:textId="77777777" w:rsidR="00C50585" w:rsidRPr="00EE038F" w:rsidRDefault="00C50585" w:rsidP="00D916F1">
            <w:pPr>
              <w:jc w:val="right"/>
              <w:rPr>
                <w:rFonts w:ascii="Garamond" w:eastAsia="Times New Roman" w:hAnsi="Garamond"/>
                <w:color w:val="000000"/>
                <w:sz w:val="20"/>
                <w:lang w:val="sq-AL"/>
              </w:rPr>
            </w:pPr>
            <w:r w:rsidRPr="00EE038F">
              <w:rPr>
                <w:rFonts w:ascii="Garamond" w:hAnsi="Garamond"/>
                <w:color w:val="000000"/>
                <w:sz w:val="20"/>
                <w:lang w:val="sq-AL"/>
              </w:rPr>
              <w:t>16,577</w:t>
            </w:r>
          </w:p>
        </w:tc>
        <w:tc>
          <w:tcPr>
            <w:tcW w:w="622" w:type="pct"/>
            <w:hideMark/>
          </w:tcPr>
          <w:p w14:paraId="14D3FA2B" w14:textId="77777777" w:rsidR="00C50585" w:rsidRPr="00EE038F" w:rsidRDefault="00C50585" w:rsidP="00D916F1">
            <w:pPr>
              <w:jc w:val="right"/>
              <w:rPr>
                <w:rFonts w:ascii="Garamond" w:eastAsia="Times New Roman" w:hAnsi="Garamond"/>
                <w:color w:val="000000"/>
                <w:sz w:val="20"/>
                <w:lang w:val="sq-AL"/>
              </w:rPr>
            </w:pPr>
            <w:r w:rsidRPr="00EE038F">
              <w:rPr>
                <w:rFonts w:ascii="Garamond" w:hAnsi="Garamond"/>
                <w:color w:val="000000"/>
                <w:sz w:val="20"/>
                <w:lang w:val="sq-AL"/>
              </w:rPr>
              <w:t>13,755</w:t>
            </w:r>
          </w:p>
        </w:tc>
        <w:tc>
          <w:tcPr>
            <w:tcW w:w="622" w:type="pct"/>
            <w:hideMark/>
          </w:tcPr>
          <w:p w14:paraId="2330EFC2" w14:textId="77777777" w:rsidR="00C50585" w:rsidRPr="00EE038F" w:rsidRDefault="00C50585" w:rsidP="00D916F1">
            <w:pPr>
              <w:jc w:val="right"/>
              <w:rPr>
                <w:rFonts w:ascii="Garamond" w:eastAsia="Times New Roman" w:hAnsi="Garamond"/>
                <w:color w:val="000000"/>
                <w:sz w:val="20"/>
                <w:lang w:val="sq-AL"/>
              </w:rPr>
            </w:pPr>
            <w:r w:rsidRPr="00EE038F">
              <w:rPr>
                <w:rFonts w:ascii="Garamond" w:hAnsi="Garamond"/>
                <w:color w:val="000000"/>
                <w:sz w:val="20"/>
                <w:lang w:val="sq-AL"/>
              </w:rPr>
              <w:t>10,069</w:t>
            </w:r>
          </w:p>
        </w:tc>
        <w:tc>
          <w:tcPr>
            <w:tcW w:w="459" w:type="pct"/>
            <w:hideMark/>
          </w:tcPr>
          <w:p w14:paraId="276A986E" w14:textId="77777777" w:rsidR="00C50585" w:rsidRPr="00EE038F" w:rsidRDefault="00C50585" w:rsidP="00D916F1">
            <w:pPr>
              <w:jc w:val="right"/>
              <w:rPr>
                <w:rFonts w:ascii="Garamond" w:eastAsia="Times New Roman" w:hAnsi="Garamond"/>
                <w:color w:val="000000"/>
                <w:sz w:val="20"/>
                <w:lang w:val="sq-AL"/>
              </w:rPr>
            </w:pPr>
            <w:r w:rsidRPr="00EE038F">
              <w:rPr>
                <w:rFonts w:ascii="Garamond" w:hAnsi="Garamond"/>
                <w:color w:val="000000"/>
                <w:sz w:val="20"/>
                <w:lang w:val="sq-AL"/>
              </w:rPr>
              <w:t>10,665</w:t>
            </w:r>
          </w:p>
        </w:tc>
        <w:tc>
          <w:tcPr>
            <w:tcW w:w="857" w:type="pct"/>
            <w:hideMark/>
          </w:tcPr>
          <w:p w14:paraId="3F667B38" w14:textId="77777777" w:rsidR="00C50585" w:rsidRPr="00EE038F" w:rsidRDefault="00C50585" w:rsidP="00D916F1">
            <w:pPr>
              <w:jc w:val="right"/>
              <w:rPr>
                <w:rFonts w:ascii="Garamond" w:hAnsi="Garamond"/>
                <w:color w:val="000000"/>
                <w:sz w:val="20"/>
                <w:lang w:val="sq-AL"/>
              </w:rPr>
            </w:pPr>
            <w:r w:rsidRPr="00EE038F">
              <w:rPr>
                <w:rFonts w:ascii="Garamond" w:hAnsi="Garamond"/>
                <w:color w:val="000000"/>
                <w:sz w:val="20"/>
                <w:lang w:val="sq-AL"/>
              </w:rPr>
              <w:t>51,067</w:t>
            </w:r>
          </w:p>
        </w:tc>
      </w:tr>
      <w:tr w:rsidR="00C50585" w:rsidRPr="00EE038F" w14:paraId="5DC19CC4" w14:textId="77777777" w:rsidTr="0001031D">
        <w:trPr>
          <w:trHeight w:val="201"/>
          <w:jc w:val="center"/>
        </w:trPr>
        <w:tc>
          <w:tcPr>
            <w:tcW w:w="1817" w:type="pct"/>
            <w:hideMark/>
          </w:tcPr>
          <w:p w14:paraId="4CC6A6F2" w14:textId="35D729B7" w:rsidR="00C50585" w:rsidRPr="00EE038F" w:rsidRDefault="00C50585" w:rsidP="00C45A19">
            <w:pPr>
              <w:jc w:val="both"/>
              <w:rPr>
                <w:rFonts w:ascii="Garamond" w:eastAsia="Times New Roman" w:hAnsi="Garamond"/>
                <w:b/>
                <w:bCs/>
                <w:color w:val="000000"/>
                <w:sz w:val="20"/>
                <w:lang w:val="sq-AL"/>
              </w:rPr>
            </w:pPr>
            <w:r w:rsidRPr="00EE038F">
              <w:rPr>
                <w:rFonts w:ascii="Garamond" w:eastAsia="Times New Roman" w:hAnsi="Garamond"/>
                <w:b/>
                <w:bCs/>
                <w:color w:val="000000"/>
                <w:sz w:val="20"/>
                <w:lang w:val="sq-AL"/>
              </w:rPr>
              <w:t>Shtylla 3:</w:t>
            </w:r>
            <w:r w:rsidRPr="00EE038F">
              <w:rPr>
                <w:rFonts w:ascii="Garamond" w:hAnsi="Garamond"/>
                <w:sz w:val="20"/>
                <w:lang w:val="sq-AL"/>
              </w:rPr>
              <w:t xml:space="preserve"> Miradministrimi doganor</w:t>
            </w:r>
          </w:p>
        </w:tc>
        <w:tc>
          <w:tcPr>
            <w:tcW w:w="622" w:type="pct"/>
            <w:hideMark/>
          </w:tcPr>
          <w:p w14:paraId="7BFF7651" w14:textId="77777777" w:rsidR="00C50585" w:rsidRPr="00EE038F" w:rsidRDefault="00C50585" w:rsidP="00D916F1">
            <w:pPr>
              <w:jc w:val="right"/>
              <w:rPr>
                <w:rFonts w:ascii="Garamond" w:eastAsia="Times New Roman" w:hAnsi="Garamond"/>
                <w:color w:val="000000"/>
                <w:sz w:val="20"/>
                <w:lang w:val="sq-AL"/>
              </w:rPr>
            </w:pPr>
            <w:r w:rsidRPr="00EE038F">
              <w:rPr>
                <w:rFonts w:ascii="Garamond" w:hAnsi="Garamond"/>
                <w:color w:val="000000"/>
                <w:sz w:val="20"/>
                <w:lang w:val="sq-AL"/>
              </w:rPr>
              <w:t>1,265</w:t>
            </w:r>
          </w:p>
        </w:tc>
        <w:tc>
          <w:tcPr>
            <w:tcW w:w="622" w:type="pct"/>
            <w:hideMark/>
          </w:tcPr>
          <w:p w14:paraId="126AEA8E" w14:textId="77777777" w:rsidR="00C50585" w:rsidRPr="00EE038F" w:rsidRDefault="00C50585" w:rsidP="00D916F1">
            <w:pPr>
              <w:jc w:val="right"/>
              <w:rPr>
                <w:rFonts w:ascii="Garamond" w:eastAsia="Times New Roman" w:hAnsi="Garamond"/>
                <w:color w:val="000000"/>
                <w:sz w:val="20"/>
                <w:lang w:val="sq-AL"/>
              </w:rPr>
            </w:pPr>
            <w:r w:rsidRPr="00EE038F">
              <w:rPr>
                <w:rFonts w:ascii="Garamond" w:hAnsi="Garamond"/>
                <w:color w:val="000000"/>
                <w:sz w:val="20"/>
                <w:lang w:val="sq-AL"/>
              </w:rPr>
              <w:t>1,408</w:t>
            </w:r>
          </w:p>
        </w:tc>
        <w:tc>
          <w:tcPr>
            <w:tcW w:w="622" w:type="pct"/>
            <w:hideMark/>
          </w:tcPr>
          <w:p w14:paraId="2AB4F712" w14:textId="77777777" w:rsidR="00C50585" w:rsidRPr="00EE038F" w:rsidRDefault="00C50585" w:rsidP="00D916F1">
            <w:pPr>
              <w:jc w:val="right"/>
              <w:rPr>
                <w:rFonts w:ascii="Garamond" w:eastAsia="Times New Roman" w:hAnsi="Garamond"/>
                <w:color w:val="000000"/>
                <w:sz w:val="20"/>
                <w:lang w:val="sq-AL"/>
              </w:rPr>
            </w:pPr>
            <w:r w:rsidRPr="00EE038F">
              <w:rPr>
                <w:rFonts w:ascii="Garamond" w:hAnsi="Garamond"/>
                <w:color w:val="000000"/>
                <w:sz w:val="20"/>
                <w:lang w:val="sq-AL"/>
              </w:rPr>
              <w:t>1,171</w:t>
            </w:r>
          </w:p>
        </w:tc>
        <w:tc>
          <w:tcPr>
            <w:tcW w:w="459" w:type="pct"/>
            <w:hideMark/>
          </w:tcPr>
          <w:p w14:paraId="7B772AD4" w14:textId="77777777" w:rsidR="00C50585" w:rsidRPr="00EE038F" w:rsidRDefault="00C50585" w:rsidP="00D916F1">
            <w:pPr>
              <w:jc w:val="right"/>
              <w:rPr>
                <w:rFonts w:ascii="Garamond" w:eastAsia="Times New Roman" w:hAnsi="Garamond"/>
                <w:color w:val="000000"/>
                <w:sz w:val="20"/>
                <w:lang w:val="sq-AL"/>
              </w:rPr>
            </w:pPr>
            <w:r w:rsidRPr="00EE038F">
              <w:rPr>
                <w:rFonts w:ascii="Garamond" w:hAnsi="Garamond"/>
                <w:color w:val="000000"/>
                <w:sz w:val="20"/>
                <w:lang w:val="sq-AL"/>
              </w:rPr>
              <w:t>664</w:t>
            </w:r>
          </w:p>
        </w:tc>
        <w:tc>
          <w:tcPr>
            <w:tcW w:w="857" w:type="pct"/>
            <w:hideMark/>
          </w:tcPr>
          <w:p w14:paraId="25B2F72F" w14:textId="77777777" w:rsidR="00C50585" w:rsidRPr="00EE038F" w:rsidRDefault="00C50585" w:rsidP="00D916F1">
            <w:pPr>
              <w:jc w:val="right"/>
              <w:rPr>
                <w:rFonts w:ascii="Garamond" w:hAnsi="Garamond"/>
                <w:color w:val="000000"/>
                <w:sz w:val="20"/>
                <w:lang w:val="sq-AL"/>
              </w:rPr>
            </w:pPr>
            <w:r w:rsidRPr="00EE038F">
              <w:rPr>
                <w:rFonts w:ascii="Garamond" w:hAnsi="Garamond"/>
                <w:color w:val="000000"/>
                <w:sz w:val="20"/>
                <w:lang w:val="sq-AL"/>
              </w:rPr>
              <w:t>4,508</w:t>
            </w:r>
          </w:p>
        </w:tc>
      </w:tr>
      <w:tr w:rsidR="00C50585" w:rsidRPr="00EE038F" w14:paraId="699922D4" w14:textId="77777777" w:rsidTr="0001031D">
        <w:trPr>
          <w:trHeight w:val="154"/>
          <w:jc w:val="center"/>
        </w:trPr>
        <w:tc>
          <w:tcPr>
            <w:tcW w:w="1817" w:type="pct"/>
            <w:hideMark/>
          </w:tcPr>
          <w:p w14:paraId="67A7EB1C" w14:textId="77777777" w:rsidR="00C50585" w:rsidRPr="00EE038F" w:rsidRDefault="00C50585" w:rsidP="00C45A19">
            <w:pPr>
              <w:jc w:val="both"/>
              <w:rPr>
                <w:rFonts w:ascii="Garamond" w:eastAsia="Times New Roman" w:hAnsi="Garamond"/>
                <w:b/>
                <w:bCs/>
                <w:color w:val="000000"/>
                <w:sz w:val="20"/>
                <w:lang w:val="sq-AL"/>
              </w:rPr>
            </w:pPr>
            <w:r w:rsidRPr="00EE038F">
              <w:rPr>
                <w:rFonts w:ascii="Garamond" w:eastAsia="Times New Roman" w:hAnsi="Garamond"/>
                <w:b/>
                <w:bCs/>
                <w:color w:val="000000"/>
                <w:sz w:val="20"/>
                <w:lang w:val="sq-AL"/>
              </w:rPr>
              <w:t>Totali</w:t>
            </w:r>
          </w:p>
        </w:tc>
        <w:tc>
          <w:tcPr>
            <w:tcW w:w="622" w:type="pct"/>
            <w:hideMark/>
          </w:tcPr>
          <w:p w14:paraId="2FF37E32" w14:textId="77777777" w:rsidR="00C50585" w:rsidRPr="00EE038F" w:rsidRDefault="00C50585" w:rsidP="00D916F1">
            <w:pPr>
              <w:jc w:val="right"/>
              <w:rPr>
                <w:rFonts w:ascii="Garamond" w:eastAsia="Times New Roman" w:hAnsi="Garamond"/>
                <w:b/>
                <w:bCs/>
                <w:color w:val="000000"/>
                <w:sz w:val="20"/>
                <w:lang w:val="sq-AL"/>
              </w:rPr>
            </w:pPr>
            <w:r w:rsidRPr="00EE038F">
              <w:rPr>
                <w:rFonts w:ascii="Garamond" w:hAnsi="Garamond"/>
                <w:b/>
                <w:bCs/>
                <w:color w:val="000000"/>
                <w:sz w:val="20"/>
                <w:lang w:val="sq-AL"/>
              </w:rPr>
              <w:t>18,852</w:t>
            </w:r>
          </w:p>
        </w:tc>
        <w:tc>
          <w:tcPr>
            <w:tcW w:w="622" w:type="pct"/>
            <w:hideMark/>
          </w:tcPr>
          <w:p w14:paraId="2B3D02A8" w14:textId="77777777" w:rsidR="00C50585" w:rsidRPr="00EE038F" w:rsidRDefault="00C50585" w:rsidP="00D916F1">
            <w:pPr>
              <w:jc w:val="right"/>
              <w:rPr>
                <w:rFonts w:ascii="Garamond" w:eastAsia="Times New Roman" w:hAnsi="Garamond"/>
                <w:b/>
                <w:bCs/>
                <w:color w:val="000000"/>
                <w:sz w:val="20"/>
                <w:lang w:val="sq-AL"/>
              </w:rPr>
            </w:pPr>
            <w:r w:rsidRPr="00EE038F">
              <w:rPr>
                <w:rFonts w:ascii="Garamond" w:hAnsi="Garamond"/>
                <w:b/>
                <w:bCs/>
                <w:color w:val="000000"/>
                <w:sz w:val="20"/>
                <w:lang w:val="sq-AL"/>
              </w:rPr>
              <w:t>15,963</w:t>
            </w:r>
          </w:p>
        </w:tc>
        <w:tc>
          <w:tcPr>
            <w:tcW w:w="622" w:type="pct"/>
            <w:hideMark/>
          </w:tcPr>
          <w:p w14:paraId="5E9BAD3D" w14:textId="77777777" w:rsidR="00C50585" w:rsidRPr="00EE038F" w:rsidRDefault="00C50585" w:rsidP="00D916F1">
            <w:pPr>
              <w:jc w:val="right"/>
              <w:rPr>
                <w:rFonts w:ascii="Garamond" w:eastAsia="Times New Roman" w:hAnsi="Garamond"/>
                <w:b/>
                <w:bCs/>
                <w:color w:val="000000"/>
                <w:sz w:val="20"/>
                <w:lang w:val="sq-AL"/>
              </w:rPr>
            </w:pPr>
            <w:r w:rsidRPr="00EE038F">
              <w:rPr>
                <w:rFonts w:ascii="Garamond" w:hAnsi="Garamond"/>
                <w:b/>
                <w:bCs/>
                <w:color w:val="000000"/>
                <w:sz w:val="20"/>
                <w:lang w:val="sq-AL"/>
              </w:rPr>
              <w:t>12,240</w:t>
            </w:r>
          </w:p>
        </w:tc>
        <w:tc>
          <w:tcPr>
            <w:tcW w:w="459" w:type="pct"/>
            <w:hideMark/>
          </w:tcPr>
          <w:p w14:paraId="1551DE92" w14:textId="77777777" w:rsidR="00C50585" w:rsidRPr="00EE038F" w:rsidRDefault="00C50585" w:rsidP="00D916F1">
            <w:pPr>
              <w:jc w:val="right"/>
              <w:rPr>
                <w:rFonts w:ascii="Garamond" w:eastAsia="Times New Roman" w:hAnsi="Garamond"/>
                <w:b/>
                <w:bCs/>
                <w:color w:val="000000"/>
                <w:sz w:val="20"/>
                <w:lang w:val="sq-AL"/>
              </w:rPr>
            </w:pPr>
            <w:r w:rsidRPr="00EE038F">
              <w:rPr>
                <w:rFonts w:ascii="Garamond" w:hAnsi="Garamond"/>
                <w:b/>
                <w:bCs/>
                <w:color w:val="000000"/>
                <w:sz w:val="20"/>
                <w:lang w:val="sq-AL"/>
              </w:rPr>
              <w:t>17,802</w:t>
            </w:r>
          </w:p>
        </w:tc>
        <w:tc>
          <w:tcPr>
            <w:tcW w:w="857" w:type="pct"/>
            <w:hideMark/>
          </w:tcPr>
          <w:p w14:paraId="00D43F9D" w14:textId="77777777" w:rsidR="00C50585" w:rsidRPr="00EE038F" w:rsidRDefault="00C50585" w:rsidP="00D916F1">
            <w:pPr>
              <w:jc w:val="right"/>
              <w:rPr>
                <w:rFonts w:ascii="Garamond" w:hAnsi="Garamond"/>
                <w:b/>
                <w:bCs/>
                <w:color w:val="000000"/>
                <w:sz w:val="20"/>
                <w:lang w:val="sq-AL"/>
              </w:rPr>
            </w:pPr>
            <w:r w:rsidRPr="00EE038F">
              <w:rPr>
                <w:rFonts w:ascii="Garamond" w:hAnsi="Garamond"/>
                <w:b/>
                <w:bCs/>
                <w:color w:val="000000"/>
                <w:sz w:val="20"/>
                <w:lang w:val="sq-AL"/>
              </w:rPr>
              <w:t>64,858</w:t>
            </w:r>
          </w:p>
        </w:tc>
      </w:tr>
    </w:tbl>
    <w:p w14:paraId="32DA1315" w14:textId="77777777" w:rsidR="00C50585" w:rsidRPr="00EE038F" w:rsidRDefault="00C50585" w:rsidP="00C50585">
      <w:pPr>
        <w:shd w:val="clear" w:color="auto" w:fill="FFFFFF"/>
        <w:spacing w:after="0" w:line="240" w:lineRule="auto"/>
        <w:contextualSpacing/>
        <w:jc w:val="both"/>
        <w:rPr>
          <w:rFonts w:ascii="Garamond" w:eastAsia="Times New Roman" w:hAnsi="Garamond"/>
          <w:lang w:eastAsia="en-GB"/>
        </w:rPr>
      </w:pPr>
    </w:p>
    <w:p w14:paraId="731AD96D" w14:textId="6C910FFC" w:rsidR="00C50585" w:rsidRPr="00EE038F" w:rsidRDefault="00C50585" w:rsidP="00C45A19">
      <w:pPr>
        <w:pStyle w:val="TEKSTIIIIII"/>
        <w:rPr>
          <w:rFonts w:eastAsia="Times New Roman"/>
          <w:lang w:eastAsia="en-GB"/>
        </w:rPr>
      </w:pPr>
      <w:r w:rsidRPr="00EE038F">
        <w:rPr>
          <w:rFonts w:eastAsia="Times New Roman"/>
          <w:lang w:eastAsia="en-GB"/>
        </w:rPr>
        <w:t xml:space="preserve">Kjo strategji është në përputhje me </w:t>
      </w:r>
      <w:r w:rsidR="00695C3E">
        <w:rPr>
          <w:rFonts w:eastAsia="Times New Roman"/>
          <w:lang w:eastAsia="en-GB"/>
        </w:rPr>
        <w:t>“</w:t>
      </w:r>
      <w:r w:rsidRPr="00EE038F">
        <w:rPr>
          <w:rFonts w:eastAsia="Times New Roman"/>
          <w:lang w:eastAsia="en-GB"/>
        </w:rPr>
        <w:t xml:space="preserve">Strategjinë </w:t>
      </w:r>
      <w:r w:rsidR="00695C3E" w:rsidRPr="00EE038F">
        <w:rPr>
          <w:rFonts w:eastAsia="Times New Roman"/>
          <w:lang w:eastAsia="en-GB"/>
        </w:rPr>
        <w:t>kombëtare për zhvillim dhe integrim evropia</w:t>
      </w:r>
      <w:r w:rsidRPr="00EE038F">
        <w:rPr>
          <w:rFonts w:eastAsia="Times New Roman"/>
          <w:lang w:eastAsia="en-GB"/>
        </w:rPr>
        <w:t>n (SKZHIE) 2023</w:t>
      </w:r>
      <w:r w:rsidR="00552C7B" w:rsidRPr="00EE038F">
        <w:rPr>
          <w:rFonts w:eastAsia="Times New Roman"/>
          <w:lang w:eastAsia="en-GB"/>
        </w:rPr>
        <w:t>–</w:t>
      </w:r>
      <w:r w:rsidRPr="00EE038F">
        <w:rPr>
          <w:rFonts w:eastAsia="Times New Roman"/>
          <w:lang w:eastAsia="en-GB"/>
        </w:rPr>
        <w:t>2030</w:t>
      </w:r>
      <w:r w:rsidR="00695C3E">
        <w:rPr>
          <w:rFonts w:eastAsia="Times New Roman"/>
          <w:lang w:eastAsia="en-GB"/>
        </w:rPr>
        <w:t>”</w:t>
      </w:r>
      <w:r w:rsidRPr="00EE038F">
        <w:rPr>
          <w:rFonts w:eastAsia="Times New Roman"/>
          <w:lang w:eastAsia="en-GB"/>
        </w:rPr>
        <w:t xml:space="preserve">, </w:t>
      </w:r>
      <w:r w:rsidR="00695C3E">
        <w:rPr>
          <w:rFonts w:eastAsia="Times New Roman"/>
          <w:lang w:eastAsia="en-GB"/>
        </w:rPr>
        <w:t>“</w:t>
      </w:r>
      <w:r w:rsidRPr="00EE038F">
        <w:rPr>
          <w:rFonts w:eastAsia="Times New Roman"/>
          <w:lang w:eastAsia="en-GB"/>
        </w:rPr>
        <w:t xml:space="preserve">Kuadrin </w:t>
      </w:r>
      <w:r w:rsidR="00695C3E" w:rsidRPr="00EE038F">
        <w:rPr>
          <w:rFonts w:eastAsia="Times New Roman"/>
          <w:lang w:eastAsia="en-GB"/>
        </w:rPr>
        <w:t xml:space="preserve">makroekonomik dhe fiskal </w:t>
      </w:r>
      <w:r w:rsidR="00B41EC3" w:rsidRPr="00EE038F">
        <w:rPr>
          <w:rFonts w:eastAsia="Times New Roman"/>
          <w:lang w:eastAsia="en-GB"/>
        </w:rPr>
        <w:t>2025–2027</w:t>
      </w:r>
      <w:r w:rsidR="00695C3E">
        <w:rPr>
          <w:rFonts w:eastAsia="Times New Roman"/>
          <w:lang w:eastAsia="en-GB"/>
        </w:rPr>
        <w:t>”</w:t>
      </w:r>
      <w:r w:rsidRPr="00EE038F">
        <w:rPr>
          <w:rFonts w:eastAsia="Times New Roman"/>
          <w:lang w:eastAsia="en-GB"/>
        </w:rPr>
        <w:t xml:space="preserve">, </w:t>
      </w:r>
      <w:r w:rsidR="00695C3E">
        <w:rPr>
          <w:rFonts w:eastAsia="Times New Roman"/>
          <w:lang w:eastAsia="en-GB"/>
        </w:rPr>
        <w:t>“</w:t>
      </w:r>
      <w:r w:rsidRPr="00EE038F">
        <w:rPr>
          <w:rFonts w:eastAsia="Times New Roman"/>
          <w:lang w:eastAsia="en-GB"/>
        </w:rPr>
        <w:t xml:space="preserve">Strategjinë e </w:t>
      </w:r>
      <w:r w:rsidR="00695C3E" w:rsidRPr="00EE038F">
        <w:rPr>
          <w:rFonts w:eastAsia="Times New Roman"/>
          <w:lang w:eastAsia="en-GB"/>
        </w:rPr>
        <w:t xml:space="preserve">menaxhimit të financave publike </w:t>
      </w:r>
      <w:r w:rsidRPr="00EE038F">
        <w:rPr>
          <w:rFonts w:eastAsia="Times New Roman"/>
          <w:lang w:eastAsia="en-GB"/>
        </w:rPr>
        <w:t>(MFP) 2023</w:t>
      </w:r>
      <w:r w:rsidR="00552C7B" w:rsidRPr="00EE038F">
        <w:rPr>
          <w:rFonts w:eastAsia="Times New Roman"/>
          <w:lang w:eastAsia="en-GB"/>
        </w:rPr>
        <w:t>–</w:t>
      </w:r>
      <w:r w:rsidRPr="00EE038F">
        <w:rPr>
          <w:rFonts w:eastAsia="Times New Roman"/>
          <w:lang w:eastAsia="en-GB"/>
        </w:rPr>
        <w:t>2030</w:t>
      </w:r>
      <w:r w:rsidR="00695C3E">
        <w:rPr>
          <w:rFonts w:eastAsia="Times New Roman"/>
          <w:lang w:eastAsia="en-GB"/>
        </w:rPr>
        <w:t>”</w:t>
      </w:r>
      <w:r w:rsidRPr="00EE038F">
        <w:rPr>
          <w:rFonts w:eastAsia="Times New Roman"/>
          <w:lang w:eastAsia="en-GB"/>
        </w:rPr>
        <w:t xml:space="preserve">, </w:t>
      </w:r>
      <w:r w:rsidR="00695C3E">
        <w:rPr>
          <w:rFonts w:eastAsia="Times New Roman"/>
          <w:lang w:eastAsia="en-GB"/>
        </w:rPr>
        <w:t>“</w:t>
      </w:r>
      <w:r w:rsidR="00695C3E" w:rsidRPr="00EE038F">
        <w:rPr>
          <w:rFonts w:eastAsia="Times New Roman"/>
          <w:lang w:eastAsia="en-GB"/>
        </w:rPr>
        <w:t xml:space="preserve">Dokumentin </w:t>
      </w:r>
      <w:r w:rsidRPr="00EE038F">
        <w:rPr>
          <w:rFonts w:eastAsia="Times New Roman"/>
          <w:lang w:eastAsia="en-GB"/>
        </w:rPr>
        <w:t xml:space="preserve">e </w:t>
      </w:r>
      <w:r w:rsidR="00695C3E" w:rsidRPr="00EE038F">
        <w:rPr>
          <w:rFonts w:eastAsia="Times New Roman"/>
          <w:lang w:eastAsia="en-GB"/>
        </w:rPr>
        <w:t>programit të reformave ekonom</w:t>
      </w:r>
      <w:r w:rsidRPr="00EE038F">
        <w:rPr>
          <w:rFonts w:eastAsia="Times New Roman"/>
          <w:lang w:eastAsia="en-GB"/>
        </w:rPr>
        <w:t>ike (ERP)</w:t>
      </w:r>
      <w:r w:rsidR="00695C3E">
        <w:rPr>
          <w:rFonts w:eastAsia="Times New Roman"/>
          <w:lang w:eastAsia="en-GB"/>
        </w:rPr>
        <w:t>”</w:t>
      </w:r>
      <w:r w:rsidRPr="00EE038F">
        <w:rPr>
          <w:rFonts w:eastAsia="Times New Roman"/>
          <w:lang w:eastAsia="en-GB"/>
        </w:rPr>
        <w:t xml:space="preserve">, dhe </w:t>
      </w:r>
      <w:r w:rsidR="00695C3E">
        <w:rPr>
          <w:rFonts w:eastAsia="Times New Roman"/>
          <w:lang w:eastAsia="en-GB"/>
        </w:rPr>
        <w:t>“</w:t>
      </w:r>
      <w:r w:rsidRPr="00EE038F">
        <w:rPr>
          <w:rFonts w:eastAsia="Times New Roman"/>
          <w:lang w:eastAsia="en-GB"/>
        </w:rPr>
        <w:t>Raportin e Komisionit Evropian për Shqipërinë</w:t>
      </w:r>
      <w:r w:rsidR="00695C3E">
        <w:rPr>
          <w:rFonts w:eastAsia="Times New Roman"/>
          <w:lang w:eastAsia="en-GB"/>
        </w:rPr>
        <w:t>,</w:t>
      </w:r>
      <w:r w:rsidRPr="00EE038F">
        <w:rPr>
          <w:rFonts w:eastAsia="Times New Roman"/>
          <w:lang w:eastAsia="en-GB"/>
        </w:rPr>
        <w:t xml:space="preserve"> </w:t>
      </w:r>
      <w:r w:rsidR="009E0A5E" w:rsidRPr="00EE038F">
        <w:rPr>
          <w:rFonts w:eastAsia="Times New Roman"/>
          <w:lang w:eastAsia="en-GB"/>
        </w:rPr>
        <w:t xml:space="preserve">nëntor </w:t>
      </w:r>
      <w:r w:rsidRPr="00EE038F">
        <w:rPr>
          <w:rFonts w:eastAsia="Times New Roman"/>
          <w:lang w:eastAsia="en-GB"/>
        </w:rPr>
        <w:t>2023</w:t>
      </w:r>
      <w:r w:rsidR="00695C3E">
        <w:rPr>
          <w:rFonts w:eastAsia="Times New Roman"/>
          <w:lang w:eastAsia="en-GB"/>
        </w:rPr>
        <w:t>”</w:t>
      </w:r>
      <w:r w:rsidRPr="00EE038F">
        <w:rPr>
          <w:rFonts w:eastAsia="Times New Roman"/>
          <w:lang w:eastAsia="en-GB"/>
        </w:rPr>
        <w:t>.</w:t>
      </w:r>
    </w:p>
    <w:p w14:paraId="681431C4" w14:textId="4DF25741" w:rsidR="00C50585" w:rsidRPr="00EE038F" w:rsidRDefault="00C45A19" w:rsidP="00C45A19">
      <w:pPr>
        <w:pStyle w:val="TEKSTIIIIII"/>
        <w:rPr>
          <w:b/>
        </w:rPr>
      </w:pPr>
      <w:r w:rsidRPr="00EE038F">
        <w:rPr>
          <w:b/>
        </w:rPr>
        <w:t xml:space="preserve">2. </w:t>
      </w:r>
      <w:r w:rsidR="00C50585" w:rsidRPr="00EE038F">
        <w:rPr>
          <w:b/>
        </w:rPr>
        <w:t xml:space="preserve">Udhëzimi i </w:t>
      </w:r>
      <w:r w:rsidR="009E0A5E" w:rsidRPr="00EE038F">
        <w:rPr>
          <w:b/>
        </w:rPr>
        <w:t xml:space="preserve">politikave </w:t>
      </w:r>
      <w:r w:rsidR="00C50585" w:rsidRPr="00EE038F">
        <w:rPr>
          <w:b/>
        </w:rPr>
        <w:t>2</w:t>
      </w:r>
    </w:p>
    <w:p w14:paraId="69C6201D" w14:textId="60C37328" w:rsidR="00C50585" w:rsidRPr="00EE038F" w:rsidRDefault="00C45A19" w:rsidP="00C45A19">
      <w:pPr>
        <w:pStyle w:val="TEKSTIIIIII"/>
        <w:rPr>
          <w:i/>
        </w:rPr>
      </w:pPr>
      <w:r w:rsidRPr="00EE038F">
        <w:rPr>
          <w:i/>
        </w:rPr>
        <w:t>2.1</w:t>
      </w:r>
      <w:r w:rsidR="009E0A5E" w:rsidRPr="00EE038F">
        <w:rPr>
          <w:i/>
        </w:rPr>
        <w:t xml:space="preserve"> </w:t>
      </w:r>
      <w:r w:rsidR="00C50585" w:rsidRPr="00EE038F">
        <w:rPr>
          <w:i/>
        </w:rPr>
        <w:t xml:space="preserve">Të përmirësohen analizat </w:t>
      </w:r>
      <w:r w:rsidR="00F93EA6" w:rsidRPr="00EE038F">
        <w:rPr>
          <w:i/>
        </w:rPr>
        <w:t xml:space="preserve">e riskut fiskal, </w:t>
      </w:r>
      <w:r w:rsidR="00C50585" w:rsidRPr="00EE038F">
        <w:rPr>
          <w:i/>
        </w:rPr>
        <w:t xml:space="preserve">duke ndërtuar kapacitete në departamentin e ri përkatës, duke krijuar një metodologji të menaxhimit të riskut dhe duke publikuar një </w:t>
      </w:r>
      <w:r w:rsidR="00F93EA6" w:rsidRPr="00EE038F">
        <w:rPr>
          <w:i/>
        </w:rPr>
        <w:t xml:space="preserve">deklaratë </w:t>
      </w:r>
      <w:r w:rsidR="00C50585" w:rsidRPr="00EE038F">
        <w:rPr>
          <w:i/>
        </w:rPr>
        <w:t xml:space="preserve">gjithëpërfshirëse të </w:t>
      </w:r>
      <w:r w:rsidR="00F93EA6" w:rsidRPr="00EE038F">
        <w:rPr>
          <w:i/>
        </w:rPr>
        <w:t xml:space="preserve">riskut fiskal, </w:t>
      </w:r>
      <w:r w:rsidR="00C50585" w:rsidRPr="00EE038F">
        <w:rPr>
          <w:i/>
        </w:rPr>
        <w:t>që mbulon garancitë shtetërore, huadhënien për njësitë publike dhe rreziqet që rrjedhin nga NSH-të dhe PPP-të dhe të identifikoni masat për zbutjen e rrezikut. Rritja e transparencës dhe llogaridhënies së NSH-ve duke publikuar raportet e tyre vjetore të performancës financiare.</w:t>
      </w:r>
    </w:p>
    <w:p w14:paraId="70CAF8A9" w14:textId="13757850" w:rsidR="00C50585" w:rsidRPr="00EE038F" w:rsidRDefault="00C50585" w:rsidP="00C45A19">
      <w:pPr>
        <w:pStyle w:val="TEKSTIIIIII"/>
        <w:rPr>
          <w:iCs/>
        </w:rPr>
      </w:pPr>
      <w:bookmarkStart w:id="0" w:name="_Hlk184303109"/>
      <w:r w:rsidRPr="00EE038F">
        <w:rPr>
          <w:iCs/>
        </w:rPr>
        <w:t xml:space="preserve">Ministria e Financave monitoron dhe publikon periodikisht informacion lidhur me risqet buxhetore në raportet e saj vjetore, përkatësisht në raportin e </w:t>
      </w:r>
      <w:r w:rsidR="00F93EA6" w:rsidRPr="00EE038F">
        <w:rPr>
          <w:iCs/>
        </w:rPr>
        <w:t>buxhetit faktik, n</w:t>
      </w:r>
      <w:r w:rsidR="00C91045">
        <w:rPr>
          <w:iCs/>
        </w:rPr>
        <w:t>ë</w:t>
      </w:r>
      <w:r w:rsidR="00F93EA6" w:rsidRPr="00EE038F">
        <w:rPr>
          <w:iCs/>
        </w:rPr>
        <w:t xml:space="preserve"> raportin e mesvitit</w:t>
      </w:r>
      <w:r w:rsidRPr="00EE038F">
        <w:rPr>
          <w:iCs/>
        </w:rPr>
        <w:t>, si edhe n</w:t>
      </w:r>
      <w:r w:rsidR="00C91045">
        <w:rPr>
          <w:iCs/>
        </w:rPr>
        <w:t>ë</w:t>
      </w:r>
      <w:r w:rsidRPr="00EE038F">
        <w:rPr>
          <w:iCs/>
        </w:rPr>
        <w:t xml:space="preserve"> relacionin e </w:t>
      </w:r>
      <w:r w:rsidR="00F93EA6" w:rsidRPr="00EE038F">
        <w:rPr>
          <w:iCs/>
        </w:rPr>
        <w:t xml:space="preserve">projektbuxhetit vjetor, </w:t>
      </w:r>
      <w:r w:rsidRPr="00EE038F">
        <w:rPr>
          <w:iCs/>
        </w:rPr>
        <w:t>të cilat gjenden të publikuara në faqen zyrtare të MF</w:t>
      </w:r>
      <w:r w:rsidR="002531EA" w:rsidRPr="00EE038F">
        <w:rPr>
          <w:iCs/>
        </w:rPr>
        <w:t>-së,</w:t>
      </w:r>
      <w:r w:rsidRPr="00EE038F">
        <w:rPr>
          <w:iCs/>
        </w:rPr>
        <w:t xml:space="preserve"> si më poshtë:</w:t>
      </w:r>
    </w:p>
    <w:p w14:paraId="35B25C76" w14:textId="77777777" w:rsidR="00C50585" w:rsidRPr="00EE038F" w:rsidRDefault="007C70E7" w:rsidP="00C45A19">
      <w:pPr>
        <w:pStyle w:val="TEKSTIIIIII"/>
        <w:rPr>
          <w:i/>
          <w:iCs/>
        </w:rPr>
      </w:pPr>
      <w:r w:rsidRPr="00EE038F">
        <w:t xml:space="preserve">- </w:t>
      </w:r>
      <w:hyperlink r:id="rId14" w:history="1">
        <w:r w:rsidRPr="00EE038F">
          <w:rPr>
            <w:rStyle w:val="Hyperlink"/>
            <w:i/>
            <w:iCs/>
            <w:u w:val="none"/>
          </w:rPr>
          <w:t>https://financa.gov.al/buxheti-faktik-nder-vite/</w:t>
        </w:r>
      </w:hyperlink>
      <w:r w:rsidR="00C50585" w:rsidRPr="00EE038F">
        <w:rPr>
          <w:i/>
          <w:iCs/>
        </w:rPr>
        <w:t xml:space="preserve"> </w:t>
      </w:r>
    </w:p>
    <w:p w14:paraId="1691F875" w14:textId="77777777" w:rsidR="00C50585" w:rsidRPr="00EE038F" w:rsidRDefault="007C70E7" w:rsidP="00C45A19">
      <w:pPr>
        <w:pStyle w:val="TEKSTIIIIII"/>
        <w:rPr>
          <w:rStyle w:val="Hyperlink"/>
          <w:i/>
          <w:u w:val="none"/>
        </w:rPr>
      </w:pPr>
      <w:r w:rsidRPr="00EE038F">
        <w:rPr>
          <w:rStyle w:val="Hyperlink"/>
          <w:i/>
          <w:u w:val="none"/>
        </w:rPr>
        <w:t xml:space="preserve">- </w:t>
      </w:r>
      <w:r w:rsidR="00C50585" w:rsidRPr="00EE038F">
        <w:rPr>
          <w:rStyle w:val="Hyperlink"/>
          <w:i/>
          <w:u w:val="none"/>
        </w:rPr>
        <w:t>https://financa.gov.al/raporti-i-mesvitit/</w:t>
      </w:r>
    </w:p>
    <w:p w14:paraId="78F54EF5" w14:textId="77777777" w:rsidR="00C50585" w:rsidRPr="00EE038F" w:rsidRDefault="007C70E7" w:rsidP="00C45A19">
      <w:pPr>
        <w:pStyle w:val="TEKSTIIIIII"/>
        <w:rPr>
          <w:i/>
          <w:iCs/>
        </w:rPr>
      </w:pPr>
      <w:r w:rsidRPr="00EE038F">
        <w:t xml:space="preserve">- </w:t>
      </w:r>
      <w:hyperlink r:id="rId15" w:history="1">
        <w:r w:rsidRPr="00EE038F">
          <w:rPr>
            <w:rStyle w:val="Hyperlink"/>
            <w:i/>
            <w:iCs/>
            <w:u w:val="none"/>
          </w:rPr>
          <w:t>https://financa.gov.al/projektbuxhete-2/</w:t>
        </w:r>
      </w:hyperlink>
      <w:r w:rsidR="00C50585" w:rsidRPr="00EE038F">
        <w:rPr>
          <w:i/>
          <w:iCs/>
        </w:rPr>
        <w:t xml:space="preserve"> </w:t>
      </w:r>
      <w:bookmarkEnd w:id="0"/>
    </w:p>
    <w:p w14:paraId="75E2FE84" w14:textId="3DBCDB0D" w:rsidR="00C50585" w:rsidRPr="00EE038F" w:rsidRDefault="00C50585" w:rsidP="00C45A19">
      <w:pPr>
        <w:pStyle w:val="TEKSTIIIIII"/>
        <w:rPr>
          <w:bCs/>
        </w:rPr>
      </w:pPr>
      <w:r w:rsidRPr="00EE038F">
        <w:rPr>
          <w:bCs/>
        </w:rPr>
        <w:t xml:space="preserve">Lidhur me ecurinë e monitorimit të risqeve fiskale, Ministria e Financave përmes Drejtorisë së Përgjithshme të Buxhetit (Drejtoria e Menaxhimit të Buxhetit/Sektori i Risqeve Buxhetore) ka zgjeruar kuadrin e monitorimit të risqeve fiskale. Për këtë qëllim, në fund të vitit 2022 u miratua </w:t>
      </w:r>
      <w:r w:rsidR="002531EA" w:rsidRPr="00EE038F">
        <w:rPr>
          <w:bCs/>
        </w:rPr>
        <w:t xml:space="preserve">udhëzimi </w:t>
      </w:r>
      <w:r w:rsidRPr="00EE038F">
        <w:rPr>
          <w:bCs/>
        </w:rPr>
        <w:t>nr.</w:t>
      </w:r>
      <w:r w:rsidR="002531EA" w:rsidRPr="00EE038F">
        <w:rPr>
          <w:bCs/>
        </w:rPr>
        <w:t xml:space="preserve"> </w:t>
      </w:r>
      <w:r w:rsidRPr="00EE038F">
        <w:rPr>
          <w:bCs/>
        </w:rPr>
        <w:t>35 datë 29.12.2022</w:t>
      </w:r>
      <w:r w:rsidR="002531EA" w:rsidRPr="00EE038F">
        <w:rPr>
          <w:bCs/>
        </w:rPr>
        <w:t>,</w:t>
      </w:r>
      <w:r w:rsidRPr="00EE038F">
        <w:rPr>
          <w:bCs/>
        </w:rPr>
        <w:t xml:space="preserve"> </w:t>
      </w:r>
      <w:r w:rsidR="00D555C7" w:rsidRPr="00EE038F">
        <w:rPr>
          <w:bCs/>
        </w:rPr>
        <w:t>“</w:t>
      </w:r>
      <w:r w:rsidRPr="00EE038F">
        <w:rPr>
          <w:bCs/>
        </w:rPr>
        <w:t>Për procedurat standarde të raportimit dhe monitorimit të risqeve fiskale për njësitë e qeverisjes së përgjithshme dhe njësitë e tjera të sektorit publik</w:t>
      </w:r>
      <w:r w:rsidR="00D555C7" w:rsidRPr="00EE038F">
        <w:rPr>
          <w:bCs/>
        </w:rPr>
        <w:t>”</w:t>
      </w:r>
      <w:r w:rsidRPr="00EE038F">
        <w:rPr>
          <w:bCs/>
        </w:rPr>
        <w:t>, përmes së cilit u shtuan kategoritë e risqeve që do të monitorohen, përfshirë risqet nga fatkeqësitë natyrore.</w:t>
      </w:r>
    </w:p>
    <w:p w14:paraId="204B155A" w14:textId="3E31A344" w:rsidR="00C50585" w:rsidRPr="00EE038F" w:rsidRDefault="00C50585" w:rsidP="00C45A19">
      <w:pPr>
        <w:pStyle w:val="TEKSTIIIIII"/>
        <w:rPr>
          <w:bCs/>
        </w:rPr>
      </w:pPr>
      <w:r w:rsidRPr="00EE038F">
        <w:rPr>
          <w:bCs/>
        </w:rPr>
        <w:t>Gjatë vitit 2023 u hartua draft</w:t>
      </w:r>
      <w:bookmarkStart w:id="1" w:name="_Hlk184303796"/>
      <w:r w:rsidR="009177F4" w:rsidRPr="00EE038F">
        <w:rPr>
          <w:bCs/>
        </w:rPr>
        <w:t>d</w:t>
      </w:r>
      <w:r w:rsidRPr="00EE038F">
        <w:rPr>
          <w:bCs/>
        </w:rPr>
        <w:t xml:space="preserve">eklarata e Risqeve Fiskale </w:t>
      </w:r>
      <w:bookmarkEnd w:id="1"/>
      <w:r w:rsidRPr="00EE038F">
        <w:rPr>
          <w:bCs/>
        </w:rPr>
        <w:t>(DRF) për vitin 2022 si një dokument pilot në këtë kontekst dhe një periudhë pune ushtrimore</w:t>
      </w:r>
      <w:r w:rsidR="005A69AE" w:rsidRPr="00EE038F">
        <w:rPr>
          <w:bCs/>
        </w:rPr>
        <w:t>,</w:t>
      </w:r>
      <w:r w:rsidRPr="00EE038F">
        <w:rPr>
          <w:bCs/>
        </w:rPr>
        <w:t xml:space="preserve"> në kuadër të koordinimit dhe konsolidimit të informacionit të dërguar nga të gjitha njësitë raportuese. DRF u d</w:t>
      </w:r>
      <w:r w:rsidR="005A69AE" w:rsidRPr="00EE038F">
        <w:rPr>
          <w:bCs/>
        </w:rPr>
        <w:t>ë</w:t>
      </w:r>
      <w:r w:rsidRPr="00EE038F">
        <w:rPr>
          <w:bCs/>
        </w:rPr>
        <w:t>rgua p</w:t>
      </w:r>
      <w:r w:rsidR="005A69AE" w:rsidRPr="00EE038F">
        <w:rPr>
          <w:bCs/>
        </w:rPr>
        <w:t>ë</w:t>
      </w:r>
      <w:r w:rsidRPr="00EE038F">
        <w:rPr>
          <w:bCs/>
        </w:rPr>
        <w:t xml:space="preserve">r </w:t>
      </w:r>
      <w:r w:rsidRPr="00EE038F">
        <w:rPr>
          <w:bCs/>
        </w:rPr>
        <w:lastRenderedPageBreak/>
        <w:t xml:space="preserve">komente dhe rekomandime pranë partnerëve ndërkombëtarë si Fondi Monetar Ndërkombëtar dhe Banka Botërore, në kuadër të përmirësimit të mëtejshëm të këtij dokumenti. </w:t>
      </w:r>
    </w:p>
    <w:p w14:paraId="7B7ED9DC" w14:textId="77777777" w:rsidR="00C50585" w:rsidRPr="00EE038F" w:rsidRDefault="00C50585" w:rsidP="005A69AE">
      <w:pPr>
        <w:pStyle w:val="BodyText"/>
        <w:ind w:left="0" w:firstLine="284"/>
        <w:jc w:val="both"/>
        <w:rPr>
          <w:rFonts w:ascii="Garamond" w:hAnsi="Garamond"/>
          <w:bCs/>
          <w:sz w:val="24"/>
          <w:szCs w:val="24"/>
          <w:lang w:val="sq-AL"/>
        </w:rPr>
      </w:pPr>
      <w:r w:rsidRPr="00EE038F">
        <w:rPr>
          <w:rFonts w:ascii="Garamond" w:hAnsi="Garamond"/>
          <w:bCs/>
          <w:sz w:val="24"/>
          <w:szCs w:val="24"/>
          <w:lang w:val="sq-AL"/>
        </w:rPr>
        <w:t xml:space="preserve">Viti 2024 shënoi fillimin e punës për hartimin e dokumentit të parë zyrtar të këtij lloji, i cili u finalizua po në 2024 në formën e Deklaratës së Risqeve Fiskale për vitin 2023. Ky dokument është aktualisht në proces shqyrtimi/vlerësimi nga nivelet e larta drejtuese të Ministrisë së Financave. </w:t>
      </w:r>
    </w:p>
    <w:p w14:paraId="4C78C7A7" w14:textId="51746C78" w:rsidR="00C50585" w:rsidRPr="00EE038F" w:rsidRDefault="00C50585" w:rsidP="00F37032">
      <w:pPr>
        <w:pStyle w:val="BodyText"/>
        <w:ind w:left="0" w:firstLine="284"/>
        <w:jc w:val="both"/>
        <w:rPr>
          <w:rFonts w:ascii="Garamond" w:hAnsi="Garamond"/>
          <w:bCs/>
          <w:iCs/>
          <w:sz w:val="24"/>
          <w:szCs w:val="24"/>
          <w:lang w:val="sq-AL"/>
        </w:rPr>
      </w:pPr>
      <w:r w:rsidRPr="00EE038F">
        <w:rPr>
          <w:rFonts w:ascii="Garamond" w:hAnsi="Garamond"/>
          <w:bCs/>
          <w:iCs/>
          <w:sz w:val="24"/>
          <w:szCs w:val="24"/>
          <w:lang w:val="sq-AL"/>
        </w:rPr>
        <w:t>Deklarata e Risqeve Fiskale (DRF)</w:t>
      </w:r>
      <w:r w:rsidR="006E4D67" w:rsidRPr="00EE038F">
        <w:rPr>
          <w:rFonts w:ascii="Garamond" w:hAnsi="Garamond"/>
          <w:bCs/>
          <w:iCs/>
          <w:sz w:val="24"/>
          <w:szCs w:val="24"/>
          <w:lang w:val="sq-AL"/>
        </w:rPr>
        <w:t>,</w:t>
      </w:r>
      <w:r w:rsidRPr="00EE038F">
        <w:rPr>
          <w:rFonts w:ascii="Garamond" w:hAnsi="Garamond"/>
          <w:bCs/>
          <w:iCs/>
          <w:sz w:val="24"/>
          <w:szCs w:val="24"/>
          <w:lang w:val="sq-AL"/>
        </w:rPr>
        <w:t xml:space="preserve"> në mënyrë sistematike dhe gjithëpërfshirëse</w:t>
      </w:r>
      <w:r w:rsidR="006E4D67" w:rsidRPr="00EE038F">
        <w:rPr>
          <w:rFonts w:ascii="Garamond" w:hAnsi="Garamond"/>
          <w:bCs/>
          <w:iCs/>
          <w:sz w:val="24"/>
          <w:szCs w:val="24"/>
          <w:lang w:val="sq-AL"/>
        </w:rPr>
        <w:t>,</w:t>
      </w:r>
      <w:r w:rsidRPr="00EE038F">
        <w:rPr>
          <w:rFonts w:ascii="Garamond" w:hAnsi="Garamond"/>
          <w:bCs/>
          <w:iCs/>
          <w:sz w:val="24"/>
          <w:szCs w:val="24"/>
          <w:lang w:val="sq-AL"/>
        </w:rPr>
        <w:t xml:space="preserve"> përmban informacion mbi risqet fiskale që lidhen me:</w:t>
      </w:r>
      <w:r w:rsidR="00AD3D9C" w:rsidRPr="00EE038F">
        <w:rPr>
          <w:rFonts w:ascii="Garamond" w:hAnsi="Garamond"/>
          <w:bCs/>
          <w:iCs/>
          <w:sz w:val="24"/>
          <w:szCs w:val="24"/>
          <w:lang w:val="sq-AL"/>
        </w:rPr>
        <w:t xml:space="preserve"> </w:t>
      </w:r>
    </w:p>
    <w:p w14:paraId="50903FE3" w14:textId="047867FC" w:rsidR="00C50585" w:rsidRPr="00EE038F" w:rsidRDefault="007C70E7" w:rsidP="007C70E7">
      <w:pPr>
        <w:pStyle w:val="TEKSTIIIIII"/>
        <w:rPr>
          <w:i/>
        </w:rPr>
      </w:pPr>
      <w:r w:rsidRPr="00EE038F">
        <w:rPr>
          <w:i/>
        </w:rPr>
        <w:t xml:space="preserve">- </w:t>
      </w:r>
      <w:r w:rsidR="00C50585" w:rsidRPr="00EE038F">
        <w:rPr>
          <w:i/>
        </w:rPr>
        <w:t>zhvillimet makroekonomike</w:t>
      </w:r>
      <w:r w:rsidR="006E4D67" w:rsidRPr="00EE038F">
        <w:rPr>
          <w:i/>
        </w:rPr>
        <w:t>;</w:t>
      </w:r>
      <w:r w:rsidR="00C50585" w:rsidRPr="00EE038F">
        <w:rPr>
          <w:i/>
        </w:rPr>
        <w:t xml:space="preserve"> </w:t>
      </w:r>
    </w:p>
    <w:p w14:paraId="48EFC8B9" w14:textId="386A5FD2" w:rsidR="00C50585" w:rsidRPr="00EE038F" w:rsidRDefault="007C70E7" w:rsidP="007C70E7">
      <w:pPr>
        <w:pStyle w:val="TEKSTIIIIII"/>
        <w:rPr>
          <w:i/>
        </w:rPr>
      </w:pPr>
      <w:r w:rsidRPr="00EE038F">
        <w:rPr>
          <w:i/>
        </w:rPr>
        <w:t xml:space="preserve">- </w:t>
      </w:r>
      <w:r w:rsidR="00C50585" w:rsidRPr="00EE038F">
        <w:rPr>
          <w:i/>
        </w:rPr>
        <w:t>të ardhurat e përgjithshme</w:t>
      </w:r>
      <w:r w:rsidR="006E4D67" w:rsidRPr="00EE038F">
        <w:rPr>
          <w:i/>
        </w:rPr>
        <w:t>;</w:t>
      </w:r>
      <w:r w:rsidR="00C50585" w:rsidRPr="00EE038F">
        <w:rPr>
          <w:i/>
        </w:rPr>
        <w:t xml:space="preserve"> </w:t>
      </w:r>
    </w:p>
    <w:p w14:paraId="31F43235" w14:textId="62C9EA00" w:rsidR="00C50585" w:rsidRPr="00EE038F" w:rsidRDefault="007C70E7" w:rsidP="007C70E7">
      <w:pPr>
        <w:pStyle w:val="TEKSTIIIIII"/>
        <w:rPr>
          <w:i/>
        </w:rPr>
      </w:pPr>
      <w:r w:rsidRPr="00EE038F">
        <w:rPr>
          <w:i/>
        </w:rPr>
        <w:t>-</w:t>
      </w:r>
      <w:r w:rsidR="003E7B74" w:rsidRPr="00EE038F">
        <w:rPr>
          <w:i/>
        </w:rPr>
        <w:t xml:space="preserve"> </w:t>
      </w:r>
      <w:r w:rsidR="00C50585" w:rsidRPr="00EE038F">
        <w:rPr>
          <w:i/>
        </w:rPr>
        <w:t>shpenzimet e përgjithshme dhe detyrimet e prapambetura</w:t>
      </w:r>
      <w:r w:rsidR="006E4D67" w:rsidRPr="00EE038F">
        <w:rPr>
          <w:i/>
        </w:rPr>
        <w:t>;</w:t>
      </w:r>
    </w:p>
    <w:p w14:paraId="0036DC4C" w14:textId="41DE62AA" w:rsidR="00C50585" w:rsidRPr="00EE038F" w:rsidRDefault="007C70E7" w:rsidP="007C70E7">
      <w:pPr>
        <w:pStyle w:val="TEKSTIIIIII"/>
        <w:rPr>
          <w:i/>
        </w:rPr>
      </w:pPr>
      <w:r w:rsidRPr="00EE038F">
        <w:rPr>
          <w:i/>
        </w:rPr>
        <w:t xml:space="preserve">- </w:t>
      </w:r>
      <w:r w:rsidR="00C50585" w:rsidRPr="00EE038F">
        <w:rPr>
          <w:i/>
        </w:rPr>
        <w:t>borxhi publik dhe mjetet monetare disponibël</w:t>
      </w:r>
      <w:r w:rsidR="006E4D67" w:rsidRPr="00EE038F">
        <w:rPr>
          <w:i/>
        </w:rPr>
        <w:t>;</w:t>
      </w:r>
      <w:r w:rsidR="00C50585" w:rsidRPr="00EE038F">
        <w:rPr>
          <w:i/>
        </w:rPr>
        <w:t xml:space="preserve"> </w:t>
      </w:r>
    </w:p>
    <w:p w14:paraId="53ADF632" w14:textId="4A0C0808" w:rsidR="00C50585" w:rsidRPr="00EE038F" w:rsidRDefault="007C70E7" w:rsidP="007C70E7">
      <w:pPr>
        <w:pStyle w:val="TEKSTIIIIII"/>
        <w:rPr>
          <w:i/>
        </w:rPr>
      </w:pPr>
      <w:r w:rsidRPr="00EE038F">
        <w:rPr>
          <w:i/>
        </w:rPr>
        <w:t xml:space="preserve">- </w:t>
      </w:r>
      <w:r w:rsidR="00C50585" w:rsidRPr="00EE038F">
        <w:rPr>
          <w:i/>
        </w:rPr>
        <w:t>financat e pushtetit vendor</w:t>
      </w:r>
      <w:r w:rsidR="006E4D67" w:rsidRPr="00EE038F">
        <w:rPr>
          <w:i/>
        </w:rPr>
        <w:t>;</w:t>
      </w:r>
    </w:p>
    <w:p w14:paraId="53CACAE9" w14:textId="03D324A3" w:rsidR="00C50585" w:rsidRPr="00EE038F" w:rsidRDefault="007C70E7" w:rsidP="007C70E7">
      <w:pPr>
        <w:pStyle w:val="TEKSTIIIIII"/>
        <w:rPr>
          <w:i/>
        </w:rPr>
      </w:pPr>
      <w:r w:rsidRPr="00EE038F">
        <w:rPr>
          <w:i/>
        </w:rPr>
        <w:t xml:space="preserve">- </w:t>
      </w:r>
      <w:r w:rsidR="00C50585" w:rsidRPr="00EE038F">
        <w:rPr>
          <w:i/>
        </w:rPr>
        <w:t>koncesionet/PPP</w:t>
      </w:r>
      <w:r w:rsidR="006E4D67" w:rsidRPr="00EE038F">
        <w:rPr>
          <w:i/>
        </w:rPr>
        <w:t>;</w:t>
      </w:r>
      <w:r w:rsidR="00C50585" w:rsidRPr="00EE038F">
        <w:rPr>
          <w:i/>
        </w:rPr>
        <w:t xml:space="preserve"> </w:t>
      </w:r>
    </w:p>
    <w:p w14:paraId="25D72057" w14:textId="61B7C9E9" w:rsidR="00C50585" w:rsidRPr="00EE038F" w:rsidRDefault="007C70E7" w:rsidP="007C70E7">
      <w:pPr>
        <w:pStyle w:val="TEKSTIIIIII"/>
        <w:rPr>
          <w:i/>
        </w:rPr>
      </w:pPr>
      <w:r w:rsidRPr="00EE038F">
        <w:rPr>
          <w:i/>
        </w:rPr>
        <w:t>-</w:t>
      </w:r>
      <w:r w:rsidR="003E7B74" w:rsidRPr="00EE038F">
        <w:rPr>
          <w:i/>
        </w:rPr>
        <w:t xml:space="preserve"> </w:t>
      </w:r>
      <w:r w:rsidR="00C50585" w:rsidRPr="00EE038F">
        <w:rPr>
          <w:i/>
        </w:rPr>
        <w:t>ndërmarrjet publike me kapital shtetëror</w:t>
      </w:r>
      <w:r w:rsidR="006E4D67" w:rsidRPr="00EE038F">
        <w:rPr>
          <w:i/>
        </w:rPr>
        <w:t>;</w:t>
      </w:r>
      <w:r w:rsidR="00C50585" w:rsidRPr="00EE038F">
        <w:rPr>
          <w:i/>
        </w:rPr>
        <w:t xml:space="preserve"> </w:t>
      </w:r>
    </w:p>
    <w:p w14:paraId="49007F53" w14:textId="66887283" w:rsidR="00C50585" w:rsidRPr="00EE038F" w:rsidRDefault="007C70E7" w:rsidP="007C70E7">
      <w:pPr>
        <w:pStyle w:val="TEKSTIIIIII"/>
        <w:rPr>
          <w:i/>
        </w:rPr>
      </w:pPr>
      <w:r w:rsidRPr="00EE038F">
        <w:rPr>
          <w:i/>
        </w:rPr>
        <w:t xml:space="preserve">- </w:t>
      </w:r>
      <w:r w:rsidR="00C50585" w:rsidRPr="00EE038F">
        <w:rPr>
          <w:i/>
        </w:rPr>
        <w:t>detyrimet kontingjente (psh. vendimet gjyqësore të Arbitrazhit, vendimet e GJEDNJ etj</w:t>
      </w:r>
      <w:r w:rsidR="006E4D67" w:rsidRPr="00EE038F">
        <w:rPr>
          <w:i/>
        </w:rPr>
        <w:t>.</w:t>
      </w:r>
      <w:r w:rsidR="00C50585" w:rsidRPr="00EE038F">
        <w:rPr>
          <w:i/>
        </w:rPr>
        <w:t>)</w:t>
      </w:r>
      <w:r w:rsidR="006E4D67" w:rsidRPr="00EE038F">
        <w:rPr>
          <w:i/>
        </w:rPr>
        <w:t>;</w:t>
      </w:r>
      <w:r w:rsidR="00C50585" w:rsidRPr="00EE038F">
        <w:rPr>
          <w:i/>
        </w:rPr>
        <w:t xml:space="preserve"> </w:t>
      </w:r>
    </w:p>
    <w:p w14:paraId="33216533" w14:textId="77777777" w:rsidR="00C50585" w:rsidRPr="00EE038F" w:rsidRDefault="007C70E7" w:rsidP="007C70E7">
      <w:pPr>
        <w:pStyle w:val="TEKSTIIIIII"/>
        <w:rPr>
          <w:i/>
        </w:rPr>
      </w:pPr>
      <w:r w:rsidRPr="00EE038F">
        <w:rPr>
          <w:i/>
        </w:rPr>
        <w:t xml:space="preserve">- </w:t>
      </w:r>
      <w:r w:rsidR="00C50585" w:rsidRPr="00EE038F">
        <w:rPr>
          <w:i/>
        </w:rPr>
        <w:t>ngjarje të tjera të paparashikuara, si fatkeqësitë natyrore etj.</w:t>
      </w:r>
    </w:p>
    <w:p w14:paraId="23342B66" w14:textId="77777777" w:rsidR="00C50585" w:rsidRPr="00EE038F" w:rsidRDefault="00C50585" w:rsidP="007C70E7">
      <w:pPr>
        <w:pStyle w:val="TEKSTIIIIII"/>
      </w:pPr>
      <w:r w:rsidRPr="00EE038F">
        <w:t>Gjithashtu, struktura e re organike e Ministrisë së Financave të vitit 2024 ka finalizuar tashmë ngritjen e Drejtorisë së re të Risqeve Fiskale, e cila do të jetë struktura drejtuese në koordinimin, zhvillimin dhe çuarjen përpara të punës për monitorimin/raportimin e risqeve fiskale në tërësi.</w:t>
      </w:r>
    </w:p>
    <w:p w14:paraId="2371A1AD" w14:textId="16BED8DF" w:rsidR="00C50585" w:rsidRPr="00EE038F" w:rsidRDefault="002C2E74" w:rsidP="007C70E7">
      <w:pPr>
        <w:pStyle w:val="TEKSTIIIIII"/>
        <w:rPr>
          <w:i/>
        </w:rPr>
      </w:pPr>
      <w:r w:rsidRPr="00EE038F">
        <w:rPr>
          <w:i/>
        </w:rPr>
        <w:t xml:space="preserve">2.2 </w:t>
      </w:r>
      <w:r w:rsidR="00C50585" w:rsidRPr="00EE038F">
        <w:rPr>
          <w:i/>
        </w:rPr>
        <w:t>Lehtësimi i zbatimit të National Single Project Pipeline (MSPP), duke përfshirë renditjen e projekteve në listë; dhe avancimi i integrimit të PPP-ve në NSPP</w:t>
      </w:r>
      <w:r w:rsidR="006E4D67" w:rsidRPr="00EE038F">
        <w:rPr>
          <w:i/>
        </w:rPr>
        <w:t>.</w:t>
      </w:r>
    </w:p>
    <w:p w14:paraId="59543779" w14:textId="694504BC" w:rsidR="00C50585" w:rsidRPr="00EE038F" w:rsidRDefault="00C50585" w:rsidP="007C70E7">
      <w:pPr>
        <w:pStyle w:val="TEKSTIIIIII"/>
      </w:pPr>
      <w:r w:rsidRPr="00EE038F">
        <w:t>VKM</w:t>
      </w:r>
      <w:r w:rsidR="00C0566D" w:rsidRPr="00EE038F">
        <w:t>-ja</w:t>
      </w:r>
      <w:r w:rsidRPr="00EE038F">
        <w:t xml:space="preserve"> nr. 887/2022, </w:t>
      </w:r>
      <w:r w:rsidR="00DE0A49" w:rsidRPr="00EE038F">
        <w:t>e</w:t>
      </w:r>
      <w:r w:rsidRPr="00EE038F">
        <w:t xml:space="preserve"> ndryshuar </w:t>
      </w:r>
      <w:r w:rsidR="00D555C7" w:rsidRPr="00EE038F">
        <w:t>“</w:t>
      </w:r>
      <w:r w:rsidRPr="00EE038F">
        <w:t xml:space="preserve">Për procedurat e menaxhimit të </w:t>
      </w:r>
      <w:r w:rsidR="00561B0D" w:rsidRPr="00EE038F">
        <w:t>investimeve publik</w:t>
      </w:r>
      <w:r w:rsidRPr="00EE038F">
        <w:t>e</w:t>
      </w:r>
      <w:r w:rsidR="00D555C7" w:rsidRPr="00EE038F">
        <w:t>”</w:t>
      </w:r>
      <w:r w:rsidR="00561B0D" w:rsidRPr="00EE038F">
        <w:t>,</w:t>
      </w:r>
      <w:r w:rsidRPr="00EE038F">
        <w:t xml:space="preserve"> përcakton në mënyrë të detajuar rregullat e menaxhimit të projekteve strategjike që bëhen pjesë e Listës Unike të Projekteve me Rëndësi Kombëtare, duke shpjeguar procedurat nga propozimi tek përfshirja në PBA/buxhet vjetor</w:t>
      </w:r>
      <w:r w:rsidR="00DB0BF2" w:rsidRPr="00EE038F">
        <w:t>,</w:t>
      </w:r>
      <w:r w:rsidRPr="00EE038F">
        <w:t xml:space="preserve"> si dhe duke përcaktuar përgjegjësitë e secilit </w:t>
      </w:r>
      <w:r w:rsidR="00DB0BF2" w:rsidRPr="00EE038F">
        <w:t>institucion</w:t>
      </w:r>
      <w:r w:rsidRPr="00EE038F">
        <w:t xml:space="preserve"> të përfshirë. </w:t>
      </w:r>
    </w:p>
    <w:p w14:paraId="0EE0FDB1" w14:textId="22B24A41" w:rsidR="00C50585" w:rsidRPr="00EE038F" w:rsidRDefault="00C50585" w:rsidP="007C70E7">
      <w:pPr>
        <w:pStyle w:val="TEKSTIIIIII"/>
      </w:pPr>
      <w:r w:rsidRPr="00EE038F">
        <w:t xml:space="preserve">Këto projekte (mbi vlerën kufi të përcaktuar me </w:t>
      </w:r>
      <w:r w:rsidR="00DB0BF2" w:rsidRPr="00EE038F">
        <w:t xml:space="preserve">udhëzim nga ministri i </w:t>
      </w:r>
      <w:r w:rsidR="001E1D77" w:rsidRPr="00EE038F">
        <w:t>Financave</w:t>
      </w:r>
      <w:r w:rsidRPr="00EE038F">
        <w:t>) të cilët klasifikohen si projekte investimi me rëndësi kombëtare i nënshtrohen procesit të vlerësimit për përfshirjen e tyre në Listën Unike të Projekteve me Rëndësi Kombëtare. Këto projekte investimi përfshihen në PBA-në apo buxhetin vjetor</w:t>
      </w:r>
      <w:r w:rsidR="002F0F89" w:rsidRPr="00EE038F">
        <w:t>,</w:t>
      </w:r>
      <w:r w:rsidRPr="00EE038F">
        <w:t xml:space="preserve"> në përputhje me hapësirën fiskale, vetëm pasi të jenë bërë pjesë e listës unike të projekteve me rëndësi kombëtare, të rankuar dhe të miratuar me vendim të Këshillit të Ministrave. Pra, ministria përgjegjëse për financat vlerëson përballueshmërinë buxhetore të projektit dhe risqet fiskale lidhur me deficitin buxhetor dhe borxhin publik.</w:t>
      </w:r>
    </w:p>
    <w:p w14:paraId="687135E2" w14:textId="5CD79CCD" w:rsidR="00C50585" w:rsidRPr="00EE038F" w:rsidRDefault="00C50585" w:rsidP="007C70E7">
      <w:pPr>
        <w:pStyle w:val="TEKSTIIIIII"/>
      </w:pPr>
      <w:r w:rsidRPr="00EE038F">
        <w:t xml:space="preserve">Kjo listë shërben si referencë për ministrinë përgjegjëse për financat dhe njësitë e qeverisjes </w:t>
      </w:r>
      <w:r w:rsidR="002F0F89" w:rsidRPr="00EE038F">
        <w:t>qendrore</w:t>
      </w:r>
      <w:r w:rsidRPr="00EE038F">
        <w:t>, në kuadër të përfshirjes së projekteve të investimeve publike në Programin Buxhetor Afatmesëm (PBA) apo buxhetin vjetor.</w:t>
      </w:r>
    </w:p>
    <w:p w14:paraId="5A2CFCFC" w14:textId="2B04EACF" w:rsidR="00C50585" w:rsidRPr="00EE038F" w:rsidRDefault="00C50585" w:rsidP="007C70E7">
      <w:pPr>
        <w:pStyle w:val="TEKSTIIIIII"/>
      </w:pPr>
      <w:r w:rsidRPr="00EE038F">
        <w:t xml:space="preserve">Lista Unike e Projekteve me Rëndësi Kombëtare përmban projektet e investimeve publike, që kanë rëndësi strategjike, për sa i përket zhvillimit ekonomik dhe social të vendit, pavarësisht nga burimi i tyre i financimit. Kjo listë shërben si instrument për mbështetjen e politikave dhe prioriteteve të qeverisë shqiptare, në linjë me </w:t>
      </w:r>
      <w:r w:rsidR="00695C3E" w:rsidRPr="00EE038F">
        <w:t xml:space="preserve">strategjinë kombëtare për zhvillim dhe integrim </w:t>
      </w:r>
      <w:r w:rsidRPr="00EE038F">
        <w:t xml:space="preserve">(SKZHI), si edhe strategjitë sektoriale e ndërsektoriale, </w:t>
      </w:r>
      <w:r w:rsidR="00096E4A" w:rsidRPr="00EE038F">
        <w:t>njëkohësisht</w:t>
      </w:r>
      <w:r w:rsidRPr="00EE038F">
        <w:t xml:space="preserve"> shërben si referencë për ministrinë përgjegjëse për financat dhe njësitë e qeverisjes </w:t>
      </w:r>
      <w:r w:rsidR="00096E4A" w:rsidRPr="00EE038F">
        <w:t>qendrore</w:t>
      </w:r>
      <w:r w:rsidRPr="00EE038F">
        <w:t>, në kuadër të përfshirjes së projekteve të investimeve publike në Programin Buxhetor Afatmesëm (PBA) apo buxhetin vjetor.</w:t>
      </w:r>
    </w:p>
    <w:p w14:paraId="0AF2403E" w14:textId="59DBAED1" w:rsidR="00C50585" w:rsidRPr="00EE038F" w:rsidRDefault="00C50585" w:rsidP="007C70E7">
      <w:pPr>
        <w:pStyle w:val="TEKSTIIIIII"/>
      </w:pPr>
      <w:r w:rsidRPr="00EE038F">
        <w:t>Propozimet për projektet e reja të investimeve, pavarësisht burimit të financimit, të cilat përmbushin kriteret për t’u klasifikuar si projekte me rëndësi strategjike dhe vlerës kufi të përcaktuar me udhëzim të ministrit përgjegjës të financave, do të përgatiten nga njësitë e qeverisjes qendrore, sipas dokumentacionit dhe procedurave të përcaktuara për vlerësim në VKM</w:t>
      </w:r>
      <w:r w:rsidR="00096E4A" w:rsidRPr="00EE038F">
        <w:t>-në</w:t>
      </w:r>
      <w:r w:rsidRPr="00EE038F">
        <w:t xml:space="preserve"> e ndryshuar. Propozimet do të paraqiten njëkohësisht në ministrinë përgjegjëse për financat dhe në institucionin përgjegjës për programimin strategjik, në çdo kohë. </w:t>
      </w:r>
    </w:p>
    <w:p w14:paraId="0A974532" w14:textId="77777777" w:rsidR="00C50585" w:rsidRPr="00EE038F" w:rsidRDefault="00C50585" w:rsidP="002C2E74">
      <w:pPr>
        <w:pStyle w:val="TEKSTIIIIII"/>
      </w:pPr>
      <w:r w:rsidRPr="00EE038F">
        <w:lastRenderedPageBreak/>
        <w:t>Ministria përgjegjëse për financat përcjell pranë institucionit përgjegjës për programimin strategjik qëndrimin e saj për çdo propozim për projektet e reja të klasifikuara si projekte me rëndësi strategjike.</w:t>
      </w:r>
    </w:p>
    <w:p w14:paraId="68464B41" w14:textId="670AA4B7" w:rsidR="00C50585" w:rsidRPr="00EE038F" w:rsidRDefault="00C50585" w:rsidP="002C2E74">
      <w:pPr>
        <w:pStyle w:val="TEKSTIIIIII"/>
        <w:rPr>
          <w:color w:val="0D0D0D" w:themeColor="text1" w:themeTint="F2"/>
        </w:rPr>
      </w:pPr>
      <w:r w:rsidRPr="00EE038F">
        <w:rPr>
          <w:color w:val="0D0D0D" w:themeColor="text1" w:themeTint="F2"/>
        </w:rPr>
        <w:t xml:space="preserve">Në kuadër të përfshirjes së projekteve të reja të investimeve të propozuara nga njësitë e qeverisjes qendrore në </w:t>
      </w:r>
      <w:r w:rsidR="00BC76E2" w:rsidRPr="00EE038F">
        <w:rPr>
          <w:color w:val="0D0D0D" w:themeColor="text1" w:themeTint="F2"/>
        </w:rPr>
        <w:t xml:space="preserve">Listën Unike </w:t>
      </w:r>
      <w:r w:rsidRPr="00EE038F">
        <w:rPr>
          <w:color w:val="0D0D0D" w:themeColor="text1" w:themeTint="F2"/>
        </w:rPr>
        <w:t xml:space="preserve">të </w:t>
      </w:r>
      <w:r w:rsidR="00BC76E2" w:rsidRPr="00EE038F">
        <w:rPr>
          <w:color w:val="0D0D0D" w:themeColor="text1" w:themeTint="F2"/>
        </w:rPr>
        <w:t xml:space="preserve">Projekteve </w:t>
      </w:r>
      <w:r w:rsidRPr="00EE038F">
        <w:rPr>
          <w:color w:val="0D0D0D" w:themeColor="text1" w:themeTint="F2"/>
        </w:rPr>
        <w:t>me Rëndësi Kombëtare, institucioni përgjegjës për programimin strategjik, vlerëson dhe konsulton çdo propozim në Komitetin e Planifikimit Strategjik, rast pas rasti dhe projekti konsiderohet i maturuar pas miratimit në KPS.</w:t>
      </w:r>
    </w:p>
    <w:p w14:paraId="6BC1F060" w14:textId="2970EAA8" w:rsidR="00C50585" w:rsidRPr="00EE038F" w:rsidRDefault="00C50585" w:rsidP="002C2E74">
      <w:pPr>
        <w:pStyle w:val="TEKSTIIIIII"/>
        <w:rPr>
          <w:color w:val="0D0D0D" w:themeColor="text1" w:themeTint="F2"/>
        </w:rPr>
      </w:pPr>
      <w:r w:rsidRPr="00EE038F">
        <w:rPr>
          <w:color w:val="0D0D0D" w:themeColor="text1" w:themeTint="F2"/>
        </w:rPr>
        <w:t>Institucioni përgjegjës për programimin strategjik reflekton ndryshimin e statusit t</w:t>
      </w:r>
      <w:r w:rsidR="00BC76E2" w:rsidRPr="00EE038F">
        <w:rPr>
          <w:color w:val="0D0D0D" w:themeColor="text1" w:themeTint="F2"/>
        </w:rPr>
        <w:t>ë</w:t>
      </w:r>
      <w:r w:rsidRPr="00EE038F">
        <w:rPr>
          <w:color w:val="0D0D0D" w:themeColor="text1" w:themeTint="F2"/>
        </w:rPr>
        <w:t xml:space="preserve"> maturitetit t</w:t>
      </w:r>
      <w:r w:rsidR="00BC76E2" w:rsidRPr="00EE038F">
        <w:rPr>
          <w:color w:val="0D0D0D" w:themeColor="text1" w:themeTint="F2"/>
        </w:rPr>
        <w:t>ë</w:t>
      </w:r>
      <w:r w:rsidRPr="00EE038F">
        <w:rPr>
          <w:color w:val="0D0D0D" w:themeColor="text1" w:themeTint="F2"/>
        </w:rPr>
        <w:t xml:space="preserve"> projekteve q</w:t>
      </w:r>
      <w:r w:rsidR="00F200EF" w:rsidRPr="00EE038F">
        <w:rPr>
          <w:color w:val="0D0D0D" w:themeColor="text1" w:themeTint="F2"/>
        </w:rPr>
        <w:t xml:space="preserve">ë </w:t>
      </w:r>
      <w:r w:rsidRPr="00EE038F">
        <w:rPr>
          <w:color w:val="0D0D0D" w:themeColor="text1" w:themeTint="F2"/>
        </w:rPr>
        <w:t>maturohen dhe rivler</w:t>
      </w:r>
      <w:r w:rsidR="00BC76E2" w:rsidRPr="00EE038F">
        <w:rPr>
          <w:color w:val="0D0D0D" w:themeColor="text1" w:themeTint="F2"/>
        </w:rPr>
        <w:t>ë</w:t>
      </w:r>
      <w:r w:rsidRPr="00EE038F">
        <w:rPr>
          <w:color w:val="0D0D0D" w:themeColor="text1" w:themeTint="F2"/>
        </w:rPr>
        <w:t>son rankimin e projekteve n</w:t>
      </w:r>
      <w:r w:rsidR="00BC76E2" w:rsidRPr="00EE038F">
        <w:rPr>
          <w:color w:val="0D0D0D" w:themeColor="text1" w:themeTint="F2"/>
        </w:rPr>
        <w:t>ë</w:t>
      </w:r>
      <w:r w:rsidRPr="00EE038F">
        <w:rPr>
          <w:color w:val="0D0D0D" w:themeColor="text1" w:themeTint="F2"/>
        </w:rPr>
        <w:t xml:space="preserve"> List</w:t>
      </w:r>
      <w:r w:rsidR="00BC76E2" w:rsidRPr="00EE038F">
        <w:rPr>
          <w:color w:val="0D0D0D" w:themeColor="text1" w:themeTint="F2"/>
        </w:rPr>
        <w:t>ë</w:t>
      </w:r>
      <w:r w:rsidRPr="00EE038F">
        <w:rPr>
          <w:color w:val="0D0D0D" w:themeColor="text1" w:themeTint="F2"/>
        </w:rPr>
        <w:t>n Unike t</w:t>
      </w:r>
      <w:r w:rsidR="00BC76E2" w:rsidRPr="00EE038F">
        <w:rPr>
          <w:color w:val="0D0D0D" w:themeColor="text1" w:themeTint="F2"/>
        </w:rPr>
        <w:t>ë</w:t>
      </w:r>
      <w:r w:rsidRPr="00EE038F">
        <w:rPr>
          <w:color w:val="0D0D0D" w:themeColor="text1" w:themeTint="F2"/>
        </w:rPr>
        <w:t xml:space="preserve"> Projekteve me R</w:t>
      </w:r>
      <w:r w:rsidR="00BC76E2" w:rsidRPr="00EE038F">
        <w:rPr>
          <w:color w:val="0D0D0D" w:themeColor="text1" w:themeTint="F2"/>
        </w:rPr>
        <w:t>ë</w:t>
      </w:r>
      <w:r w:rsidRPr="00EE038F">
        <w:rPr>
          <w:color w:val="0D0D0D" w:themeColor="text1" w:themeTint="F2"/>
        </w:rPr>
        <w:t>nd</w:t>
      </w:r>
      <w:r w:rsidR="00BC76E2" w:rsidRPr="00EE038F">
        <w:rPr>
          <w:color w:val="0D0D0D" w:themeColor="text1" w:themeTint="F2"/>
        </w:rPr>
        <w:t>ë</w:t>
      </w:r>
      <w:r w:rsidRPr="00EE038F">
        <w:rPr>
          <w:color w:val="0D0D0D" w:themeColor="text1" w:themeTint="F2"/>
        </w:rPr>
        <w:t>si Komb</w:t>
      </w:r>
      <w:r w:rsidR="00BC76E2" w:rsidRPr="00EE038F">
        <w:rPr>
          <w:color w:val="0D0D0D" w:themeColor="text1" w:themeTint="F2"/>
        </w:rPr>
        <w:t>ë</w:t>
      </w:r>
      <w:r w:rsidRPr="00EE038F">
        <w:rPr>
          <w:color w:val="0D0D0D" w:themeColor="text1" w:themeTint="F2"/>
        </w:rPr>
        <w:t>tare.</w:t>
      </w:r>
    </w:p>
    <w:p w14:paraId="0A2F8512" w14:textId="1314C542" w:rsidR="00C50585" w:rsidRPr="00EE038F" w:rsidRDefault="00C50585" w:rsidP="002C2E74">
      <w:pPr>
        <w:pStyle w:val="TEKSTIIIIII"/>
        <w:rPr>
          <w:color w:val="0D0D0D" w:themeColor="text1" w:themeTint="F2"/>
        </w:rPr>
      </w:pPr>
      <w:r w:rsidRPr="00EE038F">
        <w:rPr>
          <w:color w:val="0D0D0D" w:themeColor="text1" w:themeTint="F2"/>
        </w:rPr>
        <w:t>Bazuar në rankimin e projekteve t</w:t>
      </w:r>
      <w:r w:rsidR="00BC76E2" w:rsidRPr="00EE038F">
        <w:rPr>
          <w:color w:val="0D0D0D" w:themeColor="text1" w:themeTint="F2"/>
        </w:rPr>
        <w:t>ë</w:t>
      </w:r>
      <w:r w:rsidRPr="00EE038F">
        <w:rPr>
          <w:color w:val="0D0D0D" w:themeColor="text1" w:themeTint="F2"/>
        </w:rPr>
        <w:t xml:space="preserve"> maturuara në Listën Unike të Projekteve me Rëndësi Kombëtare dhe në përputhje me hapësirën fiskale, ministria përgjegjëse për financat përgatit dokumentin e PBA-së, duke përfshirë në të prioritetet buxhetore, miratimin e politikave të reja dhe tavanin e vendosur të shpenzimeve, i cili i paraqitet për miratim Këshillit të Ministrave. </w:t>
      </w:r>
    </w:p>
    <w:p w14:paraId="5C10B01F" w14:textId="174ADBDD" w:rsidR="00C50585" w:rsidRPr="00EE038F" w:rsidRDefault="00C50585" w:rsidP="002C2E74">
      <w:pPr>
        <w:pStyle w:val="TEKSTIIIIII"/>
        <w:rPr>
          <w:color w:val="0D0D0D" w:themeColor="text1" w:themeTint="F2"/>
        </w:rPr>
      </w:pPr>
      <w:r w:rsidRPr="00EE038F">
        <w:rPr>
          <w:color w:val="0D0D0D" w:themeColor="text1" w:themeTint="F2"/>
        </w:rPr>
        <w:t xml:space="preserve">Me ndryshimet e bëra nëpërmjet </w:t>
      </w:r>
      <w:r w:rsidR="00BC76E2" w:rsidRPr="00EE038F">
        <w:rPr>
          <w:color w:val="0D0D0D" w:themeColor="text1" w:themeTint="F2"/>
        </w:rPr>
        <w:t xml:space="preserve">vendimit </w:t>
      </w:r>
      <w:r w:rsidRPr="00EE038F">
        <w:rPr>
          <w:color w:val="0D0D0D" w:themeColor="text1" w:themeTint="F2"/>
        </w:rPr>
        <w:t xml:space="preserve">nr. 70, datë 14.2.2024, projektet e investimeve publike me statusin </w:t>
      </w:r>
      <w:r w:rsidR="00D555C7" w:rsidRPr="00EE038F">
        <w:rPr>
          <w:color w:val="0D0D0D" w:themeColor="text1" w:themeTint="F2"/>
        </w:rPr>
        <w:t>“</w:t>
      </w:r>
      <w:r w:rsidRPr="00EE038F">
        <w:rPr>
          <w:color w:val="0D0D0D" w:themeColor="text1" w:themeTint="F2"/>
        </w:rPr>
        <w:t>I maturuar</w:t>
      </w:r>
      <w:r w:rsidR="00D555C7" w:rsidRPr="00EE038F">
        <w:rPr>
          <w:color w:val="0D0D0D" w:themeColor="text1" w:themeTint="F2"/>
        </w:rPr>
        <w:t>”</w:t>
      </w:r>
      <w:r w:rsidRPr="00EE038F">
        <w:rPr>
          <w:color w:val="0D0D0D" w:themeColor="text1" w:themeTint="F2"/>
        </w:rPr>
        <w:t xml:space="preserve"> në Listën Unike të Projekteve më Rëndësi Kombëtare, me </w:t>
      </w:r>
      <w:r w:rsidR="00BC76E2" w:rsidRPr="00EE038F">
        <w:rPr>
          <w:color w:val="0D0D0D" w:themeColor="text1" w:themeTint="F2"/>
        </w:rPr>
        <w:t xml:space="preserve">vendimin </w:t>
      </w:r>
      <w:r w:rsidRPr="00EE038F">
        <w:rPr>
          <w:color w:val="0D0D0D" w:themeColor="text1" w:themeTint="F2"/>
        </w:rPr>
        <w:t>nr. 447, datë 26.7.2023 të Këshillit të Ministrave</w:t>
      </w:r>
      <w:r w:rsidR="00BC76E2" w:rsidRPr="00EE038F">
        <w:rPr>
          <w:color w:val="0D0D0D" w:themeColor="text1" w:themeTint="F2"/>
        </w:rPr>
        <w:t>,</w:t>
      </w:r>
      <w:r w:rsidRPr="00EE038F">
        <w:rPr>
          <w:color w:val="0D0D0D" w:themeColor="text1" w:themeTint="F2"/>
        </w:rPr>
        <w:t xml:space="preserve"> </w:t>
      </w:r>
      <w:r w:rsidR="00D555C7" w:rsidRPr="00EE038F">
        <w:rPr>
          <w:color w:val="0D0D0D" w:themeColor="text1" w:themeTint="F2"/>
        </w:rPr>
        <w:t>“</w:t>
      </w:r>
      <w:r w:rsidRPr="00EE038F">
        <w:rPr>
          <w:color w:val="0D0D0D" w:themeColor="text1" w:themeTint="F2"/>
        </w:rPr>
        <w:t>Për miratimin e Dokumentit të Politikave Prioritare 2024</w:t>
      </w:r>
      <w:r w:rsidR="00BC76E2" w:rsidRPr="00EE038F">
        <w:rPr>
          <w:color w:val="0D0D0D" w:themeColor="text1" w:themeTint="F2"/>
        </w:rPr>
        <w:t>–</w:t>
      </w:r>
      <w:r w:rsidRPr="00EE038F">
        <w:rPr>
          <w:color w:val="0D0D0D" w:themeColor="text1" w:themeTint="F2"/>
        </w:rPr>
        <w:t xml:space="preserve">2026, institucioni përgjegjës për programimin strategjik duhet të kryejë rankimin e projekteve, ndërkohë </w:t>
      </w:r>
      <w:r w:rsidR="00BC76E2" w:rsidRPr="00EE038F">
        <w:rPr>
          <w:color w:val="0D0D0D" w:themeColor="text1" w:themeTint="F2"/>
        </w:rPr>
        <w:t>siç</w:t>
      </w:r>
      <w:r w:rsidRPr="00EE038F">
        <w:rPr>
          <w:color w:val="0D0D0D" w:themeColor="text1" w:themeTint="F2"/>
        </w:rPr>
        <w:t xml:space="preserve"> është përmendur më lartë, ministria përgjegjëse për financat vlerëson vetëm përballueshmërinë buxhetore të projektit në përputhje me hapësirat fiskale.</w:t>
      </w:r>
    </w:p>
    <w:p w14:paraId="07417207" w14:textId="22277695" w:rsidR="00C50585" w:rsidRPr="00EE038F" w:rsidRDefault="00C50585" w:rsidP="002C2E74">
      <w:pPr>
        <w:spacing w:after="0" w:line="240" w:lineRule="auto"/>
        <w:ind w:firstLine="284"/>
        <w:jc w:val="both"/>
        <w:rPr>
          <w:rFonts w:ascii="Garamond" w:hAnsi="Garamond"/>
          <w:b/>
          <w:color w:val="0D0D0D" w:themeColor="text1" w:themeTint="F2"/>
          <w:sz w:val="24"/>
          <w:szCs w:val="24"/>
        </w:rPr>
      </w:pPr>
      <w:r w:rsidRPr="00EE038F">
        <w:rPr>
          <w:rFonts w:ascii="Garamond" w:hAnsi="Garamond"/>
          <w:b/>
          <w:color w:val="0D0D0D" w:themeColor="text1" w:themeTint="F2"/>
          <w:sz w:val="24"/>
          <w:szCs w:val="24"/>
        </w:rPr>
        <w:t xml:space="preserve">3. Udhëzimi i </w:t>
      </w:r>
      <w:r w:rsidR="00BC76E2" w:rsidRPr="00EE038F">
        <w:rPr>
          <w:rFonts w:ascii="Garamond" w:hAnsi="Garamond"/>
          <w:b/>
          <w:color w:val="0D0D0D" w:themeColor="text1" w:themeTint="F2"/>
          <w:sz w:val="24"/>
          <w:szCs w:val="24"/>
        </w:rPr>
        <w:t xml:space="preserve">politikave </w:t>
      </w:r>
      <w:r w:rsidRPr="00EE038F">
        <w:rPr>
          <w:rFonts w:ascii="Garamond" w:hAnsi="Garamond"/>
          <w:b/>
          <w:color w:val="0D0D0D" w:themeColor="text1" w:themeTint="F2"/>
          <w:sz w:val="24"/>
          <w:szCs w:val="24"/>
        </w:rPr>
        <w:t>3</w:t>
      </w:r>
    </w:p>
    <w:p w14:paraId="74C02512" w14:textId="17B3AC1E" w:rsidR="00C50585" w:rsidRPr="00EE038F" w:rsidRDefault="00C50585" w:rsidP="002C2E74">
      <w:pPr>
        <w:spacing w:after="0" w:line="240" w:lineRule="auto"/>
        <w:ind w:firstLine="284"/>
        <w:jc w:val="both"/>
        <w:rPr>
          <w:rFonts w:ascii="Garamond" w:hAnsi="Garamond"/>
          <w:color w:val="0D0D0D" w:themeColor="text1" w:themeTint="F2"/>
          <w:sz w:val="24"/>
          <w:szCs w:val="24"/>
        </w:rPr>
      </w:pPr>
      <w:r w:rsidRPr="00EE038F">
        <w:rPr>
          <w:rFonts w:ascii="Garamond" w:eastAsia="Arial Narrow" w:hAnsi="Garamond"/>
          <w:bCs/>
          <w:i/>
          <w:sz w:val="24"/>
          <w:szCs w:val="24"/>
        </w:rPr>
        <w:t>3.1.</w:t>
      </w:r>
      <w:r w:rsidRPr="00EE038F">
        <w:rPr>
          <w:rFonts w:ascii="Garamond" w:eastAsia="Arial Narrow" w:hAnsi="Garamond"/>
          <w:i/>
          <w:sz w:val="24"/>
          <w:szCs w:val="24"/>
        </w:rPr>
        <w:t xml:space="preserve"> Të sigurohet një qëndrim i mjaftueshëm shtrëngues i politikës monetare</w:t>
      </w:r>
      <w:r w:rsidR="00B93467" w:rsidRPr="00EE038F">
        <w:rPr>
          <w:rFonts w:ascii="Garamond" w:eastAsia="Arial Narrow" w:hAnsi="Garamond"/>
          <w:i/>
          <w:sz w:val="24"/>
          <w:szCs w:val="24"/>
        </w:rPr>
        <w:t>,</w:t>
      </w:r>
      <w:r w:rsidRPr="00EE038F">
        <w:rPr>
          <w:rFonts w:ascii="Garamond" w:eastAsia="Arial Narrow" w:hAnsi="Garamond"/>
          <w:i/>
          <w:sz w:val="24"/>
          <w:szCs w:val="24"/>
        </w:rPr>
        <w:t xml:space="preserve"> për aq kohë sa është e nevojshme për të ankoruar pritjet për inflacionin në nivele që përputhen me stabilitetin e çmimeve, duke u mbështetur në një vlerësim të thelluar të zhvillimeve të çmimeve dhe mundësive për efekte të raundit të dytë, si dhe duke publikuar tregues shtesë mbi presionet e brendshme të çmimeve. </w:t>
      </w:r>
    </w:p>
    <w:p w14:paraId="0A5B1C07" w14:textId="77777777" w:rsidR="00C50585" w:rsidRPr="00EE038F" w:rsidRDefault="00C50585" w:rsidP="002C2E74">
      <w:pPr>
        <w:pStyle w:val="NormalWeb"/>
        <w:spacing w:before="0" w:beforeAutospacing="0" w:after="0" w:afterAutospacing="0"/>
        <w:ind w:firstLine="284"/>
        <w:jc w:val="both"/>
        <w:rPr>
          <w:rFonts w:ascii="Garamond" w:hAnsi="Garamond"/>
        </w:rPr>
      </w:pPr>
      <w:r w:rsidRPr="00EE038F">
        <w:rPr>
          <w:rFonts w:ascii="Garamond" w:hAnsi="Garamond"/>
        </w:rPr>
        <w:t>Gjatë vitit 2024, Banka e Shqipërisë ka ndërmarrë dy ulje të normës bazë të interesit, duke e reduktuar atë nga 3.25% në 2.75%. Kjo lëvizje është motivuar nga rënia e shpejtë e inflacionit dhe rreziku që kjo tendencë të ndikojë negativisht pritjet afatgjata të agjentëve ekonomikë. Në këtë kontekst, ulja e normës së interesit synon të mbështesë kthimin e inflacionit në objektivin e përcaktuar deri në vitin 2025. Në kushtet e pasigurive të larta dhe të goditjeve të vazhdueshme nga ana e ofertës mbi çmime, vendimet e ardhshme të politikës monetare do të bazohen tek të dhënat më të fundit. Kjo qasje synon të sigurojë që politika monetare të jetë konsistente me trendet e ekonomisë.</w:t>
      </w:r>
    </w:p>
    <w:p w14:paraId="644EEF04" w14:textId="77777777" w:rsidR="00C50585" w:rsidRPr="00EE038F" w:rsidRDefault="00C50585" w:rsidP="002C2E74">
      <w:pPr>
        <w:pStyle w:val="NormalWeb"/>
        <w:spacing w:before="0" w:beforeAutospacing="0" w:after="0" w:afterAutospacing="0"/>
        <w:ind w:firstLine="284"/>
        <w:jc w:val="both"/>
        <w:rPr>
          <w:rFonts w:ascii="Garamond" w:hAnsi="Garamond"/>
        </w:rPr>
      </w:pPr>
      <w:r w:rsidRPr="00EE038F">
        <w:rPr>
          <w:rFonts w:ascii="Garamond" w:hAnsi="Garamond"/>
        </w:rPr>
        <w:t>Në përputhje me mandatin e saj ligjor, Banka e Shqipërisë do të kalibrojë qëndrimin e politikës monetare për të garantuar stabilitetin e çmimeve në afatin e mesëm. Ky proces mbështetet në një kuadër të konsoliduar analize dhe parashikimi, i cili ushqehet nga një bazë e gjerë dhe dinamike të dhënash, që pasurohet vazhdimisht.</w:t>
      </w:r>
    </w:p>
    <w:p w14:paraId="43344851" w14:textId="62DEB26B" w:rsidR="00C50585" w:rsidRPr="00EE038F" w:rsidRDefault="00C50585" w:rsidP="002C2E74">
      <w:pPr>
        <w:pStyle w:val="NormalWeb"/>
        <w:spacing w:before="0" w:beforeAutospacing="0" w:after="0" w:afterAutospacing="0"/>
        <w:ind w:firstLine="284"/>
        <w:jc w:val="both"/>
        <w:rPr>
          <w:rFonts w:ascii="Garamond" w:hAnsi="Garamond"/>
        </w:rPr>
      </w:pPr>
      <w:r w:rsidRPr="00EE038F">
        <w:rPr>
          <w:rFonts w:ascii="Garamond" w:hAnsi="Garamond"/>
        </w:rPr>
        <w:t>Në kuadër të përmirësimit të transparencës dhe komunikimit me publikun, Banka e Shqipërisë ka publikuar disa matje të inflacionit bazë, në përputhje edhe me rekomandimet e Komisionit. Këto masa synojnë të rrisin besimin e publikut dhe të forcojnë ndikimin pozitiv të politikës monetare në ekonominë kombëtare.</w:t>
      </w:r>
    </w:p>
    <w:p w14:paraId="47C7196D" w14:textId="77777777" w:rsidR="00C50585" w:rsidRPr="00EE038F" w:rsidRDefault="00C50585" w:rsidP="002C2E74">
      <w:pPr>
        <w:spacing w:after="0" w:line="240" w:lineRule="auto"/>
        <w:ind w:firstLine="284"/>
        <w:jc w:val="both"/>
        <w:rPr>
          <w:rFonts w:ascii="Garamond" w:eastAsia="Arial Narrow" w:hAnsi="Garamond"/>
          <w:i/>
          <w:color w:val="0D0D0D" w:themeColor="text1" w:themeTint="F2"/>
          <w:sz w:val="24"/>
          <w:szCs w:val="24"/>
        </w:rPr>
      </w:pPr>
      <w:r w:rsidRPr="00EE038F">
        <w:rPr>
          <w:rFonts w:ascii="Garamond" w:eastAsia="Arial Narrow" w:hAnsi="Garamond"/>
          <w:bCs/>
          <w:i/>
          <w:color w:val="0D0D0D" w:themeColor="text1" w:themeTint="F2"/>
          <w:sz w:val="24"/>
          <w:szCs w:val="24"/>
        </w:rPr>
        <w:t>3.2.</w:t>
      </w:r>
      <w:r w:rsidRPr="00EE038F">
        <w:rPr>
          <w:rFonts w:ascii="Garamond" w:eastAsia="Arial Narrow" w:hAnsi="Garamond"/>
          <w:i/>
          <w:color w:val="0D0D0D" w:themeColor="text1" w:themeTint="F2"/>
          <w:sz w:val="24"/>
          <w:szCs w:val="24"/>
        </w:rPr>
        <w:t xml:space="preserve"> Përmirësoni mbikëqyrjen e bazuar në rrezik në përputhje me praktikat më të mira ndërkombëtare dhe evropiane, duke përfshirë forcimin e mëtejshëm të kornizës së raportimit në të gjithë sistemin bankar, zbatimin e masave makroprudenciale për të zbutur rreziqet dhe përmirësimin e mbledhjes së të dhënave për të mundësuar një vlerësim të plotë të rreziqeve në sektorin financiar. </w:t>
      </w:r>
    </w:p>
    <w:p w14:paraId="3C2747CF" w14:textId="7D3E3230" w:rsidR="002C2E74" w:rsidRPr="00EE038F" w:rsidRDefault="00C50585" w:rsidP="002C2E74">
      <w:pPr>
        <w:spacing w:after="0" w:line="240" w:lineRule="auto"/>
        <w:ind w:firstLine="284"/>
        <w:jc w:val="both"/>
        <w:rPr>
          <w:rFonts w:ascii="Garamond" w:hAnsi="Garamond"/>
          <w:sz w:val="24"/>
          <w:szCs w:val="24"/>
        </w:rPr>
      </w:pPr>
      <w:r w:rsidRPr="00EE038F">
        <w:rPr>
          <w:rFonts w:ascii="Garamond" w:hAnsi="Garamond"/>
          <w:sz w:val="24"/>
          <w:szCs w:val="24"/>
        </w:rPr>
        <w:t>Banka e Shqipërisë vijon të përmirësojë kuadrin e saj mbikëqyrës, si në mbikëqyrjen mikro</w:t>
      </w:r>
      <w:r w:rsidR="004342BD" w:rsidRPr="00EE038F">
        <w:rPr>
          <w:rFonts w:ascii="Garamond" w:hAnsi="Garamond"/>
          <w:sz w:val="24"/>
          <w:szCs w:val="24"/>
        </w:rPr>
        <w:t>-</w:t>
      </w:r>
      <w:r w:rsidRPr="00EE038F">
        <w:rPr>
          <w:rFonts w:ascii="Garamond" w:hAnsi="Garamond"/>
          <w:sz w:val="24"/>
          <w:szCs w:val="24"/>
        </w:rPr>
        <w:t xml:space="preserve"> dhe makroprudenciale të bankave ashtu edhe të disa institucioneve financiare jobanka. Në fushën e mbikëqyrjes </w:t>
      </w:r>
      <w:r w:rsidR="00FA5236" w:rsidRPr="00EE038F">
        <w:rPr>
          <w:rFonts w:ascii="Garamond" w:hAnsi="Garamond"/>
          <w:sz w:val="24"/>
          <w:szCs w:val="24"/>
        </w:rPr>
        <w:t>mikro</w:t>
      </w:r>
      <w:r w:rsidRPr="00EE038F">
        <w:rPr>
          <w:rFonts w:ascii="Garamond" w:hAnsi="Garamond"/>
          <w:sz w:val="24"/>
          <w:szCs w:val="24"/>
        </w:rPr>
        <w:t xml:space="preserve">prudenciale, fokusi ka qenë forcimi i kuadrit raportues nëpërmjet përgatitjes së udhëzuesit </w:t>
      </w:r>
      <w:r w:rsidR="00D555C7" w:rsidRPr="00EE038F">
        <w:rPr>
          <w:rFonts w:ascii="Garamond" w:hAnsi="Garamond"/>
          <w:sz w:val="24"/>
          <w:szCs w:val="24"/>
        </w:rPr>
        <w:t>“</w:t>
      </w:r>
      <w:r w:rsidRPr="00EE038F">
        <w:rPr>
          <w:rFonts w:ascii="Garamond" w:hAnsi="Garamond"/>
          <w:sz w:val="24"/>
          <w:szCs w:val="24"/>
        </w:rPr>
        <w:t>Për raportimin e informacionit financiar në Bankën e Shqipërisë (FINREP</w:t>
      </w:r>
      <w:r w:rsidRPr="00EE038F">
        <w:rPr>
          <w:rFonts w:ascii="Garamond" w:hAnsi="Garamond"/>
        </w:rPr>
        <w:t>)</w:t>
      </w:r>
      <w:r w:rsidR="00D555C7" w:rsidRPr="00EE038F">
        <w:rPr>
          <w:rFonts w:ascii="Garamond" w:hAnsi="Garamond"/>
        </w:rPr>
        <w:t>”</w:t>
      </w:r>
      <w:r w:rsidRPr="00EE038F">
        <w:rPr>
          <w:rFonts w:ascii="Garamond" w:hAnsi="Garamond"/>
        </w:rPr>
        <w:t xml:space="preserve">. Dokumenti </w:t>
      </w:r>
      <w:r w:rsidRPr="00EE038F">
        <w:rPr>
          <w:rFonts w:ascii="Garamond" w:hAnsi="Garamond"/>
          <w:sz w:val="24"/>
          <w:szCs w:val="24"/>
        </w:rPr>
        <w:t>është aktualisht në fazën e konsultimit publik. Gjithashtu, në tetor 2024</w:t>
      </w:r>
      <w:r w:rsidR="00FA5236" w:rsidRPr="00EE038F">
        <w:rPr>
          <w:rFonts w:ascii="Garamond" w:hAnsi="Garamond"/>
          <w:sz w:val="24"/>
          <w:szCs w:val="24"/>
        </w:rPr>
        <w:t>,</w:t>
      </w:r>
      <w:r w:rsidRPr="00EE038F">
        <w:rPr>
          <w:rFonts w:ascii="Garamond" w:hAnsi="Garamond"/>
          <w:sz w:val="24"/>
          <w:szCs w:val="24"/>
        </w:rPr>
        <w:t xml:space="preserve"> BSH</w:t>
      </w:r>
      <w:r w:rsidR="00FA5236" w:rsidRPr="00EE038F">
        <w:rPr>
          <w:rFonts w:ascii="Garamond" w:hAnsi="Garamond"/>
          <w:sz w:val="24"/>
          <w:szCs w:val="24"/>
        </w:rPr>
        <w:t>-ja</w:t>
      </w:r>
      <w:r w:rsidRPr="00EE038F">
        <w:rPr>
          <w:rFonts w:ascii="Garamond" w:hAnsi="Garamond"/>
          <w:sz w:val="24"/>
          <w:szCs w:val="24"/>
        </w:rPr>
        <w:t xml:space="preserve"> miratoi udhëzimin </w:t>
      </w:r>
      <w:r w:rsidR="00D555C7" w:rsidRPr="00EE038F">
        <w:rPr>
          <w:rFonts w:ascii="Garamond" w:hAnsi="Garamond"/>
          <w:sz w:val="24"/>
          <w:szCs w:val="24"/>
        </w:rPr>
        <w:t>“</w:t>
      </w:r>
      <w:r w:rsidRPr="00EE038F">
        <w:rPr>
          <w:rFonts w:ascii="Garamond" w:hAnsi="Garamond"/>
          <w:sz w:val="24"/>
          <w:szCs w:val="24"/>
        </w:rPr>
        <w:t>Për raportimin e incidenteve madhore</w:t>
      </w:r>
      <w:r w:rsidR="00D555C7" w:rsidRPr="00EE038F">
        <w:rPr>
          <w:rFonts w:ascii="Garamond" w:hAnsi="Garamond"/>
          <w:sz w:val="24"/>
          <w:szCs w:val="24"/>
        </w:rPr>
        <w:t>”</w:t>
      </w:r>
      <w:r w:rsidRPr="00EE038F">
        <w:rPr>
          <w:rFonts w:ascii="Garamond" w:hAnsi="Garamond"/>
          <w:sz w:val="24"/>
          <w:szCs w:val="24"/>
        </w:rPr>
        <w:t xml:space="preserve">, ku të gjithë ofruesit e shërbimeve të pagesave </w:t>
      </w:r>
      <w:r w:rsidRPr="00EE038F">
        <w:rPr>
          <w:rFonts w:ascii="Garamond" w:hAnsi="Garamond"/>
          <w:sz w:val="24"/>
          <w:szCs w:val="24"/>
        </w:rPr>
        <w:lastRenderedPageBreak/>
        <w:t>(duke përfshirë bankat), bazuar në kritere të paracaktuara, u kërkohet të identifikojnë, klasifikojnë, menaxhojnë dhe raportojnë në kohë të gjitha operacionet kryesore dhe incidentet e IT</w:t>
      </w:r>
      <w:r w:rsidR="006770D7" w:rsidRPr="00EE038F">
        <w:rPr>
          <w:rFonts w:ascii="Garamond" w:hAnsi="Garamond"/>
          <w:sz w:val="24"/>
          <w:szCs w:val="24"/>
        </w:rPr>
        <w:t>-së</w:t>
      </w:r>
      <w:r w:rsidRPr="00EE038F">
        <w:rPr>
          <w:rFonts w:ascii="Garamond" w:hAnsi="Garamond"/>
          <w:sz w:val="24"/>
          <w:szCs w:val="24"/>
        </w:rPr>
        <w:t xml:space="preserve"> tek mbikëqyrësi. BSH</w:t>
      </w:r>
      <w:r w:rsidR="006770D7" w:rsidRPr="00EE038F">
        <w:rPr>
          <w:rFonts w:ascii="Garamond" w:hAnsi="Garamond"/>
          <w:sz w:val="24"/>
          <w:szCs w:val="24"/>
        </w:rPr>
        <w:t>-ja</w:t>
      </w:r>
      <w:r w:rsidRPr="00EE038F">
        <w:rPr>
          <w:rFonts w:ascii="Garamond" w:hAnsi="Garamond"/>
          <w:sz w:val="24"/>
          <w:szCs w:val="24"/>
        </w:rPr>
        <w:t xml:space="preserve"> ka përgatitur</w:t>
      </w:r>
      <w:r w:rsidR="00F53009" w:rsidRPr="00EE038F">
        <w:rPr>
          <w:rFonts w:ascii="Garamond" w:hAnsi="Garamond"/>
          <w:sz w:val="24"/>
          <w:szCs w:val="24"/>
        </w:rPr>
        <w:t>,</w:t>
      </w:r>
      <w:r w:rsidRPr="00EE038F">
        <w:rPr>
          <w:rFonts w:ascii="Garamond" w:hAnsi="Garamond"/>
          <w:sz w:val="24"/>
          <w:szCs w:val="24"/>
        </w:rPr>
        <w:t xml:space="preserve"> gjithashtu</w:t>
      </w:r>
      <w:r w:rsidR="00F53009" w:rsidRPr="00EE038F">
        <w:rPr>
          <w:rFonts w:ascii="Garamond" w:hAnsi="Garamond"/>
          <w:sz w:val="24"/>
          <w:szCs w:val="24"/>
        </w:rPr>
        <w:t>,</w:t>
      </w:r>
      <w:r w:rsidRPr="00EE038F">
        <w:rPr>
          <w:rFonts w:ascii="Garamond" w:hAnsi="Garamond"/>
          <w:sz w:val="24"/>
          <w:szCs w:val="24"/>
        </w:rPr>
        <w:t xml:space="preserve"> një sërë modifikimesh në rregulloret ekzistuese, me qëllim forcimin e mbikëqyrjes së institucioneve financiare jobanka dhe përputhjen e tyre me kërkesat e administrimit të riskut të kredisë dhe transparencës për klientët e tyre. Në fushën e mbikëqyrjes makroprudenciale, duke pasur parasysh ciklin pozitiv të kreditimit dhe performancën e fortë financiare të bankave, në qershor të vitit 2024</w:t>
      </w:r>
      <w:r w:rsidR="00F53009" w:rsidRPr="00EE038F">
        <w:rPr>
          <w:rFonts w:ascii="Garamond" w:hAnsi="Garamond"/>
          <w:sz w:val="24"/>
          <w:szCs w:val="24"/>
        </w:rPr>
        <w:t>,</w:t>
      </w:r>
      <w:r w:rsidRPr="00EE038F">
        <w:rPr>
          <w:rFonts w:ascii="Garamond" w:hAnsi="Garamond"/>
          <w:sz w:val="24"/>
          <w:szCs w:val="24"/>
        </w:rPr>
        <w:t xml:space="preserve"> BSH</w:t>
      </w:r>
      <w:r w:rsidR="00F53009" w:rsidRPr="00EE038F">
        <w:rPr>
          <w:rFonts w:ascii="Garamond" w:hAnsi="Garamond"/>
          <w:sz w:val="24"/>
          <w:szCs w:val="24"/>
        </w:rPr>
        <w:t>-ja</w:t>
      </w:r>
      <w:r w:rsidRPr="00EE038F">
        <w:rPr>
          <w:rFonts w:ascii="Garamond" w:hAnsi="Garamond"/>
          <w:sz w:val="24"/>
          <w:szCs w:val="24"/>
        </w:rPr>
        <w:t xml:space="preserve"> rriti në 0.25% normën e saj </w:t>
      </w:r>
      <w:r w:rsidR="00111397" w:rsidRPr="00EE038F">
        <w:rPr>
          <w:rFonts w:ascii="Garamond" w:hAnsi="Garamond"/>
          <w:sz w:val="24"/>
          <w:szCs w:val="24"/>
        </w:rPr>
        <w:t xml:space="preserve">kundërciklike të kapitalit </w:t>
      </w:r>
      <w:r w:rsidRPr="00EE038F">
        <w:rPr>
          <w:rFonts w:ascii="Garamond" w:hAnsi="Garamond"/>
          <w:i/>
          <w:iCs/>
          <w:sz w:val="24"/>
          <w:szCs w:val="24"/>
        </w:rPr>
        <w:t>Buffer</w:t>
      </w:r>
      <w:r w:rsidRPr="00EE038F">
        <w:rPr>
          <w:rFonts w:ascii="Garamond" w:hAnsi="Garamond"/>
          <w:sz w:val="24"/>
          <w:szCs w:val="24"/>
        </w:rPr>
        <w:t xml:space="preserve"> (CCyB), rritja e parë që nga zbatimi në qershor 2019. Bankat u njoftuan se rritja e mëtejshme e CCyB</w:t>
      </w:r>
      <w:r w:rsidR="00E22BD1" w:rsidRPr="00EE038F">
        <w:rPr>
          <w:rFonts w:ascii="Garamond" w:hAnsi="Garamond"/>
          <w:sz w:val="24"/>
          <w:szCs w:val="24"/>
        </w:rPr>
        <w:t>-së</w:t>
      </w:r>
      <w:r w:rsidRPr="00EE038F">
        <w:rPr>
          <w:rFonts w:ascii="Garamond" w:hAnsi="Garamond"/>
          <w:sz w:val="24"/>
          <w:szCs w:val="24"/>
        </w:rPr>
        <w:t xml:space="preserve"> është e mundur, me qëllim zbutjen e ciklit financiar dhe përmirësimin e rezistencës së bankave ndaj goditjeve. Pas miratimit të rregullores </w:t>
      </w:r>
      <w:r w:rsidR="00D555C7" w:rsidRPr="00EE038F">
        <w:rPr>
          <w:rFonts w:ascii="Garamond" w:hAnsi="Garamond"/>
          <w:sz w:val="24"/>
          <w:szCs w:val="24"/>
        </w:rPr>
        <w:t>“</w:t>
      </w:r>
      <w:r w:rsidRPr="00EE038F">
        <w:rPr>
          <w:rFonts w:ascii="Garamond" w:hAnsi="Garamond"/>
          <w:sz w:val="24"/>
          <w:szCs w:val="24"/>
        </w:rPr>
        <w:t>Për raportimin e të dhënave, identifikimin dhe monitorimin e treguesve për kreditimin dhe investimet në pasuri të paluajtshme</w:t>
      </w:r>
      <w:r w:rsidR="00D555C7" w:rsidRPr="00EE038F">
        <w:rPr>
          <w:rFonts w:ascii="Garamond" w:hAnsi="Garamond"/>
          <w:sz w:val="24"/>
          <w:szCs w:val="24"/>
        </w:rPr>
        <w:t>”</w:t>
      </w:r>
      <w:r w:rsidR="00E22BD1" w:rsidRPr="00EE038F">
        <w:rPr>
          <w:rFonts w:ascii="Garamond" w:hAnsi="Garamond"/>
          <w:sz w:val="24"/>
          <w:szCs w:val="24"/>
        </w:rPr>
        <w:t>,</w:t>
      </w:r>
      <w:r w:rsidRPr="00EE038F">
        <w:rPr>
          <w:rFonts w:ascii="Garamond" w:hAnsi="Garamond"/>
          <w:sz w:val="24"/>
          <w:szCs w:val="24"/>
        </w:rPr>
        <w:t xml:space="preserve"> në tetor 2023 u grumbulluan nga bankat raportet e para tremujore gjatë vitit 2024. Këto të dhëna u analizuan për të kuptuar më mirë ekspozimin e sektorit bankar në sektorin e pasurive të paluajtshme (rezidenciale dhe komerciale) dhe do t</w:t>
      </w:r>
      <w:r w:rsidR="00E22BD1" w:rsidRPr="00EE038F">
        <w:rPr>
          <w:rFonts w:ascii="Garamond" w:hAnsi="Garamond"/>
          <w:sz w:val="24"/>
          <w:szCs w:val="24"/>
        </w:rPr>
        <w:t>’</w:t>
      </w:r>
      <w:r w:rsidRPr="00EE038F">
        <w:rPr>
          <w:rFonts w:ascii="Garamond" w:hAnsi="Garamond"/>
          <w:sz w:val="24"/>
          <w:szCs w:val="24"/>
        </w:rPr>
        <w:t>i shërbejnë BSH-së për marrjen e masave makroprudenciale (të bazuara në huamarrës)</w:t>
      </w:r>
      <w:r w:rsidR="00E22BD1" w:rsidRPr="00EE038F">
        <w:rPr>
          <w:rFonts w:ascii="Garamond" w:hAnsi="Garamond"/>
          <w:sz w:val="24"/>
          <w:szCs w:val="24"/>
        </w:rPr>
        <w:t>,</w:t>
      </w:r>
      <w:r w:rsidRPr="00EE038F">
        <w:rPr>
          <w:rFonts w:ascii="Garamond" w:hAnsi="Garamond"/>
          <w:sz w:val="24"/>
          <w:szCs w:val="24"/>
        </w:rPr>
        <w:t xml:space="preserve"> kur lind nevoja për të parandaluar/përmbajtur rreziqet që rrjedhin nga ekspozime të tilla.</w:t>
      </w:r>
    </w:p>
    <w:p w14:paraId="49FAA88A" w14:textId="4A53176E" w:rsidR="00C50585" w:rsidRPr="00EE038F" w:rsidRDefault="002C2E74" w:rsidP="002C2E74">
      <w:pPr>
        <w:spacing w:after="0" w:line="240" w:lineRule="auto"/>
        <w:ind w:firstLine="284"/>
        <w:jc w:val="both"/>
        <w:rPr>
          <w:rFonts w:ascii="Garamond" w:hAnsi="Garamond"/>
          <w:sz w:val="24"/>
          <w:szCs w:val="24"/>
        </w:rPr>
      </w:pPr>
      <w:r w:rsidRPr="00EE038F">
        <w:rPr>
          <w:rFonts w:ascii="Garamond" w:hAnsi="Garamond" w:cs="Times New Roman"/>
          <w:i/>
          <w:color w:val="0D0D0D" w:themeColor="text1" w:themeTint="F2"/>
          <w:sz w:val="24"/>
          <w:szCs w:val="24"/>
        </w:rPr>
        <w:t xml:space="preserve">3.3 </w:t>
      </w:r>
      <w:r w:rsidR="00C50585" w:rsidRPr="00EE038F">
        <w:rPr>
          <w:rFonts w:ascii="Garamond" w:hAnsi="Garamond" w:cs="Times New Roman"/>
          <w:i/>
          <w:color w:val="0D0D0D" w:themeColor="text1" w:themeTint="F2"/>
          <w:sz w:val="24"/>
          <w:szCs w:val="24"/>
        </w:rPr>
        <w:t xml:space="preserve">Vazhdoni të promovoni kursimet dhe huamarrjen në monedhën </w:t>
      </w:r>
      <w:r w:rsidR="007F728D" w:rsidRPr="00EE038F">
        <w:rPr>
          <w:rFonts w:ascii="Garamond" w:hAnsi="Garamond" w:cs="Times New Roman"/>
          <w:i/>
          <w:color w:val="0D0D0D" w:themeColor="text1" w:themeTint="F2"/>
          <w:sz w:val="24"/>
          <w:szCs w:val="24"/>
        </w:rPr>
        <w:t>vendës</w:t>
      </w:r>
      <w:r w:rsidR="00C50585" w:rsidRPr="00EE038F">
        <w:rPr>
          <w:rFonts w:ascii="Garamond" w:hAnsi="Garamond" w:cs="Times New Roman"/>
          <w:i/>
          <w:color w:val="0D0D0D" w:themeColor="text1" w:themeTint="F2"/>
          <w:sz w:val="24"/>
          <w:szCs w:val="24"/>
        </w:rPr>
        <w:t>e, kufizoni kreditimin në valutë për agjentët ekonomikë të pambrojtur nga luhatjet në kurs dhe përdorimin e monedhës së huaj në ekonominë reale, duke ndërmarrë veprime të përshtatshme nga të gjithë nënshkruesit e Memorandumit të Bashkëpunimit.</w:t>
      </w:r>
    </w:p>
    <w:p w14:paraId="302095E4" w14:textId="1008FE06" w:rsidR="00C50585" w:rsidRPr="00EE038F" w:rsidRDefault="00C50585" w:rsidP="002C2E74">
      <w:pPr>
        <w:spacing w:after="0" w:line="240" w:lineRule="auto"/>
        <w:ind w:firstLine="284"/>
        <w:jc w:val="both"/>
        <w:rPr>
          <w:rFonts w:ascii="Garamond" w:hAnsi="Garamond"/>
          <w:color w:val="0D0D0D" w:themeColor="text1" w:themeTint="F2"/>
          <w:sz w:val="24"/>
          <w:szCs w:val="24"/>
        </w:rPr>
      </w:pPr>
      <w:r w:rsidRPr="00EE038F">
        <w:rPr>
          <w:rFonts w:ascii="Garamond" w:hAnsi="Garamond"/>
          <w:color w:val="0D0D0D" w:themeColor="text1" w:themeTint="F2"/>
          <w:sz w:val="24"/>
          <w:szCs w:val="24"/>
        </w:rPr>
        <w:t xml:space="preserve">Kreditë e pambrojtura në valutë si raport ndaj totalit të kredive ranë në nivelin 10.4%, duke vijuar trajektoren e saj rënëse afatgjatë. Krahas ndikimit të masave makroprudenciale, ky zhvillim ka reflektuar edhe rritjen e kërkesës për huamarrje në monedhën </w:t>
      </w:r>
      <w:r w:rsidR="007F728D" w:rsidRPr="00EE038F">
        <w:rPr>
          <w:rFonts w:ascii="Garamond" w:hAnsi="Garamond"/>
          <w:color w:val="0D0D0D" w:themeColor="text1" w:themeTint="F2"/>
          <w:sz w:val="24"/>
          <w:szCs w:val="24"/>
        </w:rPr>
        <w:t>vendës</w:t>
      </w:r>
      <w:r w:rsidRPr="00EE038F">
        <w:rPr>
          <w:rFonts w:ascii="Garamond" w:hAnsi="Garamond"/>
          <w:color w:val="0D0D0D" w:themeColor="text1" w:themeTint="F2"/>
          <w:sz w:val="24"/>
          <w:szCs w:val="24"/>
        </w:rPr>
        <w:t xml:space="preserve">e, nisur nga mbiçmimi i saj dhe normat relativisht më të ulëta të interesit. Gjatë periudhës, nuk janë marrë masa të reja makroprudenciale nga Banka e Shqipërisë dhe nga palët e tjera nënshkruese të Memorandumit të Bashkëpunimit, me synim nxitjen e monedhës </w:t>
      </w:r>
      <w:r w:rsidR="007F728D" w:rsidRPr="00EE038F">
        <w:rPr>
          <w:rFonts w:ascii="Garamond" w:hAnsi="Garamond"/>
          <w:color w:val="0D0D0D" w:themeColor="text1" w:themeTint="F2"/>
          <w:sz w:val="24"/>
          <w:szCs w:val="24"/>
        </w:rPr>
        <w:t>vendës</w:t>
      </w:r>
      <w:r w:rsidRPr="00EE038F">
        <w:rPr>
          <w:rFonts w:ascii="Garamond" w:hAnsi="Garamond"/>
          <w:color w:val="0D0D0D" w:themeColor="text1" w:themeTint="F2"/>
          <w:sz w:val="24"/>
          <w:szCs w:val="24"/>
        </w:rPr>
        <w:t>e në transaksionet ekonomike dhe financiare.</w:t>
      </w:r>
    </w:p>
    <w:p w14:paraId="793219BD" w14:textId="77777777" w:rsidR="00C50585" w:rsidRPr="00EE038F" w:rsidRDefault="00C253BF" w:rsidP="00C253BF">
      <w:pPr>
        <w:pStyle w:val="TEKSTIIIIII"/>
        <w:rPr>
          <w:bCs/>
        </w:rPr>
      </w:pPr>
      <w:bookmarkStart w:id="2" w:name="_Toc187328200"/>
      <w:r w:rsidRPr="00EE038F">
        <w:rPr>
          <w:bCs/>
        </w:rPr>
        <w:t xml:space="preserve">3. </w:t>
      </w:r>
      <w:r w:rsidR="00C50585" w:rsidRPr="00EE038F">
        <w:rPr>
          <w:bCs/>
        </w:rPr>
        <w:t>KUADRI MAKROEKONOMIK</w:t>
      </w:r>
      <w:bookmarkEnd w:id="2"/>
    </w:p>
    <w:p w14:paraId="1212537C" w14:textId="77777777" w:rsidR="00C50585" w:rsidRPr="00EE038F" w:rsidRDefault="00C253BF" w:rsidP="00C253BF">
      <w:pPr>
        <w:pStyle w:val="TEKSTIIIIII"/>
        <w:rPr>
          <w:b/>
        </w:rPr>
      </w:pPr>
      <w:bookmarkStart w:id="3" w:name="_Toc30661213"/>
      <w:bookmarkStart w:id="4" w:name="_Toc187328201"/>
      <w:bookmarkStart w:id="5" w:name="_Toc484076169"/>
      <w:r w:rsidRPr="00EE038F">
        <w:rPr>
          <w:b/>
        </w:rPr>
        <w:t xml:space="preserve">3.1 </w:t>
      </w:r>
      <w:r w:rsidR="00C50585" w:rsidRPr="00EE038F">
        <w:rPr>
          <w:b/>
        </w:rPr>
        <w:t>Zhvillimet e fundit ekonomike</w:t>
      </w:r>
      <w:bookmarkEnd w:id="3"/>
      <w:bookmarkEnd w:id="4"/>
    </w:p>
    <w:p w14:paraId="64197E35" w14:textId="53F49F65" w:rsidR="00C50585" w:rsidRPr="00EE038F" w:rsidRDefault="00C50585" w:rsidP="00C253BF">
      <w:pPr>
        <w:pStyle w:val="TEKSTIIIIII"/>
      </w:pPr>
      <w:r w:rsidRPr="00EE038F">
        <w:rPr>
          <w:b/>
        </w:rPr>
        <w:t>Ekonomia shqiptare ka ruajtur kahun pozitiv të zhvillimit gjatë vitit 2024.</w:t>
      </w:r>
      <w:r w:rsidRPr="00EE038F">
        <w:t xml:space="preserve"> Rritja ekonomike vijoi e qëndrueshme, e shoqëruar nga rritja e punësimit dhe e pagave, ndërsa shkalla e papunësisë mbeti në nivele të ulëta historike. Inflacioni i ka vazhduar të bjerë, duke u pozicionuar pranë – por pak nën – objektivin 3%. Treguesit kryesorë financiarë, përfshirë borxhin publik dhe atë të huaj shënuan përmirësime të dukshme. Po ashtu, sektori financiar ishte solid, i mbështetur nga banka të mirëkapitalizuara, likuide dhe fitimprurëse, ndërsa raporti i kredive të këqija mbeti në nivele të ulëta. Këto zhvillime pozitive u evidentuan edhe në përmirësimin e vlerësimit të kreditit të Shqipërisë nga Moody’s në Ba3 me një perspektivë të qëndrueshme. </w:t>
      </w:r>
    </w:p>
    <w:p w14:paraId="410BA001" w14:textId="5B776DF4" w:rsidR="00C50585" w:rsidRPr="00EE038F" w:rsidRDefault="00C50585" w:rsidP="00C253BF">
      <w:pPr>
        <w:pStyle w:val="TEKSTIIIIII"/>
      </w:pPr>
      <w:r w:rsidRPr="00EE038F">
        <w:rPr>
          <w:b/>
        </w:rPr>
        <w:t>Ekonomia vazhdoi të rritet me një ritëm të qëndrueshëm dhe prodhimi i brendshëm bruto (PBB) u rrit me 3.9% në gjysmën e parë të vitit 2024</w:t>
      </w:r>
      <w:r w:rsidRPr="00EE038F">
        <w:t>, duke ruajtur dinamikën e vërejtur gjatë vitit 2023. Kjo rritje u diktua kryesisht nga performanca e mirë e turizmit dhe rritja e kërkesës së brendshme. Kjo e fundit u rrit me 5% në gjysmën e parë të vitit 2024, duke përshpejtuar ritmin në krahasim me vitin e kaluar (2.7%). Ky përshpejtim reflektoi njëkohësisht rritjen më të shpejtë</w:t>
      </w:r>
      <w:r w:rsidR="00E22BD1" w:rsidRPr="00EE038F">
        <w:t>,</w:t>
      </w:r>
      <w:r w:rsidRPr="00EE038F">
        <w:t xml:space="preserve"> si të konsumit me 5.2% (nga 3.25% në 2023), ashtu edhe të investimeve me 3.8% (nga 1.0% në 2023). Nga ana tjetër, megjithëse eksportet e turizmit u rritën me rreth 25.5%, kontributi i eksporteve neto në rritjen ekonomike ishte negative. Ky kontribut u përcaktua nga rritja më e shpejtë e importit të mallrave dhe</w:t>
      </w:r>
      <w:r w:rsidR="00E22BD1" w:rsidRPr="00EE038F">
        <w:t xml:space="preserve"> e </w:t>
      </w:r>
      <w:r w:rsidRPr="00EE038F">
        <w:t>shërbimeve dhe rënies së eksporteve të mallrave.</w:t>
      </w:r>
    </w:p>
    <w:p w14:paraId="76061DA7" w14:textId="097C795A" w:rsidR="00C50585" w:rsidRPr="00EE038F" w:rsidRDefault="00C50585" w:rsidP="00C253BF">
      <w:pPr>
        <w:pStyle w:val="TEKSTIIIIII"/>
      </w:pPr>
      <w:r w:rsidRPr="00EE038F">
        <w:t xml:space="preserve">Nga një këndvështrim sektorial, rritja e PBB-së u nxit kryesisht nga rritja e aktivitetit në sektorët e shërbimeve dhe ndërtimit. Sektori i shërbimeve kontribuoi me 2.9 pikë </w:t>
      </w:r>
      <w:r w:rsidR="009242F9" w:rsidRPr="00EE038F">
        <w:t>përqindje</w:t>
      </w:r>
      <w:r w:rsidRPr="00EE038F">
        <w:t xml:space="preserve">je në dy tremujorët e parë të vitit, ndërsa ndërtimi kontribuoi me 1.0 pikë </w:t>
      </w:r>
      <w:r w:rsidR="009242F9" w:rsidRPr="00EE038F">
        <w:t>përqindje</w:t>
      </w:r>
      <w:r w:rsidRPr="00EE038F">
        <w:t xml:space="preserve">je. Në të kundërt, sektori industrial vazhdoi të japë kontribut negativ, veçanërisht nga sektori i minierave dhe </w:t>
      </w:r>
      <w:r w:rsidR="003926D2" w:rsidRPr="00EE038F">
        <w:t xml:space="preserve">i </w:t>
      </w:r>
      <w:r w:rsidRPr="00EE038F">
        <w:t>prodhimit, gjë që u reflektua edhe në uljen e eksporteve të mallrave. Ndërkohë, kontributi i bujqësisë në rritje mbeti i papërfillshëm.</w:t>
      </w:r>
    </w:p>
    <w:p w14:paraId="63AC80F5" w14:textId="77777777" w:rsidR="00C50585" w:rsidRPr="00EE038F" w:rsidRDefault="00C50585" w:rsidP="00C50585">
      <w:pPr>
        <w:spacing w:after="0" w:line="240" w:lineRule="auto"/>
        <w:jc w:val="both"/>
        <w:rPr>
          <w:rFonts w:ascii="Garamond" w:hAnsi="Garamond"/>
        </w:rPr>
      </w:pPr>
    </w:p>
    <w:p w14:paraId="6BDC296B" w14:textId="77777777" w:rsidR="00C50585" w:rsidRPr="00EE038F" w:rsidRDefault="00C50585" w:rsidP="0015517A">
      <w:pPr>
        <w:pStyle w:val="TEKSTIIIIII"/>
        <w:jc w:val="center"/>
        <w:rPr>
          <w:i/>
          <w:iCs/>
        </w:rPr>
      </w:pPr>
      <w:r w:rsidRPr="00EE038F">
        <w:rPr>
          <w:i/>
          <w:iCs/>
        </w:rPr>
        <w:lastRenderedPageBreak/>
        <w:t>Grafik</w:t>
      </w:r>
      <w:r w:rsidRPr="00EE038F">
        <w:rPr>
          <w:i/>
          <w:iCs/>
          <w:color w:val="0D0D0D" w:themeColor="text1" w:themeTint="F2"/>
        </w:rPr>
        <w:t xml:space="preserve"> 3.1.1</w:t>
      </w:r>
      <w:r w:rsidRPr="00EE038F">
        <w:rPr>
          <w:i/>
          <w:iCs/>
        </w:rPr>
        <w:t>: Dekompozimi i rritjes ekonomike sipas sektorëve (majtas) dhe kërkesës (djathtas)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488"/>
      </w:tblGrid>
      <w:tr w:rsidR="00C50585" w:rsidRPr="00EE038F" w14:paraId="1A76D225" w14:textId="77777777" w:rsidTr="007C70E7">
        <w:tc>
          <w:tcPr>
            <w:tcW w:w="4866" w:type="dxa"/>
          </w:tcPr>
          <w:p w14:paraId="782DD5B8" w14:textId="77777777" w:rsidR="00C50585" w:rsidRPr="00EE038F" w:rsidRDefault="00C50585" w:rsidP="007C70E7">
            <w:pPr>
              <w:jc w:val="both"/>
              <w:rPr>
                <w:rFonts w:ascii="Garamond" w:hAnsi="Garamond"/>
              </w:rPr>
            </w:pPr>
            <w:r w:rsidRPr="00EE038F">
              <w:rPr>
                <w:rFonts w:ascii="Garamond" w:hAnsi="Garamond"/>
                <w:noProof/>
                <w:lang w:eastAsia="en-GB"/>
              </w:rPr>
              <w:drawing>
                <wp:inline distT="0" distB="0" distL="0" distR="0" wp14:anchorId="66B87E7C" wp14:editId="4ED94106">
                  <wp:extent cx="3085489" cy="194741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96107" cy="1954112"/>
                          </a:xfrm>
                          <a:prstGeom prst="rect">
                            <a:avLst/>
                          </a:prstGeom>
                          <a:noFill/>
                          <a:ln>
                            <a:noFill/>
                          </a:ln>
                        </pic:spPr>
                      </pic:pic>
                    </a:graphicData>
                  </a:graphic>
                </wp:inline>
              </w:drawing>
            </w:r>
          </w:p>
        </w:tc>
        <w:tc>
          <w:tcPr>
            <w:tcW w:w="4740" w:type="dxa"/>
          </w:tcPr>
          <w:p w14:paraId="116CEAC2" w14:textId="77777777" w:rsidR="00C50585" w:rsidRPr="00EE038F" w:rsidRDefault="00C50585" w:rsidP="007C70E7">
            <w:pPr>
              <w:jc w:val="both"/>
              <w:rPr>
                <w:rFonts w:ascii="Garamond" w:hAnsi="Garamond"/>
              </w:rPr>
            </w:pPr>
            <w:r w:rsidRPr="00EE038F">
              <w:rPr>
                <w:rFonts w:ascii="Garamond" w:hAnsi="Garamond"/>
                <w:noProof/>
                <w:lang w:eastAsia="en-GB"/>
              </w:rPr>
              <w:drawing>
                <wp:inline distT="0" distB="0" distL="0" distR="0" wp14:anchorId="7FA0652F" wp14:editId="4756AC64">
                  <wp:extent cx="3054350" cy="19621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54350" cy="1962150"/>
                          </a:xfrm>
                          <a:prstGeom prst="rect">
                            <a:avLst/>
                          </a:prstGeom>
                          <a:noFill/>
                          <a:ln>
                            <a:noFill/>
                          </a:ln>
                        </pic:spPr>
                      </pic:pic>
                    </a:graphicData>
                  </a:graphic>
                </wp:inline>
              </w:drawing>
            </w:r>
          </w:p>
        </w:tc>
      </w:tr>
    </w:tbl>
    <w:p w14:paraId="5B689BB9" w14:textId="7D4E2D8E" w:rsidR="00C50585" w:rsidRPr="00EE038F" w:rsidRDefault="00C50585" w:rsidP="003926D2">
      <w:pPr>
        <w:spacing w:after="0" w:line="240" w:lineRule="auto"/>
        <w:jc w:val="center"/>
        <w:rPr>
          <w:rFonts w:ascii="Garamond" w:hAnsi="Garamond"/>
          <w:sz w:val="24"/>
          <w:szCs w:val="24"/>
        </w:rPr>
      </w:pPr>
      <w:r w:rsidRPr="00EE038F">
        <w:rPr>
          <w:rFonts w:ascii="Garamond" w:hAnsi="Garamond"/>
          <w:sz w:val="24"/>
          <w:szCs w:val="24"/>
        </w:rPr>
        <w:t xml:space="preserve">Burimi: </w:t>
      </w:r>
      <w:r w:rsidR="005F2977" w:rsidRPr="00EE038F">
        <w:rPr>
          <w:rFonts w:ascii="Garamond" w:hAnsi="Garamond"/>
          <w:sz w:val="24"/>
          <w:szCs w:val="24"/>
        </w:rPr>
        <w:t>INSTAT</w:t>
      </w:r>
      <w:r w:rsidRPr="00EE038F">
        <w:rPr>
          <w:rFonts w:ascii="Garamond" w:hAnsi="Garamond"/>
          <w:sz w:val="24"/>
          <w:szCs w:val="24"/>
        </w:rPr>
        <w:t xml:space="preserve">, </w:t>
      </w:r>
      <w:r w:rsidR="003926D2" w:rsidRPr="00EE038F">
        <w:rPr>
          <w:rFonts w:ascii="Garamond" w:hAnsi="Garamond"/>
          <w:sz w:val="24"/>
          <w:szCs w:val="24"/>
        </w:rPr>
        <w:t>BSH</w:t>
      </w:r>
    </w:p>
    <w:p w14:paraId="572AF095" w14:textId="77777777" w:rsidR="00C50585" w:rsidRPr="00EE038F" w:rsidRDefault="00C50585" w:rsidP="00C50585">
      <w:pPr>
        <w:spacing w:after="0" w:line="240" w:lineRule="auto"/>
        <w:jc w:val="both"/>
        <w:rPr>
          <w:rFonts w:ascii="Garamond" w:hAnsi="Garamond"/>
        </w:rPr>
      </w:pPr>
    </w:p>
    <w:p w14:paraId="255C5EF2" w14:textId="0CE19D88" w:rsidR="00C50585" w:rsidRPr="00EE038F" w:rsidRDefault="00C50585" w:rsidP="00C253BF">
      <w:pPr>
        <w:pStyle w:val="TEKSTIIIIII"/>
      </w:pPr>
      <w:r w:rsidRPr="00EE038F">
        <w:rPr>
          <w:b/>
        </w:rPr>
        <w:t>Rritja e PBB-së është mbështetur nga një sërë faktorësh,</w:t>
      </w:r>
      <w:r w:rsidRPr="00EE038F">
        <w:t xml:space="preserve"> përfshirë bilancet e forta të sektorit privat, optimizmin e biznesit dhe të familjeve, kushtet e favorshme të financimit dhe vazhdimësinë e investimeve të huaja direkte (IHD). Për më tepër, rritja u mbështet nga politikat e kujdesshme makroekonomike: politika fiskale konsoliduese çoi në uljen e ndjeshme të borxhit publik, ndërsa politika monetare e matur vuri në kontroll inflacionin dhe politika mikro</w:t>
      </w:r>
      <w:r w:rsidR="004342BD" w:rsidRPr="00EE038F">
        <w:t>-</w:t>
      </w:r>
      <w:r w:rsidRPr="00EE038F">
        <w:t xml:space="preserve"> e makroprudenciale forcuan rezistecën e sektorit bankar.</w:t>
      </w:r>
    </w:p>
    <w:p w14:paraId="63B32315" w14:textId="660C96A0" w:rsidR="00C50585" w:rsidRPr="00EE038F" w:rsidRDefault="00C50585" w:rsidP="00C253BF">
      <w:pPr>
        <w:pStyle w:val="TEKSTIIIIII"/>
      </w:pPr>
      <w:r w:rsidRPr="00EE038F">
        <w:rPr>
          <w:b/>
        </w:rPr>
        <w:t>Rritja e PBB-së u shoqërua me rritje të punësimit dhe pagave</w:t>
      </w:r>
      <w:r w:rsidRPr="00EE038F">
        <w:t xml:space="preserve">. Ndërsa statistikat zyrtare nga </w:t>
      </w:r>
      <w:r w:rsidR="00926E39" w:rsidRPr="00EE038F">
        <w:t xml:space="preserve">anketa e forcës së punës ende </w:t>
      </w:r>
      <w:r w:rsidRPr="00EE038F">
        <w:t>nuk janë publikuar, të dhënat administrative sugjerojnë se punësimi u rrit me 1.3% në gjysmën e parë të vitit 2024, kryesisht në reflektim të rritjes së punësimit në sektorin e shërbimeve. Në përputhje me tendencat e viteve të fundit, pagat vazhduan të rriten edhe gjatë vitit 2024, duke reflektuar kushtet e shtrënguara në tregun e punës. Këto të fundit dëshmohet edhe në vrojtimet e besimit të organizuara me kompanitë private</w:t>
      </w:r>
      <w:r w:rsidR="00926E39" w:rsidRPr="00EE038F">
        <w:t>,</w:t>
      </w:r>
      <w:r w:rsidRPr="00EE038F">
        <w:t xml:space="preserve"> të cilat identifikojnë gjithnjë e më shumë mungesën e fuqisë punëtore</w:t>
      </w:r>
      <w:r w:rsidR="00926E39" w:rsidRPr="00EE038F">
        <w:t>,</w:t>
      </w:r>
      <w:r w:rsidRPr="00EE038F">
        <w:t xml:space="preserve"> si një pengesë kryesore për zgjerimin e mëtejshëm të aktivitetit ekonomik. Pagat në sektorin privat u rritën me 9.5% gjatë nëntë muajve të parë të vitit 2024 dhe kjo rritje ishte me bazë të gjerë në të gjithë sektorët dhe profesionet.</w:t>
      </w:r>
    </w:p>
    <w:p w14:paraId="6A55CD2B" w14:textId="63394E4F" w:rsidR="00C50585" w:rsidRPr="00EE038F" w:rsidRDefault="00C50585" w:rsidP="00C253BF">
      <w:pPr>
        <w:pStyle w:val="TEKSTIIIIII"/>
      </w:pPr>
      <w:r w:rsidRPr="00EE038F">
        <w:rPr>
          <w:b/>
        </w:rPr>
        <w:t xml:space="preserve">Rritja e shpejtë e eksporteve të shërbimeve, të investimeve të huaja direkte dhe të remitancave kanë kontribuar në përmirësimin e pozicionit të jashtëm të ekonomisë dhe mbiçmimin e </w:t>
      </w:r>
      <w:r w:rsidR="00926E39" w:rsidRPr="00EE038F">
        <w:rPr>
          <w:b/>
        </w:rPr>
        <w:t xml:space="preserve">lekut </w:t>
      </w:r>
      <w:r w:rsidRPr="00EE038F">
        <w:rPr>
          <w:b/>
        </w:rPr>
        <w:t>gjatë viteve të fundit.</w:t>
      </w:r>
      <w:r w:rsidRPr="00EE038F">
        <w:t xml:space="preserve"> Deficiti i llogarisë korrente shënoi 1.3% të PBB-së gjatë tre tremujorëve të parë të vitit, duke u qëndruar pranë nivelit të vitit të shkuar prej 1.2%. Kjo periudhë shfaqi një rritje të importeve, të nxitura nga zgjerimi i shpejtë i kërkesës së brendshme. Megjithatë, eksportet e mallrave pësuan rënie, për shkak të një mjedisi të pafavorshëm të jashtëm në terma të kërkesës dhe </w:t>
      </w:r>
      <w:r w:rsidR="00926E39" w:rsidRPr="00EE038F">
        <w:t xml:space="preserve">të </w:t>
      </w:r>
      <w:r w:rsidRPr="00EE038F">
        <w:t xml:space="preserve">çmimeve, si dhe nga ndikimi i mbiçmimit të </w:t>
      </w:r>
      <w:r w:rsidR="005F2977" w:rsidRPr="00EE038F">
        <w:t>lekut</w:t>
      </w:r>
      <w:r w:rsidRPr="00EE038F">
        <w:t>. Në kontrast, eksportet e shërbimeve – të udhëhequra kryesisht nga turizmi – vazhduan të performojnë pozitivisht, duke shënuar një rritje prej 19.9% krahasuar me nëntëmujorin e parë të vitit 2023. Në të njëjtën kohë, remitancat u rritën me një ritëm të përshpejtuar prej 14.3%, ndërsa flukset e IHD-ve u zgjeruan me 5.8% gjatë kësaj periudhe.</w:t>
      </w:r>
    </w:p>
    <w:p w14:paraId="78ACE414" w14:textId="77777777" w:rsidR="00C50585" w:rsidRPr="00EE038F" w:rsidRDefault="00C50585" w:rsidP="00C253BF">
      <w:pPr>
        <w:pStyle w:val="TEKSTIIIIII"/>
      </w:pPr>
      <w:r w:rsidRPr="00EE038F">
        <w:rPr>
          <w:b/>
        </w:rPr>
        <w:t>Leku vazhdoi prirjen e tij mbiçmuese gjatë vitit 2024, megjithëse me një ritëm më të moderuar krahasuar me vitin 2023.</w:t>
      </w:r>
      <w:r w:rsidRPr="00EE038F">
        <w:t xml:space="preserve"> Pas një tremujori të parë të qëndrueshëm, monedha rifilloi trajektoren mbiçmuese prej muajit prill, me kursin e këmbimit EUR/LEK që ra në 98.4 në tetor dhe nëntor nga 103.8 në tremujorin e parë. Mbiçmimi vjetor mbeti i fortë deri në maj dhe u moderua më pas, duke arritur në 6.2% në tetor dhe nëntor. Presionet e vazhdueshme për forcimin e kursit vijuan të burojnë nga rritja e flukseve hyrëse valutore të ushqyera nga rritja e turizmit, remitancave dhe IHD-ve. Tregu i këmbimit valutor ka funksionuar normalisht, i karakterizuar nga rritje e volumit të tregtimit dhe volatilitet i ulët.</w:t>
      </w:r>
    </w:p>
    <w:p w14:paraId="1BB6BDF7" w14:textId="0862D010" w:rsidR="00C50585" w:rsidRPr="00EE038F" w:rsidRDefault="00C50585" w:rsidP="00C253BF">
      <w:pPr>
        <w:pStyle w:val="TEKSTIIIIII"/>
      </w:pPr>
      <w:r w:rsidRPr="00EE038F">
        <w:rPr>
          <w:b/>
        </w:rPr>
        <w:t>Shqipëria ka forcuar qëndrueshmërinë e saj ndaj goditjeve të mundshme të jashtme</w:t>
      </w:r>
      <w:r w:rsidRPr="00EE038F">
        <w:t xml:space="preserve">. Raporti i borxhit të jashtëm ndaj PBB-së ka rënë në 44% në gjysmën e parë të vitit 2024, nga 47.2% </w:t>
      </w:r>
      <w:r w:rsidRPr="00EE038F">
        <w:lastRenderedPageBreak/>
        <w:t>në fund të vitit 2023. Rezervat ndërkombëtare</w:t>
      </w:r>
      <w:r w:rsidR="005F2977" w:rsidRPr="00EE038F">
        <w:t>,</w:t>
      </w:r>
      <w:r w:rsidRPr="00EE038F">
        <w:t xml:space="preserve"> gjithashtu</w:t>
      </w:r>
      <w:r w:rsidR="005F2977" w:rsidRPr="00EE038F">
        <w:t>,</w:t>
      </w:r>
      <w:r w:rsidRPr="00EE038F">
        <w:t xml:space="preserve"> janë rritur duke arritur në 24% të PBB-së gjatë nëntëmujorit të parë të vitit.</w:t>
      </w:r>
    </w:p>
    <w:p w14:paraId="4CA27962" w14:textId="4A2DA8F2" w:rsidR="00C50585" w:rsidRPr="00EE038F" w:rsidRDefault="00C50585" w:rsidP="00C253BF">
      <w:pPr>
        <w:pStyle w:val="TEKSTIIIIII"/>
      </w:pPr>
      <w:r w:rsidRPr="00EE038F">
        <w:rPr>
          <w:b/>
        </w:rPr>
        <w:t xml:space="preserve">Inflacioni i çmimeve të konsumit vazhdoi trendin rënës gjatë vitit 2024. </w:t>
      </w:r>
      <w:r w:rsidRPr="00EE038F">
        <w:t xml:space="preserve">Ai zbriti në 2.2% gjatë 11 muajve të parë të vitit 2024, nga 4.8% në vitin 2023. Kjo rënie u ndikua, fillimisht, nga rënia e inflacionit të çmimeve të ushqimeve, dhe, më tej, u intensifikua nga rënia e çmimeve të naftës gjatë muajve të fundit. Paralelisht me to, mbiçmimi i vazhduar i </w:t>
      </w:r>
      <w:r w:rsidR="005F2977" w:rsidRPr="00EE038F">
        <w:t xml:space="preserve">lekut </w:t>
      </w:r>
      <w:r w:rsidRPr="00EE038F">
        <w:t xml:space="preserve">vijoi të ushtrojë presione disinflacioniste. Ndërsa rënia e çmimeve të ushqimeve ishte një trend rajonal, ndikimi i saj në inflacionin e Shqipërisë u amplifikua nga pesha jashtëzakonisht e lartë e ushqimeve në shportën e konsumit (rreth 40). Kontributi i inflacionit të çmimeve të ushqimeve në inflacionin total ra në 1.1 pikë </w:t>
      </w:r>
      <w:r w:rsidR="009242F9" w:rsidRPr="00EE038F">
        <w:t>përqindje</w:t>
      </w:r>
      <w:r w:rsidRPr="00EE038F">
        <w:t xml:space="preserve">je në vitin 2024, nga 3.6 pikë </w:t>
      </w:r>
      <w:r w:rsidR="009242F9" w:rsidRPr="00EE038F">
        <w:t>përqindje</w:t>
      </w:r>
      <w:r w:rsidRPr="00EE038F">
        <w:t xml:space="preserve">je në vitin 2023. Ndërkohë, kontributi i kategorive </w:t>
      </w:r>
      <w:r w:rsidR="005F2977" w:rsidRPr="00EE038F">
        <w:t>të</w:t>
      </w:r>
      <w:r w:rsidRPr="00EE038F">
        <w:t xml:space="preserve"> naftës ka mbetur në territor negativ (-0.1 pp nga 0.5 pp në 2023) dhe kontributi i kategorive të tjera është luhatur pranë vlerave të vitit 2023.</w:t>
      </w:r>
    </w:p>
    <w:p w14:paraId="1017777A" w14:textId="0F67235A" w:rsidR="00C50585" w:rsidRPr="00EE038F" w:rsidRDefault="00C50585" w:rsidP="00C253BF">
      <w:pPr>
        <w:pStyle w:val="TEKSTIIIIII"/>
      </w:pPr>
      <w:r w:rsidRPr="00EE038F">
        <w:t>Procesi disinflacionist u nxit më së shumti nga rënia e shpejtë e inflacionit të importuar. Ky i fundit reflektoi rënien e çmimeve globale të mallrave dhe mbiçmimi e kursit të këmbimit. Kontributi i këtij komponenti në inflacionin total ka rënë në rreth 15%, nga një mesatare historike prej 45%. Nga ana tjetër, presionet e brendshme inflacioniste – të nxitura nga rritja e kërkesës, kushtet e shtrënguara në tregun e punës dhe rritja e pagave – janë zbutur pjesërisht nga rritja e produktivitetit, marzhet më të ulëta të fitimit të biznesit dhe pritjet inflacioniste të ankoruara. Këto pritje reflektojnë normalizimin e kujdesshëm të politikës monetare gjatë viteve 2022–2023. Në reflektim të tyre, matjet e inflacionit të brendshëm dhe bazë kanë ardhur</w:t>
      </w:r>
      <w:r w:rsidR="005F2977" w:rsidRPr="00EE038F">
        <w:t>,</w:t>
      </w:r>
      <w:r w:rsidRPr="00EE038F">
        <w:t xml:space="preserve"> gjithashtu</w:t>
      </w:r>
      <w:r w:rsidR="005F2977" w:rsidRPr="00EE038F">
        <w:t>,</w:t>
      </w:r>
      <w:r w:rsidRPr="00EE038F">
        <w:t xml:space="preserve"> në rënie, ndonëse më ngadalë se inflacioni i importuar. Matjet e inflacionit bazë kanë rënë mesatarisht në 2.5% për 11 muajt e vitit 2024, nga 4.6% për të njëjtën periudhë një vit më parë.</w:t>
      </w:r>
    </w:p>
    <w:p w14:paraId="6F4F32BF" w14:textId="77777777" w:rsidR="00C50585" w:rsidRPr="00EE038F" w:rsidRDefault="00C50585" w:rsidP="00C50585">
      <w:pPr>
        <w:spacing w:after="0" w:line="240" w:lineRule="auto"/>
        <w:jc w:val="both"/>
        <w:rPr>
          <w:rFonts w:ascii="Garamond" w:hAnsi="Garamond"/>
        </w:rPr>
      </w:pPr>
    </w:p>
    <w:p w14:paraId="4C5AC8C4" w14:textId="77777777" w:rsidR="00C50585" w:rsidRPr="00EE038F" w:rsidRDefault="00C50585" w:rsidP="00066DFC">
      <w:pPr>
        <w:pStyle w:val="TEKSTIIIIII"/>
        <w:jc w:val="center"/>
        <w:rPr>
          <w:i/>
          <w:iCs/>
        </w:rPr>
      </w:pPr>
      <w:r w:rsidRPr="00EE038F">
        <w:rPr>
          <w:i/>
          <w:iCs/>
        </w:rPr>
        <w:t xml:space="preserve">Grafik </w:t>
      </w:r>
      <w:r w:rsidRPr="00EE038F">
        <w:rPr>
          <w:i/>
          <w:iCs/>
          <w:color w:val="0D0D0D" w:themeColor="text1" w:themeTint="F2"/>
        </w:rPr>
        <w:t>3.1.2</w:t>
      </w:r>
      <w:r w:rsidRPr="00EE038F">
        <w:rPr>
          <w:i/>
          <w:iCs/>
        </w:rPr>
        <w:t>: Dekompozim i inflacionit (pp)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4"/>
        <w:gridCol w:w="4496"/>
      </w:tblGrid>
      <w:tr w:rsidR="00C50585" w:rsidRPr="00EE038F" w14:paraId="589EB151" w14:textId="77777777" w:rsidTr="007C70E7">
        <w:tc>
          <w:tcPr>
            <w:tcW w:w="4798" w:type="dxa"/>
          </w:tcPr>
          <w:p w14:paraId="51D4D8F3" w14:textId="77777777" w:rsidR="00C50585" w:rsidRPr="00EE038F" w:rsidRDefault="00C50585" w:rsidP="007C70E7">
            <w:pPr>
              <w:jc w:val="both"/>
              <w:rPr>
                <w:rFonts w:ascii="Garamond" w:hAnsi="Garamond"/>
              </w:rPr>
            </w:pPr>
            <w:r w:rsidRPr="00EE038F">
              <w:rPr>
                <w:rFonts w:ascii="Garamond" w:hAnsi="Garamond"/>
                <w:noProof/>
                <w:lang w:eastAsia="en-GB"/>
              </w:rPr>
              <w:drawing>
                <wp:inline distT="0" distB="0" distL="0" distR="0" wp14:anchorId="63205CF4" wp14:editId="6B9AFAAB">
                  <wp:extent cx="3023334" cy="1849691"/>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55715" cy="1869502"/>
                          </a:xfrm>
                          <a:prstGeom prst="rect">
                            <a:avLst/>
                          </a:prstGeom>
                          <a:noFill/>
                          <a:ln>
                            <a:noFill/>
                          </a:ln>
                        </pic:spPr>
                      </pic:pic>
                    </a:graphicData>
                  </a:graphic>
                </wp:inline>
              </w:drawing>
            </w:r>
          </w:p>
        </w:tc>
        <w:tc>
          <w:tcPr>
            <w:tcW w:w="4798" w:type="dxa"/>
          </w:tcPr>
          <w:p w14:paraId="6D93C2A2" w14:textId="77777777" w:rsidR="00C50585" w:rsidRPr="00EE038F" w:rsidRDefault="00C50585" w:rsidP="007C70E7">
            <w:pPr>
              <w:jc w:val="both"/>
              <w:rPr>
                <w:rFonts w:ascii="Garamond" w:hAnsi="Garamond"/>
              </w:rPr>
            </w:pPr>
            <w:r w:rsidRPr="00EE038F">
              <w:rPr>
                <w:rFonts w:ascii="Garamond" w:hAnsi="Garamond"/>
                <w:noProof/>
                <w:lang w:eastAsia="en-GB"/>
              </w:rPr>
              <w:drawing>
                <wp:inline distT="0" distB="0" distL="0" distR="0" wp14:anchorId="338F5FE4" wp14:editId="1E5E8BB7">
                  <wp:extent cx="3007478" cy="1872492"/>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25419" cy="1883662"/>
                          </a:xfrm>
                          <a:prstGeom prst="rect">
                            <a:avLst/>
                          </a:prstGeom>
                          <a:noFill/>
                          <a:ln>
                            <a:noFill/>
                          </a:ln>
                        </pic:spPr>
                      </pic:pic>
                    </a:graphicData>
                  </a:graphic>
                </wp:inline>
              </w:drawing>
            </w:r>
          </w:p>
        </w:tc>
      </w:tr>
    </w:tbl>
    <w:p w14:paraId="5B0562FD" w14:textId="30ECF022" w:rsidR="00C50585" w:rsidRPr="00EE038F" w:rsidRDefault="00C50585" w:rsidP="00066DFC">
      <w:pPr>
        <w:spacing w:after="0" w:line="240" w:lineRule="auto"/>
        <w:jc w:val="center"/>
        <w:rPr>
          <w:rFonts w:ascii="Garamond" w:hAnsi="Garamond"/>
          <w:i/>
          <w:iCs/>
          <w:sz w:val="24"/>
          <w:szCs w:val="24"/>
        </w:rPr>
      </w:pPr>
      <w:r w:rsidRPr="00EE038F">
        <w:rPr>
          <w:rFonts w:ascii="Garamond" w:hAnsi="Garamond"/>
          <w:i/>
          <w:iCs/>
          <w:sz w:val="24"/>
          <w:szCs w:val="24"/>
        </w:rPr>
        <w:t xml:space="preserve">Burimi: </w:t>
      </w:r>
      <w:r w:rsidR="005F2977" w:rsidRPr="00EE038F">
        <w:rPr>
          <w:rFonts w:ascii="Garamond" w:hAnsi="Garamond"/>
          <w:i/>
          <w:iCs/>
          <w:sz w:val="24"/>
          <w:szCs w:val="24"/>
        </w:rPr>
        <w:t>INSTAT</w:t>
      </w:r>
      <w:r w:rsidRPr="00EE038F">
        <w:rPr>
          <w:rFonts w:ascii="Garamond" w:hAnsi="Garamond"/>
          <w:i/>
          <w:iCs/>
          <w:sz w:val="24"/>
          <w:szCs w:val="24"/>
        </w:rPr>
        <w:t>, Banka e Shqipërisë</w:t>
      </w:r>
    </w:p>
    <w:p w14:paraId="78B379B2" w14:textId="77777777" w:rsidR="00C50585" w:rsidRPr="00EE038F" w:rsidRDefault="00C50585" w:rsidP="00C50585">
      <w:pPr>
        <w:spacing w:after="0" w:line="240" w:lineRule="auto"/>
        <w:jc w:val="both"/>
        <w:rPr>
          <w:rFonts w:ascii="Garamond" w:hAnsi="Garamond"/>
        </w:rPr>
      </w:pPr>
    </w:p>
    <w:p w14:paraId="18509030" w14:textId="44D641E6" w:rsidR="00C50585" w:rsidRPr="00EE038F" w:rsidRDefault="00C50585" w:rsidP="00C253BF">
      <w:pPr>
        <w:pStyle w:val="TEKSTIIIIII"/>
      </w:pPr>
      <w:r w:rsidRPr="00EE038F">
        <w:rPr>
          <w:b/>
          <w:iCs/>
        </w:rPr>
        <w:t>Tregu financiar</w:t>
      </w:r>
      <w:r w:rsidRPr="00EE038F">
        <w:rPr>
          <w:b/>
          <w:i/>
          <w:iCs/>
        </w:rPr>
        <w:t xml:space="preserve"> </w:t>
      </w:r>
      <w:r w:rsidRPr="00EE038F">
        <w:rPr>
          <w:b/>
        </w:rPr>
        <w:t>është karakterizuar nga kushte të mira likuiditeti, prime të ulëta rreziku dhe norma interesi në rënie.</w:t>
      </w:r>
      <w:r w:rsidRPr="00EE038F">
        <w:t xml:space="preserve"> Reduktimet e normës bazë të ndërmarra nga BSH kanë gjetur pasqyrim të gjerë në segmentet e tij. </w:t>
      </w:r>
      <w:r w:rsidRPr="00EE038F">
        <w:rPr>
          <w:i/>
        </w:rPr>
        <w:t>Yield</w:t>
      </w:r>
      <w:r w:rsidRPr="00EE038F">
        <w:t xml:space="preserve">-et e letrave me vlerë të qeverisë, pas një rritjeje të përkohshme në tremujorin e parë, kanë treguar prirje rënëse në vazhdim të vitit, duke zvogëluar diferencën me normën bazë, si dhe diferencat mes tyre. </w:t>
      </w:r>
      <w:r w:rsidRPr="00EE038F">
        <w:rPr>
          <w:i/>
        </w:rPr>
        <w:t>Yield</w:t>
      </w:r>
      <w:r w:rsidRPr="00EE038F">
        <w:t>-i 12-mujor ka rënë në 2.8% në muajin nëntor, nga 3.4% që ishte në fund</w:t>
      </w:r>
      <w:r w:rsidR="00AD3D9C" w:rsidRPr="00EE038F">
        <w:t xml:space="preserve"> </w:t>
      </w:r>
      <w:r w:rsidRPr="00EE038F">
        <w:t xml:space="preserve">të vitit të kaluar. </w:t>
      </w:r>
    </w:p>
    <w:p w14:paraId="65B831EA" w14:textId="77777777" w:rsidR="00C50585" w:rsidRPr="00EE038F" w:rsidRDefault="00C50585" w:rsidP="00C253BF">
      <w:pPr>
        <w:pStyle w:val="TEKSTIIIIII"/>
      </w:pPr>
      <w:r w:rsidRPr="00EE038F">
        <w:rPr>
          <w:i/>
        </w:rPr>
        <w:t>N</w:t>
      </w:r>
      <w:r w:rsidRPr="00EE038F">
        <w:rPr>
          <w:i/>
          <w:iCs/>
        </w:rPr>
        <w:t xml:space="preserve">ormat e interesit të depozitave </w:t>
      </w:r>
      <w:r w:rsidRPr="00EE038F">
        <w:rPr>
          <w:iCs/>
        </w:rPr>
        <w:t xml:space="preserve">kanë vijuar rritjen graduale deri në gjysmën e parë të vitit, duke </w:t>
      </w:r>
      <w:r w:rsidRPr="00EE038F">
        <w:t xml:space="preserve">treguar për një tejçim të ngadaltë të rritjeve të mëparshme të normës bazë. Interesi mesatar i depozitave me afat, pasi kulmoi në 2.2% në tremujorin e dytë, nga 1.9% që ishte në tremujorin e katërt të vitit të kaluar, ra sërish në ndjekje të reduktimit të normës bazë në muajin korrik. </w:t>
      </w:r>
    </w:p>
    <w:p w14:paraId="665FCBDA" w14:textId="335AAA5E" w:rsidR="00C50585" w:rsidRPr="00EE038F" w:rsidRDefault="00C50585" w:rsidP="00C253BF">
      <w:pPr>
        <w:pStyle w:val="TEKSTIIIIII"/>
      </w:pPr>
      <w:r w:rsidRPr="00EE038F">
        <w:t xml:space="preserve">Kombinimi i niveleve të ulëta të </w:t>
      </w:r>
      <w:r w:rsidRPr="00EE038F">
        <w:rPr>
          <w:i/>
        </w:rPr>
        <w:t>yield</w:t>
      </w:r>
      <w:r w:rsidRPr="00EE038F">
        <w:t xml:space="preserve">-eve dhe </w:t>
      </w:r>
      <w:r w:rsidR="00754482" w:rsidRPr="00EE038F">
        <w:t xml:space="preserve">të </w:t>
      </w:r>
      <w:r w:rsidRPr="00EE038F">
        <w:t xml:space="preserve">kostos së depozitave dhe </w:t>
      </w:r>
      <w:r w:rsidR="00754482" w:rsidRPr="00EE038F">
        <w:t xml:space="preserve">të </w:t>
      </w:r>
      <w:r w:rsidRPr="00EE038F">
        <w:t xml:space="preserve">ngushtimit të primeve të rrezikut të kredisë, në përputhje me sinjalet nga politika monetare, ka çuar në uljen e normave të interesit në shumicën e segmenteve të kredisë gjatë vitit 2024. Ulja e tyre ka qenë më e pranishme te kreditë për individë, e veçanërisht tek ato konsumatore. Interesi mesatar i kredive </w:t>
      </w:r>
      <w:r w:rsidRPr="00EE038F">
        <w:lastRenderedPageBreak/>
        <w:t xml:space="preserve">për individë rezultoi 6.4% në tremujorin tretë të vitit dhe 5.9% në muajin tetor, nga 6.7% në pjesën e parë të vitit dhe 7.0% në vitin 2023. Nga ana tjetër, interesi i kredive për biznese është shfaqur më i luhatshëm gjatë këtij viti. Në dhjetë muajt e parë, ai ka ruajtur nivelet mesatare të vitit të kaluar, prej 6.7%, por duke faktorizuar një rënie të interesit për kreditë mesatare dhe një rritje të tij për kreditë e vogla e të mëdha. </w:t>
      </w:r>
    </w:p>
    <w:p w14:paraId="041C4EFA" w14:textId="4EE0F0AB" w:rsidR="00C50585" w:rsidRPr="00EE038F" w:rsidRDefault="00C50585" w:rsidP="00C253BF">
      <w:pPr>
        <w:pStyle w:val="TEKSTIIIIII"/>
        <w:rPr>
          <w:color w:val="0D0D0D" w:themeColor="text1" w:themeTint="F2"/>
        </w:rPr>
      </w:pPr>
      <w:r w:rsidRPr="00EE038F">
        <w:rPr>
          <w:b/>
          <w:color w:val="0D0D0D" w:themeColor="text1" w:themeTint="F2"/>
        </w:rPr>
        <w:t>Kredia për sektorin privat</w:t>
      </w:r>
      <w:r w:rsidRPr="00EE038F">
        <w:rPr>
          <w:b/>
          <w:i/>
          <w:color w:val="0D0D0D" w:themeColor="text1" w:themeTint="F2"/>
        </w:rPr>
        <w:t xml:space="preserve"> </w:t>
      </w:r>
      <w:r w:rsidRPr="00EE038F">
        <w:rPr>
          <w:b/>
          <w:color w:val="0D0D0D" w:themeColor="text1" w:themeTint="F2"/>
        </w:rPr>
        <w:t>u përshpejtua gjatë vitit 2024, e nxitur nga kërkesa më e lartë dhe kushte të favorshme financimi.</w:t>
      </w:r>
      <w:r w:rsidRPr="00EE038F">
        <w:rPr>
          <w:color w:val="0D0D0D" w:themeColor="text1" w:themeTint="F2"/>
        </w:rPr>
        <w:t xml:space="preserve"> Këto të fundit u mbështetën dhe nga një gatishmëri e lartë e bankave në kreditim, në përputhje me likuiditetin e bollshëm, rrezikun e ulët të kredisë dhe përmirësimin e përgjithshëm të besimit në ekonomi. Rritja vjetore e kredisë</w:t>
      </w:r>
      <w:r w:rsidR="00BB000A" w:rsidRPr="00EE038F">
        <w:rPr>
          <w:color w:val="0D0D0D" w:themeColor="text1" w:themeTint="F2"/>
        </w:rPr>
        <w:t>,</w:t>
      </w:r>
      <w:r w:rsidRPr="00EE038F">
        <w:rPr>
          <w:color w:val="0D0D0D" w:themeColor="text1" w:themeTint="F2"/>
        </w:rPr>
        <w:t xml:space="preserve"> mesatarisht prej 14.5% për 10 muajt e parë të vitit 2024, ishte 6 pikë </w:t>
      </w:r>
      <w:r w:rsidR="003771A2" w:rsidRPr="00EE038F">
        <w:rPr>
          <w:color w:val="0D0D0D" w:themeColor="text1" w:themeTint="F2"/>
        </w:rPr>
        <w:t xml:space="preserve">përqindje </w:t>
      </w:r>
      <w:r w:rsidRPr="00EE038F">
        <w:rPr>
          <w:color w:val="0D0D0D" w:themeColor="text1" w:themeTint="F2"/>
        </w:rPr>
        <w:t>më e lartë se e njëjta periudhë një vit më parë. Zhvillimet në kreditim evidentojnë disa tendencat pozitive: i</w:t>
      </w:r>
      <w:r w:rsidR="00754482" w:rsidRPr="00EE038F">
        <w:rPr>
          <w:color w:val="0D0D0D" w:themeColor="text1" w:themeTint="F2"/>
        </w:rPr>
        <w:t>.</w:t>
      </w:r>
      <w:r w:rsidRPr="00EE038F">
        <w:rPr>
          <w:color w:val="0D0D0D" w:themeColor="text1" w:themeTint="F2"/>
        </w:rPr>
        <w:t xml:space="preserve"> rritja e kredisë është me bazë të gjerë, duke iu përgjigjur nevojave për financim si të individëve, ashtu edhe të bizneseve për konsum, kapital punues dhe investime; ii</w:t>
      </w:r>
      <w:r w:rsidR="00754482" w:rsidRPr="00EE038F">
        <w:rPr>
          <w:color w:val="0D0D0D" w:themeColor="text1" w:themeTint="F2"/>
        </w:rPr>
        <w:t>.</w:t>
      </w:r>
      <w:r w:rsidRPr="00EE038F">
        <w:rPr>
          <w:color w:val="0D0D0D" w:themeColor="text1" w:themeTint="F2"/>
        </w:rPr>
        <w:t xml:space="preserve"> kredia në </w:t>
      </w:r>
      <w:r w:rsidR="00BB000A" w:rsidRPr="00EE038F">
        <w:rPr>
          <w:color w:val="0D0D0D" w:themeColor="text1" w:themeTint="F2"/>
        </w:rPr>
        <w:t xml:space="preserve">lekë </w:t>
      </w:r>
      <w:r w:rsidRPr="00EE038F">
        <w:rPr>
          <w:color w:val="0D0D0D" w:themeColor="text1" w:themeTint="F2"/>
        </w:rPr>
        <w:t>po rritet me një ritëm më të shpejtë se kredia në valutë, duke rritur kështu pjesën e portofolit të lekut në totalin e kredisë. Kjo prirje rrit efektivitetin e politikës monetare dhe zbut rreziqet për stabilitetin financiar; iii</w:t>
      </w:r>
      <w:r w:rsidR="00754482" w:rsidRPr="00EE038F">
        <w:rPr>
          <w:color w:val="0D0D0D" w:themeColor="text1" w:themeTint="F2"/>
        </w:rPr>
        <w:t>.</w:t>
      </w:r>
      <w:r w:rsidRPr="00EE038F">
        <w:rPr>
          <w:color w:val="0D0D0D" w:themeColor="text1" w:themeTint="F2"/>
        </w:rPr>
        <w:t xml:space="preserve"> cilësia e kredisë mbetet e mirë, sikurse ilustrohet nga raporti i kredisë me probleme ndaj totalit</w:t>
      </w:r>
      <w:r w:rsidR="006907AE" w:rsidRPr="00EE038F">
        <w:rPr>
          <w:color w:val="0D0D0D" w:themeColor="text1" w:themeTint="F2"/>
        </w:rPr>
        <w:t>,</w:t>
      </w:r>
      <w:r w:rsidRPr="00EE038F">
        <w:rPr>
          <w:color w:val="0D0D0D" w:themeColor="text1" w:themeTint="F2"/>
        </w:rPr>
        <w:t xml:space="preserve"> i cili qëndron në nivelet më të ulëta që nga viti 2008. </w:t>
      </w:r>
    </w:p>
    <w:p w14:paraId="4D0E8C0F" w14:textId="1B366CFE" w:rsidR="00C50585" w:rsidRPr="00EE038F" w:rsidRDefault="00C50585" w:rsidP="00C253BF">
      <w:pPr>
        <w:pStyle w:val="TEKSTIIIIII"/>
        <w:rPr>
          <w:color w:val="0D0D0D" w:themeColor="text1" w:themeTint="F2"/>
        </w:rPr>
      </w:pPr>
      <w:r w:rsidRPr="00EE038F">
        <w:rPr>
          <w:b/>
          <w:color w:val="0D0D0D" w:themeColor="text1" w:themeTint="F2"/>
        </w:rPr>
        <w:t>Kredia në lekë</w:t>
      </w:r>
      <w:r w:rsidRPr="00EE038F">
        <w:rPr>
          <w:color w:val="0D0D0D" w:themeColor="text1" w:themeTint="F2"/>
        </w:rPr>
        <w:t xml:space="preserve"> ka shfaqur një rritje të shpejtë prej 19%, dy herë më e lartë se ajo e vitit 2023. Kjo ecuri është mbështetur nga mbiçmimi i monedhës lekë, rritja e ndërgjegjësimit për rrezikun e kursit të këmbimit dhe nga diferenciali negativ i interesave të kredisë të lekut ndaj euros. Si rrjedhojë, raporti i kredisë lekë ndaj totalit është rritur në 57.3%, duke u zgjerua me 7 pikë </w:t>
      </w:r>
      <w:r w:rsidR="009242F9" w:rsidRPr="00EE038F">
        <w:rPr>
          <w:color w:val="0D0D0D" w:themeColor="text1" w:themeTint="F2"/>
        </w:rPr>
        <w:t>përqindje</w:t>
      </w:r>
      <w:r w:rsidRPr="00EE038F">
        <w:rPr>
          <w:color w:val="0D0D0D" w:themeColor="text1" w:themeTint="F2"/>
        </w:rPr>
        <w:t>je në dy vitet e fundit. Nga ana tjetër, kreditimi në monedhë të huaj është rritur me një normë të moderuar prej 8%; normë e ngjashme me vitin e shkuar.</w:t>
      </w:r>
    </w:p>
    <w:p w14:paraId="422000FA" w14:textId="6E143592" w:rsidR="00C50585" w:rsidRPr="00EE038F" w:rsidRDefault="00C50585" w:rsidP="00C253BF">
      <w:pPr>
        <w:pStyle w:val="TEKSTIIIIII"/>
      </w:pPr>
      <w:r w:rsidRPr="00EE038F">
        <w:rPr>
          <w:b/>
        </w:rPr>
        <w:t xml:space="preserve">Kredia për biznese </w:t>
      </w:r>
      <w:r w:rsidRPr="00EE038F">
        <w:t>është rritur mesatarisht me 15% deri në muajin tetor, normë kjo tr</w:t>
      </w:r>
      <w:r w:rsidR="00AA3AD7" w:rsidRPr="00EE038F">
        <w:t>i</w:t>
      </w:r>
      <w:r w:rsidRPr="00EE038F">
        <w:t xml:space="preserve"> herë më e lartë se rritja e vitit 2023. Kjo ecuri është nxitur kryesisht nga kërkesa e lartë për financimin e projekteve të investimit, e cila ka sjellë rritjen e kredisë për investime mesatarisht me 15%. Kreditimi i investimeve lidhet më së shumti me financimin e projekteve në infrastrukturë, turizëm dhe tregti, në përputhje me rritjen e kontributit të këtyre sektorëve në aktivitetin ekonomik në vend. Ndërkohë, likuiditeti i bollshëm i biznesit, siç konfirmohet edhe nga niveli i lartë i depozitave, është shoqëruar me një rritje të moderuar të kreditimit të biznesit për likuiditet, në 6%.</w:t>
      </w:r>
    </w:p>
    <w:p w14:paraId="60D25561" w14:textId="71186BEE" w:rsidR="00C50585" w:rsidRPr="00EE038F" w:rsidRDefault="00C50585" w:rsidP="00C253BF">
      <w:pPr>
        <w:pStyle w:val="TEKSTIIIIII"/>
      </w:pPr>
      <w:r w:rsidRPr="00EE038F">
        <w:rPr>
          <w:color w:val="0D0D0D" w:themeColor="text1" w:themeTint="F2"/>
        </w:rPr>
        <w:t xml:space="preserve">Gjatë së njëjtës periudhë, </w:t>
      </w:r>
      <w:r w:rsidRPr="00EE038F">
        <w:rPr>
          <w:b/>
          <w:color w:val="0D0D0D" w:themeColor="text1" w:themeTint="F2"/>
        </w:rPr>
        <w:t>kredia për individë</w:t>
      </w:r>
      <w:r w:rsidRPr="00EE038F">
        <w:rPr>
          <w:i/>
          <w:color w:val="0D0D0D" w:themeColor="text1" w:themeTint="F2"/>
        </w:rPr>
        <w:t xml:space="preserve"> </w:t>
      </w:r>
      <w:r w:rsidRPr="00EE038F">
        <w:rPr>
          <w:color w:val="0D0D0D" w:themeColor="text1" w:themeTint="F2"/>
        </w:rPr>
        <w:t>tregon një rritje të qëndrueshme në 14.4%, duke mbetur pranë mesatares së tre v</w:t>
      </w:r>
      <w:r w:rsidR="00AA3AD7" w:rsidRPr="00EE038F">
        <w:rPr>
          <w:color w:val="0D0D0D" w:themeColor="text1" w:themeTint="F2"/>
        </w:rPr>
        <w:t xml:space="preserve">jetëve </w:t>
      </w:r>
      <w:r w:rsidRPr="00EE038F">
        <w:rPr>
          <w:color w:val="0D0D0D" w:themeColor="text1" w:themeTint="F2"/>
        </w:rPr>
        <w:t>të fundit. Brenda segmentit, rritja e përshpejtuar e kredisë për konsum</w:t>
      </w:r>
      <w:r w:rsidR="00AD3D9C" w:rsidRPr="00EE038F">
        <w:rPr>
          <w:color w:val="0D0D0D" w:themeColor="text1" w:themeTint="F2"/>
        </w:rPr>
        <w:t xml:space="preserve"> </w:t>
      </w:r>
      <w:r w:rsidRPr="00EE038F">
        <w:rPr>
          <w:color w:val="0D0D0D" w:themeColor="text1" w:themeTint="F2"/>
        </w:rPr>
        <w:t xml:space="preserve">ka ekuilibruar rritjen më të ngadaltë të kredisë hipotekare. Megjithatë, kjo e fundit mbetet </w:t>
      </w:r>
      <w:r w:rsidR="00D12947" w:rsidRPr="00EE038F">
        <w:rPr>
          <w:color w:val="0D0D0D" w:themeColor="text1" w:themeTint="F2"/>
        </w:rPr>
        <w:t>kontribues</w:t>
      </w:r>
      <w:r w:rsidRPr="00EE038F">
        <w:rPr>
          <w:color w:val="0D0D0D" w:themeColor="text1" w:themeTint="F2"/>
        </w:rPr>
        <w:t xml:space="preserve">i kryesor i rritjes së kredisë për individë, me rritjen vjetore prej 16.3% dhe përfaqëson 67% të totalit të portofolit. Kredia për konsum ka shfaqur një përshpejtim të rritjes vjetore në 15%, duke rezultuar rreth 6 pikë </w:t>
      </w:r>
      <w:r w:rsidR="003771A2" w:rsidRPr="00EE038F">
        <w:rPr>
          <w:color w:val="0D0D0D" w:themeColor="text1" w:themeTint="F2"/>
        </w:rPr>
        <w:t xml:space="preserve">përqindje </w:t>
      </w:r>
      <w:r w:rsidRPr="00EE038F">
        <w:rPr>
          <w:color w:val="0D0D0D" w:themeColor="text1" w:themeTint="F2"/>
        </w:rPr>
        <w:t>më e lartë se në vitin 2023. Në përgjithësi, kreditimi i individëve</w:t>
      </w:r>
      <w:r w:rsidR="00AD3D9C" w:rsidRPr="00EE038F">
        <w:rPr>
          <w:color w:val="0D0D0D" w:themeColor="text1" w:themeTint="F2"/>
        </w:rPr>
        <w:t xml:space="preserve"> </w:t>
      </w:r>
      <w:r w:rsidRPr="00EE038F">
        <w:rPr>
          <w:color w:val="0D0D0D" w:themeColor="text1" w:themeTint="F2"/>
        </w:rPr>
        <w:t xml:space="preserve">është zgjeruar në monedhën </w:t>
      </w:r>
      <w:r w:rsidR="007F728D" w:rsidRPr="00EE038F">
        <w:rPr>
          <w:color w:val="0D0D0D" w:themeColor="text1" w:themeTint="F2"/>
        </w:rPr>
        <w:t>vendës</w:t>
      </w:r>
      <w:r w:rsidRPr="00EE038F">
        <w:rPr>
          <w:color w:val="0D0D0D" w:themeColor="text1" w:themeTint="F2"/>
        </w:rPr>
        <w:t>e, mbështetur nga diferenciali negativ i normave së interesit, ndërgjegjësimi më i lartë për rrezikun e kursit të këmbimit, si dhe nga konkurrenca në rritje në sektorin bankar</w:t>
      </w:r>
      <w:r w:rsidRPr="00EE038F">
        <w:t>.</w:t>
      </w:r>
    </w:p>
    <w:p w14:paraId="00224CEC" w14:textId="77777777" w:rsidR="00C50585" w:rsidRPr="00EE038F" w:rsidRDefault="00C50585" w:rsidP="00C50585">
      <w:pPr>
        <w:pStyle w:val="NormalWeb"/>
        <w:spacing w:before="0" w:beforeAutospacing="0" w:after="0" w:afterAutospacing="0"/>
        <w:jc w:val="both"/>
        <w:rPr>
          <w:rFonts w:ascii="Garamond" w:hAnsi="Garamond"/>
        </w:rPr>
      </w:pPr>
    </w:p>
    <w:p w14:paraId="3EEDB5AD" w14:textId="1DB1BC4B" w:rsidR="00C50585" w:rsidRPr="00EE038F" w:rsidRDefault="00C50585" w:rsidP="00066DFC">
      <w:pPr>
        <w:pStyle w:val="TEKSTIIIIII"/>
        <w:jc w:val="center"/>
        <w:rPr>
          <w:i/>
          <w:iCs/>
        </w:rPr>
      </w:pPr>
      <w:r w:rsidRPr="00EE038F">
        <w:rPr>
          <w:i/>
          <w:iCs/>
        </w:rPr>
        <w:t>Grafik 3.1.6: Kredi dhe depozita të sektorit privat</w:t>
      </w:r>
    </w:p>
    <w:p w14:paraId="405F93AD" w14:textId="77777777" w:rsidR="00C50585" w:rsidRPr="00EE038F" w:rsidRDefault="00C50585" w:rsidP="00C50585">
      <w:pPr>
        <w:spacing w:after="0" w:line="240" w:lineRule="auto"/>
        <w:jc w:val="both"/>
        <w:rPr>
          <w:rFonts w:ascii="Garamond" w:hAnsi="Garamond"/>
          <w:color w:val="0D0D0D" w:themeColor="text1" w:themeTint="F2"/>
        </w:rPr>
      </w:pPr>
      <w:r w:rsidRPr="00EE038F">
        <w:rPr>
          <w:rFonts w:ascii="Garamond" w:hAnsi="Garamond"/>
          <w:noProof/>
          <w:lang w:eastAsia="en-GB"/>
        </w:rPr>
        <w:drawing>
          <wp:inline distT="0" distB="0" distL="0" distR="0" wp14:anchorId="2C22B5D0" wp14:editId="4AA5A73B">
            <wp:extent cx="6299835" cy="1561381"/>
            <wp:effectExtent l="0" t="0" r="5715"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14503" cy="1565016"/>
                    </a:xfrm>
                    <a:prstGeom prst="rect">
                      <a:avLst/>
                    </a:prstGeom>
                    <a:noFill/>
                    <a:ln>
                      <a:noFill/>
                    </a:ln>
                  </pic:spPr>
                </pic:pic>
              </a:graphicData>
            </a:graphic>
          </wp:inline>
        </w:drawing>
      </w:r>
    </w:p>
    <w:p w14:paraId="2DB1364E" w14:textId="469158AC" w:rsidR="00C50585" w:rsidRPr="00EE038F" w:rsidRDefault="00C50585" w:rsidP="00066DFC">
      <w:pPr>
        <w:spacing w:after="0" w:line="240" w:lineRule="auto"/>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Burimi: Banka e Shqipërisë</w:t>
      </w:r>
    </w:p>
    <w:p w14:paraId="027D1BBE" w14:textId="0F511859" w:rsidR="00C50585" w:rsidRPr="00EE038F" w:rsidRDefault="00C50585" w:rsidP="00C253BF">
      <w:pPr>
        <w:pStyle w:val="TEKSTIIIIII"/>
      </w:pPr>
      <w:r w:rsidRPr="00EE038F">
        <w:rPr>
          <w:b/>
        </w:rPr>
        <w:lastRenderedPageBreak/>
        <w:t xml:space="preserve">Depozitat e bankave kanë shfaqur norma të qëndrueshme rritjeje gjatë vitit 2024. </w:t>
      </w:r>
      <w:r w:rsidRPr="00EE038F">
        <w:t xml:space="preserve">Ato janë rritur mesatarisht në 10.8%, një normë kjo rreth 1 pikë </w:t>
      </w:r>
      <w:r w:rsidR="003771A2" w:rsidRPr="00EE038F">
        <w:t xml:space="preserve">përqindje </w:t>
      </w:r>
      <w:r w:rsidRPr="00EE038F">
        <w:t>më lart se në vitin 2023. Ndryshe nga një vit më parë, rritja e depozitave të lekut u përshpejtua në 9.3% – pothuajse tr</w:t>
      </w:r>
      <w:r w:rsidR="00276358" w:rsidRPr="00EE038F">
        <w:t>i</w:t>
      </w:r>
      <w:r w:rsidRPr="00EE038F">
        <w:t xml:space="preserve"> herë më shpejt se një vit më parë – ndërsa depozitat në valutë në ngadalësuan në 12.5% Në tetor 2024, depozita në valutë përfaqësojnë rreth 53% të totalit, ose 2 pikë </w:t>
      </w:r>
      <w:r w:rsidR="003771A2" w:rsidRPr="00EE038F">
        <w:t xml:space="preserve">përqindje </w:t>
      </w:r>
      <w:r w:rsidRPr="00EE038F">
        <w:t xml:space="preserve">më pak se e njëjta periudhë një viti më parë. </w:t>
      </w:r>
    </w:p>
    <w:p w14:paraId="149DED7E" w14:textId="16268461" w:rsidR="00C50585" w:rsidRPr="00EE038F" w:rsidRDefault="00C50585" w:rsidP="00C253BF">
      <w:pPr>
        <w:pStyle w:val="TEKSTIIIIII"/>
      </w:pPr>
      <w:r w:rsidRPr="00EE038F">
        <w:t>Përmirësimi i rritjes së depozitave në lek</w:t>
      </w:r>
      <w:r w:rsidR="00276358" w:rsidRPr="00EE038F">
        <w:t>ë</w:t>
      </w:r>
      <w:r w:rsidRPr="00EE038F">
        <w:t xml:space="preserve"> reflekton ndërmjetësimin më të lartë në lekë nga bankat, uljen e </w:t>
      </w:r>
      <w:r w:rsidRPr="00EE038F">
        <w:rPr>
          <w:i/>
        </w:rPr>
        <w:t>yield</w:t>
      </w:r>
      <w:r w:rsidRPr="00EE038F">
        <w:rPr>
          <w:iCs/>
        </w:rPr>
        <w:t>-ve</w:t>
      </w:r>
      <w:r w:rsidRPr="00EE038F">
        <w:t xml:space="preserve"> të letrave me vlerë dhe besimin më të lartë në sektorin bankar. Në të kundërt, niveli i lartë i depozitave të qeverisë në BSH ka ngadalësuar rritjen e depozitave në lekë. </w:t>
      </w:r>
    </w:p>
    <w:p w14:paraId="09ACA75D" w14:textId="77777777" w:rsidR="00C50585" w:rsidRPr="00EE038F" w:rsidRDefault="00C253BF" w:rsidP="00C253BF">
      <w:pPr>
        <w:pStyle w:val="TEKSTIIIIII"/>
        <w:rPr>
          <w:b/>
        </w:rPr>
      </w:pPr>
      <w:bookmarkStart w:id="6" w:name="_Toc30661214"/>
      <w:bookmarkStart w:id="7" w:name="_Toc30416389"/>
      <w:bookmarkStart w:id="8" w:name="_Toc187328202"/>
      <w:r w:rsidRPr="00EE038F">
        <w:rPr>
          <w:b/>
        </w:rPr>
        <w:t xml:space="preserve">3.2 </w:t>
      </w:r>
      <w:r w:rsidR="00C50585" w:rsidRPr="00EE038F">
        <w:rPr>
          <w:b/>
        </w:rPr>
        <w:t>Skenari makroekonomik afatmesëm</w:t>
      </w:r>
      <w:bookmarkEnd w:id="5"/>
      <w:bookmarkEnd w:id="6"/>
      <w:bookmarkEnd w:id="7"/>
      <w:bookmarkEnd w:id="8"/>
    </w:p>
    <w:p w14:paraId="3F9D41D3" w14:textId="77777777" w:rsidR="00C50585" w:rsidRPr="00EE038F" w:rsidRDefault="00C50585" w:rsidP="00C253BF">
      <w:pPr>
        <w:pStyle w:val="TEKSTIIIIII"/>
        <w:rPr>
          <w:i/>
        </w:rPr>
      </w:pPr>
      <w:r w:rsidRPr="00EE038F">
        <w:rPr>
          <w:i/>
        </w:rPr>
        <w:t>Sektori real</w:t>
      </w:r>
    </w:p>
    <w:p w14:paraId="0EF3077C" w14:textId="19C792C3" w:rsidR="00C50585" w:rsidRPr="00EE038F" w:rsidRDefault="00C50585" w:rsidP="00C253BF">
      <w:pPr>
        <w:pStyle w:val="TEKSTIIIIII"/>
      </w:pPr>
      <w:r w:rsidRPr="00EE038F">
        <w:t>Ekonomia e vendit gjatë viteve të fundit ka treguar një elasticitetit të konsiderueshëm përballë goditjeve të njëpasnjëshme që kanë prekur vendin tonë. Kjo qëndrueshmëri u vu në provë</w:t>
      </w:r>
      <w:r w:rsidR="00497609" w:rsidRPr="00EE038F">
        <w:t>,</w:t>
      </w:r>
      <w:r w:rsidRPr="00EE038F">
        <w:t xml:space="preserve"> pasi vendi u përball me tr</w:t>
      </w:r>
      <w:r w:rsidR="00497609" w:rsidRPr="00EE038F">
        <w:t>i</w:t>
      </w:r>
      <w:r w:rsidRPr="00EE038F">
        <w:t xml:space="preserve"> goditje të mëdha, të ndodhura njëra pas tjetrës me vazhdimësi të shpejtë, si: tërmeti, pandemia globale dhe ndërprerj</w:t>
      </w:r>
      <w:r w:rsidR="00497609" w:rsidRPr="00EE038F">
        <w:t>a</w:t>
      </w:r>
      <w:r w:rsidRPr="00EE038F">
        <w:t xml:space="preserve"> </w:t>
      </w:r>
      <w:r w:rsidR="00497609" w:rsidRPr="00EE038F">
        <w:t>e</w:t>
      </w:r>
      <w:r w:rsidRPr="00EE038F">
        <w:t xml:space="preserve"> furnizimit në mallrat kryesor</w:t>
      </w:r>
      <w:r w:rsidR="00497609" w:rsidRPr="00EE038F">
        <w:t>e,</w:t>
      </w:r>
      <w:r w:rsidRPr="00EE038F">
        <w:t xml:space="preserve"> për shkak të luftës në Ukrainë. Pavarësisht këtyre ngjarjeve, politikat e kujdesshme makroekonomike kanë mbështetur një rikthim të fortë ekonomik, dhe si rezultat fondamentet kryesore ekonomike dhe financiare</w:t>
      </w:r>
      <w:r w:rsidR="00495CFD" w:rsidRPr="00EE038F">
        <w:t>,</w:t>
      </w:r>
      <w:r w:rsidRPr="00EE038F">
        <w:t xml:space="preserve"> si dhe stabiliteti i përgjithshëm makroekonomik i vendit kanë mbetur solide. Përballë një mjedisi ekonomik sfidues, të karakterizuar nga çmime relativisht të larta, pasiguri dhe kosto financimi, vëllimi i aktivitetit ekonomik gjatë vitit 2023 u rrit me 3.9 </w:t>
      </w:r>
      <w:r w:rsidR="00FD6514" w:rsidRPr="00EE038F">
        <w:t>për qind</w:t>
      </w:r>
      <w:r w:rsidRPr="00EE038F">
        <w:t xml:space="preserve">, duke tejkaluar pritshmëritë fillestare. </w:t>
      </w:r>
    </w:p>
    <w:p w14:paraId="1C72CCA2" w14:textId="20082053" w:rsidR="00C50585" w:rsidRPr="00EE038F" w:rsidRDefault="00C50585" w:rsidP="00C253BF">
      <w:pPr>
        <w:pStyle w:val="TEKSTIIIIII"/>
      </w:pPr>
      <w:r w:rsidRPr="00EE038F">
        <w:t xml:space="preserve">Rritja ekonomike parashikohet të qëndrojë të paktën në vlerën 3.9 </w:t>
      </w:r>
      <w:r w:rsidR="00FD6514" w:rsidRPr="00EE038F">
        <w:t>për qind</w:t>
      </w:r>
      <w:r w:rsidRPr="00EE038F">
        <w:t xml:space="preserve"> për vitin 2024, nisur nga kushtet pozitive ekonomike, si dhe nga ecuria mjaft e mirë e sektorit të turizmit dhe aktivitetit të ndërtimit. Vlerësimet më të fundit të disponueshme nga INSTAT</w:t>
      </w:r>
      <w:r w:rsidR="00495CFD" w:rsidRPr="00EE038F">
        <w:t>-i</w:t>
      </w:r>
      <w:r w:rsidRPr="00EE038F">
        <w:t xml:space="preserve"> për PBB-në tremujore, ko</w:t>
      </w:r>
      <w:r w:rsidR="00FB79AC" w:rsidRPr="00EE038F">
        <w:t>r</w:t>
      </w:r>
      <w:r w:rsidRPr="00EE038F">
        <w:t>respondojnë në mënyrë të plotë me parashikimin vjetor, pasi rritj</w:t>
      </w:r>
      <w:r w:rsidR="00FB79AC" w:rsidRPr="00EE038F">
        <w:t>a</w:t>
      </w:r>
      <w:r w:rsidRPr="00EE038F">
        <w:t xml:space="preserve"> reale e PBB</w:t>
      </w:r>
      <w:r w:rsidR="00FB79AC" w:rsidRPr="00EE038F">
        <w:t>-së</w:t>
      </w:r>
      <w:r w:rsidRPr="00EE038F">
        <w:t xml:space="preserve"> për nëntëmujorin e parë të vitit shënoi vlerën prej 4 </w:t>
      </w:r>
      <w:r w:rsidR="00FD6514" w:rsidRPr="00EE038F">
        <w:t>për qind</w:t>
      </w:r>
      <w:r w:rsidRPr="00EE038F">
        <w:t xml:space="preserve">. Për vitin 2025, rritja ekonomike parashikohet të qëndrojë në të njëjtin nivel, pra në 3.9 </w:t>
      </w:r>
      <w:r w:rsidR="00FD6514" w:rsidRPr="00EE038F">
        <w:t>për qind</w:t>
      </w:r>
      <w:r w:rsidRPr="00EE038F">
        <w:t xml:space="preserve">. Gjatë periudhës afatmesme </w:t>
      </w:r>
      <w:r w:rsidR="00B41EC3" w:rsidRPr="00EE038F">
        <w:t>2025–2027</w:t>
      </w:r>
      <w:r w:rsidRPr="00EE038F">
        <w:t xml:space="preserve">, rritja parashikohet të vijojë trendin pozitiv me mesatarisht në nivelin 3.9 </w:t>
      </w:r>
      <w:r w:rsidR="00FD6514" w:rsidRPr="00EE038F">
        <w:t>për qind</w:t>
      </w:r>
      <w:r w:rsidRPr="00EE038F">
        <w:t xml:space="preserve"> në vit, ndikuar nga zhvillimet e ekonomisë së brendshme dhe pritshmëritë për ekonominë globale dhe veçanërisht atë të Bashkimit Evropian. Aktiviteti ekonomik do të vazhdojë të mbështetet kryesisht nga kërkesa e brendshme, nga rritja e mëtejshme e konsumit privat, ashtu edhe nga investimet në infrastrukturë</w:t>
      </w:r>
      <w:r w:rsidR="00FB79AC" w:rsidRPr="00EE038F">
        <w:t>,</w:t>
      </w:r>
      <w:r w:rsidRPr="00EE038F">
        <w:t xml:space="preserve"> si dhe zhvillimi i sektorëve strategjikë</w:t>
      </w:r>
      <w:r w:rsidR="00FB79AC" w:rsidRPr="00EE038F">
        <w:t>,</w:t>
      </w:r>
      <w:r w:rsidRPr="00EE038F">
        <w:t xml:space="preserve"> si turizmi.</w:t>
      </w:r>
      <w:r w:rsidR="00FB79AC" w:rsidRPr="00EE038F">
        <w:t xml:space="preserve"> </w:t>
      </w:r>
      <w:r w:rsidRPr="00EE038F">
        <w:t>Gjithashtu, kërkesa e huaj neto pritet të ketë një kontribut pozitiv të moderuar në periudhën afatmesme. Eksportet e mallrave të cilat zakonisht kanë pasur performancë të mirë në vite, priten të vazhdojnë këtë trend pozitiv dhe të ruajnë ritmet e kaluara. Eksportet e shërbimeve, veçanërisht shërbimet turistike, priten</w:t>
      </w:r>
      <w:r w:rsidR="00FB79AC" w:rsidRPr="00EE038F">
        <w:t>,</w:t>
      </w:r>
      <w:r w:rsidRPr="00EE038F">
        <w:t xml:space="preserve"> gjithashtu</w:t>
      </w:r>
      <w:r w:rsidR="00FB79AC" w:rsidRPr="00EE038F">
        <w:t>,</w:t>
      </w:r>
      <w:r w:rsidRPr="00EE038F">
        <w:t xml:space="preserve"> të kenë performancë pozitive në periudhën afatmesme dhe të jenë elementi kryesor për të kompensuar kontributin negativ të ardhur prej rritjes së importeve.</w:t>
      </w:r>
    </w:p>
    <w:p w14:paraId="7B21193F" w14:textId="09D06649" w:rsidR="00C50585" w:rsidRPr="00EE038F" w:rsidRDefault="00C50585" w:rsidP="00C253BF">
      <w:pPr>
        <w:pStyle w:val="TEKSTIIIIII"/>
      </w:pPr>
      <w:r w:rsidRPr="00EE038F">
        <w:t>Më konkretisht, konsumi final për periudhën afatmesme (</w:t>
      </w:r>
      <w:r w:rsidR="00B41EC3" w:rsidRPr="00EE038F">
        <w:t>2025–2027</w:t>
      </w:r>
      <w:r w:rsidRPr="00EE038F">
        <w:t>) parashikohet të rritet në terma real</w:t>
      </w:r>
      <w:r w:rsidR="00FB79AC" w:rsidRPr="00EE038F">
        <w:t>ë</w:t>
      </w:r>
      <w:r w:rsidRPr="00EE038F">
        <w:t xml:space="preserve"> me rreth 2.5 </w:t>
      </w:r>
      <w:r w:rsidR="00FD6514" w:rsidRPr="00EE038F">
        <w:t>për qind</w:t>
      </w:r>
      <w:r w:rsidRPr="00EE038F">
        <w:t xml:space="preserve"> mesatarisht në vit, duke kontribuar me një mesatare prej 2.1 pp në vit në rritjen e përgjithshme. Ndërkohë që investimet parashikohen të rriten në terma real</w:t>
      </w:r>
      <w:r w:rsidR="00FB79AC" w:rsidRPr="00EE038F">
        <w:t>ë</w:t>
      </w:r>
      <w:r w:rsidRPr="00EE038F">
        <w:t xml:space="preserve"> me një mesatare prej 5.9 </w:t>
      </w:r>
      <w:r w:rsidR="00FD6514" w:rsidRPr="00EE038F">
        <w:t>për qind</w:t>
      </w:r>
      <w:r w:rsidRPr="00EE038F">
        <w:t xml:space="preserve"> në vit, me një kontribut mesatar në rritjen e PBB-së prej 1.4 pp në vit.</w:t>
      </w:r>
    </w:p>
    <w:p w14:paraId="3FD28125" w14:textId="09C57001" w:rsidR="00C50585" w:rsidRPr="00EE038F" w:rsidRDefault="00C50585" w:rsidP="00C253BF">
      <w:pPr>
        <w:pStyle w:val="TEKSTIIIIII"/>
        <w:rPr>
          <w:rFonts w:eastAsia="Times New Roman"/>
        </w:rPr>
      </w:pPr>
      <w:r w:rsidRPr="00EE038F">
        <w:rPr>
          <w:rFonts w:eastAsia="Times New Roman"/>
        </w:rPr>
        <w:t xml:space="preserve">Eksportet e mallrave dhe </w:t>
      </w:r>
      <w:r w:rsidR="00FB79AC" w:rsidRPr="00EE038F">
        <w:rPr>
          <w:rFonts w:eastAsia="Times New Roman"/>
        </w:rPr>
        <w:t xml:space="preserve">të </w:t>
      </w:r>
      <w:r w:rsidRPr="00EE038F">
        <w:rPr>
          <w:rFonts w:eastAsia="Times New Roman"/>
        </w:rPr>
        <w:t xml:space="preserve">shërbimeve për periudhën </w:t>
      </w:r>
      <w:r w:rsidR="003F70BC" w:rsidRPr="00EE038F">
        <w:rPr>
          <w:rFonts w:eastAsia="Times New Roman"/>
        </w:rPr>
        <w:t xml:space="preserve">2025–2027 </w:t>
      </w:r>
      <w:r w:rsidRPr="00EE038F">
        <w:rPr>
          <w:rFonts w:eastAsia="Times New Roman"/>
        </w:rPr>
        <w:t>parashikohen të rriten në terma real</w:t>
      </w:r>
      <w:r w:rsidR="00FB79AC" w:rsidRPr="00EE038F">
        <w:rPr>
          <w:rFonts w:eastAsia="Times New Roman"/>
        </w:rPr>
        <w:t>ë</w:t>
      </w:r>
      <w:r w:rsidRPr="00EE038F">
        <w:rPr>
          <w:rFonts w:eastAsia="Times New Roman"/>
        </w:rPr>
        <w:t xml:space="preserve"> me një mesatare prej 4.4 </w:t>
      </w:r>
      <w:r w:rsidR="00FD6514" w:rsidRPr="00EE038F">
        <w:rPr>
          <w:rFonts w:eastAsia="Times New Roman"/>
        </w:rPr>
        <w:t>për qind</w:t>
      </w:r>
      <w:r w:rsidRPr="00EE038F">
        <w:rPr>
          <w:rFonts w:eastAsia="Times New Roman"/>
        </w:rPr>
        <w:t xml:space="preserve"> në vit, me një kontribut mesatar pozitiv prej 1.7 pp në vit në rritjen e PBB-së. Ndërsa importet e mallrave dhe </w:t>
      </w:r>
      <w:r w:rsidR="00FB79AC" w:rsidRPr="00EE038F">
        <w:rPr>
          <w:rFonts w:eastAsia="Times New Roman"/>
        </w:rPr>
        <w:t xml:space="preserve">të </w:t>
      </w:r>
      <w:r w:rsidRPr="00EE038F">
        <w:rPr>
          <w:rFonts w:eastAsia="Times New Roman"/>
        </w:rPr>
        <w:t xml:space="preserve">shërbimeve për periudhën afatmesme parashikohen të rriten me 3.0 </w:t>
      </w:r>
      <w:r w:rsidR="00FD6514" w:rsidRPr="00EE038F">
        <w:rPr>
          <w:rFonts w:eastAsia="Times New Roman"/>
        </w:rPr>
        <w:t>për qind</w:t>
      </w:r>
      <w:r w:rsidRPr="00EE038F">
        <w:rPr>
          <w:rFonts w:eastAsia="Times New Roman"/>
        </w:rPr>
        <w:t xml:space="preserve">, me një kontribut mesatar negativ në rritjen totale me rreth -1.4 pp në vit. Për rrjedhojë, kërkesa e huaj neto pritet të ketë një kontribut lehtësisht pozitiv në rriten e përgjithshme me një mesatare prej 0.3 pikë </w:t>
      </w:r>
      <w:r w:rsidR="009242F9" w:rsidRPr="00EE038F">
        <w:rPr>
          <w:rFonts w:eastAsia="Times New Roman"/>
        </w:rPr>
        <w:t>përqindje</w:t>
      </w:r>
      <w:r w:rsidRPr="00EE038F">
        <w:rPr>
          <w:rFonts w:eastAsia="Times New Roman"/>
        </w:rPr>
        <w:t>je në vit.</w:t>
      </w:r>
    </w:p>
    <w:p w14:paraId="09B13AA4" w14:textId="77777777" w:rsidR="00C50585" w:rsidRPr="00EE038F" w:rsidRDefault="00C50585" w:rsidP="00C253BF">
      <w:pPr>
        <w:spacing w:after="0" w:line="240" w:lineRule="auto"/>
        <w:jc w:val="center"/>
        <w:rPr>
          <w:rFonts w:ascii="Garamond" w:eastAsia="Times New Roman" w:hAnsi="Garamond"/>
        </w:rPr>
      </w:pPr>
    </w:p>
    <w:p w14:paraId="6F236304" w14:textId="77777777" w:rsidR="00C253BF" w:rsidRPr="00EE038F" w:rsidRDefault="00C253BF" w:rsidP="00C253BF">
      <w:pPr>
        <w:spacing w:after="0" w:line="240" w:lineRule="auto"/>
        <w:jc w:val="center"/>
        <w:rPr>
          <w:rFonts w:ascii="Garamond" w:eastAsia="Times New Roman" w:hAnsi="Garamond"/>
        </w:rPr>
      </w:pPr>
    </w:p>
    <w:p w14:paraId="3B9A8E8F" w14:textId="2BCE8190" w:rsidR="00C253BF" w:rsidRPr="00EE038F" w:rsidRDefault="00C253BF" w:rsidP="00C253BF">
      <w:pPr>
        <w:spacing w:after="0" w:line="240" w:lineRule="auto"/>
        <w:jc w:val="center"/>
        <w:rPr>
          <w:rFonts w:ascii="Garamond" w:eastAsia="Times New Roman" w:hAnsi="Garamond"/>
        </w:rPr>
      </w:pPr>
    </w:p>
    <w:p w14:paraId="2C4D2F81" w14:textId="77777777" w:rsidR="00066DFC" w:rsidRPr="00EE038F" w:rsidRDefault="00066DFC" w:rsidP="00C253BF">
      <w:pPr>
        <w:spacing w:after="0" w:line="240" w:lineRule="auto"/>
        <w:jc w:val="center"/>
        <w:rPr>
          <w:rFonts w:ascii="Garamond" w:eastAsia="Times New Roman" w:hAnsi="Garamond"/>
        </w:rPr>
      </w:pPr>
    </w:p>
    <w:tbl>
      <w:tblPr>
        <w:tblStyle w:val="TableGrid"/>
        <w:tblW w:w="96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6"/>
        <w:gridCol w:w="4826"/>
      </w:tblGrid>
      <w:tr w:rsidR="00C50585" w:rsidRPr="00EE038F" w14:paraId="6D9AF318" w14:textId="77777777" w:rsidTr="001A4152">
        <w:trPr>
          <w:trHeight w:val="431"/>
          <w:jc w:val="center"/>
        </w:trPr>
        <w:tc>
          <w:tcPr>
            <w:tcW w:w="4826" w:type="dxa"/>
            <w:vAlign w:val="center"/>
          </w:tcPr>
          <w:p w14:paraId="335BD266" w14:textId="77777777" w:rsidR="00C50585" w:rsidRPr="00EE038F" w:rsidRDefault="00C50585" w:rsidP="001A4152">
            <w:pPr>
              <w:widowControl/>
              <w:jc w:val="center"/>
              <w:rPr>
                <w:rFonts w:ascii="Garamond" w:hAnsi="Garamond"/>
                <w:i/>
                <w:iCs/>
                <w:sz w:val="24"/>
                <w:szCs w:val="24"/>
              </w:rPr>
            </w:pPr>
            <w:r w:rsidRPr="00EE038F">
              <w:rPr>
                <w:rFonts w:ascii="Garamond" w:hAnsi="Garamond"/>
                <w:i/>
                <w:iCs/>
                <w:color w:val="0D0D0D" w:themeColor="text1" w:themeTint="F2"/>
                <w:sz w:val="24"/>
                <w:szCs w:val="24"/>
              </w:rPr>
              <w:lastRenderedPageBreak/>
              <w:t>Grafiku 3.2.1: Rritja reale (në %)</w:t>
            </w:r>
          </w:p>
        </w:tc>
        <w:tc>
          <w:tcPr>
            <w:tcW w:w="4826" w:type="dxa"/>
            <w:vAlign w:val="center"/>
          </w:tcPr>
          <w:p w14:paraId="64A373B6" w14:textId="77777777" w:rsidR="00C50585" w:rsidRPr="00EE038F" w:rsidRDefault="00C50585" w:rsidP="001A4152">
            <w:pPr>
              <w:widowControl/>
              <w:jc w:val="center"/>
              <w:rPr>
                <w:rFonts w:ascii="Garamond" w:hAnsi="Garamond"/>
                <w:i/>
                <w:iCs/>
                <w:sz w:val="24"/>
                <w:szCs w:val="24"/>
              </w:rPr>
            </w:pPr>
            <w:r w:rsidRPr="00EE038F">
              <w:rPr>
                <w:rFonts w:ascii="Garamond" w:hAnsi="Garamond"/>
                <w:i/>
                <w:iCs/>
                <w:color w:val="0D0D0D" w:themeColor="text1" w:themeTint="F2"/>
                <w:sz w:val="24"/>
                <w:szCs w:val="24"/>
              </w:rPr>
              <w:t>Grafiku 3.2.2: Kontributet në rritje (në p.p.) sipas komponentëve të kërkesës</w:t>
            </w:r>
          </w:p>
        </w:tc>
      </w:tr>
    </w:tbl>
    <w:p w14:paraId="6C6CC1B9" w14:textId="77777777" w:rsidR="00C50585" w:rsidRPr="00EE038F" w:rsidRDefault="00C50585" w:rsidP="00C50585">
      <w:pPr>
        <w:spacing w:after="0" w:line="240" w:lineRule="auto"/>
        <w:jc w:val="both"/>
        <w:rPr>
          <w:rFonts w:ascii="Garamond" w:hAnsi="Garamond"/>
          <w:color w:val="0D0D0D" w:themeColor="text1" w:themeTint="F2"/>
        </w:rPr>
      </w:pPr>
      <w:r w:rsidRPr="00EE038F">
        <w:rPr>
          <w:rFonts w:ascii="Garamond" w:hAnsi="Garamond"/>
          <w:noProof/>
          <w:lang w:eastAsia="en-GB"/>
        </w:rPr>
        <mc:AlternateContent>
          <mc:Choice Requires="wps">
            <w:drawing>
              <wp:anchor distT="0" distB="0" distL="114300" distR="114300" simplePos="0" relativeHeight="251658245" behindDoc="0" locked="0" layoutInCell="1" allowOverlap="1" wp14:anchorId="500D64E4" wp14:editId="2CE44C3B">
                <wp:simplePos x="0" y="0"/>
                <wp:positionH relativeFrom="column">
                  <wp:posOffset>1732557</wp:posOffset>
                </wp:positionH>
                <wp:positionV relativeFrom="paragraph">
                  <wp:posOffset>17109</wp:posOffset>
                </wp:positionV>
                <wp:extent cx="1328000" cy="1866265"/>
                <wp:effectExtent l="0" t="0" r="24765" b="19685"/>
                <wp:wrapNone/>
                <wp:docPr id="19"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8000" cy="1866265"/>
                        </a:xfrm>
                        <a:prstGeom prst="roundRect">
                          <a:avLst/>
                        </a:prstGeom>
                        <a:noFill/>
                        <a:ln w="22225" cap="flat" cmpd="sng" algn="ctr">
                          <a:solidFill>
                            <a:srgbClr val="FF9393"/>
                          </a:solidFill>
                          <a:prstDash val="dash"/>
                          <a:round/>
                          <a:headEnd type="none" w="med" len="med"/>
                          <a:tailEnd type="none" w="med" len="med"/>
                        </a:ln>
                        <a:effectLst/>
                      </wps:spPr>
                      <wps:bodyPr vertOverflow="clip" horzOverflow="clip" wrap="square" lIns="18288" tIns="0" rIns="0" bIns="0" rtlCol="0" anchor="t" upright="1"/>
                    </wps:wsp>
                  </a:graphicData>
                </a:graphic>
                <wp14:sizeRelH relativeFrom="page">
                  <wp14:pctWidth>0</wp14:pctWidth>
                </wp14:sizeRelH>
                <wp14:sizeRelV relativeFrom="page">
                  <wp14:pctHeight>0</wp14:pctHeight>
                </wp14:sizeRelV>
              </wp:anchor>
            </w:drawing>
          </mc:Choice>
          <mc:Fallback>
            <w:pict>
              <v:roundrect w14:anchorId="4613861F" id="Rounded Rectangle 19" o:spid="_x0000_s1026" style="position:absolute;margin-left:136.4pt;margin-top:1.35pt;width:104.55pt;height:146.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" filled="f" strokecolor="#ff9393" strokeweight="1.75pt">
                <v:stroke dashstyle="dash"/>
                <v:path arrowok="t"/>
                <v:textbox inset="1.44pt,0,0,0"/>
              </v:roundrect>
            </w:pict>
          </mc:Fallback>
        </mc:AlternateContent>
      </w:r>
      <w:r w:rsidRPr="00EE038F">
        <w:rPr>
          <w:rFonts w:ascii="Garamond" w:hAnsi="Garamond"/>
          <w:color w:val="0D0D0D" w:themeColor="text1" w:themeTint="F2"/>
        </w:rPr>
        <w:t xml:space="preserve"> </w:t>
      </w:r>
      <w:r w:rsidRPr="00EE038F">
        <w:rPr>
          <w:rFonts w:ascii="Garamond" w:hAnsi="Garamond"/>
          <w:noProof/>
          <w:lang w:eastAsia="en-GB"/>
        </w:rPr>
        <w:drawing>
          <wp:inline distT="0" distB="0" distL="0" distR="0" wp14:anchorId="4D4D3F43" wp14:editId="2780C04A">
            <wp:extent cx="5844845" cy="2082756"/>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54692" cy="2086265"/>
                    </a:xfrm>
                    <a:prstGeom prst="rect">
                      <a:avLst/>
                    </a:prstGeom>
                    <a:noFill/>
                    <a:ln>
                      <a:noFill/>
                    </a:ln>
                  </pic:spPr>
                </pic:pic>
              </a:graphicData>
            </a:graphic>
          </wp:inline>
        </w:drawing>
      </w:r>
    </w:p>
    <w:p w14:paraId="2350C687" w14:textId="77777777" w:rsidR="00C50585" w:rsidRPr="00EE038F" w:rsidRDefault="00C50585" w:rsidP="00066DFC">
      <w:pPr>
        <w:spacing w:after="0" w:line="240" w:lineRule="auto"/>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Burimi: INSTAT, Ministria e Financave (2024)</w:t>
      </w:r>
    </w:p>
    <w:p w14:paraId="6CDCE74E" w14:textId="77777777" w:rsidR="00C50585" w:rsidRPr="00EE038F" w:rsidRDefault="00C50585" w:rsidP="00C50585">
      <w:pPr>
        <w:spacing w:after="0" w:line="240" w:lineRule="auto"/>
        <w:jc w:val="both"/>
        <w:rPr>
          <w:rFonts w:ascii="Garamond" w:hAnsi="Garamond"/>
          <w:color w:val="0D0D0D" w:themeColor="text1" w:themeTint="F2"/>
        </w:rPr>
      </w:pPr>
    </w:p>
    <w:p w14:paraId="71A2995D" w14:textId="77777777" w:rsidR="00C50585" w:rsidRPr="00EE038F" w:rsidRDefault="00C50585" w:rsidP="00C253BF">
      <w:pPr>
        <w:pStyle w:val="TEKSTIIIIII"/>
      </w:pPr>
    </w:p>
    <w:p w14:paraId="05E272B5" w14:textId="26CEA30D" w:rsidR="00C50585" w:rsidRPr="00EE038F" w:rsidRDefault="00C50585" w:rsidP="00066DFC">
      <w:pPr>
        <w:pStyle w:val="TEKSTIIIIII"/>
        <w:ind w:firstLine="0"/>
        <w:jc w:val="center"/>
        <w:rPr>
          <w:i/>
          <w:iCs/>
        </w:rPr>
      </w:pPr>
      <w:r w:rsidRPr="00EE038F">
        <w:rPr>
          <w:i/>
          <w:iCs/>
        </w:rPr>
        <w:t>Tabelë 3.2.1: Rritja reale (në të majtë, në %) dhe kontributet në rritje (në të djathtë, në p.p.) sipas komponentëve të kërkesës</w:t>
      </w:r>
    </w:p>
    <w:p w14:paraId="5B574F36" w14:textId="77777777" w:rsidR="00C50585" w:rsidRPr="00EE038F" w:rsidRDefault="00C50585" w:rsidP="00C50585">
      <w:pPr>
        <w:spacing w:after="0" w:line="240" w:lineRule="auto"/>
        <w:jc w:val="both"/>
        <w:rPr>
          <w:rFonts w:ascii="Garamond" w:hAnsi="Garamond"/>
        </w:rPr>
      </w:pPr>
      <w:r w:rsidRPr="00EE038F">
        <w:rPr>
          <w:rFonts w:ascii="Garamond" w:hAnsi="Garamond"/>
          <w:noProof/>
          <w:lang w:eastAsia="en-GB"/>
        </w:rPr>
        <w:drawing>
          <wp:inline distT="0" distB="0" distL="0" distR="0" wp14:anchorId="115D8D49" wp14:editId="4D01D80D">
            <wp:extent cx="5886397" cy="3138221"/>
            <wp:effectExtent l="0" t="0" r="635"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90988" cy="3140669"/>
                    </a:xfrm>
                    <a:prstGeom prst="rect">
                      <a:avLst/>
                    </a:prstGeom>
                    <a:noFill/>
                    <a:ln>
                      <a:noFill/>
                    </a:ln>
                  </pic:spPr>
                </pic:pic>
              </a:graphicData>
            </a:graphic>
          </wp:inline>
        </w:drawing>
      </w:r>
    </w:p>
    <w:p w14:paraId="3F86B311" w14:textId="77777777" w:rsidR="00C50585" w:rsidRPr="00EE038F" w:rsidRDefault="00C50585" w:rsidP="00C50585">
      <w:pPr>
        <w:spacing w:after="0" w:line="240" w:lineRule="auto"/>
        <w:jc w:val="both"/>
        <w:rPr>
          <w:rFonts w:ascii="Garamond" w:hAnsi="Garamond"/>
        </w:rPr>
      </w:pPr>
    </w:p>
    <w:p w14:paraId="2D9074F5" w14:textId="5E0BEB9D" w:rsidR="00C50585" w:rsidRPr="00EE038F" w:rsidRDefault="00C50585" w:rsidP="00C253BF">
      <w:pPr>
        <w:pStyle w:val="TEKSTIIIIII"/>
        <w:rPr>
          <w:rFonts w:eastAsia="Times New Roman"/>
        </w:rPr>
      </w:pPr>
      <w:r w:rsidRPr="00EE038F">
        <w:rPr>
          <w:rFonts w:eastAsia="Times New Roman"/>
        </w:rPr>
        <w:t>Nga pikëpamja e ofertës agregate pritet që të gjithë sektorët kryesorë të vazhdojnë të rriten me trende të përafërta të mesatares së tyre historike. Specifikisht</w:t>
      </w:r>
      <w:r w:rsidR="0030623E" w:rsidRPr="00EE038F">
        <w:rPr>
          <w:rFonts w:eastAsia="Times New Roman"/>
        </w:rPr>
        <w:t>:</w:t>
      </w:r>
      <w:r w:rsidRPr="00EE038F">
        <w:rPr>
          <w:rFonts w:eastAsia="Times New Roman"/>
        </w:rPr>
        <w:t xml:space="preserve"> </w:t>
      </w:r>
      <w:r w:rsidR="00D555C7" w:rsidRPr="00EE038F">
        <w:rPr>
          <w:rFonts w:eastAsia="Times New Roman"/>
        </w:rPr>
        <w:t>“</w:t>
      </w:r>
      <w:r w:rsidRPr="00EE038F">
        <w:rPr>
          <w:rFonts w:eastAsia="Times New Roman"/>
        </w:rPr>
        <w:t>Industria</w:t>
      </w:r>
      <w:r w:rsidR="00D555C7" w:rsidRPr="00EE038F">
        <w:rPr>
          <w:rFonts w:eastAsia="Times New Roman"/>
        </w:rPr>
        <w:t>”</w:t>
      </w:r>
      <w:r w:rsidRPr="00EE038F">
        <w:rPr>
          <w:rFonts w:eastAsia="Times New Roman"/>
        </w:rPr>
        <w:t xml:space="preserve"> me një rritje mesatare vjetore prej rreth 5.2 </w:t>
      </w:r>
      <w:r w:rsidR="00FD6514" w:rsidRPr="00EE038F">
        <w:rPr>
          <w:rFonts w:eastAsia="Times New Roman"/>
        </w:rPr>
        <w:t>për qind</w:t>
      </w:r>
      <w:r w:rsidRPr="00EE038F">
        <w:rPr>
          <w:rFonts w:eastAsia="Times New Roman"/>
        </w:rPr>
        <w:t xml:space="preserve"> në vit në terma real</w:t>
      </w:r>
      <w:r w:rsidR="0030623E" w:rsidRPr="00EE038F">
        <w:rPr>
          <w:rFonts w:eastAsia="Times New Roman"/>
        </w:rPr>
        <w:t>ë</w:t>
      </w:r>
      <w:r w:rsidRPr="00EE038F">
        <w:rPr>
          <w:rFonts w:eastAsia="Times New Roman"/>
        </w:rPr>
        <w:t xml:space="preserve"> përgjatë periudhës </w:t>
      </w:r>
      <w:r w:rsidR="003F70BC" w:rsidRPr="00EE038F">
        <w:rPr>
          <w:rFonts w:eastAsia="Times New Roman"/>
        </w:rPr>
        <w:t xml:space="preserve">2025–2027 </w:t>
      </w:r>
      <w:r w:rsidRPr="00EE038F">
        <w:rPr>
          <w:rFonts w:eastAsia="Times New Roman"/>
        </w:rPr>
        <w:t xml:space="preserve">dhe një kontribut mesatar vjetor prej rreth 0.5 pikë </w:t>
      </w:r>
      <w:r w:rsidR="009242F9" w:rsidRPr="00EE038F">
        <w:rPr>
          <w:rFonts w:eastAsia="Times New Roman"/>
        </w:rPr>
        <w:t>përqindje</w:t>
      </w:r>
      <w:r w:rsidRPr="00EE038F">
        <w:rPr>
          <w:rFonts w:eastAsia="Times New Roman"/>
        </w:rPr>
        <w:t xml:space="preserve">; </w:t>
      </w:r>
      <w:r w:rsidR="00D555C7" w:rsidRPr="00EE038F">
        <w:rPr>
          <w:rFonts w:eastAsia="Times New Roman"/>
        </w:rPr>
        <w:t>“</w:t>
      </w:r>
      <w:r w:rsidRPr="00EE038F">
        <w:rPr>
          <w:rFonts w:eastAsia="Times New Roman"/>
        </w:rPr>
        <w:t>Ndërtimi</w:t>
      </w:r>
      <w:r w:rsidR="00D555C7" w:rsidRPr="00EE038F">
        <w:rPr>
          <w:rFonts w:eastAsia="Times New Roman"/>
        </w:rPr>
        <w:t>”</w:t>
      </w:r>
      <w:r w:rsidRPr="00EE038F">
        <w:rPr>
          <w:rFonts w:eastAsia="Times New Roman"/>
        </w:rPr>
        <w:t xml:space="preserve"> me rritje mesatare vjetore prej rreth 3.2 </w:t>
      </w:r>
      <w:r w:rsidR="00FD6514" w:rsidRPr="00EE038F">
        <w:rPr>
          <w:rFonts w:eastAsia="Times New Roman"/>
        </w:rPr>
        <w:t>për qind</w:t>
      </w:r>
      <w:r w:rsidRPr="00EE038F">
        <w:rPr>
          <w:rFonts w:eastAsia="Times New Roman"/>
        </w:rPr>
        <w:t xml:space="preserve"> dhe kontribut mesatar vjetor prej rreth 0.4 pikë </w:t>
      </w:r>
      <w:r w:rsidR="009242F9" w:rsidRPr="00EE038F">
        <w:rPr>
          <w:rFonts w:eastAsia="Times New Roman"/>
        </w:rPr>
        <w:t>përqindje</w:t>
      </w:r>
      <w:r w:rsidRPr="00EE038F">
        <w:rPr>
          <w:rFonts w:eastAsia="Times New Roman"/>
        </w:rPr>
        <w:t xml:space="preserve">; </w:t>
      </w:r>
      <w:r w:rsidR="00D555C7" w:rsidRPr="00EE038F">
        <w:rPr>
          <w:rFonts w:eastAsia="Times New Roman"/>
        </w:rPr>
        <w:t>“</w:t>
      </w:r>
      <w:r w:rsidRPr="00EE038F">
        <w:rPr>
          <w:rFonts w:eastAsia="Times New Roman"/>
        </w:rPr>
        <w:t>Shërbimet</w:t>
      </w:r>
      <w:r w:rsidR="00D555C7" w:rsidRPr="00EE038F">
        <w:rPr>
          <w:rFonts w:eastAsia="Times New Roman"/>
        </w:rPr>
        <w:t>”</w:t>
      </w:r>
      <w:r w:rsidRPr="00EE038F">
        <w:rPr>
          <w:rFonts w:eastAsia="Times New Roman"/>
        </w:rPr>
        <w:t xml:space="preserve"> me një rritje mesatare vjetore prej rreth 5.0 </w:t>
      </w:r>
      <w:r w:rsidR="00FD6514" w:rsidRPr="00EE038F">
        <w:rPr>
          <w:rFonts w:eastAsia="Times New Roman"/>
        </w:rPr>
        <w:t>për qind</w:t>
      </w:r>
      <w:r w:rsidRPr="00EE038F">
        <w:rPr>
          <w:rFonts w:eastAsia="Times New Roman"/>
        </w:rPr>
        <w:t xml:space="preserve"> dhe një kontribut mesatar vjetor prej rreth 2.4 pikë </w:t>
      </w:r>
      <w:r w:rsidR="009242F9" w:rsidRPr="00EE038F">
        <w:rPr>
          <w:rFonts w:eastAsia="Times New Roman"/>
        </w:rPr>
        <w:t>përqindje</w:t>
      </w:r>
      <w:r w:rsidRPr="00EE038F">
        <w:rPr>
          <w:rFonts w:eastAsia="Times New Roman"/>
        </w:rPr>
        <w:t xml:space="preserve">, </w:t>
      </w:r>
      <w:r w:rsidR="00D555C7" w:rsidRPr="00EE038F">
        <w:rPr>
          <w:rFonts w:eastAsia="Times New Roman"/>
        </w:rPr>
        <w:t>“</w:t>
      </w:r>
      <w:r w:rsidRPr="00EE038F">
        <w:rPr>
          <w:rFonts w:eastAsia="Times New Roman"/>
        </w:rPr>
        <w:t>Bujqësia</w:t>
      </w:r>
      <w:r w:rsidR="00D555C7" w:rsidRPr="00EE038F">
        <w:rPr>
          <w:rFonts w:eastAsia="Times New Roman"/>
        </w:rPr>
        <w:t>”</w:t>
      </w:r>
      <w:r w:rsidRPr="00EE038F">
        <w:rPr>
          <w:rFonts w:eastAsia="Times New Roman"/>
        </w:rPr>
        <w:t xml:space="preserve"> pritet të rritet mesatarisht me rreth 0.2 </w:t>
      </w:r>
      <w:r w:rsidR="00FD6514" w:rsidRPr="00EE038F">
        <w:rPr>
          <w:rFonts w:eastAsia="Times New Roman"/>
        </w:rPr>
        <w:t>për qind</w:t>
      </w:r>
      <w:r w:rsidRPr="00EE038F">
        <w:rPr>
          <w:rFonts w:eastAsia="Times New Roman"/>
        </w:rPr>
        <w:t>, duke qenë neutrale sa i takon kontributit në rritjen ekonomike.</w:t>
      </w:r>
    </w:p>
    <w:p w14:paraId="5069B848" w14:textId="02CF904E" w:rsidR="00066DFC" w:rsidRPr="00EE038F" w:rsidRDefault="00066DFC" w:rsidP="00C253BF">
      <w:pPr>
        <w:pStyle w:val="TEKSTIIIIII"/>
        <w:rPr>
          <w:rFonts w:eastAsia="Times New Roman"/>
        </w:rPr>
      </w:pPr>
    </w:p>
    <w:p w14:paraId="6FDFB442" w14:textId="74134375" w:rsidR="00066DFC" w:rsidRPr="00EE038F" w:rsidRDefault="00066DFC" w:rsidP="00C253BF">
      <w:pPr>
        <w:pStyle w:val="TEKSTIIIIII"/>
        <w:rPr>
          <w:rFonts w:eastAsia="Times New Roman"/>
        </w:rPr>
      </w:pPr>
    </w:p>
    <w:p w14:paraId="220FDD9C" w14:textId="55B5781F" w:rsidR="00066DFC" w:rsidRPr="00EE038F" w:rsidRDefault="00066DFC" w:rsidP="00C253BF">
      <w:pPr>
        <w:pStyle w:val="TEKSTIIIIII"/>
        <w:rPr>
          <w:rFonts w:eastAsia="Times New Roman"/>
        </w:rPr>
      </w:pPr>
    </w:p>
    <w:p w14:paraId="2DCE1DEC" w14:textId="575EA659" w:rsidR="00066DFC" w:rsidRPr="00EE038F" w:rsidRDefault="00066DFC" w:rsidP="00C253BF">
      <w:pPr>
        <w:pStyle w:val="TEKSTIIIIII"/>
        <w:rPr>
          <w:rFonts w:eastAsia="Times New Roman"/>
        </w:rPr>
      </w:pPr>
    </w:p>
    <w:p w14:paraId="65208656" w14:textId="77777777" w:rsidR="00066DFC" w:rsidRPr="00EE038F" w:rsidRDefault="00066DFC" w:rsidP="00C253BF">
      <w:pPr>
        <w:pStyle w:val="TEKSTIIIIII"/>
        <w:rPr>
          <w:rFonts w:eastAsia="Times New Roman"/>
        </w:rPr>
      </w:pPr>
    </w:p>
    <w:p w14:paraId="19E3B66B" w14:textId="77777777" w:rsidR="00C50585" w:rsidRPr="00EE038F" w:rsidRDefault="00C50585" w:rsidP="00C50585">
      <w:pPr>
        <w:spacing w:after="0" w:line="240" w:lineRule="auto"/>
        <w:jc w:val="both"/>
        <w:rPr>
          <w:rFonts w:ascii="Garamond" w:eastAsia="Times New Roman" w:hAnsi="Garamond"/>
        </w:rPr>
      </w:pPr>
    </w:p>
    <w:tbl>
      <w:tblPr>
        <w:tblStyle w:val="TableGrid"/>
        <w:tblW w:w="96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842"/>
      </w:tblGrid>
      <w:tr w:rsidR="00C50585" w:rsidRPr="00EE038F" w14:paraId="30331814" w14:textId="77777777" w:rsidTr="0030623E">
        <w:trPr>
          <w:trHeight w:val="422"/>
          <w:jc w:val="center"/>
        </w:trPr>
        <w:tc>
          <w:tcPr>
            <w:tcW w:w="4758" w:type="dxa"/>
            <w:vAlign w:val="center"/>
          </w:tcPr>
          <w:p w14:paraId="4FD9F16D" w14:textId="77777777" w:rsidR="00C50585" w:rsidRPr="00EE038F" w:rsidRDefault="00C50585" w:rsidP="0030623E">
            <w:pPr>
              <w:widowControl/>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Grafiku 3.2.3: Rritja reale (në %)</w:t>
            </w:r>
          </w:p>
        </w:tc>
        <w:tc>
          <w:tcPr>
            <w:tcW w:w="4842" w:type="dxa"/>
            <w:vAlign w:val="center"/>
          </w:tcPr>
          <w:p w14:paraId="770FB22B" w14:textId="77777777" w:rsidR="00C50585" w:rsidRPr="00EE038F" w:rsidRDefault="00C50585" w:rsidP="0030623E">
            <w:pPr>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Grafiku 3.2.4: Kontributet në rritje (në p.p.) sipas komponentëve të ofertës</w:t>
            </w:r>
          </w:p>
        </w:tc>
      </w:tr>
    </w:tbl>
    <w:p w14:paraId="332F85DE" w14:textId="77777777" w:rsidR="00C50585" w:rsidRPr="00EE038F" w:rsidRDefault="00C50585" w:rsidP="00C50585">
      <w:pPr>
        <w:spacing w:after="0" w:line="240" w:lineRule="auto"/>
        <w:jc w:val="both"/>
        <w:rPr>
          <w:rFonts w:ascii="Garamond" w:hAnsi="Garamond"/>
          <w:color w:val="0D0D0D" w:themeColor="text1" w:themeTint="F2"/>
        </w:rPr>
      </w:pPr>
      <w:r w:rsidRPr="00EE038F">
        <w:rPr>
          <w:rFonts w:ascii="Garamond" w:hAnsi="Garamond"/>
          <w:noProof/>
          <w:lang w:eastAsia="en-GB"/>
        </w:rPr>
        <w:drawing>
          <wp:inline distT="0" distB="0" distL="0" distR="0" wp14:anchorId="5ACA3CD8" wp14:editId="1B8D074F">
            <wp:extent cx="5647334" cy="207646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65841" cy="2083267"/>
                    </a:xfrm>
                    <a:prstGeom prst="rect">
                      <a:avLst/>
                    </a:prstGeom>
                    <a:noFill/>
                    <a:ln>
                      <a:noFill/>
                    </a:ln>
                  </pic:spPr>
                </pic:pic>
              </a:graphicData>
            </a:graphic>
          </wp:inline>
        </w:drawing>
      </w:r>
    </w:p>
    <w:p w14:paraId="412F5DE1" w14:textId="77777777" w:rsidR="00C50585" w:rsidRPr="00EE038F" w:rsidRDefault="00C50585" w:rsidP="00066DFC">
      <w:pPr>
        <w:spacing w:after="0" w:line="240" w:lineRule="auto"/>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Burimi: INSTAT, Ministria e Financave</w:t>
      </w:r>
    </w:p>
    <w:p w14:paraId="51315E79" w14:textId="77777777" w:rsidR="00C50585" w:rsidRPr="00EE038F" w:rsidRDefault="00C50585" w:rsidP="00C50585">
      <w:pPr>
        <w:widowControl w:val="0"/>
        <w:spacing w:after="0" w:line="240" w:lineRule="auto"/>
        <w:jc w:val="both"/>
        <w:rPr>
          <w:rFonts w:ascii="Garamond" w:hAnsi="Garamond"/>
          <w:color w:val="0D0D0D" w:themeColor="text1" w:themeTint="F2"/>
        </w:rPr>
      </w:pPr>
    </w:p>
    <w:p w14:paraId="6E022AB6" w14:textId="1602E191" w:rsidR="00C50585" w:rsidRPr="00EE038F" w:rsidRDefault="00C50585" w:rsidP="00066DFC">
      <w:pPr>
        <w:pStyle w:val="TEKSTIIIIII"/>
        <w:jc w:val="center"/>
        <w:rPr>
          <w:i/>
          <w:iCs/>
        </w:rPr>
      </w:pPr>
      <w:r w:rsidRPr="00EE038F">
        <w:rPr>
          <w:i/>
          <w:iCs/>
        </w:rPr>
        <w:t>Tabela 3.2.2: Rritja reale (në të majtë, në %) dhe kontributet në rritje (në të djathtë, në p.p.) sipas</w:t>
      </w:r>
      <w:r w:rsidR="00AD3D9C" w:rsidRPr="00EE038F">
        <w:rPr>
          <w:i/>
          <w:iCs/>
        </w:rPr>
        <w:t xml:space="preserve"> </w:t>
      </w:r>
      <w:r w:rsidRPr="00EE038F">
        <w:rPr>
          <w:i/>
          <w:iCs/>
        </w:rPr>
        <w:t>komponentëve të ofertës</w:t>
      </w:r>
    </w:p>
    <w:p w14:paraId="642D7164" w14:textId="77777777" w:rsidR="00C50585" w:rsidRPr="00EE038F" w:rsidRDefault="00C50585" w:rsidP="00C50585">
      <w:pPr>
        <w:spacing w:after="0" w:line="240" w:lineRule="auto"/>
        <w:jc w:val="both"/>
        <w:rPr>
          <w:rFonts w:ascii="Garamond" w:hAnsi="Garamond"/>
        </w:rPr>
      </w:pPr>
      <w:r w:rsidRPr="00EE038F">
        <w:rPr>
          <w:rFonts w:ascii="Garamond" w:hAnsi="Garamond"/>
          <w:noProof/>
          <w:lang w:eastAsia="en-GB"/>
        </w:rPr>
        <w:drawing>
          <wp:inline distT="0" distB="0" distL="0" distR="0" wp14:anchorId="0C5E1734" wp14:editId="10ACCD88">
            <wp:extent cx="5888736" cy="323944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03022" cy="3247305"/>
                    </a:xfrm>
                    <a:prstGeom prst="rect">
                      <a:avLst/>
                    </a:prstGeom>
                    <a:noFill/>
                    <a:ln>
                      <a:noFill/>
                    </a:ln>
                  </pic:spPr>
                </pic:pic>
              </a:graphicData>
            </a:graphic>
          </wp:inline>
        </w:drawing>
      </w:r>
    </w:p>
    <w:p w14:paraId="3E63EB1C" w14:textId="77777777" w:rsidR="00C50585" w:rsidRPr="00EE038F" w:rsidRDefault="00C50585" w:rsidP="0030623E">
      <w:pPr>
        <w:spacing w:after="0" w:line="240" w:lineRule="auto"/>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Burimi: INSTAT, Ministria e Financave (2024)</w:t>
      </w:r>
    </w:p>
    <w:p w14:paraId="1A3F6C96" w14:textId="77777777" w:rsidR="00C50585" w:rsidRPr="00EE038F" w:rsidRDefault="00C50585" w:rsidP="00C50585">
      <w:pPr>
        <w:spacing w:after="0" w:line="240" w:lineRule="auto"/>
        <w:jc w:val="both"/>
        <w:rPr>
          <w:rStyle w:val="jlqj4b"/>
          <w:rFonts w:ascii="Garamond" w:hAnsi="Garamond"/>
        </w:rPr>
      </w:pPr>
    </w:p>
    <w:p w14:paraId="0E35810D" w14:textId="5398F867" w:rsidR="00C50585" w:rsidRPr="00EE038F" w:rsidRDefault="00C50585" w:rsidP="00C253BF">
      <w:pPr>
        <w:pStyle w:val="TEKSTIIIIII"/>
        <w:rPr>
          <w:rFonts w:eastAsia="Times New Roman"/>
        </w:rPr>
      </w:pPr>
      <w:r w:rsidRPr="00EE038F">
        <w:rPr>
          <w:rFonts w:eastAsia="Times New Roman"/>
        </w:rPr>
        <w:t>Rritja ekonomike është shoqëruar me rritje të punësimit dhe ulje të shkallës së papunësisë. Si sektori i prodhimit</w:t>
      </w:r>
      <w:r w:rsidR="001E7C56" w:rsidRPr="00EE038F">
        <w:rPr>
          <w:rFonts w:eastAsia="Times New Roman"/>
        </w:rPr>
        <w:t>,</w:t>
      </w:r>
      <w:r w:rsidRPr="00EE038F">
        <w:rPr>
          <w:rFonts w:eastAsia="Times New Roman"/>
        </w:rPr>
        <w:t xml:space="preserve"> ashtu edhe ai i shërbimeve kanë përfituar nga këto zhvillime, duke siguruar rimëkëmbje për biznesin dhe punësimin dhe duke krijuar premisa të mira për perspektivën afatmesme. </w:t>
      </w:r>
    </w:p>
    <w:p w14:paraId="35A478EF" w14:textId="1D51E128" w:rsidR="00C50585" w:rsidRPr="00EE038F" w:rsidRDefault="00C50585" w:rsidP="00C253BF">
      <w:pPr>
        <w:pStyle w:val="TEKSTIIIIII"/>
        <w:rPr>
          <w:rFonts w:eastAsia="Times New Roman"/>
        </w:rPr>
      </w:pPr>
      <w:r w:rsidRPr="00EE038F">
        <w:rPr>
          <w:rFonts w:eastAsia="Times New Roman"/>
        </w:rPr>
        <w:t xml:space="preserve">Punësimi gjatë vitit 2023 është rritur mesatarisht me 1.6 </w:t>
      </w:r>
      <w:r w:rsidR="00FD6514" w:rsidRPr="00EE038F">
        <w:rPr>
          <w:rFonts w:eastAsia="Times New Roman"/>
        </w:rPr>
        <w:t>për qind</w:t>
      </w:r>
      <w:r w:rsidRPr="00EE038F">
        <w:rPr>
          <w:rFonts w:eastAsia="Times New Roman"/>
        </w:rPr>
        <w:t xml:space="preserve"> në vit, mbështetur kryesisht nga punësimi më i lartë në sektorin e shërbimeve. Nga pikëpamja e ofertës, rritja e punësimit mund t</w:t>
      </w:r>
      <w:r w:rsidR="001E7C56" w:rsidRPr="00EE038F">
        <w:rPr>
          <w:rFonts w:eastAsia="Times New Roman"/>
        </w:rPr>
        <w:t>’</w:t>
      </w:r>
      <w:r w:rsidRPr="00EE038F">
        <w:rPr>
          <w:rFonts w:eastAsia="Times New Roman"/>
        </w:rPr>
        <w:t xml:space="preserve">i atribuohet kryesisht rritjes së qëndrueshme të normave të pjesëmarrjes së fuqisë punëtore dhe normës së punësimit, duke arritur përkatësisht 75.1 </w:t>
      </w:r>
      <w:r w:rsidR="00FD6514" w:rsidRPr="00EE038F">
        <w:rPr>
          <w:rFonts w:eastAsia="Times New Roman"/>
        </w:rPr>
        <w:t>për qind</w:t>
      </w:r>
      <w:r w:rsidRPr="00EE038F">
        <w:rPr>
          <w:rFonts w:eastAsia="Times New Roman"/>
        </w:rPr>
        <w:t xml:space="preserve"> dhe 66.7 </w:t>
      </w:r>
      <w:r w:rsidR="00FD6514" w:rsidRPr="00EE038F">
        <w:rPr>
          <w:rFonts w:eastAsia="Times New Roman"/>
        </w:rPr>
        <w:t>për qind</w:t>
      </w:r>
      <w:r w:rsidRPr="00EE038F">
        <w:rPr>
          <w:rFonts w:eastAsia="Times New Roman"/>
        </w:rPr>
        <w:t xml:space="preserve"> në tremujorin e katërt të vitit 2023 (krahasuar me respektivisht 74.8 </w:t>
      </w:r>
      <w:r w:rsidR="00FD6514" w:rsidRPr="00EE038F">
        <w:rPr>
          <w:rFonts w:eastAsia="Times New Roman"/>
        </w:rPr>
        <w:t>për qind</w:t>
      </w:r>
      <w:r w:rsidRPr="00EE038F">
        <w:rPr>
          <w:rFonts w:eastAsia="Times New Roman"/>
        </w:rPr>
        <w:t xml:space="preserve"> dhe 66.5 </w:t>
      </w:r>
      <w:r w:rsidR="00FD6514" w:rsidRPr="00EE038F">
        <w:rPr>
          <w:rFonts w:eastAsia="Times New Roman"/>
        </w:rPr>
        <w:t>për qind</w:t>
      </w:r>
      <w:r w:rsidRPr="00EE038F">
        <w:rPr>
          <w:rFonts w:eastAsia="Times New Roman"/>
        </w:rPr>
        <w:t xml:space="preserve"> në T4-2022). Evidencat tregojnë se ka një interes të përgjithshëm në rritje për të hyrë në fuqinë punëtore, nxitur </w:t>
      </w:r>
      <w:r w:rsidRPr="00EE038F">
        <w:rPr>
          <w:rFonts w:eastAsia="Times New Roman"/>
        </w:rPr>
        <w:lastRenderedPageBreak/>
        <w:t xml:space="preserve">nga trendi rritës i pagave, duke intensifikuar kështu tendencat pozitive në ofertën e punës. Në të njëjtën kohë, shkalla e papunësisë vijoi trendin rënës të viteve të fundit dhe është ulur deri në 10.7 </w:t>
      </w:r>
      <w:r w:rsidR="00FD6514" w:rsidRPr="00EE038F">
        <w:rPr>
          <w:rFonts w:eastAsia="Times New Roman"/>
        </w:rPr>
        <w:t>për qind</w:t>
      </w:r>
      <w:r w:rsidRPr="00EE038F">
        <w:rPr>
          <w:rFonts w:eastAsia="Times New Roman"/>
        </w:rPr>
        <w:t xml:space="preserve"> në tremujorin e katërt 2023, nga 11 </w:t>
      </w:r>
      <w:r w:rsidR="00FD6514" w:rsidRPr="00EE038F">
        <w:rPr>
          <w:rFonts w:eastAsia="Times New Roman"/>
        </w:rPr>
        <w:t>për qind</w:t>
      </w:r>
      <w:r w:rsidRPr="00EE038F">
        <w:rPr>
          <w:rFonts w:eastAsia="Times New Roman"/>
        </w:rPr>
        <w:t xml:space="preserve"> në fund të vitit të kaluar (për moshën 15 vjeç e lart). Kjo paraqet shifrën më të ulët të papunësisë të regjistruar historikisht.</w:t>
      </w:r>
    </w:p>
    <w:p w14:paraId="473A8BE5" w14:textId="17545471" w:rsidR="00C50585" w:rsidRPr="00EE038F" w:rsidRDefault="00C50585" w:rsidP="00C253BF">
      <w:pPr>
        <w:pStyle w:val="TEKSTIIIIII"/>
        <w:rPr>
          <w:rFonts w:eastAsia="Times New Roman"/>
        </w:rPr>
      </w:pPr>
      <w:r w:rsidRPr="00EE038F">
        <w:rPr>
          <w:rFonts w:eastAsia="Times New Roman"/>
        </w:rPr>
        <w:t xml:space="preserve">Në përputhje me parashikimet afatmesme të rritjes, punësimi pritet të rritet me një mesatare prej 0.2 </w:t>
      </w:r>
      <w:r w:rsidR="00FD6514" w:rsidRPr="00EE038F">
        <w:rPr>
          <w:rFonts w:eastAsia="Times New Roman"/>
        </w:rPr>
        <w:t>për qind</w:t>
      </w:r>
      <w:r w:rsidRPr="00EE038F">
        <w:rPr>
          <w:rFonts w:eastAsia="Times New Roman"/>
        </w:rPr>
        <w:t xml:space="preserve"> në vit gjatë periudhës </w:t>
      </w:r>
      <w:r w:rsidR="00B41EC3" w:rsidRPr="00EE038F">
        <w:rPr>
          <w:rFonts w:eastAsia="Times New Roman"/>
        </w:rPr>
        <w:t>2025–2027</w:t>
      </w:r>
      <w:r w:rsidRPr="00EE038F">
        <w:rPr>
          <w:rFonts w:eastAsia="Times New Roman"/>
        </w:rPr>
        <w:t>. Shkalla më e lartë e pjesëmarrjes në forcat e punës do të jetë gjeneruesi kryesor i rritjes së ofertës së punës. Ndërsa rritja e kërkesës për punë pritet të reflektojë pak a shumë të njëjtën strukturë të perspektivës së ofertës agregate të aktivitetit ekonomik. Rrjedhimisht, pritet që shërbimet të kontribuojnë më shumë në rritjen e kërkesës për punë në krahasim me sektorët e tjerë të ekonomisë. Pavarësisht zgjerimit të pritshëm të punësimit në afatin e mesëm, sërish</w:t>
      </w:r>
      <w:r w:rsidR="00AD3D9C" w:rsidRPr="00EE038F">
        <w:rPr>
          <w:rFonts w:eastAsia="Times New Roman"/>
        </w:rPr>
        <w:t xml:space="preserve"> </w:t>
      </w:r>
      <w:r w:rsidRPr="00EE038F">
        <w:rPr>
          <w:rFonts w:eastAsia="Times New Roman"/>
        </w:rPr>
        <w:t xml:space="preserve">produktiviteti i përgjithshëm i punës pritet të ketë një përmirësim të lehtë gjatë kësaj periudhe. Papunësia pritet të vazhdojë rënien graduale duke arritur në 9.3 </w:t>
      </w:r>
      <w:r w:rsidR="00FD6514" w:rsidRPr="00EE038F">
        <w:rPr>
          <w:rFonts w:eastAsia="Times New Roman"/>
        </w:rPr>
        <w:t>për qind</w:t>
      </w:r>
      <w:r w:rsidRPr="00EE038F">
        <w:rPr>
          <w:rFonts w:eastAsia="Times New Roman"/>
        </w:rPr>
        <w:t xml:space="preserve"> në vitin 2027.</w:t>
      </w:r>
    </w:p>
    <w:p w14:paraId="2C15B7D2" w14:textId="77777777" w:rsidR="00C50585" w:rsidRPr="00EE038F" w:rsidRDefault="00C50585" w:rsidP="00C50585">
      <w:pPr>
        <w:spacing w:after="0" w:line="240" w:lineRule="auto"/>
        <w:jc w:val="both"/>
        <w:rPr>
          <w:rFonts w:ascii="Garamond" w:eastAsia="Times New Roman" w:hAnsi="Garamond"/>
        </w:rPr>
      </w:pPr>
    </w:p>
    <w:tbl>
      <w:tblPr>
        <w:tblStyle w:val="TableGrid"/>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541"/>
      </w:tblGrid>
      <w:tr w:rsidR="00C50585" w:rsidRPr="00EE038F" w14:paraId="2C1A9B7B" w14:textId="77777777" w:rsidTr="00B52FFC">
        <w:trPr>
          <w:trHeight w:val="20"/>
          <w:jc w:val="center"/>
        </w:trPr>
        <w:tc>
          <w:tcPr>
            <w:tcW w:w="5240" w:type="dxa"/>
            <w:vAlign w:val="center"/>
          </w:tcPr>
          <w:p w14:paraId="3B658956" w14:textId="77777777" w:rsidR="00C50585" w:rsidRPr="00EE038F" w:rsidRDefault="00C50585" w:rsidP="00B52FFC">
            <w:pPr>
              <w:widowControl/>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Grafiku 3.2.5: Punësimi (rritja vjetore në %)</w:t>
            </w:r>
          </w:p>
        </w:tc>
        <w:tc>
          <w:tcPr>
            <w:tcW w:w="4541" w:type="dxa"/>
            <w:vAlign w:val="center"/>
          </w:tcPr>
          <w:p w14:paraId="128C5160" w14:textId="77777777" w:rsidR="00C50585" w:rsidRPr="00EE038F" w:rsidRDefault="00C50585" w:rsidP="00B52FFC">
            <w:pPr>
              <w:widowControl/>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Grafiku 3.2.6: Norma e papunësisë (në %)</w:t>
            </w:r>
          </w:p>
        </w:tc>
      </w:tr>
    </w:tbl>
    <w:p w14:paraId="13CB7BBA" w14:textId="77777777" w:rsidR="00C50585" w:rsidRPr="00EE038F" w:rsidRDefault="00C50585" w:rsidP="00C50585">
      <w:pPr>
        <w:spacing w:after="0" w:line="240" w:lineRule="auto"/>
        <w:jc w:val="both"/>
        <w:rPr>
          <w:rFonts w:ascii="Garamond" w:hAnsi="Garamond"/>
        </w:rPr>
      </w:pPr>
      <w:r w:rsidRPr="00EE038F">
        <w:rPr>
          <w:rFonts w:ascii="Garamond" w:hAnsi="Garamond"/>
          <w:noProof/>
          <w:lang w:eastAsia="en-GB"/>
        </w:rPr>
        <w:drawing>
          <wp:inline distT="0" distB="0" distL="0" distR="0" wp14:anchorId="50559141" wp14:editId="7DB242F3">
            <wp:extent cx="5742432" cy="221620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6779" cy="2225602"/>
                    </a:xfrm>
                    <a:prstGeom prst="rect">
                      <a:avLst/>
                    </a:prstGeom>
                    <a:noFill/>
                    <a:ln>
                      <a:noFill/>
                    </a:ln>
                  </pic:spPr>
                </pic:pic>
              </a:graphicData>
            </a:graphic>
          </wp:inline>
        </w:drawing>
      </w:r>
    </w:p>
    <w:p w14:paraId="00565156" w14:textId="77777777" w:rsidR="00C50585" w:rsidRPr="00EE038F" w:rsidRDefault="00C50585" w:rsidP="00066DFC">
      <w:pPr>
        <w:spacing w:after="0" w:line="240" w:lineRule="auto"/>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Burimi: INSTAT, Ministria e Financave (2024)</w:t>
      </w:r>
    </w:p>
    <w:p w14:paraId="0A7AFDA7" w14:textId="77777777" w:rsidR="00C50585" w:rsidRPr="00EE038F" w:rsidRDefault="00C50585" w:rsidP="00C50585">
      <w:pPr>
        <w:spacing w:after="0" w:line="240" w:lineRule="auto"/>
        <w:jc w:val="both"/>
        <w:rPr>
          <w:rFonts w:ascii="Garamond" w:hAnsi="Garamond"/>
          <w:color w:val="0D0D0D" w:themeColor="text1" w:themeTint="F2"/>
        </w:rPr>
      </w:pPr>
    </w:p>
    <w:p w14:paraId="2B61A5FE" w14:textId="77777777" w:rsidR="00C50585" w:rsidRPr="00EE038F" w:rsidRDefault="00C50585" w:rsidP="00C253BF">
      <w:pPr>
        <w:pStyle w:val="TEKSTIIIIII"/>
        <w:rPr>
          <w:i/>
        </w:rPr>
      </w:pPr>
      <w:r w:rsidRPr="00EE038F">
        <w:rPr>
          <w:i/>
        </w:rPr>
        <w:t>Regjimi i politikës monetare dhe i kursit të këmbimit, dhe inflacioni</w:t>
      </w:r>
    </w:p>
    <w:p w14:paraId="5C29DD93" w14:textId="11A9C071" w:rsidR="00C50585" w:rsidRPr="00EE038F" w:rsidRDefault="00C50585" w:rsidP="00C253BF">
      <w:pPr>
        <w:pStyle w:val="TEKSTIIIIII"/>
      </w:pPr>
      <w:r w:rsidRPr="00EE038F">
        <w:rPr>
          <w:b/>
        </w:rPr>
        <w:t>Objektivi kryesor i politikës monetare është ruajtja e stabilitetit të çmimeve</w:t>
      </w:r>
      <w:r w:rsidRPr="00EE038F">
        <w:t xml:space="preserve">. Banka e Shqipërisë operon sipas një regjimi të shënjestrimit të inflacionit, me një objektiv afatmesëm për inflacionin e çmimit të konsumit prej 3.0% në vit. Politika monetare zbatohet në aplikimin e instrumenteve të tregut dhe instrumenti kryesor për zbatimin e saj është norma e interesit e aplikuar për marrëveshjet e </w:t>
      </w:r>
      <w:r w:rsidR="005E627B" w:rsidRPr="00EE038F">
        <w:t>anasjelltë</w:t>
      </w:r>
      <w:r w:rsidRPr="00EE038F">
        <w:t xml:space="preserve"> të riblerjes 7-ditore.</w:t>
      </w:r>
    </w:p>
    <w:p w14:paraId="4D2638F7" w14:textId="6780E7FA" w:rsidR="00C50585" w:rsidRPr="00EE038F" w:rsidRDefault="00C50585" w:rsidP="00C253BF">
      <w:pPr>
        <w:pStyle w:val="TEKSTIIIIII"/>
      </w:pPr>
      <w:r w:rsidRPr="00EE038F">
        <w:rPr>
          <w:b/>
        </w:rPr>
        <w:t>Banka e Shqipërisë ndjek një regjim të kursit të këmbimit të lirë</w:t>
      </w:r>
      <w:r w:rsidRPr="00EE038F">
        <w:t xml:space="preserve"> dhe vlera e monedhës </w:t>
      </w:r>
      <w:r w:rsidR="007F728D" w:rsidRPr="00EE038F">
        <w:t>vendës</w:t>
      </w:r>
      <w:r w:rsidRPr="00EE038F">
        <w:t xml:space="preserve">e kundrejt monedhave të tjera përcaktohet nga ndërveprimi midis kërkesës dhe ofertës në treg. Megjithatë, ajo rezervon të drejtën të ndërhyjë në tregun valutor për të ruajtur një nivel të përshtatshëm të rezervave valutore dhe për të siguruar stabilitetin monetar e financiar të vendit. </w:t>
      </w:r>
    </w:p>
    <w:p w14:paraId="4E6434BF" w14:textId="538CA0B5" w:rsidR="00C50585" w:rsidRPr="00EE038F" w:rsidRDefault="00C50585" w:rsidP="00C253BF">
      <w:pPr>
        <w:pStyle w:val="TEKSTIIIIII"/>
      </w:pPr>
      <w:r w:rsidRPr="00EE038F">
        <w:t xml:space="preserve">Ndërhyrjet për rezervë valutore kryhen përmes ankandeve, bazuar në një kalendar të publikuar paraprakisht. Deri në gjashtëmujorin e parë të vitit 2024, Banka e Shqipërisë ka blerë rreth 134.2 milionë euro për rritjen e rezervës valutore. Përveç ankandeve, që prej 2 majit 2024, ajo ka nisur ndërhyrje direkte në treg për të frenuar mbiçmimin e shpejtë të </w:t>
      </w:r>
      <w:r w:rsidR="00BB4D7F" w:rsidRPr="00EE038F">
        <w:t xml:space="preserve">lekut </w:t>
      </w:r>
      <w:r w:rsidRPr="00EE038F">
        <w:t>dhe për të kufizuar implikimet potenciale të tij në stabilitetin monetar e financiar të vendit. Në këtë kuadër, gjatë tremujorit të dytë, janë blerë 137.6 milionë euro.</w:t>
      </w:r>
    </w:p>
    <w:p w14:paraId="75485521" w14:textId="7E55BA01" w:rsidR="00C50585" w:rsidRPr="00EE038F" w:rsidRDefault="00C50585" w:rsidP="00C253BF">
      <w:pPr>
        <w:pStyle w:val="TEKSTIIIIII"/>
      </w:pPr>
      <w:r w:rsidRPr="00EE038F">
        <w:rPr>
          <w:b/>
        </w:rPr>
        <w:t xml:space="preserve">Inflacioni ka vazhduar trendin rënës gjatë vitit 2024. </w:t>
      </w:r>
      <w:r w:rsidRPr="00EE038F">
        <w:t xml:space="preserve">Megjithatë, rënia ishte më e shpejtë se pritjet, e shkaktuar kryesisht nga goditje pozitive të ofertës së jashtme – të shprehura në rënien e inflacionit të çmimeve të ushqimeve dhe naftës. Këto goditje krahas mbiçmimit të vazhduar të kursit të këmbimit e shtynë inflacionin poshtë objektivit 3%. Paralelisht më rënien e inflacionit të importuar, presionet inflacioniste nga ekonomia </w:t>
      </w:r>
      <w:r w:rsidR="007F728D" w:rsidRPr="00EE038F">
        <w:t>vendës</w:t>
      </w:r>
      <w:r w:rsidRPr="00EE038F">
        <w:t>e kanë ardhur në rënie</w:t>
      </w:r>
      <w:r w:rsidR="00B837F2" w:rsidRPr="00EE038F">
        <w:t>,</w:t>
      </w:r>
      <w:r w:rsidRPr="00EE038F">
        <w:t xml:space="preserve"> gjithashtu, duke u </w:t>
      </w:r>
      <w:r w:rsidRPr="00EE038F">
        <w:lastRenderedPageBreak/>
        <w:t xml:space="preserve">afruar gjithnjë e më pranë me objektivin për inflacionin. Reduktimi i tyre ka reflektuar një përcjellje të pjesshme të rritjes së pagave në çmimet e konsumit dhe ndikimin e politikës monetare në stabilizimin e pritjeve për inflacionin në një kohë kur inflacioni qëndronte në nivele të larta. </w:t>
      </w:r>
    </w:p>
    <w:p w14:paraId="030AE560" w14:textId="42E4EE56" w:rsidR="00C50585" w:rsidRPr="00EE038F" w:rsidRDefault="00C50585" w:rsidP="00C253BF">
      <w:pPr>
        <w:pStyle w:val="TEKSTIIIIII"/>
      </w:pPr>
      <w:r w:rsidRPr="00EE038F">
        <w:t>Banka e Shqipërisë ndoqi një kurs normalizues të politikës monetare nga marsi 2022 deri në nëntor 2023, duke e rritur normën bazë të interesit nga 0.5% në 3.25%. Ky qëndrim ishte i suksesshëm në reduktimin e inflacionit nga nivelet e larta</w:t>
      </w:r>
      <w:r w:rsidR="00E70EE9" w:rsidRPr="00EE038F">
        <w:t>,</w:t>
      </w:r>
      <w:r w:rsidRPr="00EE038F">
        <w:t xml:space="preserve"> pa rrezikuar perspektivën e rritjes ekonomike. </w:t>
      </w:r>
    </w:p>
    <w:p w14:paraId="540E47A6" w14:textId="77777777" w:rsidR="00C50585" w:rsidRPr="00EE038F" w:rsidRDefault="00C50585" w:rsidP="00C253BF">
      <w:pPr>
        <w:pStyle w:val="TEKSTIIIIII"/>
      </w:pPr>
      <w:r w:rsidRPr="00EE038F">
        <w:rPr>
          <w:b/>
        </w:rPr>
        <w:t>Politika monetare u lehtësua gjatë vitit 2024.</w:t>
      </w:r>
      <w:r w:rsidRPr="00EE038F">
        <w:t xml:space="preserve"> Rënia e inflacionit dhe rreziku që kjo ecuri të ndikojë pritjet e agjentëve ekonomikë për inflacionin në të ardhmen – duke vështirësuar kthimin e tij në objektiv – motivoi Bankën e Shqipërisë të ulë normën bazë të interesit gjatë vitit 2024. Norma bazë e interesit u ul dy herë në muajt korrik e nëntor, duke zbritur në 2.75%. </w:t>
      </w:r>
    </w:p>
    <w:p w14:paraId="42DF98DA" w14:textId="41312A54" w:rsidR="00C50585" w:rsidRPr="00EE038F" w:rsidRDefault="00C50585" w:rsidP="00C253BF">
      <w:pPr>
        <w:pStyle w:val="TEKSTIIIIII"/>
      </w:pPr>
      <w:r w:rsidRPr="00EE038F">
        <w:rPr>
          <w:b/>
        </w:rPr>
        <w:t>Banka e Shqipërisë parashikon që inflacioni të rritet gradualisht drejt objektivit deri në vitin 2025.</w:t>
      </w:r>
      <w:r w:rsidRPr="00EE038F">
        <w:t xml:space="preserve"> Efektet e goditjeve pozitive të ofertës pritet të vazhdojnë deri në fund të vitit dhe të shuhen më tej, duke lehtësuar kthimin e inflacionit të importuar te nivelet historike të kontributeve të tij në inflacion. Paralelisht me të, rritja e ekonomisë pranë potencialit të saj dhe ankorimi i pritjeve inflacioniste në objektivin 3% pritet të mbështesin kthimin e qëndrueshëm të inflacionit në objektiv.</w:t>
      </w:r>
    </w:p>
    <w:p w14:paraId="16F7C31B" w14:textId="662D7955" w:rsidR="00C50585" w:rsidRPr="00EE038F" w:rsidRDefault="00C50585" w:rsidP="00C253BF">
      <w:pPr>
        <w:pStyle w:val="TEKSTIIIIII"/>
      </w:pPr>
      <w:r w:rsidRPr="00EE038F">
        <w:rPr>
          <w:b/>
        </w:rPr>
        <w:t>Balanca e rreziqeve ndaj inflacionit është e zhvendosur për poshtë në afat të shkurtër dhe neutral në afat të mesëm</w:t>
      </w:r>
      <w:r w:rsidRPr="00EE038F">
        <w:t>. Rreziku në afatin e shkurtër lidhet më së shumti me një rënie të mëtejshme të çmimeve globale të mallrave. Nga ana tjetër, një rritje më shpejt se parashikimi e pagave paraqet një rrezik për lart, ndërsa një mbiçmim më i shpejtë i kursit të këmbimit një rrezik për poshtë.</w:t>
      </w:r>
    </w:p>
    <w:p w14:paraId="3A04A977" w14:textId="5DE5C7D4" w:rsidR="00C50585" w:rsidRPr="00EE038F" w:rsidRDefault="00C50585" w:rsidP="00C253BF">
      <w:pPr>
        <w:pStyle w:val="TEKSTIIIIII"/>
      </w:pPr>
      <w:r w:rsidRPr="00EE038F">
        <w:rPr>
          <w:b/>
        </w:rPr>
        <w:t>Politika monetare e Bankës së Shqipërisë do të mbetet e përkushtuar ndaj arritjes së stabilitetit të çmimeve</w:t>
      </w:r>
      <w:r w:rsidRPr="00EE038F">
        <w:t>. Vendimet e ardhshme për normën bazë të</w:t>
      </w:r>
      <w:r w:rsidR="00AD3D9C" w:rsidRPr="00EE038F">
        <w:t xml:space="preserve"> </w:t>
      </w:r>
      <w:r w:rsidRPr="00EE038F">
        <w:t>interesit do të kalibrohen me kujdes dhe do të orientohen nga të dhënat e reja. Kjo qasje, krahas një strategjie komunikimi të orientuar nga e ardhmja, do të mundësojnë që BSH</w:t>
      </w:r>
      <w:r w:rsidR="00CC0E6A" w:rsidRPr="00EE038F">
        <w:t>-ja</w:t>
      </w:r>
      <w:r w:rsidRPr="00EE038F">
        <w:t xml:space="preserve"> të reagojë me efektivitet ndaj ndryshimeve në perspektivën makroekonomike, duke garantuar gjithmonë stabilitetin e çmimeve dhe ankorimin e pritjeve inflacioniste. Në skenarin bazë, qëndrimi aktual i politikës monetare vlerësohet i përshtatshëm për të mbështetur kthimin e inflacionit në objektivin e tij në vitin 2025.</w:t>
      </w:r>
    </w:p>
    <w:p w14:paraId="5FE61F15" w14:textId="4B785066" w:rsidR="00C50585" w:rsidRPr="00EE038F" w:rsidRDefault="00C50585" w:rsidP="00C253BF">
      <w:pPr>
        <w:pStyle w:val="TEKSTIIIIII"/>
      </w:pPr>
      <w:r w:rsidRPr="00EE038F">
        <w:rPr>
          <w:b/>
        </w:rPr>
        <w:t>Miksi aktual i politikave makroekonomike është mbështetës për rritjen e qëndrueshme të ekonomisë, ruajtjen e stabilitetit të çmimeve dhe forcimin e stabilitetit financiar</w:t>
      </w:r>
      <w:r w:rsidRPr="00EE038F">
        <w:t>. Fokusi i politikës fiskale në konsolidimin e financave publike dhe uljen e borxhit ndihmon në kontrollin e presioneve inflacioniste të brendshme, duke krijuar</w:t>
      </w:r>
      <w:r w:rsidR="00B82B17" w:rsidRPr="00EE038F">
        <w:t>,</w:t>
      </w:r>
      <w:r w:rsidRPr="00EE038F">
        <w:t xml:space="preserve"> gjithashtu</w:t>
      </w:r>
      <w:r w:rsidR="00B82B17" w:rsidRPr="00EE038F">
        <w:t>,</w:t>
      </w:r>
      <w:r w:rsidRPr="00EE038F">
        <w:t xml:space="preserve"> hapësirë fiskale për përballimin e goditjeve të mundshme në të ardhmen. Po ashtu, politika monetare, me fokusin për të mbajtur inflacionin në nivele të ulëta dhe të qëndrueshme, dhe politika makroprudenciale, me fokusin për të forcuar shëndetin e sektorit financiar, do të kontribuojnë në ruajtjen e një mjedisi makroekonomik të qëndrueshëm, me stabilitet monetar dhe financiar, i cili është kyç për rritjen e qëndrueshme dhe të shëndetshme të ekonomisë në afatin e mesëm dhe afatgjatë. Ndërkohë, reformat strukturore të gjera, në kuadër të procesit të anëtarësimit në BE, do të kontribuojnë në orientimin e ekonomisë drejt një trajektore më të shpejtë zhvillimi.</w:t>
      </w:r>
    </w:p>
    <w:p w14:paraId="1A435534" w14:textId="77777777" w:rsidR="00C50585" w:rsidRPr="00EE038F" w:rsidRDefault="00C50585" w:rsidP="00C253BF">
      <w:pPr>
        <w:pStyle w:val="TEKSTIIIIII"/>
        <w:rPr>
          <w:i/>
        </w:rPr>
      </w:pPr>
      <w:r w:rsidRPr="00EE038F">
        <w:rPr>
          <w:i/>
        </w:rPr>
        <w:t>Sektori i jashtëm dhe qëndrueshmëria e tij afatmesme</w:t>
      </w:r>
    </w:p>
    <w:p w14:paraId="242866F0" w14:textId="418230A3" w:rsidR="00C50585" w:rsidRPr="00EE038F" w:rsidRDefault="00C50585" w:rsidP="00C253BF">
      <w:pPr>
        <w:pStyle w:val="TEKSTIIIIII"/>
        <w:rPr>
          <w:i/>
        </w:rPr>
      </w:pPr>
      <w:r w:rsidRPr="00EE038F">
        <w:rPr>
          <w:i/>
        </w:rPr>
        <w:t xml:space="preserve">Zhvillimet në </w:t>
      </w:r>
      <w:r w:rsidR="00B82B17" w:rsidRPr="00EE038F">
        <w:rPr>
          <w:i/>
        </w:rPr>
        <w:t xml:space="preserve">bilancin e pagesave </w:t>
      </w:r>
      <w:r w:rsidRPr="00EE038F">
        <w:rPr>
          <w:i/>
        </w:rPr>
        <w:t>dhe tregtinë e mallrave</w:t>
      </w:r>
    </w:p>
    <w:p w14:paraId="3D01BDC2" w14:textId="052D3FBC" w:rsidR="00C50585" w:rsidRPr="00EE038F" w:rsidRDefault="00C50585" w:rsidP="00C253BF">
      <w:pPr>
        <w:pStyle w:val="TEKSTIIIIII"/>
      </w:pPr>
      <w:r w:rsidRPr="00EE038F">
        <w:rPr>
          <w:b/>
        </w:rPr>
        <w:t>Nëntëmujori i parë i vitit 2024 ka shfaqur me një zgjerim të deficitit të llogarisë korrente, i cili</w:t>
      </w:r>
      <w:r w:rsidR="00AD3D9C" w:rsidRPr="00EE038F">
        <w:rPr>
          <w:b/>
        </w:rPr>
        <w:t xml:space="preserve"> </w:t>
      </w:r>
      <w:r w:rsidRPr="00EE038F">
        <w:rPr>
          <w:b/>
        </w:rPr>
        <w:t>qëndron në nivelin 1.3% të PBB</w:t>
      </w:r>
      <w:r w:rsidR="000E47ED" w:rsidRPr="00EE038F">
        <w:rPr>
          <w:b/>
        </w:rPr>
        <w:t>-së</w:t>
      </w:r>
      <w:r w:rsidRPr="00EE038F">
        <w:rPr>
          <w:b/>
        </w:rPr>
        <w:t>.</w:t>
      </w:r>
      <w:r w:rsidRPr="00EE038F">
        <w:t xml:space="preserve"> Ky raport është 1.2 pikë </w:t>
      </w:r>
      <w:r w:rsidR="003771A2" w:rsidRPr="00EE038F">
        <w:t xml:space="preserve">përqindje </w:t>
      </w:r>
      <w:r w:rsidRPr="00EE038F">
        <w:t xml:space="preserve">më i lartë krahasuar me të njëjtën periudhë të vitit 2023. Zgjerimi i deficitit korrent është shkaktuar nga rritja e deficitit tregtar në mallra, i cili u ndikua nga rënia e lehtë e eksporteve dhe nga rritja e vazhdueshme e importeve. Nga ana tjetër, llogaritë e shërbimeve, të </w:t>
      </w:r>
      <w:r w:rsidR="006A7806" w:rsidRPr="00EE038F">
        <w:t xml:space="preserve">të </w:t>
      </w:r>
      <w:r w:rsidRPr="00EE038F">
        <w:t>ardhurave parësore dhe të</w:t>
      </w:r>
      <w:r w:rsidR="006A7806" w:rsidRPr="00EE038F">
        <w:t xml:space="preserve"> të</w:t>
      </w:r>
      <w:r w:rsidRPr="00EE038F">
        <w:t xml:space="preserve"> ardhurave dytësore kanë shënuar përmirësime të mëtejshme.</w:t>
      </w:r>
    </w:p>
    <w:p w14:paraId="06D99AA4" w14:textId="21AA3DD2" w:rsidR="00C50585" w:rsidRPr="00EE038F" w:rsidRDefault="00C50585" w:rsidP="00C253BF">
      <w:pPr>
        <w:pStyle w:val="TEKSTIIIIII"/>
      </w:pPr>
      <w:r w:rsidRPr="00EE038F">
        <w:rPr>
          <w:b/>
        </w:rPr>
        <w:t>Të dhënat për tregtinë e mallrave deri në tetor 2024 pasqyrojnë një mjedis sfidues për eksportet</w:t>
      </w:r>
      <w:r w:rsidRPr="00EE038F">
        <w:t xml:space="preserve">. Eksportet e mallrave ranë me 14.3% në terma nominalë gjatë dhjetëmujorit, kryesisht për shkak të rënies së çmimeve ndërkombëtare dhe mbiçmimit të </w:t>
      </w:r>
      <w:r w:rsidR="00F523C6" w:rsidRPr="00EE038F">
        <w:t>lekut</w:t>
      </w:r>
      <w:r w:rsidRPr="00EE038F">
        <w:t xml:space="preserve">. Tkurrja duket se ka prekur </w:t>
      </w:r>
      <w:r w:rsidRPr="00EE038F">
        <w:lastRenderedPageBreak/>
        <w:t>gjithashtu edhe vëllimet e disa kategorive mallrash. Ndërkohë, ndikimi i rënies së çmimeve ndërkombëtare ishte më pak i theksuar për importet e mallrave, të cilat u rritën me 2.0% në terma nominalë, si dhe ruajtën sasi të importuara të qëndrueshme për të njëjtën periudhë.</w:t>
      </w:r>
    </w:p>
    <w:p w14:paraId="650E2CEA" w14:textId="4DF4FB90" w:rsidR="00C50585" w:rsidRPr="00EE038F" w:rsidRDefault="00C50585" w:rsidP="00C253BF">
      <w:pPr>
        <w:pStyle w:val="TEKSTIIIIII"/>
      </w:pPr>
      <w:r w:rsidRPr="00EE038F">
        <w:rPr>
          <w:b/>
        </w:rPr>
        <w:t>Kursi real i këmbimit</w:t>
      </w:r>
      <w:r w:rsidRPr="00EE038F">
        <w:rPr>
          <w:b/>
          <w:vertAlign w:val="superscript"/>
        </w:rPr>
        <w:footnoteReference w:customMarkFollows="1" w:id="3"/>
        <w:t>[1]</w:t>
      </w:r>
      <w:r w:rsidRPr="00EE038F">
        <w:rPr>
          <w:b/>
        </w:rPr>
        <w:t xml:space="preserve"> ka ndjekur një trend forcues që prej fundit të vitit 2015,</w:t>
      </w:r>
      <w:r w:rsidRPr="00EE038F">
        <w:t xml:space="preserve"> të nxitur nga përmirësimet e vazhdueshme në sektorin e jashtëm të ekonomisë, nga rritja e produktivitetit dhe reduktimi i primit të rrezikut. Pasi kulmoi në vitin 2018, në 7.5%, mbiçmimi real vjetor i kursit u moderua në mesatarisht 2.6% në periudhën 2019</w:t>
      </w:r>
      <w:r w:rsidR="002430D2" w:rsidRPr="00EE038F">
        <w:t>–</w:t>
      </w:r>
      <w:r w:rsidRPr="00EE038F">
        <w:t>2022. Në dy vitet e fundit, mbiçmimi real është përshpejtuar sërish, duke rezultuar mesatarisht 9.2% dhe 7.5%</w:t>
      </w:r>
      <w:r w:rsidRPr="00EE038F">
        <w:rPr>
          <w:rStyle w:val="FootnoteReference"/>
          <w:color w:val="0D0D0D"/>
        </w:rPr>
        <w:footnoteReference w:customMarkFollows="1" w:id="4"/>
        <w:t>[2]</w:t>
      </w:r>
      <w:r w:rsidRPr="00EE038F">
        <w:t xml:space="preserve"> në terma vjetorë. Kjo sjellje reflekton flukset në rritje të turizmit, të remitancave dhe të investimeve të huaja direkte. </w:t>
      </w:r>
    </w:p>
    <w:p w14:paraId="6BDDF4B5" w14:textId="77777777" w:rsidR="00C50585" w:rsidRPr="00EE038F" w:rsidRDefault="00C50585" w:rsidP="00C50585">
      <w:pPr>
        <w:spacing w:after="0" w:line="240" w:lineRule="auto"/>
        <w:jc w:val="both"/>
        <w:rPr>
          <w:rFonts w:ascii="Garamond" w:hAnsi="Garamond"/>
          <w:color w:val="0D0D0D" w:themeColor="text1" w:themeTint="F2"/>
        </w:rPr>
      </w:pPr>
    </w:p>
    <w:tbl>
      <w:tblPr>
        <w:tblW w:w="9810" w:type="dxa"/>
        <w:jc w:val="center"/>
        <w:tblLayout w:type="fixed"/>
        <w:tblLook w:val="04A0" w:firstRow="1" w:lastRow="0" w:firstColumn="1" w:lastColumn="0" w:noHBand="0" w:noVBand="1"/>
      </w:tblPr>
      <w:tblGrid>
        <w:gridCol w:w="5024"/>
        <w:gridCol w:w="4786"/>
      </w:tblGrid>
      <w:tr w:rsidR="00C50585" w:rsidRPr="00EE038F" w14:paraId="0502B1CC" w14:textId="77777777" w:rsidTr="007A7ECB">
        <w:trPr>
          <w:trHeight w:val="2913"/>
          <w:jc w:val="center"/>
        </w:trPr>
        <w:tc>
          <w:tcPr>
            <w:tcW w:w="5024" w:type="dxa"/>
            <w:vAlign w:val="center"/>
          </w:tcPr>
          <w:p w14:paraId="3D01AC94" w14:textId="022449F7" w:rsidR="00C50585" w:rsidRPr="00EE038F" w:rsidRDefault="00C50585" w:rsidP="007A7ECB">
            <w:pPr>
              <w:spacing w:after="0" w:line="240" w:lineRule="auto"/>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 xml:space="preserve">Grafik 3.2.4: </w:t>
            </w:r>
            <w:r w:rsidRPr="00EE038F">
              <w:rPr>
                <w:rFonts w:ascii="Garamond" w:hAnsi="Garamond"/>
                <w:i/>
                <w:iCs/>
                <w:sz w:val="24"/>
                <w:szCs w:val="24"/>
              </w:rPr>
              <w:t xml:space="preserve">Hapja tregtare, eksportet, importet dhe IHD neto si </w:t>
            </w:r>
            <w:r w:rsidR="003771A2" w:rsidRPr="00EE038F">
              <w:rPr>
                <w:rFonts w:ascii="Garamond" w:hAnsi="Garamond"/>
                <w:i/>
                <w:iCs/>
                <w:sz w:val="24"/>
                <w:szCs w:val="24"/>
              </w:rPr>
              <w:t xml:space="preserve">përqindje </w:t>
            </w:r>
            <w:r w:rsidRPr="00EE038F">
              <w:rPr>
                <w:rFonts w:ascii="Garamond" w:hAnsi="Garamond"/>
                <w:i/>
                <w:iCs/>
                <w:sz w:val="24"/>
                <w:szCs w:val="24"/>
              </w:rPr>
              <w:t>ndaj PBB-së</w:t>
            </w:r>
          </w:p>
          <w:p w14:paraId="0446881B" w14:textId="77777777" w:rsidR="00C50585" w:rsidRPr="00EE038F" w:rsidRDefault="00C50585" w:rsidP="007A7ECB">
            <w:pPr>
              <w:spacing w:after="0" w:line="240" w:lineRule="auto"/>
              <w:jc w:val="center"/>
              <w:rPr>
                <w:rFonts w:ascii="Garamond" w:hAnsi="Garamond"/>
                <w:i/>
                <w:iCs/>
                <w:color w:val="0D0D0D" w:themeColor="text1" w:themeTint="F2"/>
                <w:sz w:val="24"/>
                <w:szCs w:val="24"/>
              </w:rPr>
            </w:pPr>
            <w:r w:rsidRPr="00EE038F">
              <w:rPr>
                <w:rFonts w:ascii="Garamond" w:hAnsi="Garamond"/>
                <w:i/>
                <w:iCs/>
                <w:noProof/>
                <w:color w:val="0D0D0D" w:themeColor="text1" w:themeTint="F2"/>
                <w:sz w:val="24"/>
                <w:szCs w:val="24"/>
                <w:lang w:eastAsia="en-GB"/>
              </w:rPr>
              <w:drawing>
                <wp:inline distT="0" distB="0" distL="0" distR="0" wp14:anchorId="3ABF6A66" wp14:editId="5C61AA4A">
                  <wp:extent cx="2870053" cy="1729740"/>
                  <wp:effectExtent l="0" t="0" r="6985" b="381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05942" cy="1751370"/>
                          </a:xfrm>
                          <a:prstGeom prst="rect">
                            <a:avLst/>
                          </a:prstGeom>
                          <a:noFill/>
                        </pic:spPr>
                      </pic:pic>
                    </a:graphicData>
                  </a:graphic>
                </wp:inline>
              </w:drawing>
            </w:r>
          </w:p>
        </w:tc>
        <w:tc>
          <w:tcPr>
            <w:tcW w:w="4786" w:type="dxa"/>
            <w:vAlign w:val="center"/>
          </w:tcPr>
          <w:p w14:paraId="20E01B39" w14:textId="77777777" w:rsidR="00C50585" w:rsidRPr="00EE038F" w:rsidRDefault="00C50585" w:rsidP="007A7ECB">
            <w:pPr>
              <w:spacing w:after="0" w:line="240" w:lineRule="auto"/>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Grafik 3.2.5: Ndryshimi vjetor i kursit real efektiv të këmbimit (%)</w:t>
            </w:r>
          </w:p>
          <w:p w14:paraId="50812203" w14:textId="77777777" w:rsidR="00C50585" w:rsidRPr="00EE038F" w:rsidRDefault="00C50585" w:rsidP="007A7ECB">
            <w:pPr>
              <w:spacing w:after="0" w:line="240" w:lineRule="auto"/>
              <w:jc w:val="center"/>
              <w:rPr>
                <w:rFonts w:ascii="Garamond" w:hAnsi="Garamond"/>
                <w:i/>
                <w:iCs/>
                <w:color w:val="0D0D0D" w:themeColor="text1" w:themeTint="F2"/>
                <w:sz w:val="24"/>
                <w:szCs w:val="24"/>
              </w:rPr>
            </w:pPr>
            <w:r w:rsidRPr="00EE038F">
              <w:rPr>
                <w:rFonts w:ascii="Garamond" w:hAnsi="Garamond"/>
                <w:i/>
                <w:iCs/>
                <w:noProof/>
                <w:color w:val="0D0D0D" w:themeColor="text1" w:themeTint="F2"/>
                <w:sz w:val="24"/>
                <w:szCs w:val="24"/>
                <w:lang w:eastAsia="en-GB"/>
              </w:rPr>
              <w:drawing>
                <wp:inline distT="0" distB="0" distL="0" distR="0" wp14:anchorId="29CEAD8E" wp14:editId="78E4DDCD">
                  <wp:extent cx="2907102" cy="1713865"/>
                  <wp:effectExtent l="0" t="0" r="762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69018" cy="1809322"/>
                          </a:xfrm>
                          <a:prstGeom prst="rect">
                            <a:avLst/>
                          </a:prstGeom>
                          <a:noFill/>
                        </pic:spPr>
                      </pic:pic>
                    </a:graphicData>
                  </a:graphic>
                </wp:inline>
              </w:drawing>
            </w:r>
          </w:p>
        </w:tc>
      </w:tr>
    </w:tbl>
    <w:p w14:paraId="536B9761" w14:textId="73C2EADA" w:rsidR="00C50585" w:rsidRPr="00EE038F" w:rsidRDefault="00C50585" w:rsidP="007A7ECB">
      <w:pPr>
        <w:spacing w:after="0" w:line="240" w:lineRule="auto"/>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Burimi: Banka e Shqipërisë, INSTAT</w:t>
      </w:r>
    </w:p>
    <w:p w14:paraId="619B4DE3" w14:textId="77777777" w:rsidR="00C50585" w:rsidRPr="00EE038F" w:rsidRDefault="00C50585" w:rsidP="00C50585">
      <w:pPr>
        <w:spacing w:after="0" w:line="240" w:lineRule="auto"/>
        <w:jc w:val="both"/>
        <w:rPr>
          <w:rFonts w:ascii="Garamond" w:hAnsi="Garamond"/>
          <w:i/>
          <w:iCs/>
          <w:color w:val="0D0D0D" w:themeColor="text1" w:themeTint="F2"/>
          <w:sz w:val="24"/>
          <w:szCs w:val="24"/>
        </w:rPr>
      </w:pPr>
    </w:p>
    <w:p w14:paraId="1E07DBA7" w14:textId="2A341AD5" w:rsidR="00C50585" w:rsidRPr="00EE038F" w:rsidRDefault="00C50585" w:rsidP="00C253BF">
      <w:pPr>
        <w:pStyle w:val="TEKSTIIIIII"/>
      </w:pPr>
      <w:r w:rsidRPr="00EE038F">
        <w:rPr>
          <w:b/>
        </w:rPr>
        <w:t>Dekompozimi i eksporteve shqiptare sipas Përpjesëve Konstante të Tregut (PKT)</w:t>
      </w:r>
      <w:r w:rsidRPr="00EE038F">
        <w:rPr>
          <w:b/>
          <w:vertAlign w:val="superscript"/>
        </w:rPr>
        <w:footnoteReference w:id="5"/>
      </w:r>
      <w:r w:rsidRPr="00EE038F">
        <w:rPr>
          <w:b/>
        </w:rPr>
        <w:t xml:space="preserve"> në vitin 2023</w:t>
      </w:r>
      <w:r w:rsidRPr="00EE038F">
        <w:rPr>
          <w:bCs/>
        </w:rPr>
        <w:t>,</w:t>
      </w:r>
      <w:r w:rsidRPr="00EE038F">
        <w:rPr>
          <w:b/>
        </w:rPr>
        <w:t xml:space="preserve"> </w:t>
      </w:r>
      <w:r w:rsidRPr="00EE038F">
        <w:t>dëshmon se rënia e eksporteve botërore ka qenë faktori kryesor pas rënies së eksporteve shqiptare drejt vendeve të EU-15. Ndikime suplementare kanë ardhur nga përbërja sipas kategorive dhe shpërndarja e tregut. Kontributet e vetme kanë ardhur nga komponenti i konkurrueshmërisë. Rritja e eksporteve drejt vendeve të CEFTA</w:t>
      </w:r>
      <w:r w:rsidR="00E33922" w:rsidRPr="00EE038F">
        <w:t>-s</w:t>
      </w:r>
      <w:r w:rsidRPr="00EE038F">
        <w:t xml:space="preserve"> është ndikuar nga efekti i konkurrueshmërisë</w:t>
      </w:r>
      <w:r w:rsidR="00E33922" w:rsidRPr="00EE038F">
        <w:t>,</w:t>
      </w:r>
      <w:r w:rsidRPr="00EE038F">
        <w:t xml:space="preserve"> pasuar nga shpërndarja e tregut. Nga ana tjetër, impakte negative kanë buruar nga eksportet botërore dhe përbërja sipas kategorive.</w:t>
      </w:r>
    </w:p>
    <w:p w14:paraId="2E825582" w14:textId="77777777" w:rsidR="00C50585" w:rsidRPr="00EE038F" w:rsidRDefault="00C50585" w:rsidP="00C50585">
      <w:pPr>
        <w:spacing w:after="0" w:line="240" w:lineRule="auto"/>
        <w:jc w:val="both"/>
        <w:rPr>
          <w:rFonts w:ascii="Garamond" w:hAnsi="Garamond"/>
          <w:color w:val="0D0D0D" w:themeColor="text1" w:themeTint="F2"/>
        </w:rPr>
      </w:pPr>
    </w:p>
    <w:p w14:paraId="59172CC6" w14:textId="77777777" w:rsidR="00C50585" w:rsidRPr="00EE038F" w:rsidRDefault="00C50585" w:rsidP="00E33922">
      <w:pPr>
        <w:spacing w:after="0" w:line="240" w:lineRule="auto"/>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Tabela 3.2.3: Dekompozimi i eksporteve shqiptare sipas metodës PKT (milionë euro)</w:t>
      </w:r>
    </w:p>
    <w:tbl>
      <w:tblPr>
        <w:tblW w:w="5000" w:type="pct"/>
        <w:jc w:val="center"/>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5142"/>
        <w:gridCol w:w="1919"/>
        <w:gridCol w:w="1959"/>
      </w:tblGrid>
      <w:tr w:rsidR="00C50585" w:rsidRPr="00EE038F" w14:paraId="78EAB8C9" w14:textId="77777777" w:rsidTr="0015517A">
        <w:trPr>
          <w:trHeight w:val="20"/>
          <w:jc w:val="center"/>
        </w:trPr>
        <w:tc>
          <w:tcPr>
            <w:tcW w:w="2850" w:type="pct"/>
            <w:vMerge w:val="restart"/>
          </w:tcPr>
          <w:p w14:paraId="691D8BE2" w14:textId="77777777" w:rsidR="00C50585" w:rsidRPr="00EE038F" w:rsidRDefault="00C50585" w:rsidP="007C70E7">
            <w:pPr>
              <w:spacing w:after="0" w:line="240" w:lineRule="auto"/>
              <w:jc w:val="both"/>
              <w:rPr>
                <w:rFonts w:ascii="Garamond" w:hAnsi="Garamond"/>
                <w:b/>
                <w:bCs/>
                <w:color w:val="0D0D0D" w:themeColor="text1" w:themeTint="F2"/>
                <w:sz w:val="20"/>
                <w:szCs w:val="20"/>
              </w:rPr>
            </w:pPr>
          </w:p>
        </w:tc>
        <w:tc>
          <w:tcPr>
            <w:tcW w:w="2150" w:type="pct"/>
            <w:gridSpan w:val="2"/>
          </w:tcPr>
          <w:p w14:paraId="2D8C42C8" w14:textId="77777777" w:rsidR="00C50585" w:rsidRPr="00EE038F" w:rsidRDefault="00C50585" w:rsidP="007C70E7">
            <w:pPr>
              <w:spacing w:after="0" w:line="240" w:lineRule="auto"/>
              <w:jc w:val="both"/>
              <w:rPr>
                <w:rFonts w:ascii="Garamond" w:hAnsi="Garamond"/>
                <w:b/>
                <w:bCs/>
                <w:color w:val="0D0D0D" w:themeColor="text1" w:themeTint="F2"/>
                <w:sz w:val="20"/>
                <w:szCs w:val="20"/>
              </w:rPr>
            </w:pPr>
            <w:r w:rsidRPr="00EE038F">
              <w:rPr>
                <w:rFonts w:ascii="Garamond" w:hAnsi="Garamond"/>
                <w:b/>
                <w:bCs/>
                <w:color w:val="0D0D0D" w:themeColor="text1" w:themeTint="F2"/>
                <w:sz w:val="20"/>
                <w:szCs w:val="20"/>
              </w:rPr>
              <w:t>2023</w:t>
            </w:r>
          </w:p>
        </w:tc>
      </w:tr>
      <w:tr w:rsidR="00C50585" w:rsidRPr="00EE038F" w14:paraId="26B5833A" w14:textId="77777777" w:rsidTr="0015517A">
        <w:trPr>
          <w:trHeight w:val="20"/>
          <w:jc w:val="center"/>
        </w:trPr>
        <w:tc>
          <w:tcPr>
            <w:tcW w:w="2850" w:type="pct"/>
            <w:vMerge/>
            <w:tcBorders>
              <w:bottom w:val="single" w:sz="4" w:space="0" w:color="auto"/>
            </w:tcBorders>
          </w:tcPr>
          <w:p w14:paraId="5FBFF7D2" w14:textId="77777777" w:rsidR="00C50585" w:rsidRPr="00EE038F" w:rsidRDefault="00C50585" w:rsidP="007C70E7">
            <w:pPr>
              <w:spacing w:after="0" w:line="240" w:lineRule="auto"/>
              <w:jc w:val="both"/>
              <w:rPr>
                <w:rFonts w:ascii="Garamond" w:hAnsi="Garamond"/>
                <w:b/>
                <w:bCs/>
                <w:color w:val="0D0D0D" w:themeColor="text1" w:themeTint="F2"/>
                <w:sz w:val="20"/>
                <w:szCs w:val="20"/>
              </w:rPr>
            </w:pPr>
          </w:p>
        </w:tc>
        <w:tc>
          <w:tcPr>
            <w:tcW w:w="1064" w:type="pct"/>
            <w:tcBorders>
              <w:bottom w:val="single" w:sz="4" w:space="0" w:color="auto"/>
            </w:tcBorders>
            <w:vAlign w:val="center"/>
          </w:tcPr>
          <w:p w14:paraId="6293166B" w14:textId="77777777" w:rsidR="00C50585" w:rsidRPr="00EE038F" w:rsidRDefault="00C50585" w:rsidP="007C70E7">
            <w:pPr>
              <w:spacing w:after="0" w:line="240" w:lineRule="auto"/>
              <w:jc w:val="both"/>
              <w:rPr>
                <w:rFonts w:ascii="Garamond" w:hAnsi="Garamond"/>
                <w:b/>
                <w:bCs/>
                <w:color w:val="0D0D0D" w:themeColor="text1" w:themeTint="F2"/>
                <w:sz w:val="20"/>
                <w:szCs w:val="20"/>
              </w:rPr>
            </w:pPr>
            <w:r w:rsidRPr="00EE038F">
              <w:rPr>
                <w:rFonts w:ascii="Garamond" w:hAnsi="Garamond"/>
                <w:b/>
                <w:bCs/>
                <w:color w:val="0D0D0D" w:themeColor="text1" w:themeTint="F2"/>
                <w:sz w:val="20"/>
                <w:szCs w:val="20"/>
              </w:rPr>
              <w:t>EU-15</w:t>
            </w:r>
          </w:p>
        </w:tc>
        <w:tc>
          <w:tcPr>
            <w:tcW w:w="1086" w:type="pct"/>
            <w:tcBorders>
              <w:bottom w:val="single" w:sz="4" w:space="0" w:color="auto"/>
            </w:tcBorders>
            <w:vAlign w:val="center"/>
          </w:tcPr>
          <w:p w14:paraId="3FCFECA0" w14:textId="77777777" w:rsidR="00C50585" w:rsidRPr="00EE038F" w:rsidRDefault="00C50585" w:rsidP="007C70E7">
            <w:pPr>
              <w:spacing w:after="0" w:line="240" w:lineRule="auto"/>
              <w:jc w:val="both"/>
              <w:rPr>
                <w:rFonts w:ascii="Garamond" w:hAnsi="Garamond"/>
                <w:b/>
                <w:bCs/>
                <w:color w:val="0D0D0D" w:themeColor="text1" w:themeTint="F2"/>
                <w:sz w:val="20"/>
                <w:szCs w:val="20"/>
              </w:rPr>
            </w:pPr>
            <w:r w:rsidRPr="00EE038F">
              <w:rPr>
                <w:rFonts w:ascii="Garamond" w:hAnsi="Garamond"/>
                <w:b/>
                <w:bCs/>
                <w:color w:val="0D0D0D" w:themeColor="text1" w:themeTint="F2"/>
                <w:sz w:val="20"/>
                <w:szCs w:val="20"/>
              </w:rPr>
              <w:t>CEFTA</w:t>
            </w:r>
          </w:p>
        </w:tc>
      </w:tr>
      <w:tr w:rsidR="00C50585" w:rsidRPr="00EE038F" w14:paraId="030C33A0" w14:textId="77777777" w:rsidTr="0015517A">
        <w:trPr>
          <w:trHeight w:val="20"/>
          <w:jc w:val="center"/>
        </w:trPr>
        <w:tc>
          <w:tcPr>
            <w:tcW w:w="2850" w:type="pct"/>
            <w:tcBorders>
              <w:bottom w:val="nil"/>
            </w:tcBorders>
          </w:tcPr>
          <w:p w14:paraId="1C781E64" w14:textId="77777777" w:rsidR="00C50585" w:rsidRPr="00EE038F" w:rsidRDefault="00C50585" w:rsidP="007C70E7">
            <w:pPr>
              <w:spacing w:after="0" w:line="240" w:lineRule="auto"/>
              <w:jc w:val="both"/>
              <w:rPr>
                <w:rFonts w:ascii="Garamond" w:hAnsi="Garamond"/>
                <w:color w:val="0D0D0D" w:themeColor="text1" w:themeTint="F2"/>
                <w:sz w:val="20"/>
                <w:szCs w:val="20"/>
              </w:rPr>
            </w:pPr>
            <w:r w:rsidRPr="00EE038F">
              <w:rPr>
                <w:rFonts w:ascii="Garamond" w:hAnsi="Garamond"/>
                <w:color w:val="0D0D0D" w:themeColor="text1" w:themeTint="F2"/>
                <w:sz w:val="20"/>
                <w:szCs w:val="20"/>
              </w:rPr>
              <w:t>Rritja e eksporteve botërore</w:t>
            </w:r>
          </w:p>
        </w:tc>
        <w:tc>
          <w:tcPr>
            <w:tcW w:w="1064" w:type="pct"/>
            <w:tcBorders>
              <w:bottom w:val="nil"/>
            </w:tcBorders>
            <w:vAlign w:val="center"/>
          </w:tcPr>
          <w:p w14:paraId="47329F65" w14:textId="77777777" w:rsidR="00C50585" w:rsidRPr="00EE038F" w:rsidRDefault="00C50585" w:rsidP="007C70E7">
            <w:pPr>
              <w:spacing w:after="0" w:line="240" w:lineRule="auto"/>
              <w:jc w:val="both"/>
              <w:rPr>
                <w:rFonts w:ascii="Garamond" w:hAnsi="Garamond"/>
                <w:color w:val="0D0D0D" w:themeColor="text1" w:themeTint="F2"/>
                <w:sz w:val="20"/>
                <w:szCs w:val="20"/>
              </w:rPr>
            </w:pPr>
            <w:r w:rsidRPr="00EE038F">
              <w:rPr>
                <w:rFonts w:ascii="Garamond" w:hAnsi="Garamond"/>
                <w:color w:val="0D0D0D" w:themeColor="text1" w:themeTint="F2"/>
                <w:sz w:val="20"/>
                <w:szCs w:val="20"/>
              </w:rPr>
              <w:t>-250.0</w:t>
            </w:r>
          </w:p>
        </w:tc>
        <w:tc>
          <w:tcPr>
            <w:tcW w:w="1086" w:type="pct"/>
            <w:tcBorders>
              <w:bottom w:val="nil"/>
            </w:tcBorders>
            <w:vAlign w:val="center"/>
          </w:tcPr>
          <w:p w14:paraId="7C19C0F3" w14:textId="77777777" w:rsidR="00C50585" w:rsidRPr="00EE038F" w:rsidRDefault="00C50585" w:rsidP="007C70E7">
            <w:pPr>
              <w:spacing w:after="0" w:line="240" w:lineRule="auto"/>
              <w:jc w:val="both"/>
              <w:rPr>
                <w:rFonts w:ascii="Garamond" w:hAnsi="Garamond"/>
                <w:color w:val="0D0D0D" w:themeColor="text1" w:themeTint="F2"/>
                <w:sz w:val="20"/>
                <w:szCs w:val="20"/>
              </w:rPr>
            </w:pPr>
            <w:r w:rsidRPr="00EE038F">
              <w:rPr>
                <w:rFonts w:ascii="Garamond" w:hAnsi="Garamond"/>
                <w:color w:val="0D0D0D" w:themeColor="text1" w:themeTint="F2"/>
                <w:sz w:val="20"/>
                <w:szCs w:val="20"/>
              </w:rPr>
              <w:t>-65.5</w:t>
            </w:r>
          </w:p>
        </w:tc>
      </w:tr>
      <w:tr w:rsidR="00C50585" w:rsidRPr="00EE038F" w14:paraId="469F899F" w14:textId="77777777" w:rsidTr="0015517A">
        <w:trPr>
          <w:trHeight w:val="20"/>
          <w:jc w:val="center"/>
        </w:trPr>
        <w:tc>
          <w:tcPr>
            <w:tcW w:w="2850" w:type="pct"/>
            <w:tcBorders>
              <w:top w:val="nil"/>
              <w:bottom w:val="nil"/>
            </w:tcBorders>
          </w:tcPr>
          <w:p w14:paraId="062532A8" w14:textId="77777777" w:rsidR="00C50585" w:rsidRPr="00EE038F" w:rsidRDefault="00C50585" w:rsidP="007C70E7">
            <w:pPr>
              <w:spacing w:after="0" w:line="240" w:lineRule="auto"/>
              <w:jc w:val="both"/>
              <w:rPr>
                <w:rFonts w:ascii="Garamond" w:hAnsi="Garamond"/>
                <w:color w:val="0D0D0D" w:themeColor="text1" w:themeTint="F2"/>
                <w:sz w:val="20"/>
                <w:szCs w:val="20"/>
              </w:rPr>
            </w:pPr>
            <w:r w:rsidRPr="00EE038F">
              <w:rPr>
                <w:rFonts w:ascii="Garamond" w:hAnsi="Garamond"/>
                <w:color w:val="0D0D0D" w:themeColor="text1" w:themeTint="F2"/>
                <w:sz w:val="20"/>
                <w:szCs w:val="20"/>
              </w:rPr>
              <w:t>Përbërja sipas kategorive</w:t>
            </w:r>
          </w:p>
        </w:tc>
        <w:tc>
          <w:tcPr>
            <w:tcW w:w="1064" w:type="pct"/>
            <w:tcBorders>
              <w:top w:val="nil"/>
              <w:bottom w:val="nil"/>
            </w:tcBorders>
            <w:vAlign w:val="center"/>
          </w:tcPr>
          <w:p w14:paraId="5C150CFB" w14:textId="77777777" w:rsidR="00C50585" w:rsidRPr="00EE038F" w:rsidRDefault="00C50585" w:rsidP="007C70E7">
            <w:pPr>
              <w:spacing w:after="0" w:line="240" w:lineRule="auto"/>
              <w:jc w:val="both"/>
              <w:rPr>
                <w:rFonts w:ascii="Garamond" w:hAnsi="Garamond"/>
                <w:color w:val="0D0D0D" w:themeColor="text1" w:themeTint="F2"/>
                <w:sz w:val="20"/>
                <w:szCs w:val="20"/>
              </w:rPr>
            </w:pPr>
            <w:r w:rsidRPr="00EE038F">
              <w:rPr>
                <w:rFonts w:ascii="Garamond" w:hAnsi="Garamond"/>
                <w:color w:val="0D0D0D" w:themeColor="text1" w:themeTint="F2"/>
                <w:sz w:val="20"/>
                <w:szCs w:val="20"/>
              </w:rPr>
              <w:t>-106.2</w:t>
            </w:r>
          </w:p>
        </w:tc>
        <w:tc>
          <w:tcPr>
            <w:tcW w:w="1086" w:type="pct"/>
            <w:tcBorders>
              <w:top w:val="nil"/>
              <w:bottom w:val="nil"/>
            </w:tcBorders>
            <w:vAlign w:val="center"/>
          </w:tcPr>
          <w:p w14:paraId="2E9FE1A0" w14:textId="77777777" w:rsidR="00C50585" w:rsidRPr="00EE038F" w:rsidRDefault="00C50585" w:rsidP="007C70E7">
            <w:pPr>
              <w:spacing w:after="0" w:line="240" w:lineRule="auto"/>
              <w:jc w:val="both"/>
              <w:rPr>
                <w:rFonts w:ascii="Garamond" w:hAnsi="Garamond"/>
                <w:color w:val="0D0D0D" w:themeColor="text1" w:themeTint="F2"/>
                <w:sz w:val="20"/>
                <w:szCs w:val="20"/>
              </w:rPr>
            </w:pPr>
            <w:r w:rsidRPr="00EE038F">
              <w:rPr>
                <w:rFonts w:ascii="Garamond" w:hAnsi="Garamond"/>
                <w:color w:val="0D0D0D" w:themeColor="text1" w:themeTint="F2"/>
                <w:sz w:val="20"/>
                <w:szCs w:val="20"/>
              </w:rPr>
              <w:t>-37.0</w:t>
            </w:r>
          </w:p>
        </w:tc>
      </w:tr>
      <w:tr w:rsidR="00C50585" w:rsidRPr="00EE038F" w14:paraId="34BD770F" w14:textId="77777777" w:rsidTr="0015517A">
        <w:trPr>
          <w:trHeight w:val="20"/>
          <w:jc w:val="center"/>
        </w:trPr>
        <w:tc>
          <w:tcPr>
            <w:tcW w:w="2850" w:type="pct"/>
            <w:tcBorders>
              <w:top w:val="nil"/>
              <w:bottom w:val="nil"/>
            </w:tcBorders>
          </w:tcPr>
          <w:p w14:paraId="716F7213" w14:textId="77777777" w:rsidR="00C50585" w:rsidRPr="00EE038F" w:rsidRDefault="00C50585" w:rsidP="007C70E7">
            <w:pPr>
              <w:spacing w:after="0" w:line="240" w:lineRule="auto"/>
              <w:jc w:val="both"/>
              <w:rPr>
                <w:rFonts w:ascii="Garamond" w:hAnsi="Garamond"/>
                <w:color w:val="0D0D0D" w:themeColor="text1" w:themeTint="F2"/>
                <w:sz w:val="20"/>
                <w:szCs w:val="20"/>
              </w:rPr>
            </w:pPr>
            <w:r w:rsidRPr="00EE038F">
              <w:rPr>
                <w:rFonts w:ascii="Garamond" w:hAnsi="Garamond"/>
                <w:color w:val="0D0D0D" w:themeColor="text1" w:themeTint="F2"/>
                <w:sz w:val="20"/>
                <w:szCs w:val="20"/>
              </w:rPr>
              <w:t>Shpërndarja e tregut</w:t>
            </w:r>
          </w:p>
        </w:tc>
        <w:tc>
          <w:tcPr>
            <w:tcW w:w="1064" w:type="pct"/>
            <w:tcBorders>
              <w:top w:val="nil"/>
              <w:bottom w:val="nil"/>
            </w:tcBorders>
            <w:vAlign w:val="center"/>
          </w:tcPr>
          <w:p w14:paraId="5B783085" w14:textId="77777777" w:rsidR="00C50585" w:rsidRPr="00EE038F" w:rsidRDefault="00C50585" w:rsidP="007C70E7">
            <w:pPr>
              <w:spacing w:after="0" w:line="240" w:lineRule="auto"/>
              <w:jc w:val="both"/>
              <w:rPr>
                <w:rFonts w:ascii="Garamond" w:hAnsi="Garamond"/>
                <w:color w:val="0D0D0D" w:themeColor="text1" w:themeTint="F2"/>
                <w:sz w:val="20"/>
                <w:szCs w:val="20"/>
              </w:rPr>
            </w:pPr>
            <w:r w:rsidRPr="00EE038F">
              <w:rPr>
                <w:rFonts w:ascii="Garamond" w:hAnsi="Garamond"/>
                <w:color w:val="0D0D0D" w:themeColor="text1" w:themeTint="F2"/>
                <w:sz w:val="20"/>
                <w:szCs w:val="20"/>
              </w:rPr>
              <w:t>-59.2</w:t>
            </w:r>
          </w:p>
        </w:tc>
        <w:tc>
          <w:tcPr>
            <w:tcW w:w="1086" w:type="pct"/>
            <w:tcBorders>
              <w:top w:val="nil"/>
              <w:bottom w:val="nil"/>
            </w:tcBorders>
            <w:vAlign w:val="center"/>
          </w:tcPr>
          <w:p w14:paraId="2CEA54A1" w14:textId="77777777" w:rsidR="00C50585" w:rsidRPr="00EE038F" w:rsidRDefault="00C50585" w:rsidP="007C70E7">
            <w:pPr>
              <w:spacing w:after="0" w:line="240" w:lineRule="auto"/>
              <w:jc w:val="both"/>
              <w:rPr>
                <w:rFonts w:ascii="Garamond" w:hAnsi="Garamond"/>
                <w:color w:val="0D0D0D" w:themeColor="text1" w:themeTint="F2"/>
                <w:sz w:val="20"/>
                <w:szCs w:val="20"/>
              </w:rPr>
            </w:pPr>
            <w:r w:rsidRPr="00EE038F">
              <w:rPr>
                <w:rFonts w:ascii="Garamond" w:hAnsi="Garamond"/>
                <w:color w:val="0D0D0D" w:themeColor="text1" w:themeTint="F2"/>
                <w:sz w:val="20"/>
                <w:szCs w:val="20"/>
              </w:rPr>
              <w:t>24.8</w:t>
            </w:r>
          </w:p>
        </w:tc>
      </w:tr>
      <w:tr w:rsidR="00C50585" w:rsidRPr="00EE038F" w14:paraId="3E6AA27C" w14:textId="77777777" w:rsidTr="0015517A">
        <w:trPr>
          <w:trHeight w:val="20"/>
          <w:jc w:val="center"/>
        </w:trPr>
        <w:tc>
          <w:tcPr>
            <w:tcW w:w="2850" w:type="pct"/>
            <w:tcBorders>
              <w:top w:val="nil"/>
              <w:bottom w:val="nil"/>
            </w:tcBorders>
          </w:tcPr>
          <w:p w14:paraId="638D5ABB" w14:textId="77777777" w:rsidR="00C50585" w:rsidRPr="00EE038F" w:rsidRDefault="00C50585" w:rsidP="007C70E7">
            <w:pPr>
              <w:spacing w:after="0" w:line="240" w:lineRule="auto"/>
              <w:jc w:val="both"/>
              <w:rPr>
                <w:rFonts w:ascii="Garamond" w:hAnsi="Garamond"/>
                <w:color w:val="0D0D0D" w:themeColor="text1" w:themeTint="F2"/>
                <w:sz w:val="20"/>
                <w:szCs w:val="20"/>
              </w:rPr>
            </w:pPr>
            <w:r w:rsidRPr="00EE038F">
              <w:rPr>
                <w:rFonts w:ascii="Garamond" w:hAnsi="Garamond"/>
                <w:color w:val="0D0D0D" w:themeColor="text1" w:themeTint="F2"/>
                <w:sz w:val="20"/>
                <w:szCs w:val="20"/>
              </w:rPr>
              <w:t>Konkurrueshmëria</w:t>
            </w:r>
          </w:p>
        </w:tc>
        <w:tc>
          <w:tcPr>
            <w:tcW w:w="1064" w:type="pct"/>
            <w:tcBorders>
              <w:top w:val="nil"/>
              <w:bottom w:val="nil"/>
            </w:tcBorders>
            <w:vAlign w:val="center"/>
          </w:tcPr>
          <w:p w14:paraId="40DEA16F" w14:textId="77777777" w:rsidR="00C50585" w:rsidRPr="00EE038F" w:rsidRDefault="00C50585" w:rsidP="007C70E7">
            <w:pPr>
              <w:spacing w:after="0" w:line="240" w:lineRule="auto"/>
              <w:jc w:val="both"/>
              <w:rPr>
                <w:rFonts w:ascii="Garamond" w:hAnsi="Garamond"/>
                <w:color w:val="0D0D0D" w:themeColor="text1" w:themeTint="F2"/>
                <w:sz w:val="20"/>
                <w:szCs w:val="20"/>
              </w:rPr>
            </w:pPr>
            <w:r w:rsidRPr="00EE038F">
              <w:rPr>
                <w:rFonts w:ascii="Garamond" w:hAnsi="Garamond"/>
                <w:color w:val="0D0D0D" w:themeColor="text1" w:themeTint="F2"/>
                <w:sz w:val="20"/>
                <w:szCs w:val="20"/>
              </w:rPr>
              <w:t>171.3</w:t>
            </w:r>
          </w:p>
        </w:tc>
        <w:tc>
          <w:tcPr>
            <w:tcW w:w="1086" w:type="pct"/>
            <w:tcBorders>
              <w:top w:val="nil"/>
              <w:bottom w:val="nil"/>
            </w:tcBorders>
            <w:vAlign w:val="center"/>
          </w:tcPr>
          <w:p w14:paraId="37E3EF93" w14:textId="77777777" w:rsidR="00C50585" w:rsidRPr="00EE038F" w:rsidRDefault="00C50585" w:rsidP="007C70E7">
            <w:pPr>
              <w:spacing w:after="0" w:line="240" w:lineRule="auto"/>
              <w:jc w:val="both"/>
              <w:rPr>
                <w:rFonts w:ascii="Garamond" w:hAnsi="Garamond"/>
                <w:color w:val="0D0D0D" w:themeColor="text1" w:themeTint="F2"/>
                <w:sz w:val="20"/>
                <w:szCs w:val="20"/>
              </w:rPr>
            </w:pPr>
            <w:r w:rsidRPr="00EE038F">
              <w:rPr>
                <w:rFonts w:ascii="Garamond" w:hAnsi="Garamond"/>
                <w:color w:val="0D0D0D" w:themeColor="text1" w:themeTint="F2"/>
                <w:sz w:val="20"/>
                <w:szCs w:val="20"/>
              </w:rPr>
              <w:t>103.9</w:t>
            </w:r>
          </w:p>
        </w:tc>
      </w:tr>
      <w:tr w:rsidR="00C50585" w:rsidRPr="00EE038F" w14:paraId="57CF04DD" w14:textId="77777777" w:rsidTr="0015517A">
        <w:trPr>
          <w:trHeight w:val="20"/>
          <w:jc w:val="center"/>
        </w:trPr>
        <w:tc>
          <w:tcPr>
            <w:tcW w:w="2850" w:type="pct"/>
            <w:tcBorders>
              <w:top w:val="nil"/>
            </w:tcBorders>
          </w:tcPr>
          <w:p w14:paraId="1BE83ED9" w14:textId="77777777" w:rsidR="00C50585" w:rsidRPr="00EE038F" w:rsidRDefault="00C50585" w:rsidP="007C70E7">
            <w:pPr>
              <w:spacing w:after="0" w:line="240" w:lineRule="auto"/>
              <w:jc w:val="both"/>
              <w:rPr>
                <w:rFonts w:ascii="Garamond" w:hAnsi="Garamond"/>
                <w:b/>
                <w:bCs/>
                <w:color w:val="0D0D0D" w:themeColor="text1" w:themeTint="F2"/>
                <w:sz w:val="20"/>
                <w:szCs w:val="20"/>
              </w:rPr>
            </w:pPr>
            <w:r w:rsidRPr="00EE038F">
              <w:rPr>
                <w:rFonts w:ascii="Garamond" w:hAnsi="Garamond"/>
                <w:b/>
                <w:bCs/>
                <w:color w:val="0D0D0D" w:themeColor="text1" w:themeTint="F2"/>
                <w:sz w:val="20"/>
                <w:szCs w:val="20"/>
              </w:rPr>
              <w:t>Total</w:t>
            </w:r>
          </w:p>
        </w:tc>
        <w:tc>
          <w:tcPr>
            <w:tcW w:w="1064" w:type="pct"/>
            <w:tcBorders>
              <w:top w:val="nil"/>
            </w:tcBorders>
            <w:vAlign w:val="center"/>
          </w:tcPr>
          <w:p w14:paraId="37BFCF78" w14:textId="77777777" w:rsidR="00C50585" w:rsidRPr="00EE038F" w:rsidRDefault="00C50585" w:rsidP="007C70E7">
            <w:pPr>
              <w:spacing w:after="0" w:line="240" w:lineRule="auto"/>
              <w:jc w:val="both"/>
              <w:rPr>
                <w:rFonts w:ascii="Garamond" w:hAnsi="Garamond"/>
                <w:b/>
                <w:bCs/>
                <w:color w:val="0D0D0D" w:themeColor="text1" w:themeTint="F2"/>
                <w:sz w:val="20"/>
                <w:szCs w:val="20"/>
              </w:rPr>
            </w:pPr>
            <w:r w:rsidRPr="00EE038F">
              <w:rPr>
                <w:rFonts w:ascii="Garamond" w:hAnsi="Garamond"/>
                <w:b/>
                <w:bCs/>
                <w:color w:val="0D0D0D" w:themeColor="text1" w:themeTint="F2"/>
                <w:sz w:val="20"/>
                <w:szCs w:val="20"/>
              </w:rPr>
              <w:t>-244.1</w:t>
            </w:r>
          </w:p>
        </w:tc>
        <w:tc>
          <w:tcPr>
            <w:tcW w:w="1086" w:type="pct"/>
            <w:tcBorders>
              <w:top w:val="nil"/>
            </w:tcBorders>
            <w:vAlign w:val="center"/>
          </w:tcPr>
          <w:p w14:paraId="5486F0C1" w14:textId="77777777" w:rsidR="00C50585" w:rsidRPr="00EE038F" w:rsidRDefault="00C50585" w:rsidP="007C70E7">
            <w:pPr>
              <w:spacing w:after="0" w:line="240" w:lineRule="auto"/>
              <w:jc w:val="both"/>
              <w:rPr>
                <w:rFonts w:ascii="Garamond" w:hAnsi="Garamond"/>
                <w:b/>
                <w:bCs/>
                <w:color w:val="0D0D0D" w:themeColor="text1" w:themeTint="F2"/>
                <w:sz w:val="20"/>
                <w:szCs w:val="20"/>
              </w:rPr>
            </w:pPr>
            <w:r w:rsidRPr="00EE038F">
              <w:rPr>
                <w:rFonts w:ascii="Garamond" w:hAnsi="Garamond"/>
                <w:b/>
                <w:bCs/>
                <w:color w:val="0D0D0D" w:themeColor="text1" w:themeTint="F2"/>
                <w:sz w:val="20"/>
                <w:szCs w:val="20"/>
              </w:rPr>
              <w:t>26.2</w:t>
            </w:r>
          </w:p>
        </w:tc>
      </w:tr>
    </w:tbl>
    <w:p w14:paraId="3BFA6994" w14:textId="77777777" w:rsidR="00C50585" w:rsidRPr="00EE038F" w:rsidRDefault="00C50585" w:rsidP="00E33922">
      <w:pPr>
        <w:spacing w:after="0" w:line="240" w:lineRule="auto"/>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Burimi: Banka e Shqipërisë, INSTAT, UN Comtrade</w:t>
      </w:r>
    </w:p>
    <w:p w14:paraId="10B11DB2" w14:textId="77777777" w:rsidR="00C50585" w:rsidRPr="00EE038F" w:rsidRDefault="00C50585" w:rsidP="00C50585">
      <w:pPr>
        <w:spacing w:after="0" w:line="240" w:lineRule="auto"/>
        <w:jc w:val="both"/>
        <w:rPr>
          <w:rFonts w:ascii="Garamond" w:hAnsi="Garamond"/>
          <w:color w:val="0D0D0D" w:themeColor="text1" w:themeTint="F2"/>
        </w:rPr>
      </w:pPr>
    </w:p>
    <w:p w14:paraId="75CD01B7" w14:textId="77777777" w:rsidR="00C50585" w:rsidRPr="00EE038F" w:rsidRDefault="00C50585" w:rsidP="00C253BF">
      <w:pPr>
        <w:pStyle w:val="TEKSTIIIIII"/>
      </w:pPr>
      <w:r w:rsidRPr="00EE038F">
        <w:rPr>
          <w:b/>
        </w:rPr>
        <w:t>Llogaria e shërbimeve ka vazhduar të shënojë suficite në rritje</w:t>
      </w:r>
      <w:r w:rsidRPr="00EE038F">
        <w:rPr>
          <w:bCs/>
        </w:rPr>
        <w:t>,</w:t>
      </w:r>
      <w:r w:rsidRPr="00EE038F">
        <w:rPr>
          <w:b/>
        </w:rPr>
        <w:t xml:space="preserve"> </w:t>
      </w:r>
      <w:r w:rsidRPr="00EE038F">
        <w:t>kryesisht si pasojë e rritjes së flukseve hyrëse turistike. Për të gjithë nëntëmujorin e parë të 2024, flukset hyrëse turistike u rritën me 19.9%, duke nxitur kështu rritjen prej 13.5% të eksporteve të shërbimeve gjatë së njëjtës periudhë. Në të njëjtën kohë, të nxitura nga rritja me 19.1% e flukseve dalëse turistike, edhe importet e shërbimeve u rritën me 12.6%. Si rrjedhojë e këtyre zhvillimeve, suficiti i llogarisë së shërbimeve është rritur me 14.3% krahasuar me nëntëmujorin e parë të vitit të kaluar.</w:t>
      </w:r>
    </w:p>
    <w:p w14:paraId="54C7B155" w14:textId="77777777" w:rsidR="00C50585" w:rsidRPr="00EE038F" w:rsidRDefault="00C50585" w:rsidP="00C253BF">
      <w:pPr>
        <w:pStyle w:val="TEKSTIIIIII"/>
      </w:pPr>
    </w:p>
    <w:p w14:paraId="0BEADA6E" w14:textId="53C0BD8C" w:rsidR="00C50585" w:rsidRPr="00EE038F" w:rsidRDefault="00C50585" w:rsidP="00C253BF">
      <w:pPr>
        <w:pStyle w:val="TEKSTIIIIII"/>
      </w:pPr>
      <w:r w:rsidRPr="00EE038F">
        <w:rPr>
          <w:b/>
        </w:rPr>
        <w:t>Llogaria e të ardhurave parësore ka shënuar përmirësime të ndjeshme gjatë nëntëmujorit të parë të vitit 2024</w:t>
      </w:r>
      <w:r w:rsidRPr="00EE038F">
        <w:t>. Deficiti i kësaj llogarie është zvogëluar me 29% në terma vjetorë, ndërsa vitin e kaluar kjo normë ishte 13.2%. Ky ngushtim është shkaktuar nga rritja më e shpejtë e të ardhurave hyrëse nga puna krahasuar me ato dalëse nga investimet. Në të njëjtën kohë, edhe të ardhurat hyrëse nga investimet kanë shfaqur rritje, duke ndikuar</w:t>
      </w:r>
      <w:r w:rsidR="005C584A" w:rsidRPr="00EE038F">
        <w:t>,</w:t>
      </w:r>
      <w:r w:rsidRPr="00EE038F">
        <w:t xml:space="preserve"> gjithashtu</w:t>
      </w:r>
      <w:r w:rsidR="005C584A" w:rsidRPr="00EE038F">
        <w:t>,</w:t>
      </w:r>
      <w:r w:rsidRPr="00EE038F">
        <w:t xml:space="preserve"> në zvogëlimin e këtij deficiti. </w:t>
      </w:r>
      <w:r w:rsidRPr="00EE038F">
        <w:rPr>
          <w:b/>
        </w:rPr>
        <w:t>Llogaria e të ardhurave dytësore</w:t>
      </w:r>
      <w:r w:rsidRPr="00EE038F">
        <w:t xml:space="preserve"> ka vazhduar të ruajë norma zgjerimi të tepricës suficitare, duke u rritur me 10.4% gjatë kësaj periudhe, si pasojë e rritjes së remitancave me 14.3%.</w:t>
      </w:r>
    </w:p>
    <w:p w14:paraId="4BCA6B8D" w14:textId="703A72B4" w:rsidR="00C50585" w:rsidRPr="00EE038F" w:rsidRDefault="00C50585" w:rsidP="00C253BF">
      <w:pPr>
        <w:pStyle w:val="TEKSTIIIIII"/>
      </w:pPr>
      <w:r w:rsidRPr="00EE038F">
        <w:rPr>
          <w:b/>
        </w:rPr>
        <w:t>Pritjet</w:t>
      </w:r>
      <w:r w:rsidR="00AD3D9C" w:rsidRPr="00EE038F">
        <w:rPr>
          <w:b/>
        </w:rPr>
        <w:t xml:space="preserve"> </w:t>
      </w:r>
      <w:r w:rsidRPr="00EE038F">
        <w:rPr>
          <w:b/>
        </w:rPr>
        <w:t>për pjesën e mbetur të vitit mbeten pozitive</w:t>
      </w:r>
      <w:r w:rsidRPr="00EE038F">
        <w:t xml:space="preserve"> </w:t>
      </w:r>
      <w:r w:rsidRPr="00EE038F">
        <w:rPr>
          <w:b/>
        </w:rPr>
        <w:t xml:space="preserve">për llogaritë e shërbimeve dhe të </w:t>
      </w:r>
      <w:r w:rsidR="005C584A" w:rsidRPr="00EE038F">
        <w:rPr>
          <w:b/>
        </w:rPr>
        <w:t xml:space="preserve">të </w:t>
      </w:r>
      <w:r w:rsidRPr="00EE038F">
        <w:rPr>
          <w:b/>
        </w:rPr>
        <w:t>ardhurave</w:t>
      </w:r>
      <w:r w:rsidR="005C584A" w:rsidRPr="00EE038F">
        <w:rPr>
          <w:bCs/>
        </w:rPr>
        <w:t>;</w:t>
      </w:r>
      <w:r w:rsidRPr="00EE038F">
        <w:t xml:space="preserve"> megjithatë, përkeqësimi i të dhënave për tregtinë e mallrave mund të ketë një ndikim më të madh. Rënia e çmimeve globale, e shoqëruar me një rritje modeste</w:t>
      </w:r>
      <w:r w:rsidR="005C584A" w:rsidRPr="00EE038F">
        <w:t>,</w:t>
      </w:r>
      <w:r w:rsidRPr="00EE038F">
        <w:t xml:space="preserve"> por të vazhdueshme të importeve, pritet të rrisë edhe më tej deficitin e tregtisë së mallrave. Nga ana tjetër, eksportet e turizmit pritet të vazhdojnë të rriten, të mbështetura nga rritja e hyrjeve të vizitorëve të huaj.</w:t>
      </w:r>
    </w:p>
    <w:p w14:paraId="2F8CE5E7" w14:textId="77777777" w:rsidR="00C50585" w:rsidRPr="00EE038F" w:rsidRDefault="00C50585" w:rsidP="00C253BF">
      <w:pPr>
        <w:pStyle w:val="TEKSTIIIIII"/>
        <w:rPr>
          <w:b/>
        </w:rPr>
      </w:pPr>
      <w:r w:rsidRPr="00EE038F">
        <w:rPr>
          <w:b/>
        </w:rPr>
        <w:t xml:space="preserve">Investimet direkte të huaja neto kanë vazhduar të rriten, por me ritme më të ngadalësuara. </w:t>
      </w:r>
    </w:p>
    <w:p w14:paraId="4B5C950D" w14:textId="77777777" w:rsidR="00C50585" w:rsidRPr="00EE038F" w:rsidRDefault="00C50585" w:rsidP="00C253BF">
      <w:pPr>
        <w:pStyle w:val="TEKSTIIIIII"/>
        <w:rPr>
          <w:b/>
        </w:rPr>
      </w:pPr>
      <w:r w:rsidRPr="00EE038F">
        <w:t xml:space="preserve">Për të gjithë nëntëmujorin, rritja vjetore shënon 5.8% për flukset neto dhe 5.2% për flukset hyrëse. Megjithatë, ato mbeten burimi kryesor i financimit për deficitin e llogarisë korrente, duke mbuluar rreth </w:t>
      </w:r>
      <w:r w:rsidRPr="00EE038F">
        <w:rPr>
          <w:color w:val="000000" w:themeColor="text1"/>
        </w:rPr>
        <w:t>421%</w:t>
      </w:r>
      <w:r w:rsidRPr="00EE038F">
        <w:t xml:space="preserve"> të tij.</w:t>
      </w:r>
    </w:p>
    <w:p w14:paraId="39CEEE29" w14:textId="2BC38BCC" w:rsidR="00C50585" w:rsidRPr="00EE038F" w:rsidRDefault="00C50585" w:rsidP="00C253BF">
      <w:pPr>
        <w:pStyle w:val="TEKSTIIIIII"/>
      </w:pPr>
      <w:r w:rsidRPr="00EE038F">
        <w:rPr>
          <w:color w:val="000000" w:themeColor="text1"/>
        </w:rPr>
        <w:t>Sektori i Aktiviteteve të Pasurive të Paluajtshme ka qenë faktori kryesor i rritjes së IHD-ve gjatë kësaj periudhe. Ndërkohë, investimet e portofolit kanë shfaqur një rënie si në asete</w:t>
      </w:r>
      <w:r w:rsidR="008C3502" w:rsidRPr="00EE038F">
        <w:rPr>
          <w:color w:val="000000" w:themeColor="text1"/>
        </w:rPr>
        <w:t>,</w:t>
      </w:r>
      <w:r w:rsidRPr="00EE038F">
        <w:rPr>
          <w:color w:val="000000" w:themeColor="text1"/>
        </w:rPr>
        <w:t xml:space="preserve"> ashtu edhe në </w:t>
      </w:r>
      <w:r w:rsidRPr="00EE038F">
        <w:t xml:space="preserve">detyrime ndaj </w:t>
      </w:r>
      <w:r w:rsidR="008C3502" w:rsidRPr="00EE038F">
        <w:t>jo</w:t>
      </w:r>
      <w:r w:rsidRPr="00EE038F">
        <w:t>rezidentëve, ndërsa investimet e tjera kanë regjistruar rritje.</w:t>
      </w:r>
    </w:p>
    <w:p w14:paraId="52937DF3" w14:textId="1A90D4F3" w:rsidR="00C50585" w:rsidRPr="00EE038F" w:rsidRDefault="00C50585" w:rsidP="00C253BF">
      <w:pPr>
        <w:pStyle w:val="TEKSTIIIIII"/>
      </w:pPr>
      <w:r w:rsidRPr="00EE038F">
        <w:rPr>
          <w:b/>
        </w:rPr>
        <w:t xml:space="preserve">Rritja pozitive e investimeve të huaja direkte pritet të vazhdojë në afatin e mesëm. </w:t>
      </w:r>
      <w:r w:rsidRPr="00EE038F">
        <w:t>Në veçanti, procesi i integrimit të Shqipërisë në BE pritet të shërbejë si një sinjal për investitorët potencialë, duke rritur tërheqjen e vendit për investime. Si rezultat, pritet që FDI</w:t>
      </w:r>
      <w:r w:rsidR="00793544" w:rsidRPr="00EE038F">
        <w:t>-ja</w:t>
      </w:r>
      <w:r w:rsidRPr="00EE038F">
        <w:t xml:space="preserve"> të mbete</w:t>
      </w:r>
      <w:r w:rsidR="00793544" w:rsidRPr="00EE038F">
        <w:t>t</w:t>
      </w:r>
      <w:r w:rsidRPr="00EE038F">
        <w:t xml:space="preserve"> burimi kryesor i financimit për deficitët e ardhshëm të llogarisë korrente.</w:t>
      </w:r>
    </w:p>
    <w:p w14:paraId="7F53B20F" w14:textId="77777777" w:rsidR="00C50585" w:rsidRPr="00EE038F" w:rsidRDefault="00C50585" w:rsidP="00C253BF">
      <w:pPr>
        <w:pStyle w:val="TEKSTIIIIII"/>
        <w:rPr>
          <w:i/>
        </w:rPr>
      </w:pPr>
      <w:r w:rsidRPr="00EE038F">
        <w:rPr>
          <w:i/>
        </w:rPr>
        <w:t>Zhvillime në borxhin e jashtëm</w:t>
      </w:r>
    </w:p>
    <w:p w14:paraId="48E2E109" w14:textId="484D394F" w:rsidR="00C50585" w:rsidRPr="00EE038F" w:rsidRDefault="00C50585" w:rsidP="00C253BF">
      <w:pPr>
        <w:pStyle w:val="TEKSTIIIIII"/>
      </w:pPr>
      <w:r w:rsidRPr="00EE038F">
        <w:rPr>
          <w:b/>
        </w:rPr>
        <w:t>Raporti i borxhit të jashtëm ndaj PBB-së për Shqipërinë mbetet në një trend rënës</w:t>
      </w:r>
      <w:r w:rsidRPr="00EE038F">
        <w:t xml:space="preserve">, duke zbritur në 41.0% në fund të tremujorit të tretë të vitit 2024, nga 46.1% në fund të vitit 2023. Borxhi i jashtëm bruto (PJB) ishte 10.0 miliardë euro, duke regjistruar një rënie vjetore prej 1.2%. Kjo ulje u shkaktua kryesisht nga rënia e borxhit të jashtëm të mbajtur nga </w:t>
      </w:r>
      <w:r w:rsidR="000702B0" w:rsidRPr="00EE038F">
        <w:t>qeveria e përgjithshme</w:t>
      </w:r>
      <w:r w:rsidRPr="00EE038F">
        <w:t xml:space="preserve">. Gjithashtu, rritja e shpejtë e PBB-së nominale dhe mbiçmimi i kursit të këmbimit kundrejt euros, kanë kontribuar në rënien e raportit të borxhit ndaj PBB-së. Borxhi afatgjatë përbën rreth 90.2% të totalit dhe përbëhet kryesisht nga huat afatgjata të qeverisë së përgjithshme dhe të sektorëve të tjerë. Pjesa e mbetur është borxh afatshkurtër i përbërë kryesisht nga </w:t>
      </w:r>
      <w:r w:rsidR="00D555C7" w:rsidRPr="00EE038F">
        <w:t>“</w:t>
      </w:r>
      <w:r w:rsidRPr="00EE038F">
        <w:t>monedha dhe depozita</w:t>
      </w:r>
      <w:r w:rsidR="00D555C7" w:rsidRPr="00EE038F">
        <w:t>”</w:t>
      </w:r>
      <w:r w:rsidRPr="00EE038F">
        <w:t xml:space="preserve"> të korporatave depo</w:t>
      </w:r>
      <w:r w:rsidR="00EE14EB" w:rsidRPr="00EE038F">
        <w:t>zitë</w:t>
      </w:r>
      <w:r w:rsidRPr="00EE038F">
        <w:t xml:space="preserve">marrëse dhe </w:t>
      </w:r>
      <w:r w:rsidR="00D555C7" w:rsidRPr="00EE038F">
        <w:t>“</w:t>
      </w:r>
      <w:r w:rsidRPr="00EE038F">
        <w:t>kredi tregtare</w:t>
      </w:r>
      <w:r w:rsidR="00D555C7" w:rsidRPr="00EE038F">
        <w:t>”</w:t>
      </w:r>
      <w:r w:rsidRPr="00EE038F">
        <w:t xml:space="preserve">. </w:t>
      </w:r>
    </w:p>
    <w:p w14:paraId="42DFEC36" w14:textId="393EC175" w:rsidR="00C50585" w:rsidRPr="00EE038F" w:rsidRDefault="00C50585" w:rsidP="00C253BF">
      <w:pPr>
        <w:pStyle w:val="TEKSTIIIIII"/>
      </w:pPr>
      <w:r w:rsidRPr="00EE038F">
        <w:rPr>
          <w:b/>
        </w:rPr>
        <w:t>Treguesit e aftësisë ripaguese afatgjatë janë përmirësuar gjatë tre tremujorëve të parë të vitit 2024</w:t>
      </w:r>
      <w:r w:rsidRPr="00EE038F">
        <w:rPr>
          <w:bCs/>
        </w:rPr>
        <w:t>.</w:t>
      </w:r>
      <w:r w:rsidRPr="00EE038F">
        <w:t xml:space="preserve"> Raporti i borxhit të jashtëm ndaj eksportit të mallrave dhe shërbimeve ishte 96.0%, nga 102.3% në fund të vitit 2023. Gjithashtu, gjatë së njëjtës periudhë, raporti i borxhit të jashtëm ndaj të ardhurave fiskale zbriti nga 163.0% në 143.9%. Raporti i borxhit të qeverisë së përgjithshme ndaj të ardhurave fiskale zbriti</w:t>
      </w:r>
      <w:r w:rsidR="00A04722" w:rsidRPr="00EE038F">
        <w:t>,</w:t>
      </w:r>
      <w:r w:rsidRPr="00EE038F">
        <w:t xml:space="preserve"> gjithashtu</w:t>
      </w:r>
      <w:r w:rsidR="00A04722" w:rsidRPr="00EE038F">
        <w:t>,</w:t>
      </w:r>
      <w:r w:rsidRPr="00EE038F">
        <w:t xml:space="preserve"> nga 80.0% në fund të vitit 2023, në 66.4% në fund të tremujorit të tretë të vitit 2024.</w:t>
      </w:r>
    </w:p>
    <w:p w14:paraId="2375BA92" w14:textId="77777777" w:rsidR="00C50585" w:rsidRPr="00EE038F" w:rsidRDefault="00C50585" w:rsidP="00C50585">
      <w:pPr>
        <w:spacing w:after="0" w:line="240" w:lineRule="auto"/>
        <w:jc w:val="both"/>
        <w:rPr>
          <w:rFonts w:ascii="Garamond" w:hAnsi="Garamond"/>
          <w:color w:val="0D0D0D" w:themeColor="text1" w:themeTint="F2"/>
        </w:rPr>
      </w:pPr>
    </w:p>
    <w:p w14:paraId="3C7F955B" w14:textId="77777777" w:rsidR="00066DFC" w:rsidRPr="00EE038F" w:rsidRDefault="00066DFC" w:rsidP="00066DFC">
      <w:pPr>
        <w:pStyle w:val="TEKSTIIIIII"/>
        <w:ind w:firstLine="0"/>
        <w:jc w:val="center"/>
      </w:pPr>
    </w:p>
    <w:p w14:paraId="3D13015C" w14:textId="77777777" w:rsidR="00066DFC" w:rsidRPr="00EE038F" w:rsidRDefault="00066DFC" w:rsidP="00066DFC">
      <w:pPr>
        <w:pStyle w:val="TEKSTIIIIII"/>
        <w:ind w:firstLine="0"/>
        <w:jc w:val="center"/>
      </w:pPr>
    </w:p>
    <w:p w14:paraId="2012595F" w14:textId="77777777" w:rsidR="00066DFC" w:rsidRPr="00EE038F" w:rsidRDefault="00066DFC" w:rsidP="00066DFC">
      <w:pPr>
        <w:pStyle w:val="TEKSTIIIIII"/>
        <w:ind w:firstLine="0"/>
        <w:jc w:val="center"/>
      </w:pPr>
    </w:p>
    <w:p w14:paraId="16B776E2" w14:textId="77777777" w:rsidR="00066DFC" w:rsidRPr="00EE038F" w:rsidRDefault="00066DFC" w:rsidP="00066DFC">
      <w:pPr>
        <w:pStyle w:val="TEKSTIIIIII"/>
        <w:ind w:firstLine="0"/>
        <w:jc w:val="center"/>
      </w:pPr>
    </w:p>
    <w:p w14:paraId="3974F324" w14:textId="77777777" w:rsidR="00066DFC" w:rsidRPr="00EE038F" w:rsidRDefault="00066DFC" w:rsidP="00066DFC">
      <w:pPr>
        <w:pStyle w:val="TEKSTIIIIII"/>
        <w:ind w:firstLine="0"/>
        <w:jc w:val="center"/>
      </w:pPr>
    </w:p>
    <w:p w14:paraId="6732DA8F" w14:textId="77777777" w:rsidR="00066DFC" w:rsidRPr="00EE038F" w:rsidRDefault="00066DFC" w:rsidP="00066DFC">
      <w:pPr>
        <w:pStyle w:val="TEKSTIIIIII"/>
        <w:ind w:firstLine="0"/>
        <w:jc w:val="center"/>
      </w:pPr>
    </w:p>
    <w:p w14:paraId="60C1F3A0" w14:textId="77777777" w:rsidR="0015517A" w:rsidRPr="00EE038F" w:rsidRDefault="0015517A" w:rsidP="00066DFC">
      <w:pPr>
        <w:pStyle w:val="TEKSTIIIIII"/>
        <w:ind w:firstLine="0"/>
        <w:jc w:val="center"/>
      </w:pPr>
    </w:p>
    <w:p w14:paraId="69788F04" w14:textId="77777777" w:rsidR="0015517A" w:rsidRPr="00EE038F" w:rsidRDefault="0015517A" w:rsidP="00066DFC">
      <w:pPr>
        <w:pStyle w:val="TEKSTIIIIII"/>
        <w:ind w:firstLine="0"/>
        <w:jc w:val="center"/>
      </w:pPr>
    </w:p>
    <w:p w14:paraId="76833C8A" w14:textId="0BAC3BA3" w:rsidR="00C50585" w:rsidRPr="00EE038F" w:rsidRDefault="00C50585" w:rsidP="00066DFC">
      <w:pPr>
        <w:pStyle w:val="TEKSTIIIIII"/>
        <w:ind w:firstLine="0"/>
        <w:jc w:val="center"/>
        <w:rPr>
          <w:i/>
          <w:iCs/>
        </w:rPr>
      </w:pPr>
      <w:r w:rsidRPr="00EE038F">
        <w:rPr>
          <w:i/>
          <w:iCs/>
        </w:rPr>
        <w:lastRenderedPageBreak/>
        <w:t>Grafik 3.2.6: Borxhi i huaj ndaj eksportit të mallrave dhe shërbimeve (majtas) dhe ndaj të ardhurave fiskale (djathtas)</w:t>
      </w:r>
    </w:p>
    <w:p w14:paraId="23B6819B" w14:textId="3790783A" w:rsidR="00C50585" w:rsidRPr="00EE038F" w:rsidRDefault="00C50585" w:rsidP="00A04722">
      <w:pPr>
        <w:spacing w:after="0" w:line="240" w:lineRule="auto"/>
        <w:jc w:val="center"/>
        <w:rPr>
          <w:rFonts w:ascii="Garamond" w:hAnsi="Garamond"/>
          <w:color w:val="0D0D0D" w:themeColor="text1" w:themeTint="F2"/>
        </w:rPr>
      </w:pPr>
      <w:r w:rsidRPr="00EE038F">
        <w:rPr>
          <w:rFonts w:ascii="Garamond" w:hAnsi="Garamond"/>
          <w:noProof/>
          <w:color w:val="0D0D0D" w:themeColor="text1" w:themeTint="F2"/>
          <w:lang w:eastAsia="en-GB"/>
        </w:rPr>
        <w:drawing>
          <wp:inline distT="0" distB="0" distL="0" distR="0" wp14:anchorId="7F1DEAAB" wp14:editId="39C0A339">
            <wp:extent cx="2618842" cy="1717474"/>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95557" cy="1767785"/>
                    </a:xfrm>
                    <a:prstGeom prst="rect">
                      <a:avLst/>
                    </a:prstGeom>
                    <a:noFill/>
                  </pic:spPr>
                </pic:pic>
              </a:graphicData>
            </a:graphic>
          </wp:inline>
        </w:drawing>
      </w:r>
      <w:r w:rsidRPr="00EE038F">
        <w:rPr>
          <w:rFonts w:ascii="Garamond" w:hAnsi="Garamond"/>
          <w:noProof/>
          <w:color w:val="0D0D0D" w:themeColor="text1" w:themeTint="F2"/>
          <w:lang w:eastAsia="en-GB"/>
        </w:rPr>
        <w:drawing>
          <wp:inline distT="0" distB="0" distL="0" distR="0" wp14:anchorId="2E429A59" wp14:editId="4C281D9A">
            <wp:extent cx="2523744" cy="1692523"/>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99007" cy="1742997"/>
                    </a:xfrm>
                    <a:prstGeom prst="rect">
                      <a:avLst/>
                    </a:prstGeom>
                    <a:noFill/>
                  </pic:spPr>
                </pic:pic>
              </a:graphicData>
            </a:graphic>
          </wp:inline>
        </w:drawing>
      </w:r>
    </w:p>
    <w:p w14:paraId="2B96DA5F" w14:textId="77777777" w:rsidR="00C50585" w:rsidRPr="00EE038F" w:rsidRDefault="00C50585" w:rsidP="00066DFC">
      <w:pPr>
        <w:adjustRightInd w:val="0"/>
        <w:spacing w:after="0" w:line="240" w:lineRule="auto"/>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Burimi: Banka e Shqipërisë, 2024</w:t>
      </w:r>
    </w:p>
    <w:p w14:paraId="554437CA" w14:textId="77777777" w:rsidR="00C50585" w:rsidRPr="00EE038F" w:rsidRDefault="00C50585" w:rsidP="00C50585">
      <w:pPr>
        <w:pStyle w:val="NormalWeb"/>
        <w:spacing w:before="0" w:beforeAutospacing="0" w:after="0" w:afterAutospacing="0"/>
        <w:jc w:val="both"/>
        <w:rPr>
          <w:rFonts w:ascii="Garamond" w:hAnsi="Garamond"/>
          <w:b/>
        </w:rPr>
      </w:pPr>
    </w:p>
    <w:p w14:paraId="351D32F3" w14:textId="54367FF5" w:rsidR="00C50585" w:rsidRPr="00EE038F" w:rsidRDefault="00C50585" w:rsidP="00C253BF">
      <w:pPr>
        <w:pStyle w:val="TEKSTIIIIII"/>
      </w:pPr>
      <w:r w:rsidRPr="00EE038F">
        <w:rPr>
          <w:b/>
        </w:rPr>
        <w:t>Për pjesën e mbetur të vitit 2024, parashikohet që borxhi i jashtëm bruto të bjerë në 40.0% të PBB-së,</w:t>
      </w:r>
      <w:r w:rsidRPr="00EE038F">
        <w:t xml:space="preserve"> duke përfaqësuar një ulje prej rreth 6.1 pikë </w:t>
      </w:r>
      <w:r w:rsidR="009242F9" w:rsidRPr="00EE038F">
        <w:t>përqindje</w:t>
      </w:r>
      <w:r w:rsidRPr="00EE038F">
        <w:t>je krahasuar me fundin e vitit 2023. Kjo rënie e pritur reflekton: i</w:t>
      </w:r>
      <w:r w:rsidR="00B201D8" w:rsidRPr="00EE038F">
        <w:t>.</w:t>
      </w:r>
      <w:r w:rsidRPr="00EE038F">
        <w:t xml:space="preserve"> një ngadalësim të kërkesës për huamarrje nga sektori privat dhe publik</w:t>
      </w:r>
      <w:r w:rsidR="00B201D8" w:rsidRPr="00EE038F">
        <w:t>;</w:t>
      </w:r>
      <w:r w:rsidRPr="00EE038F">
        <w:t xml:space="preserve"> dhe ii</w:t>
      </w:r>
      <w:r w:rsidR="00B201D8" w:rsidRPr="00EE038F">
        <w:t>.</w:t>
      </w:r>
      <w:r w:rsidRPr="00EE038F">
        <w:t xml:space="preserve"> një rritje të shpejtë të ekonomisë, e cila kontribuon në uljen e raportit të borxhit të jashtëm ndaj PBB-së.</w:t>
      </w:r>
    </w:p>
    <w:p w14:paraId="3C3863B4" w14:textId="77777777" w:rsidR="00C50585" w:rsidRPr="00EE038F" w:rsidRDefault="00C50585" w:rsidP="00C253BF">
      <w:pPr>
        <w:pStyle w:val="TEKSTIIIIII"/>
      </w:pPr>
      <w:r w:rsidRPr="00EE038F">
        <w:rPr>
          <w:b/>
        </w:rPr>
        <w:t>Në të ardhmen, parashikojmë një rënie graduale të raportit të borxhit të jashtëm ndaj PBB-së</w:t>
      </w:r>
      <w:r w:rsidRPr="00EE038F">
        <w:t>, në përputhje me një trajektore të pritur të konsolidimit fiskal.</w:t>
      </w:r>
    </w:p>
    <w:p w14:paraId="5A55B88C" w14:textId="4BC21ECF" w:rsidR="00C50585" w:rsidRPr="00EE038F" w:rsidRDefault="00C50585" w:rsidP="00C253BF">
      <w:pPr>
        <w:pStyle w:val="TEKSTIIIIII"/>
      </w:pPr>
      <w:r w:rsidRPr="00EE038F">
        <w:t>Megjithatë, ky parashikim është i rrethuar nga pasiguri, sikurse ilustrohet edhe nga analiza e ndjeshmërisë së borxhit të jashtëm. Dy skenarë janë marrë parasysh në këtë analizë: i</w:t>
      </w:r>
      <w:r w:rsidR="009F68E1" w:rsidRPr="00EE038F">
        <w:t>.</w:t>
      </w:r>
      <w:r w:rsidRPr="00EE038F">
        <w:t xml:space="preserve"> një goditje e normës së interesit. Në këtë skenar, norma mesatare e interesit për borxhin e jashtëm rritet dy devijime standarde nga skenari bazë; ii</w:t>
      </w:r>
      <w:r w:rsidR="009F68E1" w:rsidRPr="00EE038F">
        <w:t>.</w:t>
      </w:r>
      <w:r w:rsidRPr="00EE038F">
        <w:t xml:space="preserve"> një goditje e kursit të këmbimit. Në këtë skenar, monedha </w:t>
      </w:r>
      <w:r w:rsidR="007F728D" w:rsidRPr="00EE038F">
        <w:t>vendës</w:t>
      </w:r>
      <w:r w:rsidRPr="00EE038F">
        <w:t xml:space="preserve">e nënçmohet </w:t>
      </w:r>
      <w:r w:rsidRPr="00EE038F">
        <w:rPr>
          <w:color w:val="0D0D0D" w:themeColor="text1" w:themeTint="F2"/>
          <w:lang w:eastAsia="x-none"/>
        </w:rPr>
        <w:t>një herë të vetme me 10% krahasuar me skenarin bazë në vitin 2024</w:t>
      </w:r>
      <w:r w:rsidRPr="00EE038F">
        <w:t>.</w:t>
      </w:r>
    </w:p>
    <w:p w14:paraId="2595A9A1" w14:textId="40642104" w:rsidR="00C50585" w:rsidRPr="00EE038F" w:rsidRDefault="00C50585" w:rsidP="00C253BF">
      <w:pPr>
        <w:pStyle w:val="TEKSTIIIIII"/>
        <w:rPr>
          <w:color w:val="0D0D0D" w:themeColor="text1" w:themeTint="F2"/>
          <w:lang w:eastAsia="x-none"/>
        </w:rPr>
      </w:pPr>
      <w:r w:rsidRPr="00EE038F">
        <w:t xml:space="preserve">Rezultatet e simulimit </w:t>
      </w:r>
      <w:r w:rsidRPr="00EE038F">
        <w:rPr>
          <w:color w:val="0D0D0D" w:themeColor="text1" w:themeTint="F2"/>
          <w:lang w:eastAsia="x-none"/>
        </w:rPr>
        <w:t xml:space="preserve">sugjerojnë për një përkeqësim më të fortë të borxhit të jashtëm në skenarin me nënçmim të monedhës krahasuar me skenarin ku rriten normat e interesit. Diferencat në pikë </w:t>
      </w:r>
      <w:r w:rsidR="003771A2" w:rsidRPr="00EE038F">
        <w:rPr>
          <w:color w:val="0D0D0D" w:themeColor="text1" w:themeTint="F2"/>
          <w:lang w:eastAsia="x-none"/>
        </w:rPr>
        <w:t xml:space="preserve">përqindje </w:t>
      </w:r>
      <w:r w:rsidRPr="00EE038F">
        <w:rPr>
          <w:color w:val="0D0D0D" w:themeColor="text1" w:themeTint="F2"/>
          <w:lang w:eastAsia="x-none"/>
        </w:rPr>
        <w:t xml:space="preserve">në fund të horizontit parashikues janë 3.2 pikë </w:t>
      </w:r>
      <w:r w:rsidR="003771A2" w:rsidRPr="00EE038F">
        <w:rPr>
          <w:color w:val="0D0D0D" w:themeColor="text1" w:themeTint="F2"/>
          <w:lang w:eastAsia="x-none"/>
        </w:rPr>
        <w:t xml:space="preserve">përqindje </w:t>
      </w:r>
      <w:r w:rsidRPr="00EE038F">
        <w:rPr>
          <w:color w:val="0D0D0D" w:themeColor="text1" w:themeTint="F2"/>
          <w:lang w:eastAsia="x-none"/>
        </w:rPr>
        <w:t xml:space="preserve">në skenarin e normave të interesit dhe rreth 5.9 pikë </w:t>
      </w:r>
      <w:r w:rsidR="003771A2" w:rsidRPr="00EE038F">
        <w:rPr>
          <w:color w:val="0D0D0D" w:themeColor="text1" w:themeTint="F2"/>
          <w:lang w:eastAsia="x-none"/>
        </w:rPr>
        <w:t xml:space="preserve">përqindje </w:t>
      </w:r>
      <w:r w:rsidRPr="00EE038F">
        <w:rPr>
          <w:color w:val="0D0D0D" w:themeColor="text1" w:themeTint="F2"/>
          <w:lang w:eastAsia="x-none"/>
        </w:rPr>
        <w:t xml:space="preserve">në rastin e nënçmimit të kursit të këmbimit. </w:t>
      </w:r>
    </w:p>
    <w:p w14:paraId="476F3061" w14:textId="77777777" w:rsidR="00066DFC" w:rsidRPr="00EE038F" w:rsidRDefault="00066DFC" w:rsidP="00066DFC">
      <w:pPr>
        <w:pStyle w:val="TEKSTIIIIII"/>
        <w:ind w:firstLine="0"/>
        <w:rPr>
          <w:color w:val="0D0D0D" w:themeColor="text1" w:themeTint="F2"/>
        </w:rPr>
      </w:pPr>
    </w:p>
    <w:p w14:paraId="081F56E7" w14:textId="24F789D3" w:rsidR="00C50585" w:rsidRPr="00EE038F" w:rsidRDefault="00C50585" w:rsidP="009F68E1">
      <w:pPr>
        <w:pStyle w:val="TEKSTIIIIII"/>
        <w:ind w:firstLine="0"/>
        <w:jc w:val="center"/>
        <w:rPr>
          <w:i/>
          <w:iCs/>
        </w:rPr>
      </w:pPr>
      <w:r w:rsidRPr="00EE038F">
        <w:rPr>
          <w:i/>
          <w:iCs/>
        </w:rPr>
        <w:t>Grafik 3.2.7: Raporti i borxhit të jashtëm ndaj PBB-së në skenarin bazë dhe sipas skenarëve të rrezikut: normë nominale e interesit (majtas) dhe nënçmim real (djathtas)</w:t>
      </w:r>
    </w:p>
    <w:p w14:paraId="35559AC9" w14:textId="77777777" w:rsidR="00C50585" w:rsidRPr="00EE038F" w:rsidRDefault="00C50585" w:rsidP="009F68E1">
      <w:pPr>
        <w:spacing w:after="0" w:line="240" w:lineRule="auto"/>
        <w:jc w:val="center"/>
        <w:rPr>
          <w:rFonts w:ascii="Garamond" w:hAnsi="Garamond"/>
          <w:iCs/>
          <w:color w:val="0D0D0D" w:themeColor="text1" w:themeTint="F2"/>
        </w:rPr>
      </w:pPr>
      <w:r w:rsidRPr="00EE038F">
        <w:rPr>
          <w:rFonts w:ascii="Garamond" w:hAnsi="Garamond"/>
          <w:iCs/>
          <w:noProof/>
          <w:color w:val="0D0D0D" w:themeColor="text1" w:themeTint="F2"/>
          <w:lang w:eastAsia="en-GB"/>
        </w:rPr>
        <w:drawing>
          <wp:inline distT="0" distB="0" distL="0" distR="0" wp14:anchorId="3A046B8C" wp14:editId="569EA217">
            <wp:extent cx="5720486" cy="1747189"/>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75737" cy="1764064"/>
                    </a:xfrm>
                    <a:prstGeom prst="rect">
                      <a:avLst/>
                    </a:prstGeom>
                    <a:noFill/>
                  </pic:spPr>
                </pic:pic>
              </a:graphicData>
            </a:graphic>
          </wp:inline>
        </w:drawing>
      </w:r>
    </w:p>
    <w:p w14:paraId="301FD3B5" w14:textId="7124B779" w:rsidR="00C50585" w:rsidRPr="00EE038F" w:rsidRDefault="00C50585" w:rsidP="009F68E1">
      <w:pPr>
        <w:adjustRightInd w:val="0"/>
        <w:spacing w:after="0" w:line="240" w:lineRule="auto"/>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Burimi: Banka e Shqipërisë, 2024</w:t>
      </w:r>
    </w:p>
    <w:p w14:paraId="5009938E" w14:textId="77777777" w:rsidR="00C253BF" w:rsidRPr="00EE038F" w:rsidRDefault="00C253BF" w:rsidP="00C253BF">
      <w:pPr>
        <w:pStyle w:val="TEKSTIIIIII"/>
      </w:pPr>
    </w:p>
    <w:p w14:paraId="1A6E8F65" w14:textId="77777777" w:rsidR="00C50585" w:rsidRPr="00EE038F" w:rsidRDefault="00C50585" w:rsidP="00C253BF">
      <w:pPr>
        <w:pStyle w:val="TEKSTIIIIII"/>
        <w:rPr>
          <w:b/>
          <w:i/>
        </w:rPr>
      </w:pPr>
      <w:r w:rsidRPr="00EE038F">
        <w:rPr>
          <w:i/>
        </w:rPr>
        <w:t>Zhvillime në rezervën valutore</w:t>
      </w:r>
      <w:r w:rsidRPr="00EE038F">
        <w:rPr>
          <w:i/>
          <w:vertAlign w:val="superscript"/>
        </w:rPr>
        <w:footnoteReference w:id="6"/>
      </w:r>
    </w:p>
    <w:p w14:paraId="1E7FE33F" w14:textId="514941B0" w:rsidR="00C50585" w:rsidRPr="00EE038F" w:rsidRDefault="00C50585" w:rsidP="00C253BF">
      <w:pPr>
        <w:pStyle w:val="TEKSTIIIIII"/>
        <w:rPr>
          <w:color w:val="0D0D0D"/>
          <w:lang w:eastAsia="x-none"/>
        </w:rPr>
      </w:pPr>
      <w:r w:rsidRPr="00EE038F">
        <w:rPr>
          <w:lang w:eastAsia="x-none"/>
        </w:rPr>
        <w:t>Banka e Shqipërisë akumulon rezervë valutore në linjë me dy kriteret e përshtatshmërisë: 1</w:t>
      </w:r>
      <w:r w:rsidR="00201F6E" w:rsidRPr="00EE038F">
        <w:rPr>
          <w:lang w:eastAsia="x-none"/>
        </w:rPr>
        <w:t>.</w:t>
      </w:r>
      <w:r w:rsidRPr="00EE038F">
        <w:rPr>
          <w:lang w:eastAsia="x-none"/>
        </w:rPr>
        <w:t xml:space="preserve"> </w:t>
      </w:r>
      <w:r w:rsidRPr="00EE038F">
        <w:rPr>
          <w:color w:val="0D0D0D"/>
          <w:lang w:eastAsia="x-none"/>
        </w:rPr>
        <w:t>mbulimin e të paktën 4 muaj importeve të mallrave dhe të shërbimeve</w:t>
      </w:r>
      <w:r w:rsidR="00201F6E" w:rsidRPr="00EE038F">
        <w:rPr>
          <w:color w:val="0D0D0D"/>
          <w:lang w:eastAsia="x-none"/>
        </w:rPr>
        <w:t>;</w:t>
      </w:r>
      <w:r w:rsidRPr="00EE038F">
        <w:rPr>
          <w:color w:val="0D0D0D"/>
          <w:lang w:eastAsia="x-none"/>
        </w:rPr>
        <w:t xml:space="preserve"> dhe 2</w:t>
      </w:r>
      <w:r w:rsidR="00201F6E" w:rsidRPr="00EE038F">
        <w:rPr>
          <w:color w:val="0D0D0D"/>
          <w:lang w:eastAsia="x-none"/>
        </w:rPr>
        <w:t>.</w:t>
      </w:r>
      <w:r w:rsidRPr="00EE038F">
        <w:rPr>
          <w:color w:val="0D0D0D"/>
          <w:lang w:eastAsia="x-none"/>
        </w:rPr>
        <w:t xml:space="preserve"> mbulimin e të paktën 100% të borxhit të jashtëm afatshkurtër. Këto kritere shërbejnë si kufij të poshtëm minimalë, teksa </w:t>
      </w:r>
      <w:r w:rsidRPr="00EE038F">
        <w:rPr>
          <w:color w:val="0D0D0D"/>
          <w:lang w:eastAsia="x-none"/>
        </w:rPr>
        <w:lastRenderedPageBreak/>
        <w:t xml:space="preserve">Banka e Shqipërisë optimizon mbajtjen e rezervave në mënyrë që të balancojë rreziqet potenciale me koston që shoqëron mbajtjen e rezervave. </w:t>
      </w:r>
    </w:p>
    <w:p w14:paraId="757B3095" w14:textId="4A01DE67" w:rsidR="00C50585" w:rsidRPr="00EE038F" w:rsidRDefault="00C50585" w:rsidP="00C253BF">
      <w:pPr>
        <w:pStyle w:val="TEKSTIIIIII"/>
      </w:pPr>
      <w:r w:rsidRPr="00EE038F">
        <w:rPr>
          <w:b/>
        </w:rPr>
        <w:t>Në fund të muajit tetor 2024, niveli i rezervave valutore është 6.01 miliardë euro</w:t>
      </w:r>
      <w:r w:rsidRPr="00EE038F">
        <w:t>, ose 167 milionë më lart se në fund të vitit 2023. Bazuar në të dhënat dhe vlerësimet për tremujorin e tretë të këtij viti, raporti i rezervave ndaj PBB-së është luhatur në mesatarisht 24% në nëntë muajt e parë të vitit. Po gjatë kësaj periudhe, niveli i tyre ka mbuluar mesatarisht 6.6 muaj importe dhe pothuajse 3.2 herë borxhin e jashtëm afatshkurtër</w:t>
      </w:r>
      <w:r w:rsidRPr="00EE038F">
        <w:rPr>
          <w:vertAlign w:val="superscript"/>
        </w:rPr>
        <w:footnoteReference w:customMarkFollows="1" w:id="7"/>
        <w:t>[3]</w:t>
      </w:r>
      <w:r w:rsidRPr="00EE038F">
        <w:t>. Të dy</w:t>
      </w:r>
      <w:r w:rsidR="00977257" w:rsidRPr="00EE038F">
        <w:t>ja</w:t>
      </w:r>
      <w:r w:rsidRPr="00EE038F">
        <w:t xml:space="preserve"> këto kritere priten në mbeten mbi nivelet minimale të përshtatshmërisë së rezervës përgjatë afatit të mesëm. </w:t>
      </w:r>
    </w:p>
    <w:p w14:paraId="017177F1" w14:textId="77777777" w:rsidR="00066DFC" w:rsidRPr="00EE038F" w:rsidRDefault="00066DFC" w:rsidP="00066DFC">
      <w:pPr>
        <w:pStyle w:val="TEKSTIIIIII"/>
        <w:ind w:firstLine="0"/>
        <w:rPr>
          <w:color w:val="0D0D0D" w:themeColor="text1" w:themeTint="F2"/>
        </w:rPr>
      </w:pPr>
    </w:p>
    <w:p w14:paraId="1203C801" w14:textId="73AAAFC8" w:rsidR="00C50585" w:rsidRPr="00EE038F" w:rsidRDefault="00C50585" w:rsidP="00066DFC">
      <w:pPr>
        <w:pStyle w:val="TEKSTIIIIII"/>
        <w:ind w:firstLine="0"/>
        <w:jc w:val="center"/>
        <w:rPr>
          <w:i/>
        </w:rPr>
      </w:pPr>
      <w:r w:rsidRPr="00EE038F">
        <w:rPr>
          <w:i/>
          <w:color w:val="0D0D0D" w:themeColor="text1" w:themeTint="F2"/>
        </w:rPr>
        <w:t>Grafik 3.2.8: Rezervat valutore në muaj importe (majtas) dhe ndaj borxhit të jashtëm afatshkurtër (djathtas)</w:t>
      </w:r>
    </w:p>
    <w:p w14:paraId="361C9C37" w14:textId="77777777" w:rsidR="00C50585" w:rsidRPr="00EE038F" w:rsidRDefault="00C50585" w:rsidP="00C50585">
      <w:pPr>
        <w:spacing w:after="0" w:line="240" w:lineRule="auto"/>
        <w:jc w:val="both"/>
        <w:rPr>
          <w:rFonts w:ascii="Garamond" w:hAnsi="Garamond"/>
          <w:color w:val="0D0D0D" w:themeColor="text1" w:themeTint="F2"/>
        </w:rPr>
      </w:pPr>
      <w:r w:rsidRPr="00EE038F">
        <w:rPr>
          <w:rFonts w:ascii="Garamond" w:hAnsi="Garamond"/>
          <w:noProof/>
          <w:lang w:eastAsia="en-GB"/>
        </w:rPr>
        <w:drawing>
          <wp:inline distT="0" distB="0" distL="0" distR="0" wp14:anchorId="1EBD2A18" wp14:editId="5A04971C">
            <wp:extent cx="5647334" cy="1762736"/>
            <wp:effectExtent l="0" t="0" r="0" b="9525"/>
            <wp:docPr id="51" name="Picture 51" descr="cid:image003.png@01DB46FD.17504B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B46FD.17504B90"/>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5710027" cy="1782305"/>
                    </a:xfrm>
                    <a:prstGeom prst="rect">
                      <a:avLst/>
                    </a:prstGeom>
                    <a:noFill/>
                    <a:ln>
                      <a:noFill/>
                    </a:ln>
                  </pic:spPr>
                </pic:pic>
              </a:graphicData>
            </a:graphic>
          </wp:inline>
        </w:drawing>
      </w:r>
    </w:p>
    <w:p w14:paraId="02A1B942" w14:textId="77777777" w:rsidR="00C50585" w:rsidRPr="00EE038F" w:rsidRDefault="00C50585" w:rsidP="00066DFC">
      <w:pPr>
        <w:spacing w:after="0" w:line="240" w:lineRule="auto"/>
        <w:jc w:val="center"/>
        <w:rPr>
          <w:rFonts w:ascii="Garamond" w:hAnsi="Garamond"/>
          <w:i/>
          <w:color w:val="0D0D0D" w:themeColor="text1" w:themeTint="F2"/>
          <w:sz w:val="24"/>
          <w:szCs w:val="24"/>
        </w:rPr>
      </w:pPr>
      <w:r w:rsidRPr="00EE038F">
        <w:rPr>
          <w:rFonts w:ascii="Garamond" w:hAnsi="Garamond"/>
          <w:i/>
          <w:color w:val="0D0D0D" w:themeColor="text1" w:themeTint="F2"/>
          <w:sz w:val="24"/>
          <w:szCs w:val="24"/>
        </w:rPr>
        <w:t>Burimi: Banka e Shqipërisë, 2024</w:t>
      </w:r>
    </w:p>
    <w:p w14:paraId="114CD333" w14:textId="77777777" w:rsidR="00C50585" w:rsidRPr="00EE038F" w:rsidRDefault="00C50585" w:rsidP="00C50585">
      <w:pPr>
        <w:spacing w:after="0" w:line="240" w:lineRule="auto"/>
        <w:contextualSpacing/>
        <w:jc w:val="both"/>
        <w:rPr>
          <w:rFonts w:ascii="Garamond" w:eastAsia="Times New Roman" w:hAnsi="Garamond"/>
          <w:i/>
          <w:color w:val="000000"/>
        </w:rPr>
      </w:pPr>
    </w:p>
    <w:p w14:paraId="4B4F042D" w14:textId="77777777" w:rsidR="00C50585" w:rsidRPr="00EE038F" w:rsidRDefault="00C50585" w:rsidP="00C253BF">
      <w:pPr>
        <w:pStyle w:val="TEKSTIIIIII"/>
        <w:rPr>
          <w:rFonts w:eastAsia="Times New Roman"/>
          <w:b/>
        </w:rPr>
      </w:pPr>
      <w:r w:rsidRPr="00EE038F">
        <w:rPr>
          <w:rFonts w:eastAsia="Times New Roman"/>
          <w:b/>
        </w:rPr>
        <w:t>Sektori financiar</w:t>
      </w:r>
    </w:p>
    <w:p w14:paraId="3160091E" w14:textId="01CCF832" w:rsidR="00C50585" w:rsidRPr="00EE038F" w:rsidRDefault="00C50585" w:rsidP="00C253BF">
      <w:pPr>
        <w:pStyle w:val="TEKSTIIIIII"/>
        <w:rPr>
          <w:rFonts w:eastAsia="Times New Roman"/>
          <w:color w:val="0D0D0D" w:themeColor="text1" w:themeTint="F2"/>
        </w:rPr>
      </w:pPr>
      <w:r w:rsidRPr="00EE038F">
        <w:rPr>
          <w:rFonts w:eastAsia="Times New Roman"/>
          <w:color w:val="0D0D0D" w:themeColor="text1" w:themeTint="F2"/>
        </w:rPr>
        <w:t xml:space="preserve">Gjatë vitit 2024, sistemi financiar ka ruajtur trajektoren pozitive. </w:t>
      </w:r>
      <w:r w:rsidR="002804D4" w:rsidRPr="00EE038F">
        <w:rPr>
          <w:rFonts w:eastAsia="Times New Roman"/>
          <w:color w:val="0D0D0D" w:themeColor="text1" w:themeTint="F2"/>
        </w:rPr>
        <w:t>Qëndrueshmëria</w:t>
      </w:r>
      <w:r w:rsidRPr="00EE038F">
        <w:rPr>
          <w:rFonts w:eastAsia="Times New Roman"/>
          <w:color w:val="0D0D0D" w:themeColor="text1" w:themeTint="F2"/>
        </w:rPr>
        <w:t xml:space="preserve"> e sektorit bankar, për</w:t>
      </w:r>
      <w:r w:rsidR="002804D4" w:rsidRPr="00EE038F">
        <w:rPr>
          <w:rFonts w:eastAsia="Times New Roman"/>
          <w:color w:val="0D0D0D" w:themeColor="text1" w:themeTint="F2"/>
        </w:rPr>
        <w:t xml:space="preserve"> </w:t>
      </w:r>
      <w:r w:rsidRPr="00EE038F">
        <w:rPr>
          <w:rFonts w:eastAsia="Times New Roman"/>
          <w:color w:val="0D0D0D" w:themeColor="text1" w:themeTint="F2"/>
        </w:rPr>
        <w:t xml:space="preserve">sa i përket kapitalizimit dhe përfitueshmërisë, konsiderohet e mirë. Pavarësisht efektit lehtësues të mbiçmimit të kursit të këmbimit, depozitat në sektorin bankar u zgjeruan dhe ritmi i rritjes së kredisë u përshpejtua. Rreziqet e veprimtarisë u paraqitën në nivele të kontrolluara, por ecuria në rritje e ciklit financiar ka nevojë të moderohet. Pavarësisht nivelit të ulët të raportit të NPL-ve, rritja e shpejtë e kredisë e vërejtur gjatë muajve të fundit, veçanërisht në kredinë në monedhën </w:t>
      </w:r>
      <w:r w:rsidR="007F728D" w:rsidRPr="00EE038F">
        <w:rPr>
          <w:rFonts w:eastAsia="Times New Roman"/>
          <w:color w:val="0D0D0D" w:themeColor="text1" w:themeTint="F2"/>
        </w:rPr>
        <w:t>vendës</w:t>
      </w:r>
      <w:r w:rsidRPr="00EE038F">
        <w:rPr>
          <w:rFonts w:eastAsia="Times New Roman"/>
          <w:color w:val="0D0D0D" w:themeColor="text1" w:themeTint="F2"/>
        </w:rPr>
        <w:t>e, përbën një rrezik potencial për cilësinë e kredisë në të ardhmen. Pozicioni i likuiditetit të sektorit bankar mbetet në nivele të mira. Ushtrimet e stres-testeve dëshmojnë qëndrueshmërinë e mirë të sektorit bankar ndaj rreziqeve.</w:t>
      </w:r>
    </w:p>
    <w:p w14:paraId="4C4A8469" w14:textId="502EC6AF" w:rsidR="00C50585" w:rsidRPr="00EE038F" w:rsidRDefault="00C50585" w:rsidP="00C253BF">
      <w:pPr>
        <w:pStyle w:val="TEKSTIIIIII"/>
        <w:rPr>
          <w:rFonts w:eastAsia="Times New Roman"/>
          <w:color w:val="0D0D0D" w:themeColor="text1" w:themeTint="F2"/>
        </w:rPr>
      </w:pPr>
      <w:r w:rsidRPr="00EE038F">
        <w:rPr>
          <w:rFonts w:eastAsia="Times New Roman"/>
          <w:color w:val="0D0D0D" w:themeColor="text1" w:themeTint="F2"/>
        </w:rPr>
        <w:t>Kreditë kanë vazhduar të rriten dhe ritmet vjetore të rritjes</w:t>
      </w:r>
      <w:r w:rsidR="000F0DFA" w:rsidRPr="00EE038F">
        <w:rPr>
          <w:rFonts w:eastAsia="Times New Roman"/>
          <w:color w:val="0D0D0D" w:themeColor="text1" w:themeTint="F2"/>
        </w:rPr>
        <w:t>,</w:t>
      </w:r>
      <w:r w:rsidRPr="00EE038F">
        <w:rPr>
          <w:rFonts w:eastAsia="Times New Roman"/>
          <w:color w:val="0D0D0D" w:themeColor="text1" w:themeTint="F2"/>
        </w:rPr>
        <w:t xml:space="preserve"> deri në fund të tetorit 2024</w:t>
      </w:r>
      <w:r w:rsidR="000F0DFA" w:rsidRPr="00EE038F">
        <w:rPr>
          <w:rFonts w:eastAsia="Times New Roman"/>
          <w:color w:val="0D0D0D" w:themeColor="text1" w:themeTint="F2"/>
        </w:rPr>
        <w:t>,</w:t>
      </w:r>
      <w:r w:rsidRPr="00EE038F">
        <w:rPr>
          <w:rFonts w:eastAsia="Times New Roman"/>
          <w:color w:val="0D0D0D" w:themeColor="text1" w:themeTint="F2"/>
        </w:rPr>
        <w:t xml:space="preserve"> kanë qenë më të larta krahasuar me 2021</w:t>
      </w:r>
      <w:r w:rsidR="000F0DFA" w:rsidRPr="00EE038F">
        <w:rPr>
          <w:rFonts w:eastAsia="Times New Roman"/>
          <w:color w:val="0D0D0D" w:themeColor="text1" w:themeTint="F2"/>
        </w:rPr>
        <w:t>–</w:t>
      </w:r>
      <w:r w:rsidRPr="00EE038F">
        <w:rPr>
          <w:rFonts w:eastAsia="Times New Roman"/>
          <w:color w:val="0D0D0D" w:themeColor="text1" w:themeTint="F2"/>
        </w:rPr>
        <w:t>2023. Pa efektin e kursit të këmbimit, ritmet e rritjes së kredive dhe depozitave në valutë do të jenë të krahasueshme me ritmet e larta të vërejtura në vitet 2021 dhe 2023. Norma më e lartë e rritjes së kreditimit krahasuar me atë të depozitave ka rezultuar në një rritje të ndërmjetësimit financiar</w:t>
      </w:r>
      <w:r w:rsidR="000F0DFA" w:rsidRPr="00EE038F">
        <w:rPr>
          <w:rFonts w:eastAsia="Times New Roman"/>
          <w:color w:val="0D0D0D" w:themeColor="text1" w:themeTint="F2"/>
        </w:rPr>
        <w:t>,</w:t>
      </w:r>
      <w:r w:rsidRPr="00EE038F">
        <w:rPr>
          <w:rFonts w:eastAsia="Times New Roman"/>
          <w:color w:val="0D0D0D" w:themeColor="text1" w:themeTint="F2"/>
        </w:rPr>
        <w:t xml:space="preserve"> ku raporti kredi ndaj depozitave arrin në 49% në tetor </w:t>
      </w:r>
      <w:r w:rsidR="000F0DFA" w:rsidRPr="00EE038F">
        <w:rPr>
          <w:rFonts w:eastAsia="Times New Roman"/>
          <w:color w:val="0D0D0D" w:themeColor="text1" w:themeTint="F2"/>
        </w:rPr>
        <w:t>‘</w:t>
      </w:r>
      <w:r w:rsidRPr="00EE038F">
        <w:rPr>
          <w:rFonts w:eastAsia="Times New Roman"/>
          <w:color w:val="0D0D0D" w:themeColor="text1" w:themeTint="F2"/>
        </w:rPr>
        <w:t xml:space="preserve">24 nga 46% në 2023. Bankat kanë raportuar një përmirësim të lehtë në cilësinë e kredisë, i reflektuar në një peshë më të ulët të kredive në ndjekje dhe nënstandard. Pesha e kredive të humbura u zvogëlua lehtë në 2.5% dhe 54% ndaj totalit dhe kredive me probleme nga 2.9% dhe 56% në tetor </w:t>
      </w:r>
      <w:r w:rsidR="000F0DFA" w:rsidRPr="00EE038F">
        <w:rPr>
          <w:rFonts w:eastAsia="Times New Roman"/>
          <w:color w:val="0D0D0D" w:themeColor="text1" w:themeTint="F2"/>
        </w:rPr>
        <w:t>‘</w:t>
      </w:r>
      <w:r w:rsidRPr="00EE038F">
        <w:rPr>
          <w:rFonts w:eastAsia="Times New Roman"/>
          <w:color w:val="0D0D0D" w:themeColor="text1" w:themeTint="F2"/>
        </w:rPr>
        <w:t>23.</w:t>
      </w:r>
    </w:p>
    <w:p w14:paraId="61C6990B" w14:textId="7F0225D8" w:rsidR="00C50585" w:rsidRPr="00EE038F" w:rsidRDefault="00C50585" w:rsidP="00C253BF">
      <w:pPr>
        <w:pStyle w:val="TEKSTIIIIII"/>
        <w:rPr>
          <w:rFonts w:eastAsia="Times New Roman"/>
          <w:color w:val="0D0D0D" w:themeColor="text1" w:themeTint="F2"/>
        </w:rPr>
      </w:pPr>
      <w:r w:rsidRPr="00EE038F">
        <w:rPr>
          <w:rFonts w:eastAsia="Times New Roman"/>
          <w:color w:val="0D0D0D" w:themeColor="text1" w:themeTint="F2"/>
        </w:rPr>
        <w:t xml:space="preserve">Situata financiare e sektorit bankar dhe e sistemit financiar ishte e shëndetshme dhe fitimet u rritën. Rezultati financiar i sektorit bankar deri në tetor </w:t>
      </w:r>
      <w:r w:rsidR="00F956E0" w:rsidRPr="00EE038F">
        <w:rPr>
          <w:rFonts w:eastAsia="Times New Roman"/>
          <w:color w:val="0D0D0D" w:themeColor="text1" w:themeTint="F2"/>
        </w:rPr>
        <w:t>‘</w:t>
      </w:r>
      <w:r w:rsidRPr="00EE038F">
        <w:rPr>
          <w:rFonts w:eastAsia="Times New Roman"/>
          <w:color w:val="0D0D0D" w:themeColor="text1" w:themeTint="F2"/>
        </w:rPr>
        <w:t xml:space="preserve">24 është përmirësuar. Faktorët kryesorë të këtij përmirësimi ishin rritja e të ardhurave neto nga interesi, të ardhurat më të larta nga tarifat dhe komisionet, kthimi në fitim i humbjeve nga investimet në instrumente financiare dhe ulja e shpenzimeve për provigjionet. Rezultati neto i bankave në fund të tetorit </w:t>
      </w:r>
      <w:r w:rsidR="00F956E0" w:rsidRPr="00EE038F">
        <w:rPr>
          <w:rFonts w:eastAsia="Times New Roman"/>
          <w:color w:val="0D0D0D" w:themeColor="text1" w:themeTint="F2"/>
        </w:rPr>
        <w:t>‘</w:t>
      </w:r>
      <w:r w:rsidRPr="00EE038F">
        <w:rPr>
          <w:rFonts w:eastAsia="Times New Roman"/>
          <w:color w:val="0D0D0D" w:themeColor="text1" w:themeTint="F2"/>
        </w:rPr>
        <w:t xml:space="preserve">24 (+ 31,4 miliardë lekë) ishte 24% më i lartë krahasuar me atë të së njëjtës periudhë të vitit 2023. Këto zhvillime pozitive ekonomike dhe financiare konfirmohen edhe nga komponentët e Hartës së Stabilitetit Financiar, </w:t>
      </w:r>
      <w:r w:rsidRPr="00EE038F">
        <w:rPr>
          <w:rFonts w:eastAsia="Times New Roman"/>
          <w:color w:val="0D0D0D" w:themeColor="text1" w:themeTint="F2"/>
        </w:rPr>
        <w:lastRenderedPageBreak/>
        <w:t xml:space="preserve">e cila pasqyron rreziqe më të ulëta dhe relativisht të përmbajtura për pothuajse të gjithë aktorët ekonomikë. Të gjithë treguesit e bankave që </w:t>
      </w:r>
      <w:r w:rsidR="00F956E0" w:rsidRPr="00EE038F">
        <w:rPr>
          <w:rFonts w:eastAsia="Times New Roman"/>
          <w:color w:val="0D0D0D" w:themeColor="text1" w:themeTint="F2"/>
        </w:rPr>
        <w:t>u</w:t>
      </w:r>
      <w:r w:rsidRPr="00EE038F">
        <w:rPr>
          <w:rFonts w:eastAsia="Times New Roman"/>
          <w:color w:val="0D0D0D" w:themeColor="text1" w:themeTint="F2"/>
        </w:rPr>
        <w:t xml:space="preserve"> nënshtrohen kufijve rregullatorë sugjerojnë se ekspozimi i bankave ndaj likuiditetit dhe rreziqeve të tregut mbetet i kufizuar dhe shumë nën kufijtë kritikë.</w:t>
      </w:r>
    </w:p>
    <w:p w14:paraId="1AEA203A" w14:textId="77777777" w:rsidR="00C50585" w:rsidRPr="00EE038F" w:rsidRDefault="00C50585" w:rsidP="00C50585">
      <w:pPr>
        <w:spacing w:after="0" w:line="240" w:lineRule="auto"/>
        <w:jc w:val="both"/>
        <w:rPr>
          <w:rFonts w:ascii="Garamond" w:eastAsia="Times New Roman" w:hAnsi="Garamond"/>
          <w:color w:val="0D0D0D" w:themeColor="text1" w:themeTint="F2"/>
        </w:rPr>
      </w:pPr>
    </w:p>
    <w:tbl>
      <w:tblPr>
        <w:tblW w:w="5000" w:type="pct"/>
        <w:jc w:val="center"/>
        <w:tblLook w:val="04A0" w:firstRow="1" w:lastRow="0" w:firstColumn="1" w:lastColumn="0" w:noHBand="0" w:noVBand="1"/>
      </w:tblPr>
      <w:tblGrid>
        <w:gridCol w:w="4341"/>
        <w:gridCol w:w="608"/>
        <w:gridCol w:w="607"/>
        <w:gridCol w:w="607"/>
        <w:gridCol w:w="607"/>
        <w:gridCol w:w="607"/>
        <w:gridCol w:w="607"/>
        <w:gridCol w:w="1036"/>
      </w:tblGrid>
      <w:tr w:rsidR="00C50585" w:rsidRPr="00EE038F" w14:paraId="7C79C646" w14:textId="77777777" w:rsidTr="007F6BCD">
        <w:trPr>
          <w:trHeight w:val="20"/>
          <w:jc w:val="center"/>
        </w:trPr>
        <w:tc>
          <w:tcPr>
            <w:tcW w:w="5000" w:type="pct"/>
            <w:gridSpan w:val="8"/>
            <w:tcBorders>
              <w:top w:val="single" w:sz="8" w:space="0" w:color="BDD6EE"/>
              <w:left w:val="nil"/>
              <w:bottom w:val="single" w:sz="8" w:space="0" w:color="BDD6EE"/>
              <w:right w:val="nil"/>
            </w:tcBorders>
            <w:shd w:val="clear" w:color="000000" w:fill="FFFFFF"/>
            <w:noWrap/>
            <w:vAlign w:val="center"/>
            <w:hideMark/>
          </w:tcPr>
          <w:p w14:paraId="22E313C2" w14:textId="77777777" w:rsidR="00C50585" w:rsidRPr="00EE038F" w:rsidRDefault="00C50585" w:rsidP="00C253BF">
            <w:pPr>
              <w:spacing w:after="0" w:line="240" w:lineRule="auto"/>
              <w:jc w:val="both"/>
              <w:rPr>
                <w:rFonts w:ascii="Garamond" w:eastAsia="Times New Roman" w:hAnsi="Garamond"/>
                <w:b/>
                <w:bCs/>
                <w:color w:val="0D0D0D" w:themeColor="text1" w:themeTint="F2"/>
                <w:sz w:val="20"/>
                <w:szCs w:val="20"/>
                <w:lang w:eastAsia="en-GB"/>
              </w:rPr>
            </w:pPr>
            <w:r w:rsidRPr="00EE038F">
              <w:rPr>
                <w:rFonts w:ascii="Garamond" w:eastAsia="Times New Roman" w:hAnsi="Garamond"/>
                <w:b/>
                <w:bCs/>
                <w:i/>
                <w:iCs/>
                <w:color w:val="0D0D0D" w:themeColor="text1" w:themeTint="F2"/>
                <w:sz w:val="20"/>
                <w:szCs w:val="20"/>
                <w:lang w:eastAsia="en-GB"/>
              </w:rPr>
              <w:t>Treguesit e sektorit financiar</w:t>
            </w:r>
          </w:p>
        </w:tc>
      </w:tr>
      <w:tr w:rsidR="00C50585" w:rsidRPr="00EE038F" w14:paraId="05EE6040" w14:textId="77777777" w:rsidTr="007F6BCD">
        <w:trPr>
          <w:trHeight w:val="20"/>
          <w:jc w:val="center"/>
        </w:trPr>
        <w:tc>
          <w:tcPr>
            <w:tcW w:w="1995" w:type="pct"/>
            <w:tcBorders>
              <w:top w:val="nil"/>
              <w:left w:val="nil"/>
              <w:bottom w:val="single" w:sz="8" w:space="0" w:color="BDD6EE"/>
              <w:right w:val="nil"/>
            </w:tcBorders>
            <w:shd w:val="clear" w:color="000000" w:fill="FFFFFF"/>
            <w:noWrap/>
            <w:vAlign w:val="center"/>
            <w:hideMark/>
          </w:tcPr>
          <w:p w14:paraId="66B87299" w14:textId="77777777" w:rsidR="00C50585" w:rsidRPr="00EE038F" w:rsidRDefault="00C50585" w:rsidP="00C253BF">
            <w:pPr>
              <w:spacing w:after="0" w:line="240" w:lineRule="auto"/>
              <w:jc w:val="both"/>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w:t>
            </w:r>
          </w:p>
        </w:tc>
        <w:tc>
          <w:tcPr>
            <w:tcW w:w="474" w:type="pct"/>
            <w:tcBorders>
              <w:top w:val="nil"/>
              <w:left w:val="nil"/>
              <w:bottom w:val="single" w:sz="8" w:space="0" w:color="BDD6EE"/>
              <w:right w:val="nil"/>
            </w:tcBorders>
            <w:shd w:val="clear" w:color="000000" w:fill="FFFFFF"/>
            <w:noWrap/>
            <w:vAlign w:val="center"/>
            <w:hideMark/>
          </w:tcPr>
          <w:p w14:paraId="4D114B7F" w14:textId="77777777" w:rsidR="00C50585" w:rsidRPr="00EE038F" w:rsidRDefault="00C50585" w:rsidP="007F6BCD">
            <w:pPr>
              <w:spacing w:after="0" w:line="240" w:lineRule="auto"/>
              <w:jc w:val="center"/>
              <w:rPr>
                <w:rFonts w:ascii="Garamond" w:eastAsia="Times New Roman" w:hAnsi="Garamond"/>
                <w:b/>
                <w:bCs/>
                <w:color w:val="0D0D0D" w:themeColor="text1" w:themeTint="F2"/>
                <w:sz w:val="20"/>
                <w:szCs w:val="20"/>
                <w:lang w:eastAsia="en-GB"/>
              </w:rPr>
            </w:pPr>
            <w:r w:rsidRPr="00EE038F">
              <w:rPr>
                <w:rFonts w:ascii="Garamond" w:eastAsia="Times New Roman" w:hAnsi="Garamond"/>
                <w:b/>
                <w:bCs/>
                <w:color w:val="0D0D0D" w:themeColor="text1" w:themeTint="F2"/>
                <w:sz w:val="20"/>
                <w:szCs w:val="20"/>
                <w:lang w:eastAsia="en-GB"/>
              </w:rPr>
              <w:t>2017</w:t>
            </w:r>
          </w:p>
        </w:tc>
        <w:tc>
          <w:tcPr>
            <w:tcW w:w="366" w:type="pct"/>
            <w:tcBorders>
              <w:top w:val="nil"/>
              <w:left w:val="nil"/>
              <w:bottom w:val="single" w:sz="8" w:space="0" w:color="BDD6EE"/>
              <w:right w:val="nil"/>
            </w:tcBorders>
            <w:shd w:val="clear" w:color="000000" w:fill="FFFFFF"/>
            <w:noWrap/>
            <w:vAlign w:val="center"/>
            <w:hideMark/>
          </w:tcPr>
          <w:p w14:paraId="2B8A20E7" w14:textId="77777777" w:rsidR="00C50585" w:rsidRPr="00EE038F" w:rsidRDefault="00C50585" w:rsidP="007F6BCD">
            <w:pPr>
              <w:spacing w:after="0" w:line="240" w:lineRule="auto"/>
              <w:jc w:val="center"/>
              <w:rPr>
                <w:rFonts w:ascii="Garamond" w:eastAsia="Times New Roman" w:hAnsi="Garamond"/>
                <w:b/>
                <w:bCs/>
                <w:color w:val="0D0D0D" w:themeColor="text1" w:themeTint="F2"/>
                <w:sz w:val="20"/>
                <w:szCs w:val="20"/>
                <w:lang w:eastAsia="en-GB"/>
              </w:rPr>
            </w:pPr>
            <w:r w:rsidRPr="00EE038F">
              <w:rPr>
                <w:rFonts w:ascii="Garamond" w:eastAsia="Times New Roman" w:hAnsi="Garamond"/>
                <w:b/>
                <w:bCs/>
                <w:color w:val="0D0D0D" w:themeColor="text1" w:themeTint="F2"/>
                <w:sz w:val="20"/>
                <w:szCs w:val="20"/>
                <w:lang w:eastAsia="en-GB"/>
              </w:rPr>
              <w:t>2018</w:t>
            </w:r>
          </w:p>
        </w:tc>
        <w:tc>
          <w:tcPr>
            <w:tcW w:w="366" w:type="pct"/>
            <w:tcBorders>
              <w:top w:val="nil"/>
              <w:left w:val="nil"/>
              <w:bottom w:val="single" w:sz="8" w:space="0" w:color="BDD6EE"/>
              <w:right w:val="nil"/>
            </w:tcBorders>
            <w:shd w:val="clear" w:color="000000" w:fill="FFFFFF"/>
            <w:noWrap/>
            <w:vAlign w:val="center"/>
            <w:hideMark/>
          </w:tcPr>
          <w:p w14:paraId="6D1D089E" w14:textId="77777777" w:rsidR="00C50585" w:rsidRPr="00EE038F" w:rsidRDefault="00C50585" w:rsidP="007F6BCD">
            <w:pPr>
              <w:spacing w:after="0" w:line="240" w:lineRule="auto"/>
              <w:jc w:val="center"/>
              <w:rPr>
                <w:rFonts w:ascii="Garamond" w:eastAsia="Times New Roman" w:hAnsi="Garamond"/>
                <w:b/>
                <w:bCs/>
                <w:color w:val="0D0D0D" w:themeColor="text1" w:themeTint="F2"/>
                <w:sz w:val="20"/>
                <w:szCs w:val="20"/>
                <w:lang w:eastAsia="en-GB"/>
              </w:rPr>
            </w:pPr>
            <w:r w:rsidRPr="00EE038F">
              <w:rPr>
                <w:rFonts w:ascii="Garamond" w:eastAsia="Times New Roman" w:hAnsi="Garamond"/>
                <w:b/>
                <w:bCs/>
                <w:color w:val="0D0D0D" w:themeColor="text1" w:themeTint="F2"/>
                <w:sz w:val="20"/>
                <w:szCs w:val="20"/>
                <w:lang w:eastAsia="en-GB"/>
              </w:rPr>
              <w:t>2019</w:t>
            </w:r>
          </w:p>
        </w:tc>
        <w:tc>
          <w:tcPr>
            <w:tcW w:w="366" w:type="pct"/>
            <w:tcBorders>
              <w:top w:val="nil"/>
              <w:left w:val="nil"/>
              <w:bottom w:val="single" w:sz="8" w:space="0" w:color="BDD6EE"/>
              <w:right w:val="nil"/>
            </w:tcBorders>
            <w:shd w:val="clear" w:color="000000" w:fill="FFFFFF"/>
            <w:noWrap/>
            <w:vAlign w:val="center"/>
            <w:hideMark/>
          </w:tcPr>
          <w:p w14:paraId="0DE09947" w14:textId="77777777" w:rsidR="00C50585" w:rsidRPr="00EE038F" w:rsidRDefault="00C50585" w:rsidP="007F6BCD">
            <w:pPr>
              <w:spacing w:after="0" w:line="240" w:lineRule="auto"/>
              <w:jc w:val="center"/>
              <w:rPr>
                <w:rFonts w:ascii="Garamond" w:eastAsia="Times New Roman" w:hAnsi="Garamond"/>
                <w:b/>
                <w:bCs/>
                <w:color w:val="0D0D0D" w:themeColor="text1" w:themeTint="F2"/>
                <w:sz w:val="20"/>
                <w:szCs w:val="20"/>
                <w:lang w:eastAsia="en-GB"/>
              </w:rPr>
            </w:pPr>
            <w:r w:rsidRPr="00EE038F">
              <w:rPr>
                <w:rFonts w:ascii="Garamond" w:eastAsia="Times New Roman" w:hAnsi="Garamond"/>
                <w:b/>
                <w:bCs/>
                <w:color w:val="0D0D0D" w:themeColor="text1" w:themeTint="F2"/>
                <w:sz w:val="20"/>
                <w:szCs w:val="20"/>
                <w:lang w:eastAsia="en-GB"/>
              </w:rPr>
              <w:t>2020</w:t>
            </w:r>
          </w:p>
        </w:tc>
        <w:tc>
          <w:tcPr>
            <w:tcW w:w="366" w:type="pct"/>
            <w:tcBorders>
              <w:top w:val="nil"/>
              <w:left w:val="nil"/>
              <w:bottom w:val="single" w:sz="8" w:space="0" w:color="BDD6EE"/>
              <w:right w:val="nil"/>
            </w:tcBorders>
            <w:shd w:val="clear" w:color="000000" w:fill="FFFFFF"/>
            <w:noWrap/>
            <w:vAlign w:val="center"/>
            <w:hideMark/>
          </w:tcPr>
          <w:p w14:paraId="7C64E047" w14:textId="77777777" w:rsidR="00C50585" w:rsidRPr="00EE038F" w:rsidRDefault="00C50585" w:rsidP="007F6BCD">
            <w:pPr>
              <w:spacing w:after="0" w:line="240" w:lineRule="auto"/>
              <w:jc w:val="center"/>
              <w:rPr>
                <w:rFonts w:ascii="Garamond" w:eastAsia="Times New Roman" w:hAnsi="Garamond"/>
                <w:b/>
                <w:bCs/>
                <w:color w:val="0D0D0D" w:themeColor="text1" w:themeTint="F2"/>
                <w:sz w:val="20"/>
                <w:szCs w:val="20"/>
                <w:lang w:eastAsia="en-GB"/>
              </w:rPr>
            </w:pPr>
            <w:r w:rsidRPr="00EE038F">
              <w:rPr>
                <w:rFonts w:ascii="Garamond" w:eastAsia="Times New Roman" w:hAnsi="Garamond"/>
                <w:b/>
                <w:bCs/>
                <w:color w:val="0D0D0D" w:themeColor="text1" w:themeTint="F2"/>
                <w:sz w:val="20"/>
                <w:szCs w:val="20"/>
                <w:lang w:eastAsia="en-GB"/>
              </w:rPr>
              <w:t>2021</w:t>
            </w:r>
          </w:p>
        </w:tc>
        <w:tc>
          <w:tcPr>
            <w:tcW w:w="366" w:type="pct"/>
            <w:tcBorders>
              <w:top w:val="nil"/>
              <w:left w:val="nil"/>
              <w:bottom w:val="single" w:sz="8" w:space="0" w:color="BDD6EE"/>
              <w:right w:val="nil"/>
            </w:tcBorders>
            <w:shd w:val="clear" w:color="000000" w:fill="FFFFFF"/>
            <w:noWrap/>
            <w:vAlign w:val="center"/>
            <w:hideMark/>
          </w:tcPr>
          <w:p w14:paraId="44FCF96E" w14:textId="77777777" w:rsidR="00C50585" w:rsidRPr="00EE038F" w:rsidRDefault="00C50585" w:rsidP="007F6BCD">
            <w:pPr>
              <w:spacing w:after="0" w:line="240" w:lineRule="auto"/>
              <w:jc w:val="center"/>
              <w:rPr>
                <w:rFonts w:ascii="Garamond" w:eastAsia="Times New Roman" w:hAnsi="Garamond"/>
                <w:b/>
                <w:bCs/>
                <w:color w:val="0D0D0D" w:themeColor="text1" w:themeTint="F2"/>
                <w:sz w:val="20"/>
                <w:szCs w:val="20"/>
                <w:lang w:eastAsia="en-GB"/>
              </w:rPr>
            </w:pPr>
            <w:r w:rsidRPr="00EE038F">
              <w:rPr>
                <w:rFonts w:ascii="Garamond" w:eastAsia="Times New Roman" w:hAnsi="Garamond"/>
                <w:b/>
                <w:bCs/>
                <w:color w:val="0D0D0D" w:themeColor="text1" w:themeTint="F2"/>
                <w:sz w:val="20"/>
                <w:szCs w:val="20"/>
                <w:lang w:eastAsia="en-GB"/>
              </w:rPr>
              <w:t>2022</w:t>
            </w:r>
          </w:p>
        </w:tc>
        <w:tc>
          <w:tcPr>
            <w:tcW w:w="702" w:type="pct"/>
            <w:tcBorders>
              <w:top w:val="nil"/>
              <w:left w:val="nil"/>
              <w:bottom w:val="single" w:sz="8" w:space="0" w:color="BDD6EE"/>
              <w:right w:val="nil"/>
            </w:tcBorders>
            <w:shd w:val="clear" w:color="000000" w:fill="FFFFFF"/>
            <w:noWrap/>
            <w:vAlign w:val="center"/>
            <w:hideMark/>
          </w:tcPr>
          <w:p w14:paraId="37F9D1B2" w14:textId="6562F417" w:rsidR="00C50585" w:rsidRPr="00EE038F" w:rsidRDefault="00C50585" w:rsidP="007F6BCD">
            <w:pPr>
              <w:spacing w:after="0" w:line="240" w:lineRule="auto"/>
              <w:jc w:val="center"/>
              <w:rPr>
                <w:rFonts w:ascii="Garamond" w:eastAsia="Times New Roman" w:hAnsi="Garamond"/>
                <w:b/>
                <w:bCs/>
                <w:color w:val="0D0D0D" w:themeColor="text1" w:themeTint="F2"/>
                <w:sz w:val="20"/>
                <w:szCs w:val="20"/>
                <w:lang w:eastAsia="en-GB"/>
              </w:rPr>
            </w:pPr>
            <w:r w:rsidRPr="00EE038F">
              <w:rPr>
                <w:rFonts w:ascii="Garamond" w:eastAsia="Times New Roman" w:hAnsi="Garamond"/>
                <w:b/>
                <w:bCs/>
                <w:color w:val="0D0D0D" w:themeColor="text1" w:themeTint="F2"/>
                <w:sz w:val="20"/>
                <w:szCs w:val="20"/>
                <w:lang w:eastAsia="en-GB"/>
              </w:rPr>
              <w:t>2023</w:t>
            </w:r>
            <w:r w:rsidR="00AD3D9C" w:rsidRPr="00EE038F">
              <w:rPr>
                <w:rFonts w:ascii="Garamond" w:eastAsia="Times New Roman" w:hAnsi="Garamond"/>
                <w:b/>
                <w:bCs/>
                <w:color w:val="0D0D0D" w:themeColor="text1" w:themeTint="F2"/>
                <w:sz w:val="20"/>
                <w:szCs w:val="20"/>
                <w:lang w:eastAsia="en-GB"/>
              </w:rPr>
              <w:t xml:space="preserve"> </w:t>
            </w:r>
            <w:r w:rsidRPr="00EE038F">
              <w:rPr>
                <w:rFonts w:ascii="Garamond" w:eastAsia="Times New Roman" w:hAnsi="Garamond"/>
                <w:b/>
                <w:bCs/>
                <w:color w:val="0D0D0D" w:themeColor="text1" w:themeTint="F2"/>
                <w:sz w:val="20"/>
                <w:szCs w:val="20"/>
                <w:lang w:eastAsia="en-GB"/>
              </w:rPr>
              <w:t>2024*</w:t>
            </w:r>
          </w:p>
        </w:tc>
      </w:tr>
      <w:tr w:rsidR="00C50585" w:rsidRPr="00EE038F" w14:paraId="78C40CA1" w14:textId="77777777" w:rsidTr="007F6BCD">
        <w:trPr>
          <w:trHeight w:val="20"/>
          <w:jc w:val="center"/>
        </w:trPr>
        <w:tc>
          <w:tcPr>
            <w:tcW w:w="1995" w:type="pct"/>
            <w:tcBorders>
              <w:top w:val="nil"/>
              <w:left w:val="nil"/>
              <w:bottom w:val="nil"/>
              <w:right w:val="nil"/>
            </w:tcBorders>
            <w:shd w:val="clear" w:color="000000" w:fill="FFFFFF"/>
            <w:noWrap/>
            <w:vAlign w:val="center"/>
            <w:hideMark/>
          </w:tcPr>
          <w:p w14:paraId="24EF2EC6" w14:textId="77777777" w:rsidR="00C50585" w:rsidRPr="00EE038F" w:rsidRDefault="00C50585" w:rsidP="00C253BF">
            <w:pPr>
              <w:spacing w:after="0" w:line="240" w:lineRule="auto"/>
              <w:jc w:val="both"/>
              <w:rPr>
                <w:rFonts w:ascii="Garamond" w:eastAsia="Times New Roman" w:hAnsi="Garamond"/>
                <w:b/>
                <w:bCs/>
                <w:color w:val="0D0D0D"/>
                <w:sz w:val="20"/>
                <w:szCs w:val="20"/>
                <w:lang w:eastAsia="en-GB"/>
              </w:rPr>
            </w:pPr>
            <w:r w:rsidRPr="00EE038F">
              <w:rPr>
                <w:rFonts w:ascii="Garamond" w:eastAsia="Times New Roman" w:hAnsi="Garamond"/>
                <w:b/>
                <w:bCs/>
                <w:color w:val="0D0D0D"/>
                <w:sz w:val="20"/>
                <w:szCs w:val="20"/>
                <w:lang w:eastAsia="en-GB"/>
              </w:rPr>
              <w:t>Totali i aktiveve të sektorit bankar</w:t>
            </w:r>
          </w:p>
        </w:tc>
        <w:tc>
          <w:tcPr>
            <w:tcW w:w="474" w:type="pct"/>
            <w:vMerge w:val="restart"/>
            <w:tcBorders>
              <w:top w:val="nil"/>
              <w:left w:val="nil"/>
              <w:bottom w:val="single" w:sz="8" w:space="0" w:color="BDD6EE"/>
              <w:right w:val="nil"/>
            </w:tcBorders>
            <w:shd w:val="clear" w:color="000000" w:fill="FFFFFF"/>
            <w:noWrap/>
            <w:vAlign w:val="center"/>
            <w:hideMark/>
          </w:tcPr>
          <w:p w14:paraId="06E22C43"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10,768</w:t>
            </w:r>
          </w:p>
        </w:tc>
        <w:tc>
          <w:tcPr>
            <w:tcW w:w="366" w:type="pct"/>
            <w:vMerge w:val="restart"/>
            <w:tcBorders>
              <w:top w:val="nil"/>
              <w:left w:val="nil"/>
              <w:bottom w:val="single" w:sz="8" w:space="0" w:color="BDD6EE"/>
              <w:right w:val="nil"/>
            </w:tcBorders>
            <w:shd w:val="clear" w:color="000000" w:fill="FFFFFF"/>
            <w:noWrap/>
            <w:vAlign w:val="center"/>
            <w:hideMark/>
          </w:tcPr>
          <w:p w14:paraId="2DC8C103"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11,398</w:t>
            </w:r>
          </w:p>
        </w:tc>
        <w:tc>
          <w:tcPr>
            <w:tcW w:w="366" w:type="pct"/>
            <w:vMerge w:val="restart"/>
            <w:tcBorders>
              <w:top w:val="nil"/>
              <w:left w:val="nil"/>
              <w:bottom w:val="single" w:sz="8" w:space="0" w:color="BDD6EE"/>
              <w:right w:val="nil"/>
            </w:tcBorders>
            <w:shd w:val="clear" w:color="000000" w:fill="FFFFFF"/>
            <w:noWrap/>
            <w:vAlign w:val="center"/>
            <w:hideMark/>
          </w:tcPr>
          <w:p w14:paraId="09A14C30"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12,380</w:t>
            </w:r>
          </w:p>
        </w:tc>
        <w:tc>
          <w:tcPr>
            <w:tcW w:w="366" w:type="pct"/>
            <w:vMerge w:val="restart"/>
            <w:tcBorders>
              <w:top w:val="nil"/>
              <w:left w:val="nil"/>
              <w:bottom w:val="single" w:sz="8" w:space="0" w:color="BDD6EE"/>
              <w:right w:val="nil"/>
            </w:tcBorders>
            <w:shd w:val="clear" w:color="000000" w:fill="FFFFFF"/>
            <w:noWrap/>
            <w:vAlign w:val="center"/>
            <w:hideMark/>
          </w:tcPr>
          <w:p w14:paraId="0BF4747B"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13,156</w:t>
            </w:r>
          </w:p>
        </w:tc>
        <w:tc>
          <w:tcPr>
            <w:tcW w:w="366" w:type="pct"/>
            <w:vMerge w:val="restart"/>
            <w:tcBorders>
              <w:top w:val="nil"/>
              <w:left w:val="nil"/>
              <w:bottom w:val="single" w:sz="8" w:space="0" w:color="BDD6EE"/>
              <w:right w:val="nil"/>
            </w:tcBorders>
            <w:shd w:val="clear" w:color="000000" w:fill="FFFFFF"/>
            <w:noWrap/>
            <w:vAlign w:val="center"/>
            <w:hideMark/>
          </w:tcPr>
          <w:p w14:paraId="3C253826"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14,980</w:t>
            </w:r>
          </w:p>
        </w:tc>
        <w:tc>
          <w:tcPr>
            <w:tcW w:w="366" w:type="pct"/>
            <w:vMerge w:val="restart"/>
            <w:tcBorders>
              <w:top w:val="nil"/>
              <w:left w:val="nil"/>
              <w:bottom w:val="single" w:sz="8" w:space="0" w:color="BDD6EE"/>
              <w:right w:val="nil"/>
            </w:tcBorders>
            <w:shd w:val="clear" w:color="000000" w:fill="FFFFFF"/>
            <w:noWrap/>
            <w:vAlign w:val="center"/>
            <w:hideMark/>
          </w:tcPr>
          <w:p w14:paraId="7AE7DCBF"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16,426</w:t>
            </w:r>
          </w:p>
        </w:tc>
        <w:tc>
          <w:tcPr>
            <w:tcW w:w="702" w:type="pct"/>
            <w:vMerge w:val="restart"/>
            <w:tcBorders>
              <w:top w:val="nil"/>
              <w:left w:val="nil"/>
              <w:bottom w:val="single" w:sz="8" w:space="0" w:color="BDD6EE"/>
              <w:right w:val="nil"/>
            </w:tcBorders>
            <w:shd w:val="clear" w:color="000000" w:fill="FFFFFF"/>
            <w:noWrap/>
            <w:vAlign w:val="center"/>
          </w:tcPr>
          <w:p w14:paraId="2C0C8E83" w14:textId="6332A44A"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18,900</w:t>
            </w:r>
            <w:r w:rsidR="00AD3D9C" w:rsidRPr="00EE038F">
              <w:rPr>
                <w:rFonts w:ascii="Garamond" w:eastAsia="Times New Roman" w:hAnsi="Garamond"/>
                <w:color w:val="0D0D0D" w:themeColor="text1" w:themeTint="F2"/>
                <w:sz w:val="20"/>
                <w:szCs w:val="20"/>
                <w:lang w:eastAsia="en-GB"/>
              </w:rPr>
              <w:t xml:space="preserve"> </w:t>
            </w:r>
            <w:r w:rsidRPr="00EE038F">
              <w:rPr>
                <w:rFonts w:ascii="Garamond" w:eastAsia="Times New Roman" w:hAnsi="Garamond"/>
                <w:color w:val="0D0D0D" w:themeColor="text1" w:themeTint="F2"/>
                <w:sz w:val="20"/>
                <w:szCs w:val="20"/>
                <w:lang w:eastAsia="en-GB"/>
              </w:rPr>
              <w:t>20,785</w:t>
            </w:r>
          </w:p>
        </w:tc>
      </w:tr>
      <w:tr w:rsidR="00C50585" w:rsidRPr="00EE038F" w14:paraId="1066E8B3" w14:textId="77777777" w:rsidTr="007F6BCD">
        <w:trPr>
          <w:trHeight w:val="20"/>
          <w:jc w:val="center"/>
        </w:trPr>
        <w:tc>
          <w:tcPr>
            <w:tcW w:w="1995" w:type="pct"/>
            <w:tcBorders>
              <w:top w:val="nil"/>
              <w:left w:val="nil"/>
              <w:bottom w:val="single" w:sz="8" w:space="0" w:color="BDD6EE"/>
              <w:right w:val="nil"/>
            </w:tcBorders>
            <w:shd w:val="clear" w:color="000000" w:fill="FFFFFF"/>
            <w:noWrap/>
            <w:vAlign w:val="center"/>
            <w:hideMark/>
          </w:tcPr>
          <w:p w14:paraId="142582EA" w14:textId="6AE440AB" w:rsidR="00C50585" w:rsidRPr="00EE038F" w:rsidRDefault="00C50585" w:rsidP="00C253BF">
            <w:pPr>
              <w:spacing w:after="0" w:line="240" w:lineRule="auto"/>
              <w:jc w:val="both"/>
              <w:rPr>
                <w:rFonts w:ascii="Garamond" w:eastAsia="Times New Roman" w:hAnsi="Garamond"/>
                <w:b/>
                <w:bCs/>
                <w:color w:val="0D0D0D"/>
                <w:sz w:val="20"/>
                <w:szCs w:val="20"/>
                <w:lang w:eastAsia="en-GB"/>
              </w:rPr>
            </w:pPr>
            <w:r w:rsidRPr="00EE038F">
              <w:rPr>
                <w:rFonts w:ascii="Garamond" w:eastAsia="Times New Roman" w:hAnsi="Garamond"/>
                <w:b/>
                <w:bCs/>
                <w:color w:val="0D0D0D"/>
                <w:sz w:val="20"/>
                <w:szCs w:val="20"/>
                <w:lang w:eastAsia="en-GB"/>
              </w:rPr>
              <w:t>(milion</w:t>
            </w:r>
            <w:r w:rsidR="007F6BCD" w:rsidRPr="00EE038F">
              <w:rPr>
                <w:rFonts w:ascii="Garamond" w:eastAsia="Times New Roman" w:hAnsi="Garamond"/>
                <w:b/>
                <w:bCs/>
                <w:color w:val="0D0D0D"/>
                <w:sz w:val="20"/>
                <w:szCs w:val="20"/>
                <w:lang w:eastAsia="en-GB"/>
              </w:rPr>
              <w:t>ë</w:t>
            </w:r>
            <w:r w:rsidRPr="00EE038F">
              <w:rPr>
                <w:rFonts w:ascii="Garamond" w:eastAsia="Times New Roman" w:hAnsi="Garamond"/>
                <w:b/>
                <w:bCs/>
                <w:color w:val="0D0D0D"/>
                <w:sz w:val="20"/>
                <w:szCs w:val="20"/>
                <w:lang w:eastAsia="en-GB"/>
              </w:rPr>
              <w:t xml:space="preserve"> EUR)</w:t>
            </w:r>
          </w:p>
        </w:tc>
        <w:tc>
          <w:tcPr>
            <w:tcW w:w="474" w:type="pct"/>
            <w:vMerge/>
            <w:tcBorders>
              <w:top w:val="nil"/>
              <w:left w:val="nil"/>
              <w:bottom w:val="single" w:sz="8" w:space="0" w:color="BDD6EE"/>
              <w:right w:val="nil"/>
            </w:tcBorders>
            <w:vAlign w:val="center"/>
            <w:hideMark/>
          </w:tcPr>
          <w:p w14:paraId="7E1BF963"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p>
        </w:tc>
        <w:tc>
          <w:tcPr>
            <w:tcW w:w="366" w:type="pct"/>
            <w:vMerge/>
            <w:tcBorders>
              <w:top w:val="nil"/>
              <w:left w:val="nil"/>
              <w:bottom w:val="single" w:sz="8" w:space="0" w:color="BDD6EE"/>
              <w:right w:val="nil"/>
            </w:tcBorders>
            <w:vAlign w:val="center"/>
            <w:hideMark/>
          </w:tcPr>
          <w:p w14:paraId="123B3584"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p>
        </w:tc>
        <w:tc>
          <w:tcPr>
            <w:tcW w:w="366" w:type="pct"/>
            <w:vMerge/>
            <w:tcBorders>
              <w:top w:val="nil"/>
              <w:left w:val="nil"/>
              <w:bottom w:val="single" w:sz="8" w:space="0" w:color="BDD6EE"/>
              <w:right w:val="nil"/>
            </w:tcBorders>
            <w:vAlign w:val="center"/>
            <w:hideMark/>
          </w:tcPr>
          <w:p w14:paraId="0480C7D2"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p>
        </w:tc>
        <w:tc>
          <w:tcPr>
            <w:tcW w:w="366" w:type="pct"/>
            <w:vMerge/>
            <w:tcBorders>
              <w:top w:val="nil"/>
              <w:left w:val="nil"/>
              <w:bottom w:val="single" w:sz="8" w:space="0" w:color="BDD6EE"/>
              <w:right w:val="nil"/>
            </w:tcBorders>
            <w:vAlign w:val="center"/>
            <w:hideMark/>
          </w:tcPr>
          <w:p w14:paraId="5B7E85F9"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p>
        </w:tc>
        <w:tc>
          <w:tcPr>
            <w:tcW w:w="366" w:type="pct"/>
            <w:vMerge/>
            <w:tcBorders>
              <w:top w:val="nil"/>
              <w:left w:val="nil"/>
              <w:bottom w:val="single" w:sz="8" w:space="0" w:color="BDD6EE"/>
              <w:right w:val="nil"/>
            </w:tcBorders>
            <w:vAlign w:val="center"/>
            <w:hideMark/>
          </w:tcPr>
          <w:p w14:paraId="1FE694A0"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p>
        </w:tc>
        <w:tc>
          <w:tcPr>
            <w:tcW w:w="366" w:type="pct"/>
            <w:vMerge/>
            <w:tcBorders>
              <w:top w:val="nil"/>
              <w:left w:val="nil"/>
              <w:bottom w:val="single" w:sz="8" w:space="0" w:color="BDD6EE"/>
              <w:right w:val="nil"/>
            </w:tcBorders>
            <w:vAlign w:val="center"/>
            <w:hideMark/>
          </w:tcPr>
          <w:p w14:paraId="6BE07891"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p>
        </w:tc>
        <w:tc>
          <w:tcPr>
            <w:tcW w:w="702" w:type="pct"/>
            <w:vMerge/>
            <w:tcBorders>
              <w:top w:val="nil"/>
              <w:left w:val="nil"/>
              <w:bottom w:val="single" w:sz="8" w:space="0" w:color="BDD6EE"/>
              <w:right w:val="nil"/>
            </w:tcBorders>
            <w:vAlign w:val="center"/>
          </w:tcPr>
          <w:p w14:paraId="1D7E4698"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p>
        </w:tc>
      </w:tr>
      <w:tr w:rsidR="00C50585" w:rsidRPr="00EE038F" w14:paraId="5FF40D7B" w14:textId="77777777" w:rsidTr="007F6BCD">
        <w:trPr>
          <w:trHeight w:val="20"/>
          <w:jc w:val="center"/>
        </w:trPr>
        <w:tc>
          <w:tcPr>
            <w:tcW w:w="1995" w:type="pct"/>
            <w:tcBorders>
              <w:top w:val="nil"/>
              <w:left w:val="nil"/>
              <w:bottom w:val="single" w:sz="8" w:space="0" w:color="BDD6EE"/>
              <w:right w:val="nil"/>
            </w:tcBorders>
            <w:shd w:val="clear" w:color="000000" w:fill="FFFFFF"/>
            <w:noWrap/>
            <w:vAlign w:val="center"/>
            <w:hideMark/>
          </w:tcPr>
          <w:p w14:paraId="56F9C656" w14:textId="77777777" w:rsidR="00C50585" w:rsidRPr="00EE038F" w:rsidRDefault="00C50585" w:rsidP="00C253BF">
            <w:pPr>
              <w:spacing w:after="0" w:line="240" w:lineRule="auto"/>
              <w:jc w:val="both"/>
              <w:rPr>
                <w:rFonts w:ascii="Garamond" w:eastAsia="Times New Roman" w:hAnsi="Garamond"/>
                <w:color w:val="0D0D0D"/>
                <w:sz w:val="20"/>
                <w:szCs w:val="20"/>
                <w:lang w:eastAsia="en-GB"/>
              </w:rPr>
            </w:pPr>
            <w:r w:rsidRPr="00EE038F">
              <w:rPr>
                <w:rFonts w:ascii="Garamond" w:eastAsia="Times New Roman" w:hAnsi="Garamond"/>
                <w:color w:val="0D0D0D"/>
                <w:sz w:val="20"/>
                <w:szCs w:val="20"/>
                <w:lang w:eastAsia="en-GB"/>
              </w:rPr>
              <w:t>Kapitali i huaj i sektorit bankar (%)</w:t>
            </w:r>
          </w:p>
        </w:tc>
        <w:tc>
          <w:tcPr>
            <w:tcW w:w="474" w:type="pct"/>
            <w:tcBorders>
              <w:top w:val="nil"/>
              <w:left w:val="nil"/>
              <w:bottom w:val="single" w:sz="8" w:space="0" w:color="BDD6EE"/>
              <w:right w:val="nil"/>
            </w:tcBorders>
            <w:shd w:val="clear" w:color="000000" w:fill="FFFFFF"/>
            <w:noWrap/>
            <w:vAlign w:val="center"/>
            <w:hideMark/>
          </w:tcPr>
          <w:p w14:paraId="473AAAA2"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81.4</w:t>
            </w:r>
          </w:p>
        </w:tc>
        <w:tc>
          <w:tcPr>
            <w:tcW w:w="366" w:type="pct"/>
            <w:tcBorders>
              <w:top w:val="nil"/>
              <w:left w:val="nil"/>
              <w:bottom w:val="single" w:sz="8" w:space="0" w:color="BDD6EE"/>
              <w:right w:val="nil"/>
            </w:tcBorders>
            <w:shd w:val="clear" w:color="000000" w:fill="FFFFFF"/>
            <w:noWrap/>
            <w:vAlign w:val="center"/>
            <w:hideMark/>
          </w:tcPr>
          <w:p w14:paraId="30B0D714"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80.8</w:t>
            </w:r>
          </w:p>
        </w:tc>
        <w:tc>
          <w:tcPr>
            <w:tcW w:w="366" w:type="pct"/>
            <w:tcBorders>
              <w:top w:val="nil"/>
              <w:left w:val="nil"/>
              <w:bottom w:val="single" w:sz="8" w:space="0" w:color="BDD6EE"/>
              <w:right w:val="nil"/>
            </w:tcBorders>
            <w:shd w:val="clear" w:color="000000" w:fill="FFFFFF"/>
            <w:noWrap/>
            <w:vAlign w:val="center"/>
            <w:hideMark/>
          </w:tcPr>
          <w:p w14:paraId="0B37E606"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78.4</w:t>
            </w:r>
          </w:p>
        </w:tc>
        <w:tc>
          <w:tcPr>
            <w:tcW w:w="366" w:type="pct"/>
            <w:tcBorders>
              <w:top w:val="nil"/>
              <w:left w:val="nil"/>
              <w:bottom w:val="single" w:sz="8" w:space="0" w:color="BDD6EE"/>
              <w:right w:val="nil"/>
            </w:tcBorders>
            <w:shd w:val="clear" w:color="000000" w:fill="FFFFFF"/>
            <w:noWrap/>
            <w:vAlign w:val="center"/>
            <w:hideMark/>
          </w:tcPr>
          <w:p w14:paraId="7A8019CA"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69.4</w:t>
            </w:r>
          </w:p>
        </w:tc>
        <w:tc>
          <w:tcPr>
            <w:tcW w:w="366" w:type="pct"/>
            <w:tcBorders>
              <w:top w:val="nil"/>
              <w:left w:val="nil"/>
              <w:bottom w:val="single" w:sz="8" w:space="0" w:color="BDD6EE"/>
              <w:right w:val="nil"/>
            </w:tcBorders>
            <w:shd w:val="clear" w:color="000000" w:fill="FFFFFF"/>
            <w:noWrap/>
            <w:vAlign w:val="center"/>
            <w:hideMark/>
          </w:tcPr>
          <w:p w14:paraId="1F6A61A1"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68.8</w:t>
            </w:r>
          </w:p>
        </w:tc>
        <w:tc>
          <w:tcPr>
            <w:tcW w:w="366" w:type="pct"/>
            <w:tcBorders>
              <w:top w:val="nil"/>
              <w:left w:val="nil"/>
              <w:bottom w:val="single" w:sz="8" w:space="0" w:color="BDD6EE"/>
              <w:right w:val="nil"/>
            </w:tcBorders>
            <w:shd w:val="clear" w:color="000000" w:fill="FFFFFF"/>
            <w:noWrap/>
            <w:vAlign w:val="center"/>
            <w:hideMark/>
          </w:tcPr>
          <w:p w14:paraId="4F303215"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66.2</w:t>
            </w:r>
          </w:p>
        </w:tc>
        <w:tc>
          <w:tcPr>
            <w:tcW w:w="702" w:type="pct"/>
            <w:tcBorders>
              <w:top w:val="nil"/>
              <w:left w:val="nil"/>
              <w:bottom w:val="single" w:sz="8" w:space="0" w:color="BDD6EE"/>
              <w:right w:val="nil"/>
            </w:tcBorders>
            <w:shd w:val="clear" w:color="000000" w:fill="FFFFFF"/>
            <w:noWrap/>
            <w:vAlign w:val="center"/>
          </w:tcPr>
          <w:p w14:paraId="06FE2C3E" w14:textId="12A7229D" w:rsidR="00C50585" w:rsidRPr="00EE038F" w:rsidRDefault="00AD3D9C"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64.4</w:t>
            </w: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63.3</w:t>
            </w:r>
          </w:p>
        </w:tc>
      </w:tr>
      <w:tr w:rsidR="00C50585" w:rsidRPr="00EE038F" w14:paraId="0DEB1249" w14:textId="77777777" w:rsidTr="007F6BCD">
        <w:trPr>
          <w:trHeight w:val="20"/>
          <w:jc w:val="center"/>
        </w:trPr>
        <w:tc>
          <w:tcPr>
            <w:tcW w:w="1995" w:type="pct"/>
            <w:tcBorders>
              <w:top w:val="nil"/>
              <w:left w:val="nil"/>
              <w:bottom w:val="single" w:sz="8" w:space="0" w:color="BDD6EE"/>
              <w:right w:val="nil"/>
            </w:tcBorders>
            <w:shd w:val="clear" w:color="000000" w:fill="FFFFFF"/>
            <w:noWrap/>
            <w:vAlign w:val="center"/>
            <w:hideMark/>
          </w:tcPr>
          <w:p w14:paraId="30B6020C" w14:textId="77777777" w:rsidR="00C50585" w:rsidRPr="00EE038F" w:rsidRDefault="00C50585" w:rsidP="00C253BF">
            <w:pPr>
              <w:spacing w:after="0" w:line="240" w:lineRule="auto"/>
              <w:jc w:val="both"/>
              <w:rPr>
                <w:rFonts w:ascii="Garamond" w:eastAsia="Times New Roman" w:hAnsi="Garamond"/>
                <w:color w:val="0D0D0D"/>
                <w:sz w:val="20"/>
                <w:szCs w:val="20"/>
                <w:lang w:eastAsia="en-GB"/>
              </w:rPr>
            </w:pPr>
            <w:r w:rsidRPr="00EE038F">
              <w:rPr>
                <w:rFonts w:ascii="Garamond" w:eastAsia="Times New Roman" w:hAnsi="Garamond"/>
                <w:color w:val="0D0D0D"/>
                <w:sz w:val="20"/>
                <w:szCs w:val="20"/>
                <w:lang w:eastAsia="en-GB"/>
              </w:rPr>
              <w:t>Rritja e kredisë (%, mp)</w:t>
            </w:r>
          </w:p>
        </w:tc>
        <w:tc>
          <w:tcPr>
            <w:tcW w:w="474" w:type="pct"/>
            <w:tcBorders>
              <w:top w:val="nil"/>
              <w:left w:val="nil"/>
              <w:bottom w:val="single" w:sz="8" w:space="0" w:color="BDD6EE"/>
              <w:right w:val="nil"/>
            </w:tcBorders>
            <w:shd w:val="clear" w:color="000000" w:fill="FFFFFF"/>
            <w:noWrap/>
            <w:vAlign w:val="center"/>
            <w:hideMark/>
          </w:tcPr>
          <w:p w14:paraId="51796272"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-0.1</w:t>
            </w:r>
          </w:p>
        </w:tc>
        <w:tc>
          <w:tcPr>
            <w:tcW w:w="366" w:type="pct"/>
            <w:tcBorders>
              <w:top w:val="nil"/>
              <w:left w:val="nil"/>
              <w:bottom w:val="single" w:sz="8" w:space="0" w:color="BDD6EE"/>
              <w:right w:val="nil"/>
            </w:tcBorders>
            <w:shd w:val="clear" w:color="000000" w:fill="FFFFFF"/>
            <w:noWrap/>
            <w:vAlign w:val="center"/>
            <w:hideMark/>
          </w:tcPr>
          <w:p w14:paraId="38C29252"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-1.7</w:t>
            </w:r>
          </w:p>
        </w:tc>
        <w:tc>
          <w:tcPr>
            <w:tcW w:w="366" w:type="pct"/>
            <w:tcBorders>
              <w:top w:val="nil"/>
              <w:left w:val="nil"/>
              <w:bottom w:val="single" w:sz="8" w:space="0" w:color="BDD6EE"/>
              <w:right w:val="nil"/>
            </w:tcBorders>
            <w:shd w:val="clear" w:color="000000" w:fill="FFFFFF"/>
            <w:noWrap/>
            <w:vAlign w:val="center"/>
            <w:hideMark/>
          </w:tcPr>
          <w:p w14:paraId="1B7424A4"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3</w:t>
            </w:r>
          </w:p>
        </w:tc>
        <w:tc>
          <w:tcPr>
            <w:tcW w:w="366" w:type="pct"/>
            <w:tcBorders>
              <w:top w:val="nil"/>
              <w:left w:val="nil"/>
              <w:bottom w:val="single" w:sz="8" w:space="0" w:color="BDD6EE"/>
              <w:right w:val="nil"/>
            </w:tcBorders>
            <w:shd w:val="clear" w:color="000000" w:fill="FFFFFF"/>
            <w:noWrap/>
            <w:vAlign w:val="center"/>
            <w:hideMark/>
          </w:tcPr>
          <w:p w14:paraId="51AE5AAE"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6.1</w:t>
            </w:r>
          </w:p>
        </w:tc>
        <w:tc>
          <w:tcPr>
            <w:tcW w:w="366" w:type="pct"/>
            <w:tcBorders>
              <w:top w:val="nil"/>
              <w:left w:val="nil"/>
              <w:bottom w:val="single" w:sz="8" w:space="0" w:color="BDD6EE"/>
              <w:right w:val="nil"/>
            </w:tcBorders>
            <w:shd w:val="clear" w:color="000000" w:fill="FFFFFF"/>
            <w:noWrap/>
            <w:vAlign w:val="center"/>
            <w:hideMark/>
          </w:tcPr>
          <w:p w14:paraId="28D99A68"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6.9</w:t>
            </w:r>
          </w:p>
        </w:tc>
        <w:tc>
          <w:tcPr>
            <w:tcW w:w="366" w:type="pct"/>
            <w:tcBorders>
              <w:top w:val="nil"/>
              <w:left w:val="nil"/>
              <w:bottom w:val="single" w:sz="8" w:space="0" w:color="BDD6EE"/>
              <w:right w:val="nil"/>
            </w:tcBorders>
            <w:shd w:val="clear" w:color="000000" w:fill="FFFFFF"/>
            <w:noWrap/>
            <w:vAlign w:val="center"/>
            <w:hideMark/>
          </w:tcPr>
          <w:p w14:paraId="3F054F6A"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11.2</w:t>
            </w:r>
          </w:p>
        </w:tc>
        <w:tc>
          <w:tcPr>
            <w:tcW w:w="702" w:type="pct"/>
            <w:tcBorders>
              <w:top w:val="nil"/>
              <w:left w:val="nil"/>
              <w:bottom w:val="single" w:sz="8" w:space="0" w:color="BDD6EE"/>
              <w:right w:val="nil"/>
            </w:tcBorders>
            <w:shd w:val="clear" w:color="000000" w:fill="FFFFFF"/>
            <w:noWrap/>
            <w:vAlign w:val="center"/>
          </w:tcPr>
          <w:p w14:paraId="49C461DC" w14:textId="3D8FCA67" w:rsidR="00C50585" w:rsidRPr="00EE038F" w:rsidRDefault="00AD3D9C"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2.2</w:t>
            </w: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9.1</w:t>
            </w:r>
          </w:p>
        </w:tc>
      </w:tr>
      <w:tr w:rsidR="00C50585" w:rsidRPr="00EE038F" w14:paraId="3FA3DC63" w14:textId="77777777" w:rsidTr="007F6BCD">
        <w:trPr>
          <w:trHeight w:val="20"/>
          <w:jc w:val="center"/>
        </w:trPr>
        <w:tc>
          <w:tcPr>
            <w:tcW w:w="1995" w:type="pct"/>
            <w:tcBorders>
              <w:top w:val="nil"/>
              <w:left w:val="nil"/>
              <w:bottom w:val="single" w:sz="8" w:space="0" w:color="BDD6EE"/>
              <w:right w:val="nil"/>
            </w:tcBorders>
            <w:shd w:val="clear" w:color="000000" w:fill="FFFFFF"/>
            <w:noWrap/>
            <w:vAlign w:val="center"/>
            <w:hideMark/>
          </w:tcPr>
          <w:p w14:paraId="0E293A70" w14:textId="77777777" w:rsidR="00C50585" w:rsidRPr="00EE038F" w:rsidRDefault="00C50585" w:rsidP="00C253BF">
            <w:pPr>
              <w:spacing w:after="0" w:line="240" w:lineRule="auto"/>
              <w:jc w:val="both"/>
              <w:rPr>
                <w:rFonts w:ascii="Garamond" w:eastAsia="Times New Roman" w:hAnsi="Garamond"/>
                <w:color w:val="0D0D0D"/>
                <w:sz w:val="20"/>
                <w:szCs w:val="20"/>
                <w:lang w:eastAsia="en-GB"/>
              </w:rPr>
            </w:pPr>
            <w:r w:rsidRPr="00EE038F">
              <w:rPr>
                <w:rFonts w:ascii="Garamond" w:eastAsia="Times New Roman" w:hAnsi="Garamond"/>
                <w:color w:val="0D0D0D"/>
                <w:sz w:val="20"/>
                <w:szCs w:val="20"/>
                <w:lang w:eastAsia="en-GB"/>
              </w:rPr>
              <w:t>Rritja e depozitave (%, mp)</w:t>
            </w:r>
          </w:p>
        </w:tc>
        <w:tc>
          <w:tcPr>
            <w:tcW w:w="474" w:type="pct"/>
            <w:tcBorders>
              <w:top w:val="nil"/>
              <w:left w:val="nil"/>
              <w:bottom w:val="single" w:sz="8" w:space="0" w:color="BDD6EE"/>
              <w:right w:val="nil"/>
            </w:tcBorders>
            <w:shd w:val="clear" w:color="000000" w:fill="FFFFFF"/>
            <w:noWrap/>
            <w:vAlign w:val="center"/>
            <w:hideMark/>
          </w:tcPr>
          <w:p w14:paraId="5EB38BD7"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w:t>
            </w:r>
          </w:p>
        </w:tc>
        <w:tc>
          <w:tcPr>
            <w:tcW w:w="366" w:type="pct"/>
            <w:tcBorders>
              <w:top w:val="nil"/>
              <w:left w:val="nil"/>
              <w:bottom w:val="single" w:sz="8" w:space="0" w:color="BDD6EE"/>
              <w:right w:val="nil"/>
            </w:tcBorders>
            <w:shd w:val="clear" w:color="000000" w:fill="FFFFFF"/>
            <w:noWrap/>
            <w:vAlign w:val="center"/>
            <w:hideMark/>
          </w:tcPr>
          <w:p w14:paraId="290896F1"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-1.2</w:t>
            </w:r>
          </w:p>
        </w:tc>
        <w:tc>
          <w:tcPr>
            <w:tcW w:w="366" w:type="pct"/>
            <w:tcBorders>
              <w:top w:val="nil"/>
              <w:left w:val="nil"/>
              <w:bottom w:val="single" w:sz="8" w:space="0" w:color="BDD6EE"/>
              <w:right w:val="nil"/>
            </w:tcBorders>
            <w:shd w:val="clear" w:color="000000" w:fill="FFFFFF"/>
            <w:noWrap/>
            <w:vAlign w:val="center"/>
            <w:hideMark/>
          </w:tcPr>
          <w:p w14:paraId="49935B3D"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2.5</w:t>
            </w:r>
          </w:p>
        </w:tc>
        <w:tc>
          <w:tcPr>
            <w:tcW w:w="366" w:type="pct"/>
            <w:tcBorders>
              <w:top w:val="nil"/>
              <w:left w:val="nil"/>
              <w:bottom w:val="single" w:sz="8" w:space="0" w:color="BDD6EE"/>
              <w:right w:val="nil"/>
            </w:tcBorders>
            <w:shd w:val="clear" w:color="000000" w:fill="FFFFFF"/>
            <w:noWrap/>
            <w:vAlign w:val="center"/>
            <w:hideMark/>
          </w:tcPr>
          <w:p w14:paraId="35201C23"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5.8</w:t>
            </w:r>
          </w:p>
        </w:tc>
        <w:tc>
          <w:tcPr>
            <w:tcW w:w="366" w:type="pct"/>
            <w:tcBorders>
              <w:top w:val="nil"/>
              <w:left w:val="nil"/>
              <w:bottom w:val="single" w:sz="8" w:space="0" w:color="BDD6EE"/>
              <w:right w:val="nil"/>
            </w:tcBorders>
            <w:shd w:val="clear" w:color="000000" w:fill="FFFFFF"/>
            <w:noWrap/>
            <w:vAlign w:val="center"/>
            <w:hideMark/>
          </w:tcPr>
          <w:p w14:paraId="2BE4308D"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8.5</w:t>
            </w:r>
          </w:p>
        </w:tc>
        <w:tc>
          <w:tcPr>
            <w:tcW w:w="366" w:type="pct"/>
            <w:tcBorders>
              <w:top w:val="nil"/>
              <w:left w:val="nil"/>
              <w:bottom w:val="single" w:sz="8" w:space="0" w:color="BDD6EE"/>
              <w:right w:val="nil"/>
            </w:tcBorders>
            <w:shd w:val="clear" w:color="000000" w:fill="FFFFFF"/>
            <w:noWrap/>
            <w:vAlign w:val="center"/>
            <w:hideMark/>
          </w:tcPr>
          <w:p w14:paraId="6C274FC9"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9.6</w:t>
            </w:r>
          </w:p>
        </w:tc>
        <w:tc>
          <w:tcPr>
            <w:tcW w:w="702" w:type="pct"/>
            <w:tcBorders>
              <w:top w:val="nil"/>
              <w:left w:val="nil"/>
              <w:bottom w:val="single" w:sz="8" w:space="0" w:color="BDD6EE"/>
              <w:right w:val="nil"/>
            </w:tcBorders>
            <w:shd w:val="clear" w:color="000000" w:fill="FFFFFF"/>
            <w:noWrap/>
            <w:vAlign w:val="center"/>
          </w:tcPr>
          <w:p w14:paraId="3B2CC58F" w14:textId="5A941C26" w:rsidR="00C50585" w:rsidRPr="00EE038F" w:rsidRDefault="00AD3D9C"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4.4</w:t>
            </w: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6.1</w:t>
            </w:r>
          </w:p>
        </w:tc>
      </w:tr>
      <w:tr w:rsidR="00C50585" w:rsidRPr="00EE038F" w14:paraId="253B7635" w14:textId="77777777" w:rsidTr="007F6BCD">
        <w:trPr>
          <w:trHeight w:val="20"/>
          <w:jc w:val="center"/>
        </w:trPr>
        <w:tc>
          <w:tcPr>
            <w:tcW w:w="1995" w:type="pct"/>
            <w:tcBorders>
              <w:top w:val="nil"/>
              <w:left w:val="nil"/>
              <w:bottom w:val="single" w:sz="8" w:space="0" w:color="BDD6EE"/>
              <w:right w:val="nil"/>
            </w:tcBorders>
            <w:shd w:val="clear" w:color="000000" w:fill="FFFFFF"/>
            <w:noWrap/>
            <w:vAlign w:val="center"/>
            <w:hideMark/>
          </w:tcPr>
          <w:p w14:paraId="0C4A88DA" w14:textId="77777777" w:rsidR="00C50585" w:rsidRPr="00EE038F" w:rsidRDefault="00C50585" w:rsidP="00C253BF">
            <w:pPr>
              <w:spacing w:after="0" w:line="240" w:lineRule="auto"/>
              <w:jc w:val="both"/>
              <w:rPr>
                <w:rFonts w:ascii="Garamond" w:eastAsia="Times New Roman" w:hAnsi="Garamond"/>
                <w:color w:val="0D0D0D"/>
                <w:sz w:val="20"/>
                <w:szCs w:val="20"/>
                <w:lang w:eastAsia="en-GB"/>
              </w:rPr>
            </w:pPr>
            <w:r w:rsidRPr="00EE038F">
              <w:rPr>
                <w:rFonts w:ascii="Garamond" w:eastAsia="Times New Roman" w:hAnsi="Garamond"/>
                <w:color w:val="0D0D0D"/>
                <w:sz w:val="20"/>
                <w:szCs w:val="20"/>
                <w:lang w:eastAsia="en-GB"/>
              </w:rPr>
              <w:t>Raporti kredi ndaj depozita (fp)</w:t>
            </w:r>
          </w:p>
        </w:tc>
        <w:tc>
          <w:tcPr>
            <w:tcW w:w="474" w:type="pct"/>
            <w:tcBorders>
              <w:top w:val="nil"/>
              <w:left w:val="nil"/>
              <w:bottom w:val="single" w:sz="8" w:space="0" w:color="BDD6EE"/>
              <w:right w:val="nil"/>
            </w:tcBorders>
            <w:shd w:val="clear" w:color="000000" w:fill="FFFFFF"/>
            <w:noWrap/>
            <w:vAlign w:val="center"/>
            <w:hideMark/>
          </w:tcPr>
          <w:p w14:paraId="2270C03B"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54.9</w:t>
            </w:r>
          </w:p>
        </w:tc>
        <w:tc>
          <w:tcPr>
            <w:tcW w:w="366" w:type="pct"/>
            <w:tcBorders>
              <w:top w:val="nil"/>
              <w:left w:val="nil"/>
              <w:bottom w:val="single" w:sz="8" w:space="0" w:color="BDD6EE"/>
              <w:right w:val="nil"/>
            </w:tcBorders>
            <w:shd w:val="clear" w:color="000000" w:fill="FFFFFF"/>
            <w:noWrap/>
            <w:vAlign w:val="center"/>
            <w:hideMark/>
          </w:tcPr>
          <w:p w14:paraId="5A8B5147"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53.9</w:t>
            </w:r>
          </w:p>
        </w:tc>
        <w:tc>
          <w:tcPr>
            <w:tcW w:w="366" w:type="pct"/>
            <w:tcBorders>
              <w:top w:val="nil"/>
              <w:left w:val="nil"/>
              <w:bottom w:val="single" w:sz="8" w:space="0" w:color="BDD6EE"/>
              <w:right w:val="nil"/>
            </w:tcBorders>
            <w:shd w:val="clear" w:color="000000" w:fill="FFFFFF"/>
            <w:noWrap/>
            <w:vAlign w:val="center"/>
            <w:hideMark/>
          </w:tcPr>
          <w:p w14:paraId="2DB9F353"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55.6</w:t>
            </w:r>
          </w:p>
        </w:tc>
        <w:tc>
          <w:tcPr>
            <w:tcW w:w="366" w:type="pct"/>
            <w:tcBorders>
              <w:top w:val="nil"/>
              <w:left w:val="nil"/>
              <w:bottom w:val="single" w:sz="8" w:space="0" w:color="BDD6EE"/>
              <w:right w:val="nil"/>
            </w:tcBorders>
            <w:shd w:val="clear" w:color="000000" w:fill="FFFFFF"/>
            <w:noWrap/>
            <w:vAlign w:val="center"/>
            <w:hideMark/>
          </w:tcPr>
          <w:p w14:paraId="51B88B85"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54.7</w:t>
            </w:r>
          </w:p>
        </w:tc>
        <w:tc>
          <w:tcPr>
            <w:tcW w:w="366" w:type="pct"/>
            <w:tcBorders>
              <w:top w:val="nil"/>
              <w:left w:val="nil"/>
              <w:bottom w:val="single" w:sz="8" w:space="0" w:color="BDD6EE"/>
              <w:right w:val="nil"/>
            </w:tcBorders>
            <w:shd w:val="clear" w:color="000000" w:fill="FFFFFF"/>
            <w:noWrap/>
            <w:vAlign w:val="center"/>
            <w:hideMark/>
          </w:tcPr>
          <w:p w14:paraId="2FCD5B63"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54.8</w:t>
            </w:r>
          </w:p>
        </w:tc>
        <w:tc>
          <w:tcPr>
            <w:tcW w:w="366" w:type="pct"/>
            <w:tcBorders>
              <w:top w:val="nil"/>
              <w:left w:val="nil"/>
              <w:bottom w:val="single" w:sz="8" w:space="0" w:color="BDD6EE"/>
              <w:right w:val="nil"/>
            </w:tcBorders>
            <w:shd w:val="clear" w:color="000000" w:fill="FFFFFF"/>
            <w:noWrap/>
            <w:vAlign w:val="center"/>
            <w:hideMark/>
          </w:tcPr>
          <w:p w14:paraId="7437B848"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47.1</w:t>
            </w:r>
          </w:p>
        </w:tc>
        <w:tc>
          <w:tcPr>
            <w:tcW w:w="702" w:type="pct"/>
            <w:tcBorders>
              <w:top w:val="nil"/>
              <w:left w:val="nil"/>
              <w:bottom w:val="single" w:sz="8" w:space="0" w:color="BDD6EE"/>
              <w:right w:val="nil"/>
            </w:tcBorders>
            <w:shd w:val="clear" w:color="000000" w:fill="FFFFFF"/>
            <w:noWrap/>
            <w:vAlign w:val="center"/>
          </w:tcPr>
          <w:p w14:paraId="18A5A1C3" w14:textId="0DBBF822" w:rsidR="00C50585" w:rsidRPr="00EE038F" w:rsidRDefault="00AD3D9C"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46.1</w:t>
            </w: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49.1</w:t>
            </w:r>
          </w:p>
        </w:tc>
      </w:tr>
      <w:tr w:rsidR="00C50585" w:rsidRPr="00EE038F" w14:paraId="41A5FB27" w14:textId="77777777" w:rsidTr="007F6BCD">
        <w:trPr>
          <w:trHeight w:val="20"/>
          <w:jc w:val="center"/>
        </w:trPr>
        <w:tc>
          <w:tcPr>
            <w:tcW w:w="1995" w:type="pct"/>
            <w:tcBorders>
              <w:top w:val="nil"/>
              <w:left w:val="nil"/>
              <w:bottom w:val="single" w:sz="8" w:space="0" w:color="BDD6EE"/>
              <w:right w:val="nil"/>
            </w:tcBorders>
            <w:shd w:val="clear" w:color="000000" w:fill="FFFFFF"/>
            <w:noWrap/>
            <w:vAlign w:val="center"/>
            <w:hideMark/>
          </w:tcPr>
          <w:p w14:paraId="753283DA" w14:textId="77777777" w:rsidR="00C50585" w:rsidRPr="00EE038F" w:rsidRDefault="00C50585" w:rsidP="00C253BF">
            <w:pPr>
              <w:spacing w:after="0" w:line="240" w:lineRule="auto"/>
              <w:jc w:val="both"/>
              <w:rPr>
                <w:rFonts w:ascii="Garamond" w:eastAsia="Times New Roman" w:hAnsi="Garamond"/>
                <w:color w:val="0D0D0D"/>
                <w:sz w:val="20"/>
                <w:szCs w:val="20"/>
                <w:lang w:eastAsia="en-GB"/>
              </w:rPr>
            </w:pPr>
            <w:r w:rsidRPr="00EE038F">
              <w:rPr>
                <w:rFonts w:ascii="Garamond" w:eastAsia="Times New Roman" w:hAnsi="Garamond"/>
                <w:color w:val="0D0D0D"/>
                <w:sz w:val="20"/>
                <w:szCs w:val="20"/>
                <w:lang w:eastAsia="en-GB"/>
              </w:rPr>
              <w:t>Diferenca e normave të interesit (%, fp)</w:t>
            </w:r>
          </w:p>
        </w:tc>
        <w:tc>
          <w:tcPr>
            <w:tcW w:w="474" w:type="pct"/>
            <w:tcBorders>
              <w:top w:val="nil"/>
              <w:left w:val="nil"/>
              <w:bottom w:val="single" w:sz="8" w:space="0" w:color="BDD6EE"/>
              <w:right w:val="nil"/>
            </w:tcBorders>
            <w:shd w:val="clear" w:color="000000" w:fill="FFFFFF"/>
            <w:noWrap/>
            <w:vAlign w:val="center"/>
            <w:hideMark/>
          </w:tcPr>
          <w:p w14:paraId="2DF92FAB"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5.1</w:t>
            </w:r>
          </w:p>
        </w:tc>
        <w:tc>
          <w:tcPr>
            <w:tcW w:w="366" w:type="pct"/>
            <w:tcBorders>
              <w:top w:val="nil"/>
              <w:left w:val="nil"/>
              <w:bottom w:val="single" w:sz="8" w:space="0" w:color="BDD6EE"/>
              <w:right w:val="nil"/>
            </w:tcBorders>
            <w:shd w:val="clear" w:color="000000" w:fill="FFFFFF"/>
            <w:noWrap/>
            <w:vAlign w:val="center"/>
            <w:hideMark/>
          </w:tcPr>
          <w:p w14:paraId="4BA67522"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5.1</w:t>
            </w:r>
          </w:p>
        </w:tc>
        <w:tc>
          <w:tcPr>
            <w:tcW w:w="366" w:type="pct"/>
            <w:tcBorders>
              <w:top w:val="nil"/>
              <w:left w:val="nil"/>
              <w:bottom w:val="single" w:sz="8" w:space="0" w:color="BDD6EE"/>
              <w:right w:val="nil"/>
            </w:tcBorders>
            <w:shd w:val="clear" w:color="000000" w:fill="FFFFFF"/>
            <w:noWrap/>
            <w:vAlign w:val="center"/>
            <w:hideMark/>
          </w:tcPr>
          <w:p w14:paraId="4BE8742A"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w:t>
            </w:r>
          </w:p>
        </w:tc>
        <w:tc>
          <w:tcPr>
            <w:tcW w:w="366" w:type="pct"/>
            <w:tcBorders>
              <w:top w:val="nil"/>
              <w:left w:val="nil"/>
              <w:bottom w:val="single" w:sz="8" w:space="0" w:color="BDD6EE"/>
              <w:right w:val="nil"/>
            </w:tcBorders>
            <w:shd w:val="clear" w:color="000000" w:fill="FFFFFF"/>
            <w:noWrap/>
            <w:vAlign w:val="center"/>
            <w:hideMark/>
          </w:tcPr>
          <w:p w14:paraId="2FBD4ECB"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4.9</w:t>
            </w:r>
          </w:p>
        </w:tc>
        <w:tc>
          <w:tcPr>
            <w:tcW w:w="366" w:type="pct"/>
            <w:tcBorders>
              <w:top w:val="nil"/>
              <w:left w:val="nil"/>
              <w:bottom w:val="single" w:sz="8" w:space="0" w:color="BDD6EE"/>
              <w:right w:val="nil"/>
            </w:tcBorders>
            <w:shd w:val="clear" w:color="000000" w:fill="FFFFFF"/>
            <w:noWrap/>
            <w:vAlign w:val="center"/>
            <w:hideMark/>
          </w:tcPr>
          <w:p w14:paraId="0C848BEE"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4.1</w:t>
            </w:r>
          </w:p>
        </w:tc>
        <w:tc>
          <w:tcPr>
            <w:tcW w:w="366" w:type="pct"/>
            <w:tcBorders>
              <w:top w:val="nil"/>
              <w:left w:val="nil"/>
              <w:bottom w:val="single" w:sz="8" w:space="0" w:color="BDD6EE"/>
              <w:right w:val="nil"/>
            </w:tcBorders>
            <w:shd w:val="clear" w:color="000000" w:fill="FFFFFF"/>
            <w:noWrap/>
            <w:vAlign w:val="center"/>
            <w:hideMark/>
          </w:tcPr>
          <w:p w14:paraId="53F8D631"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4.5</w:t>
            </w:r>
          </w:p>
        </w:tc>
        <w:tc>
          <w:tcPr>
            <w:tcW w:w="702" w:type="pct"/>
            <w:tcBorders>
              <w:top w:val="nil"/>
              <w:left w:val="nil"/>
              <w:bottom w:val="single" w:sz="8" w:space="0" w:color="BDD6EE"/>
              <w:right w:val="nil"/>
            </w:tcBorders>
            <w:shd w:val="clear" w:color="000000" w:fill="FFFFFF"/>
            <w:noWrap/>
            <w:vAlign w:val="center"/>
          </w:tcPr>
          <w:p w14:paraId="0C3E0081" w14:textId="2B399047" w:rsidR="00C50585" w:rsidRPr="00EE038F" w:rsidRDefault="00AD3D9C"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5.3</w:t>
            </w: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5.0</w:t>
            </w:r>
          </w:p>
        </w:tc>
      </w:tr>
      <w:tr w:rsidR="00C50585" w:rsidRPr="00EE038F" w14:paraId="26047B90" w14:textId="77777777" w:rsidTr="007F6BCD">
        <w:trPr>
          <w:trHeight w:val="20"/>
          <w:jc w:val="center"/>
        </w:trPr>
        <w:tc>
          <w:tcPr>
            <w:tcW w:w="1995" w:type="pct"/>
            <w:tcBorders>
              <w:top w:val="nil"/>
              <w:left w:val="nil"/>
              <w:bottom w:val="single" w:sz="8" w:space="0" w:color="BDD6EE"/>
              <w:right w:val="nil"/>
            </w:tcBorders>
            <w:shd w:val="clear" w:color="000000" w:fill="FFFFFF"/>
            <w:noWrap/>
            <w:vAlign w:val="center"/>
            <w:hideMark/>
          </w:tcPr>
          <w:p w14:paraId="17A0DA0B" w14:textId="77777777" w:rsidR="00C50585" w:rsidRPr="00EE038F" w:rsidRDefault="00C50585" w:rsidP="00C253BF">
            <w:pPr>
              <w:spacing w:after="0" w:line="240" w:lineRule="auto"/>
              <w:jc w:val="both"/>
              <w:rPr>
                <w:rFonts w:ascii="Garamond" w:eastAsia="Times New Roman" w:hAnsi="Garamond"/>
                <w:color w:val="0D0D0D"/>
                <w:sz w:val="20"/>
                <w:szCs w:val="20"/>
                <w:lang w:eastAsia="en-GB"/>
              </w:rPr>
            </w:pPr>
            <w:r w:rsidRPr="00EE038F">
              <w:rPr>
                <w:rFonts w:ascii="Garamond" w:eastAsia="Times New Roman" w:hAnsi="Garamond"/>
                <w:color w:val="0D0D0D"/>
                <w:sz w:val="20"/>
                <w:szCs w:val="20"/>
                <w:lang w:eastAsia="en-GB"/>
              </w:rPr>
              <w:t>Kredi me normë të ndryshueshme ndaj totalit të kredisë (%)</w:t>
            </w:r>
          </w:p>
        </w:tc>
        <w:tc>
          <w:tcPr>
            <w:tcW w:w="474" w:type="pct"/>
            <w:tcBorders>
              <w:top w:val="nil"/>
              <w:left w:val="nil"/>
              <w:bottom w:val="single" w:sz="8" w:space="0" w:color="BDD6EE"/>
              <w:right w:val="nil"/>
            </w:tcBorders>
            <w:shd w:val="clear" w:color="000000" w:fill="FFFFFF"/>
            <w:noWrap/>
            <w:vAlign w:val="center"/>
            <w:hideMark/>
          </w:tcPr>
          <w:p w14:paraId="10D9876E"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72.6</w:t>
            </w:r>
          </w:p>
        </w:tc>
        <w:tc>
          <w:tcPr>
            <w:tcW w:w="366" w:type="pct"/>
            <w:tcBorders>
              <w:top w:val="nil"/>
              <w:left w:val="nil"/>
              <w:bottom w:val="single" w:sz="8" w:space="0" w:color="BDD6EE"/>
              <w:right w:val="nil"/>
            </w:tcBorders>
            <w:shd w:val="clear" w:color="000000" w:fill="FFFFFF"/>
            <w:noWrap/>
            <w:vAlign w:val="center"/>
            <w:hideMark/>
          </w:tcPr>
          <w:p w14:paraId="042D399E"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71.6</w:t>
            </w:r>
          </w:p>
        </w:tc>
        <w:tc>
          <w:tcPr>
            <w:tcW w:w="366" w:type="pct"/>
            <w:tcBorders>
              <w:top w:val="nil"/>
              <w:left w:val="nil"/>
              <w:bottom w:val="single" w:sz="8" w:space="0" w:color="BDD6EE"/>
              <w:right w:val="nil"/>
            </w:tcBorders>
            <w:shd w:val="clear" w:color="000000" w:fill="FFFFFF"/>
            <w:noWrap/>
            <w:vAlign w:val="center"/>
            <w:hideMark/>
          </w:tcPr>
          <w:p w14:paraId="56080DC8"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77.4</w:t>
            </w:r>
          </w:p>
        </w:tc>
        <w:tc>
          <w:tcPr>
            <w:tcW w:w="366" w:type="pct"/>
            <w:tcBorders>
              <w:top w:val="nil"/>
              <w:left w:val="nil"/>
              <w:bottom w:val="single" w:sz="8" w:space="0" w:color="BDD6EE"/>
              <w:right w:val="nil"/>
            </w:tcBorders>
            <w:shd w:val="clear" w:color="000000" w:fill="FFFFFF"/>
            <w:noWrap/>
            <w:vAlign w:val="center"/>
            <w:hideMark/>
          </w:tcPr>
          <w:p w14:paraId="0E059204"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73.8</w:t>
            </w:r>
          </w:p>
        </w:tc>
        <w:tc>
          <w:tcPr>
            <w:tcW w:w="366" w:type="pct"/>
            <w:tcBorders>
              <w:top w:val="nil"/>
              <w:left w:val="nil"/>
              <w:bottom w:val="single" w:sz="8" w:space="0" w:color="BDD6EE"/>
              <w:right w:val="nil"/>
            </w:tcBorders>
            <w:shd w:val="clear" w:color="000000" w:fill="FFFFFF"/>
            <w:noWrap/>
            <w:vAlign w:val="center"/>
            <w:hideMark/>
          </w:tcPr>
          <w:p w14:paraId="06BF6D90"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74.7</w:t>
            </w:r>
          </w:p>
        </w:tc>
        <w:tc>
          <w:tcPr>
            <w:tcW w:w="366" w:type="pct"/>
            <w:tcBorders>
              <w:top w:val="nil"/>
              <w:left w:val="nil"/>
              <w:bottom w:val="single" w:sz="8" w:space="0" w:color="BDD6EE"/>
              <w:right w:val="nil"/>
            </w:tcBorders>
            <w:shd w:val="clear" w:color="000000" w:fill="FFFFFF"/>
            <w:noWrap/>
            <w:vAlign w:val="center"/>
            <w:hideMark/>
          </w:tcPr>
          <w:p w14:paraId="78DAD313"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75.3</w:t>
            </w:r>
          </w:p>
        </w:tc>
        <w:tc>
          <w:tcPr>
            <w:tcW w:w="702" w:type="pct"/>
            <w:tcBorders>
              <w:top w:val="nil"/>
              <w:left w:val="nil"/>
              <w:bottom w:val="single" w:sz="8" w:space="0" w:color="BDD6EE"/>
              <w:right w:val="nil"/>
            </w:tcBorders>
            <w:shd w:val="clear" w:color="000000" w:fill="FFFFFF"/>
            <w:noWrap/>
            <w:vAlign w:val="center"/>
          </w:tcPr>
          <w:p w14:paraId="7DE06EB8" w14:textId="49CCCA6D" w:rsidR="00C50585" w:rsidRPr="00EE038F" w:rsidRDefault="00AD3D9C"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79.1</w:t>
            </w: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78.9</w:t>
            </w:r>
          </w:p>
        </w:tc>
      </w:tr>
      <w:tr w:rsidR="00C50585" w:rsidRPr="00EE038F" w14:paraId="7B066ED8" w14:textId="77777777" w:rsidTr="007F6BCD">
        <w:trPr>
          <w:trHeight w:val="20"/>
          <w:jc w:val="center"/>
        </w:trPr>
        <w:tc>
          <w:tcPr>
            <w:tcW w:w="5000" w:type="pct"/>
            <w:gridSpan w:val="8"/>
            <w:tcBorders>
              <w:top w:val="nil"/>
              <w:left w:val="nil"/>
              <w:bottom w:val="single" w:sz="8" w:space="0" w:color="BDD6EE"/>
            </w:tcBorders>
            <w:shd w:val="clear" w:color="000000" w:fill="FFFFFF"/>
            <w:noWrap/>
            <w:vAlign w:val="center"/>
            <w:hideMark/>
          </w:tcPr>
          <w:p w14:paraId="1504FA63" w14:textId="77777777" w:rsidR="00C50585" w:rsidRPr="00EE038F" w:rsidRDefault="00C50585" w:rsidP="00891B37">
            <w:pPr>
              <w:spacing w:after="0" w:line="240" w:lineRule="auto"/>
              <w:rPr>
                <w:rFonts w:ascii="Garamond" w:eastAsia="Times New Roman" w:hAnsi="Garamond"/>
                <w:color w:val="0D0D0D" w:themeColor="text1" w:themeTint="F2"/>
                <w:sz w:val="20"/>
                <w:szCs w:val="20"/>
                <w:lang w:eastAsia="en-GB"/>
              </w:rPr>
            </w:pPr>
            <w:r w:rsidRPr="00EE038F">
              <w:rPr>
                <w:rFonts w:ascii="Garamond" w:eastAsia="Times New Roman" w:hAnsi="Garamond"/>
                <w:b/>
                <w:bCs/>
                <w:color w:val="0D0D0D"/>
                <w:sz w:val="20"/>
                <w:szCs w:val="20"/>
                <w:lang w:eastAsia="en-GB"/>
              </w:rPr>
              <w:t>Treguesit e shëndetit financiar (fp, %)</w:t>
            </w:r>
          </w:p>
        </w:tc>
      </w:tr>
      <w:tr w:rsidR="00C50585" w:rsidRPr="00EE038F" w14:paraId="63C88D22" w14:textId="77777777" w:rsidTr="007F6BCD">
        <w:trPr>
          <w:trHeight w:val="20"/>
          <w:jc w:val="center"/>
        </w:trPr>
        <w:tc>
          <w:tcPr>
            <w:tcW w:w="1995" w:type="pct"/>
            <w:tcBorders>
              <w:top w:val="nil"/>
              <w:left w:val="nil"/>
              <w:bottom w:val="single" w:sz="8" w:space="0" w:color="BDD6EE"/>
              <w:right w:val="nil"/>
            </w:tcBorders>
            <w:shd w:val="clear" w:color="000000" w:fill="FFFFFF"/>
            <w:noWrap/>
            <w:vAlign w:val="center"/>
            <w:hideMark/>
          </w:tcPr>
          <w:p w14:paraId="40D74E3A" w14:textId="77777777" w:rsidR="00C50585" w:rsidRPr="00EE038F" w:rsidRDefault="00C50585" w:rsidP="00C253BF">
            <w:pPr>
              <w:spacing w:after="0" w:line="240" w:lineRule="auto"/>
              <w:jc w:val="both"/>
              <w:rPr>
                <w:rFonts w:ascii="Garamond" w:eastAsia="Times New Roman" w:hAnsi="Garamond"/>
                <w:color w:val="0D0D0D"/>
                <w:sz w:val="20"/>
                <w:szCs w:val="20"/>
                <w:lang w:eastAsia="en-GB"/>
              </w:rPr>
            </w:pPr>
            <w:r w:rsidRPr="00EE038F">
              <w:rPr>
                <w:rFonts w:ascii="Times New Roman" w:eastAsia="Times New Roman" w:hAnsi="Times New Roman" w:cs="Times New Roman"/>
                <w:color w:val="0D0D0D"/>
                <w:sz w:val="20"/>
                <w:szCs w:val="20"/>
                <w:lang w:eastAsia="en-GB"/>
              </w:rPr>
              <w:t>˗</w:t>
            </w:r>
            <w:r w:rsidRPr="00EE038F">
              <w:rPr>
                <w:rFonts w:ascii="Garamond" w:eastAsia="Times New Roman" w:hAnsi="Garamond"/>
                <w:color w:val="0D0D0D"/>
                <w:sz w:val="20"/>
                <w:szCs w:val="20"/>
                <w:lang w:eastAsia="en-GB"/>
              </w:rPr>
              <w:t xml:space="preserve"> raporti i huave me probleme ndaj totalit t</w:t>
            </w:r>
            <w:r w:rsidRPr="00EE038F">
              <w:rPr>
                <w:rFonts w:ascii="Garamond" w:eastAsia="Times New Roman" w:hAnsi="Garamond" w:cs="Garamond"/>
                <w:color w:val="0D0D0D"/>
                <w:sz w:val="20"/>
                <w:szCs w:val="20"/>
                <w:lang w:eastAsia="en-GB"/>
              </w:rPr>
              <w:t>ë</w:t>
            </w:r>
            <w:r w:rsidRPr="00EE038F">
              <w:rPr>
                <w:rFonts w:ascii="Garamond" w:eastAsia="Times New Roman" w:hAnsi="Garamond"/>
                <w:color w:val="0D0D0D"/>
                <w:sz w:val="20"/>
                <w:szCs w:val="20"/>
                <w:lang w:eastAsia="en-GB"/>
              </w:rPr>
              <w:t xml:space="preserve"> huave </w:t>
            </w:r>
          </w:p>
        </w:tc>
        <w:tc>
          <w:tcPr>
            <w:tcW w:w="474" w:type="pct"/>
            <w:tcBorders>
              <w:top w:val="nil"/>
              <w:left w:val="nil"/>
              <w:bottom w:val="single" w:sz="8" w:space="0" w:color="BDD6EE"/>
              <w:right w:val="nil"/>
            </w:tcBorders>
            <w:shd w:val="clear" w:color="000000" w:fill="FFFFFF"/>
            <w:noWrap/>
            <w:vAlign w:val="center"/>
            <w:hideMark/>
          </w:tcPr>
          <w:p w14:paraId="1EE0E75B"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13.2</w:t>
            </w:r>
          </w:p>
        </w:tc>
        <w:tc>
          <w:tcPr>
            <w:tcW w:w="366" w:type="pct"/>
            <w:tcBorders>
              <w:top w:val="nil"/>
              <w:left w:val="nil"/>
              <w:bottom w:val="single" w:sz="8" w:space="0" w:color="BDD6EE"/>
              <w:right w:val="nil"/>
            </w:tcBorders>
            <w:shd w:val="clear" w:color="000000" w:fill="FFFFFF"/>
            <w:noWrap/>
            <w:vAlign w:val="center"/>
            <w:hideMark/>
          </w:tcPr>
          <w:p w14:paraId="35185132"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11.1</w:t>
            </w:r>
          </w:p>
        </w:tc>
        <w:tc>
          <w:tcPr>
            <w:tcW w:w="366" w:type="pct"/>
            <w:tcBorders>
              <w:top w:val="nil"/>
              <w:left w:val="nil"/>
              <w:bottom w:val="single" w:sz="8" w:space="0" w:color="BDD6EE"/>
              <w:right w:val="nil"/>
            </w:tcBorders>
            <w:shd w:val="clear" w:color="000000" w:fill="FFFFFF"/>
            <w:noWrap/>
            <w:vAlign w:val="center"/>
            <w:hideMark/>
          </w:tcPr>
          <w:p w14:paraId="00EFBB6B"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8.4</w:t>
            </w:r>
          </w:p>
        </w:tc>
        <w:tc>
          <w:tcPr>
            <w:tcW w:w="366" w:type="pct"/>
            <w:tcBorders>
              <w:top w:val="nil"/>
              <w:left w:val="nil"/>
              <w:bottom w:val="single" w:sz="8" w:space="0" w:color="BDD6EE"/>
              <w:right w:val="nil"/>
            </w:tcBorders>
            <w:shd w:val="clear" w:color="000000" w:fill="FFFFFF"/>
            <w:noWrap/>
            <w:vAlign w:val="center"/>
            <w:hideMark/>
          </w:tcPr>
          <w:p w14:paraId="07F59998"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8.1</w:t>
            </w:r>
          </w:p>
        </w:tc>
        <w:tc>
          <w:tcPr>
            <w:tcW w:w="366" w:type="pct"/>
            <w:tcBorders>
              <w:top w:val="nil"/>
              <w:left w:val="nil"/>
              <w:bottom w:val="single" w:sz="8" w:space="0" w:color="BDD6EE"/>
              <w:right w:val="nil"/>
            </w:tcBorders>
            <w:shd w:val="clear" w:color="000000" w:fill="FFFFFF"/>
            <w:noWrap/>
            <w:vAlign w:val="center"/>
            <w:hideMark/>
          </w:tcPr>
          <w:p w14:paraId="741205A7" w14:textId="73884501"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5.7</w:t>
            </w:r>
            <w:r w:rsidR="00AD3D9C" w:rsidRPr="00EE038F">
              <w:rPr>
                <w:rFonts w:ascii="Garamond" w:eastAsia="Times New Roman" w:hAnsi="Garamond"/>
                <w:color w:val="0D0D0D" w:themeColor="text1" w:themeTint="F2"/>
                <w:sz w:val="20"/>
                <w:szCs w:val="20"/>
                <w:lang w:eastAsia="en-GB"/>
              </w:rPr>
              <w:t xml:space="preserve"> </w:t>
            </w:r>
          </w:p>
        </w:tc>
        <w:tc>
          <w:tcPr>
            <w:tcW w:w="366" w:type="pct"/>
            <w:tcBorders>
              <w:top w:val="nil"/>
              <w:left w:val="nil"/>
              <w:bottom w:val="single" w:sz="8" w:space="0" w:color="BDD6EE"/>
              <w:right w:val="nil"/>
            </w:tcBorders>
            <w:shd w:val="clear" w:color="000000" w:fill="FFFFFF"/>
            <w:noWrap/>
            <w:vAlign w:val="center"/>
            <w:hideMark/>
          </w:tcPr>
          <w:p w14:paraId="726FCE2A" w14:textId="2EF74933" w:rsidR="00C50585" w:rsidRPr="00EE038F" w:rsidRDefault="00AD3D9C"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5.0</w:t>
            </w:r>
          </w:p>
        </w:tc>
        <w:tc>
          <w:tcPr>
            <w:tcW w:w="702" w:type="pct"/>
            <w:tcBorders>
              <w:top w:val="nil"/>
              <w:left w:val="nil"/>
              <w:bottom w:val="single" w:sz="8" w:space="0" w:color="BDD6EE"/>
              <w:right w:val="nil"/>
            </w:tcBorders>
            <w:shd w:val="clear" w:color="000000" w:fill="FFFFFF"/>
            <w:noWrap/>
            <w:vAlign w:val="center"/>
          </w:tcPr>
          <w:p w14:paraId="46451878" w14:textId="16564D26" w:rsidR="00C50585" w:rsidRPr="00EE038F" w:rsidRDefault="00AD3D9C"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4.7</w:t>
            </w: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4.6</w:t>
            </w:r>
          </w:p>
        </w:tc>
      </w:tr>
      <w:tr w:rsidR="00C50585" w:rsidRPr="00EE038F" w14:paraId="5033BA61" w14:textId="77777777" w:rsidTr="007F6BCD">
        <w:trPr>
          <w:trHeight w:val="20"/>
          <w:jc w:val="center"/>
        </w:trPr>
        <w:tc>
          <w:tcPr>
            <w:tcW w:w="1995" w:type="pct"/>
            <w:tcBorders>
              <w:top w:val="nil"/>
              <w:left w:val="nil"/>
              <w:bottom w:val="single" w:sz="8" w:space="0" w:color="BDD6EE"/>
              <w:right w:val="nil"/>
            </w:tcBorders>
            <w:shd w:val="clear" w:color="000000" w:fill="FFFFFF"/>
            <w:noWrap/>
            <w:vAlign w:val="center"/>
            <w:hideMark/>
          </w:tcPr>
          <w:p w14:paraId="1FDB2D84" w14:textId="77777777" w:rsidR="00C50585" w:rsidRPr="00EE038F" w:rsidRDefault="00C50585" w:rsidP="00C253BF">
            <w:pPr>
              <w:spacing w:after="0" w:line="240" w:lineRule="auto"/>
              <w:jc w:val="both"/>
              <w:rPr>
                <w:rFonts w:ascii="Garamond" w:eastAsia="Times New Roman" w:hAnsi="Garamond"/>
                <w:color w:val="0D0D0D"/>
                <w:sz w:val="20"/>
                <w:szCs w:val="20"/>
                <w:lang w:eastAsia="en-GB"/>
              </w:rPr>
            </w:pPr>
            <w:r w:rsidRPr="00EE038F">
              <w:rPr>
                <w:rFonts w:ascii="Times New Roman" w:eastAsia="Times New Roman" w:hAnsi="Times New Roman" w:cs="Times New Roman"/>
                <w:color w:val="0D0D0D"/>
                <w:sz w:val="20"/>
                <w:szCs w:val="20"/>
                <w:lang w:eastAsia="en-GB"/>
              </w:rPr>
              <w:t>˗</w:t>
            </w:r>
            <w:r w:rsidRPr="00EE038F">
              <w:rPr>
                <w:rFonts w:ascii="Garamond" w:eastAsia="Times New Roman" w:hAnsi="Garamond"/>
                <w:color w:val="0D0D0D"/>
                <w:sz w:val="20"/>
                <w:szCs w:val="20"/>
                <w:lang w:eastAsia="en-GB"/>
              </w:rPr>
              <w:t xml:space="preserve"> kapitali rregullator ndaj aktiveve t</w:t>
            </w:r>
            <w:r w:rsidRPr="00EE038F">
              <w:rPr>
                <w:rFonts w:ascii="Garamond" w:eastAsia="Times New Roman" w:hAnsi="Garamond" w:cs="Garamond"/>
                <w:color w:val="0D0D0D"/>
                <w:sz w:val="20"/>
                <w:szCs w:val="20"/>
                <w:lang w:eastAsia="en-GB"/>
              </w:rPr>
              <w:t>ë</w:t>
            </w:r>
            <w:r w:rsidRPr="00EE038F">
              <w:rPr>
                <w:rFonts w:ascii="Garamond" w:eastAsia="Times New Roman" w:hAnsi="Garamond"/>
                <w:color w:val="0D0D0D"/>
                <w:sz w:val="20"/>
                <w:szCs w:val="20"/>
                <w:lang w:eastAsia="en-GB"/>
              </w:rPr>
              <w:t xml:space="preserve"> peshuara me rrezik</w:t>
            </w:r>
          </w:p>
        </w:tc>
        <w:tc>
          <w:tcPr>
            <w:tcW w:w="474" w:type="pct"/>
            <w:tcBorders>
              <w:top w:val="nil"/>
              <w:left w:val="nil"/>
              <w:bottom w:val="single" w:sz="8" w:space="0" w:color="BDD6EE"/>
              <w:right w:val="nil"/>
            </w:tcBorders>
            <w:shd w:val="clear" w:color="000000" w:fill="FFFFFF"/>
            <w:noWrap/>
            <w:vAlign w:val="center"/>
            <w:hideMark/>
          </w:tcPr>
          <w:p w14:paraId="366DE477"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17</w:t>
            </w:r>
          </w:p>
        </w:tc>
        <w:tc>
          <w:tcPr>
            <w:tcW w:w="366" w:type="pct"/>
            <w:tcBorders>
              <w:top w:val="nil"/>
              <w:left w:val="nil"/>
              <w:bottom w:val="single" w:sz="8" w:space="0" w:color="BDD6EE"/>
              <w:right w:val="nil"/>
            </w:tcBorders>
            <w:shd w:val="clear" w:color="000000" w:fill="FFFFFF"/>
            <w:noWrap/>
            <w:vAlign w:val="center"/>
            <w:hideMark/>
          </w:tcPr>
          <w:p w14:paraId="30E275F5"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18.7</w:t>
            </w:r>
          </w:p>
        </w:tc>
        <w:tc>
          <w:tcPr>
            <w:tcW w:w="366" w:type="pct"/>
            <w:tcBorders>
              <w:top w:val="nil"/>
              <w:left w:val="nil"/>
              <w:bottom w:val="single" w:sz="8" w:space="0" w:color="BDD6EE"/>
              <w:right w:val="nil"/>
            </w:tcBorders>
            <w:shd w:val="clear" w:color="000000" w:fill="FFFFFF"/>
            <w:noWrap/>
            <w:vAlign w:val="center"/>
            <w:hideMark/>
          </w:tcPr>
          <w:p w14:paraId="7AD411D7"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18.7</w:t>
            </w:r>
          </w:p>
        </w:tc>
        <w:tc>
          <w:tcPr>
            <w:tcW w:w="366" w:type="pct"/>
            <w:tcBorders>
              <w:top w:val="nil"/>
              <w:left w:val="nil"/>
              <w:bottom w:val="single" w:sz="8" w:space="0" w:color="BDD6EE"/>
              <w:right w:val="nil"/>
            </w:tcBorders>
            <w:shd w:val="clear" w:color="000000" w:fill="FFFFFF"/>
            <w:noWrap/>
            <w:vAlign w:val="center"/>
            <w:hideMark/>
          </w:tcPr>
          <w:p w14:paraId="34BD5D24"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18.7</w:t>
            </w:r>
          </w:p>
        </w:tc>
        <w:tc>
          <w:tcPr>
            <w:tcW w:w="366" w:type="pct"/>
            <w:tcBorders>
              <w:top w:val="nil"/>
              <w:left w:val="nil"/>
              <w:bottom w:val="single" w:sz="8" w:space="0" w:color="BDD6EE"/>
              <w:right w:val="nil"/>
            </w:tcBorders>
            <w:shd w:val="clear" w:color="000000" w:fill="FFFFFF"/>
            <w:noWrap/>
            <w:vAlign w:val="center"/>
            <w:hideMark/>
          </w:tcPr>
          <w:p w14:paraId="5FAB079E"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18.5</w:t>
            </w:r>
          </w:p>
        </w:tc>
        <w:tc>
          <w:tcPr>
            <w:tcW w:w="366" w:type="pct"/>
            <w:tcBorders>
              <w:top w:val="nil"/>
              <w:left w:val="nil"/>
              <w:bottom w:val="single" w:sz="8" w:space="0" w:color="BDD6EE"/>
              <w:right w:val="nil"/>
            </w:tcBorders>
            <w:shd w:val="clear" w:color="000000" w:fill="FFFFFF"/>
            <w:noWrap/>
            <w:vAlign w:val="center"/>
            <w:hideMark/>
          </w:tcPr>
          <w:p w14:paraId="3F501490"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18.8</w:t>
            </w:r>
          </w:p>
        </w:tc>
        <w:tc>
          <w:tcPr>
            <w:tcW w:w="702" w:type="pct"/>
            <w:tcBorders>
              <w:top w:val="nil"/>
              <w:left w:val="nil"/>
              <w:bottom w:val="single" w:sz="8" w:space="0" w:color="BDD6EE"/>
              <w:right w:val="nil"/>
            </w:tcBorders>
            <w:shd w:val="clear" w:color="000000" w:fill="FFFFFF"/>
            <w:noWrap/>
            <w:vAlign w:val="center"/>
          </w:tcPr>
          <w:p w14:paraId="7E319BD2" w14:textId="76AE50C0" w:rsidR="00C50585" w:rsidRPr="00EE038F" w:rsidRDefault="00AD3D9C"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19.9</w:t>
            </w: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20.2</w:t>
            </w:r>
          </w:p>
        </w:tc>
      </w:tr>
      <w:tr w:rsidR="00C50585" w:rsidRPr="00EE038F" w14:paraId="16B64076" w14:textId="77777777" w:rsidTr="007F6BCD">
        <w:trPr>
          <w:trHeight w:val="20"/>
          <w:jc w:val="center"/>
        </w:trPr>
        <w:tc>
          <w:tcPr>
            <w:tcW w:w="1995" w:type="pct"/>
            <w:tcBorders>
              <w:top w:val="nil"/>
              <w:left w:val="nil"/>
              <w:bottom w:val="single" w:sz="8" w:space="0" w:color="BDD6EE"/>
              <w:right w:val="nil"/>
            </w:tcBorders>
            <w:shd w:val="clear" w:color="000000" w:fill="FFFFFF"/>
            <w:noWrap/>
            <w:vAlign w:val="center"/>
            <w:hideMark/>
          </w:tcPr>
          <w:p w14:paraId="6B81F513" w14:textId="77777777" w:rsidR="00C50585" w:rsidRPr="00EE038F" w:rsidRDefault="00C50585" w:rsidP="00C253BF">
            <w:pPr>
              <w:spacing w:after="0" w:line="240" w:lineRule="auto"/>
              <w:jc w:val="both"/>
              <w:rPr>
                <w:rFonts w:ascii="Garamond" w:eastAsia="Times New Roman" w:hAnsi="Garamond"/>
                <w:color w:val="0D0D0D"/>
                <w:sz w:val="20"/>
                <w:szCs w:val="20"/>
                <w:lang w:eastAsia="en-GB"/>
              </w:rPr>
            </w:pPr>
            <w:r w:rsidRPr="00EE038F">
              <w:rPr>
                <w:rFonts w:ascii="Times New Roman" w:eastAsia="Times New Roman" w:hAnsi="Times New Roman" w:cs="Times New Roman"/>
                <w:color w:val="0D0D0D"/>
                <w:sz w:val="20"/>
                <w:szCs w:val="20"/>
                <w:lang w:eastAsia="en-GB"/>
              </w:rPr>
              <w:t>˗</w:t>
            </w:r>
            <w:r w:rsidRPr="00EE038F">
              <w:rPr>
                <w:rFonts w:ascii="Garamond" w:eastAsia="Times New Roman" w:hAnsi="Garamond"/>
                <w:color w:val="0D0D0D"/>
                <w:sz w:val="20"/>
                <w:szCs w:val="20"/>
                <w:lang w:eastAsia="en-GB"/>
              </w:rPr>
              <w:t xml:space="preserve"> aktive likuide ndaj totalit t</w:t>
            </w:r>
            <w:r w:rsidRPr="00EE038F">
              <w:rPr>
                <w:rFonts w:ascii="Garamond" w:eastAsia="Times New Roman" w:hAnsi="Garamond" w:cs="Garamond"/>
                <w:color w:val="0D0D0D"/>
                <w:sz w:val="20"/>
                <w:szCs w:val="20"/>
                <w:lang w:eastAsia="en-GB"/>
              </w:rPr>
              <w:t>ë</w:t>
            </w:r>
            <w:r w:rsidRPr="00EE038F">
              <w:rPr>
                <w:rFonts w:ascii="Garamond" w:eastAsia="Times New Roman" w:hAnsi="Garamond"/>
                <w:color w:val="0D0D0D"/>
                <w:sz w:val="20"/>
                <w:szCs w:val="20"/>
                <w:lang w:eastAsia="en-GB"/>
              </w:rPr>
              <w:t xml:space="preserve"> aktiveve</w:t>
            </w:r>
          </w:p>
        </w:tc>
        <w:tc>
          <w:tcPr>
            <w:tcW w:w="474" w:type="pct"/>
            <w:tcBorders>
              <w:top w:val="nil"/>
              <w:left w:val="nil"/>
              <w:bottom w:val="single" w:sz="8" w:space="0" w:color="BDD6EE"/>
              <w:right w:val="nil"/>
            </w:tcBorders>
            <w:shd w:val="clear" w:color="000000" w:fill="FFFFFF"/>
            <w:noWrap/>
            <w:vAlign w:val="center"/>
            <w:hideMark/>
          </w:tcPr>
          <w:p w14:paraId="73A3D1EF"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30.2</w:t>
            </w:r>
          </w:p>
        </w:tc>
        <w:tc>
          <w:tcPr>
            <w:tcW w:w="366" w:type="pct"/>
            <w:tcBorders>
              <w:top w:val="nil"/>
              <w:left w:val="nil"/>
              <w:bottom w:val="single" w:sz="8" w:space="0" w:color="BDD6EE"/>
              <w:right w:val="nil"/>
            </w:tcBorders>
            <w:shd w:val="clear" w:color="000000" w:fill="FFFFFF"/>
            <w:noWrap/>
            <w:vAlign w:val="center"/>
            <w:hideMark/>
          </w:tcPr>
          <w:p w14:paraId="6EB9BDB9"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34.2</w:t>
            </w:r>
          </w:p>
        </w:tc>
        <w:tc>
          <w:tcPr>
            <w:tcW w:w="366" w:type="pct"/>
            <w:tcBorders>
              <w:top w:val="nil"/>
              <w:left w:val="nil"/>
              <w:bottom w:val="single" w:sz="8" w:space="0" w:color="BDD6EE"/>
              <w:right w:val="nil"/>
            </w:tcBorders>
            <w:shd w:val="clear" w:color="000000" w:fill="FFFFFF"/>
            <w:noWrap/>
            <w:vAlign w:val="center"/>
            <w:hideMark/>
          </w:tcPr>
          <w:p w14:paraId="66B064CE"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35.7</w:t>
            </w:r>
          </w:p>
        </w:tc>
        <w:tc>
          <w:tcPr>
            <w:tcW w:w="366" w:type="pct"/>
            <w:tcBorders>
              <w:top w:val="nil"/>
              <w:left w:val="nil"/>
              <w:bottom w:val="single" w:sz="8" w:space="0" w:color="BDD6EE"/>
              <w:right w:val="nil"/>
            </w:tcBorders>
            <w:shd w:val="clear" w:color="000000" w:fill="FFFFFF"/>
            <w:noWrap/>
            <w:vAlign w:val="center"/>
            <w:hideMark/>
          </w:tcPr>
          <w:p w14:paraId="181823C1"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34.8</w:t>
            </w:r>
          </w:p>
        </w:tc>
        <w:tc>
          <w:tcPr>
            <w:tcW w:w="366" w:type="pct"/>
            <w:tcBorders>
              <w:top w:val="nil"/>
              <w:left w:val="nil"/>
              <w:bottom w:val="single" w:sz="8" w:space="0" w:color="BDD6EE"/>
              <w:right w:val="nil"/>
            </w:tcBorders>
            <w:shd w:val="clear" w:color="000000" w:fill="FFFFFF"/>
            <w:noWrap/>
            <w:vAlign w:val="center"/>
            <w:hideMark/>
          </w:tcPr>
          <w:p w14:paraId="712072AF" w14:textId="6364D38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33.3</w:t>
            </w:r>
            <w:r w:rsidR="00AD3D9C" w:rsidRPr="00EE038F">
              <w:rPr>
                <w:rFonts w:ascii="Garamond" w:eastAsia="Times New Roman" w:hAnsi="Garamond"/>
                <w:color w:val="0D0D0D" w:themeColor="text1" w:themeTint="F2"/>
                <w:sz w:val="20"/>
                <w:szCs w:val="20"/>
                <w:lang w:eastAsia="en-GB"/>
              </w:rPr>
              <w:t xml:space="preserve"> </w:t>
            </w:r>
          </w:p>
        </w:tc>
        <w:tc>
          <w:tcPr>
            <w:tcW w:w="366" w:type="pct"/>
            <w:tcBorders>
              <w:top w:val="nil"/>
              <w:left w:val="nil"/>
              <w:bottom w:val="single" w:sz="8" w:space="0" w:color="BDD6EE"/>
              <w:right w:val="nil"/>
            </w:tcBorders>
            <w:shd w:val="clear" w:color="000000" w:fill="FFFFFF"/>
            <w:noWrap/>
            <w:vAlign w:val="center"/>
            <w:hideMark/>
          </w:tcPr>
          <w:p w14:paraId="04DCA009"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29.6</w:t>
            </w:r>
          </w:p>
        </w:tc>
        <w:tc>
          <w:tcPr>
            <w:tcW w:w="702" w:type="pct"/>
            <w:tcBorders>
              <w:top w:val="nil"/>
              <w:left w:val="nil"/>
              <w:bottom w:val="single" w:sz="8" w:space="0" w:color="BDD6EE"/>
              <w:right w:val="nil"/>
            </w:tcBorders>
            <w:shd w:val="clear" w:color="000000" w:fill="FFFFFF"/>
            <w:noWrap/>
            <w:vAlign w:val="center"/>
          </w:tcPr>
          <w:p w14:paraId="1EF42182" w14:textId="4FC5CF10" w:rsidR="00C50585" w:rsidRPr="00EE038F" w:rsidRDefault="00AD3D9C"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30.8</w:t>
            </w: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29.5</w:t>
            </w:r>
          </w:p>
        </w:tc>
      </w:tr>
      <w:tr w:rsidR="00C50585" w:rsidRPr="00EE038F" w14:paraId="54219F09" w14:textId="77777777" w:rsidTr="007F6BCD">
        <w:trPr>
          <w:trHeight w:val="20"/>
          <w:jc w:val="center"/>
        </w:trPr>
        <w:tc>
          <w:tcPr>
            <w:tcW w:w="1995" w:type="pct"/>
            <w:tcBorders>
              <w:top w:val="nil"/>
              <w:left w:val="nil"/>
              <w:bottom w:val="single" w:sz="8" w:space="0" w:color="BDD6EE"/>
              <w:right w:val="nil"/>
            </w:tcBorders>
            <w:shd w:val="clear" w:color="000000" w:fill="FFFFFF"/>
            <w:noWrap/>
            <w:vAlign w:val="center"/>
            <w:hideMark/>
          </w:tcPr>
          <w:p w14:paraId="68D3A63D" w14:textId="51136C23" w:rsidR="00C50585" w:rsidRPr="00EE038F" w:rsidRDefault="00C50585" w:rsidP="00C253BF">
            <w:pPr>
              <w:spacing w:after="0" w:line="240" w:lineRule="auto"/>
              <w:jc w:val="both"/>
              <w:rPr>
                <w:rFonts w:ascii="Garamond" w:eastAsia="Times New Roman" w:hAnsi="Garamond"/>
                <w:color w:val="0D0D0D"/>
                <w:sz w:val="20"/>
                <w:szCs w:val="20"/>
                <w:lang w:eastAsia="en-GB"/>
              </w:rPr>
            </w:pPr>
            <w:r w:rsidRPr="00EE038F">
              <w:rPr>
                <w:rFonts w:ascii="Times New Roman" w:eastAsia="Times New Roman" w:hAnsi="Times New Roman" w:cs="Times New Roman"/>
                <w:color w:val="0D0D0D"/>
                <w:sz w:val="20"/>
                <w:szCs w:val="20"/>
                <w:lang w:eastAsia="en-GB"/>
              </w:rPr>
              <w:t>˗</w:t>
            </w:r>
            <w:r w:rsidR="0015517A" w:rsidRPr="00EE038F">
              <w:rPr>
                <w:rFonts w:ascii="Times New Roman" w:eastAsia="Times New Roman" w:hAnsi="Times New Roman" w:cs="Times New Roman"/>
                <w:color w:val="0D0D0D"/>
                <w:sz w:val="20"/>
                <w:szCs w:val="20"/>
                <w:lang w:eastAsia="en-GB"/>
              </w:rPr>
              <w:t xml:space="preserve"> </w:t>
            </w:r>
            <w:r w:rsidRPr="00EE038F">
              <w:rPr>
                <w:rFonts w:ascii="Garamond" w:eastAsia="Times New Roman" w:hAnsi="Garamond"/>
                <w:color w:val="0D0D0D"/>
                <w:sz w:val="20"/>
                <w:szCs w:val="20"/>
                <w:lang w:eastAsia="en-GB"/>
              </w:rPr>
              <w:t>kthimi nga kapitali</w:t>
            </w:r>
          </w:p>
        </w:tc>
        <w:tc>
          <w:tcPr>
            <w:tcW w:w="474" w:type="pct"/>
            <w:tcBorders>
              <w:top w:val="nil"/>
              <w:left w:val="nil"/>
              <w:bottom w:val="single" w:sz="8" w:space="0" w:color="BDD6EE"/>
              <w:right w:val="nil"/>
            </w:tcBorders>
            <w:shd w:val="clear" w:color="000000" w:fill="FFFFFF"/>
            <w:noWrap/>
            <w:vAlign w:val="center"/>
            <w:hideMark/>
          </w:tcPr>
          <w:p w14:paraId="1A9D54EB"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15.7</w:t>
            </w:r>
          </w:p>
        </w:tc>
        <w:tc>
          <w:tcPr>
            <w:tcW w:w="366" w:type="pct"/>
            <w:tcBorders>
              <w:top w:val="nil"/>
              <w:left w:val="nil"/>
              <w:bottom w:val="single" w:sz="8" w:space="0" w:color="BDD6EE"/>
              <w:right w:val="nil"/>
            </w:tcBorders>
            <w:shd w:val="clear" w:color="000000" w:fill="FFFFFF"/>
            <w:noWrap/>
            <w:vAlign w:val="center"/>
            <w:hideMark/>
          </w:tcPr>
          <w:p w14:paraId="20CF7E49"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13</w:t>
            </w:r>
          </w:p>
        </w:tc>
        <w:tc>
          <w:tcPr>
            <w:tcW w:w="366" w:type="pct"/>
            <w:tcBorders>
              <w:top w:val="nil"/>
              <w:left w:val="nil"/>
              <w:bottom w:val="single" w:sz="8" w:space="0" w:color="BDD6EE"/>
              <w:right w:val="nil"/>
            </w:tcBorders>
            <w:shd w:val="clear" w:color="000000" w:fill="FFFFFF"/>
            <w:noWrap/>
            <w:vAlign w:val="center"/>
            <w:hideMark/>
          </w:tcPr>
          <w:p w14:paraId="532C71DD"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13.5</w:t>
            </w:r>
          </w:p>
        </w:tc>
        <w:tc>
          <w:tcPr>
            <w:tcW w:w="366" w:type="pct"/>
            <w:tcBorders>
              <w:top w:val="nil"/>
              <w:left w:val="nil"/>
              <w:bottom w:val="single" w:sz="8" w:space="0" w:color="BDD6EE"/>
              <w:right w:val="nil"/>
            </w:tcBorders>
            <w:shd w:val="clear" w:color="000000" w:fill="FFFFFF"/>
            <w:noWrap/>
            <w:vAlign w:val="center"/>
            <w:hideMark/>
          </w:tcPr>
          <w:p w14:paraId="6B18FFBA"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10.7</w:t>
            </w:r>
          </w:p>
        </w:tc>
        <w:tc>
          <w:tcPr>
            <w:tcW w:w="366" w:type="pct"/>
            <w:tcBorders>
              <w:top w:val="nil"/>
              <w:left w:val="nil"/>
              <w:bottom w:val="single" w:sz="8" w:space="0" w:color="BDD6EE"/>
              <w:right w:val="nil"/>
            </w:tcBorders>
            <w:shd w:val="clear" w:color="000000" w:fill="FFFFFF"/>
            <w:noWrap/>
            <w:vAlign w:val="center"/>
            <w:hideMark/>
          </w:tcPr>
          <w:p w14:paraId="3917779C"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12.9</w:t>
            </w:r>
          </w:p>
        </w:tc>
        <w:tc>
          <w:tcPr>
            <w:tcW w:w="366" w:type="pct"/>
            <w:tcBorders>
              <w:top w:val="nil"/>
              <w:left w:val="nil"/>
              <w:bottom w:val="single" w:sz="8" w:space="0" w:color="BDD6EE"/>
              <w:right w:val="nil"/>
            </w:tcBorders>
            <w:shd w:val="clear" w:color="000000" w:fill="FFFFFF"/>
            <w:noWrap/>
            <w:vAlign w:val="center"/>
            <w:hideMark/>
          </w:tcPr>
          <w:p w14:paraId="54546B05" w14:textId="49297B99"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12.3</w:t>
            </w:r>
            <w:r w:rsidR="00AD3D9C" w:rsidRPr="00EE038F">
              <w:rPr>
                <w:rFonts w:ascii="Garamond" w:eastAsia="Times New Roman" w:hAnsi="Garamond"/>
                <w:color w:val="0D0D0D" w:themeColor="text1" w:themeTint="F2"/>
                <w:sz w:val="20"/>
                <w:szCs w:val="20"/>
                <w:lang w:eastAsia="en-GB"/>
              </w:rPr>
              <w:t xml:space="preserve"> </w:t>
            </w:r>
          </w:p>
        </w:tc>
        <w:tc>
          <w:tcPr>
            <w:tcW w:w="702" w:type="pct"/>
            <w:tcBorders>
              <w:top w:val="nil"/>
              <w:left w:val="nil"/>
              <w:bottom w:val="single" w:sz="8" w:space="0" w:color="BDD6EE"/>
              <w:right w:val="nil"/>
            </w:tcBorders>
            <w:shd w:val="clear" w:color="000000" w:fill="FFFFFF"/>
            <w:noWrap/>
            <w:vAlign w:val="center"/>
          </w:tcPr>
          <w:p w14:paraId="459A865E" w14:textId="6C2F690B" w:rsidR="00C50585" w:rsidRPr="00EE038F" w:rsidRDefault="00AD3D9C"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17.3</w:t>
            </w: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18.5</w:t>
            </w:r>
          </w:p>
        </w:tc>
      </w:tr>
      <w:tr w:rsidR="00C50585" w:rsidRPr="00EE038F" w14:paraId="519BB73C" w14:textId="77777777" w:rsidTr="007F6BCD">
        <w:trPr>
          <w:trHeight w:val="20"/>
          <w:jc w:val="center"/>
        </w:trPr>
        <w:tc>
          <w:tcPr>
            <w:tcW w:w="1995" w:type="pct"/>
            <w:tcBorders>
              <w:top w:val="nil"/>
              <w:left w:val="nil"/>
              <w:bottom w:val="single" w:sz="8" w:space="0" w:color="BDD6EE"/>
              <w:right w:val="nil"/>
            </w:tcBorders>
            <w:shd w:val="clear" w:color="000000" w:fill="FFFFFF"/>
            <w:noWrap/>
            <w:vAlign w:val="center"/>
            <w:hideMark/>
          </w:tcPr>
          <w:p w14:paraId="28DF02C6" w14:textId="77777777" w:rsidR="00C50585" w:rsidRPr="00EE038F" w:rsidRDefault="00C50585" w:rsidP="00C253BF">
            <w:pPr>
              <w:spacing w:after="0" w:line="240" w:lineRule="auto"/>
              <w:jc w:val="both"/>
              <w:rPr>
                <w:rFonts w:ascii="Garamond" w:eastAsia="Times New Roman" w:hAnsi="Garamond"/>
                <w:color w:val="0D0D0D"/>
                <w:sz w:val="20"/>
                <w:szCs w:val="20"/>
                <w:lang w:eastAsia="en-GB"/>
              </w:rPr>
            </w:pPr>
            <w:r w:rsidRPr="00EE038F">
              <w:rPr>
                <w:rFonts w:ascii="Times New Roman" w:eastAsia="Times New Roman" w:hAnsi="Times New Roman" w:cs="Times New Roman"/>
                <w:color w:val="0D0D0D"/>
                <w:sz w:val="20"/>
                <w:szCs w:val="20"/>
                <w:lang w:eastAsia="en-GB"/>
              </w:rPr>
              <w:t>˗</w:t>
            </w:r>
            <w:r w:rsidRPr="00EE038F">
              <w:rPr>
                <w:rFonts w:ascii="Garamond" w:eastAsia="Times New Roman" w:hAnsi="Garamond"/>
                <w:color w:val="0D0D0D"/>
                <w:sz w:val="20"/>
                <w:szCs w:val="20"/>
                <w:lang w:eastAsia="en-GB"/>
              </w:rPr>
              <w:t xml:space="preserve"> kredia n</w:t>
            </w:r>
            <w:r w:rsidRPr="00EE038F">
              <w:rPr>
                <w:rFonts w:ascii="Garamond" w:eastAsia="Times New Roman" w:hAnsi="Garamond" w:cs="Garamond"/>
                <w:color w:val="0D0D0D"/>
                <w:sz w:val="20"/>
                <w:szCs w:val="20"/>
                <w:lang w:eastAsia="en-GB"/>
              </w:rPr>
              <w:t>ë</w:t>
            </w:r>
            <w:r w:rsidRPr="00EE038F">
              <w:rPr>
                <w:rFonts w:ascii="Garamond" w:eastAsia="Times New Roman" w:hAnsi="Garamond"/>
                <w:color w:val="0D0D0D"/>
                <w:sz w:val="20"/>
                <w:szCs w:val="20"/>
                <w:lang w:eastAsia="en-GB"/>
              </w:rPr>
              <w:t xml:space="preserve"> valut</w:t>
            </w:r>
            <w:r w:rsidRPr="00EE038F">
              <w:rPr>
                <w:rFonts w:ascii="Garamond" w:eastAsia="Times New Roman" w:hAnsi="Garamond" w:cs="Garamond"/>
                <w:color w:val="0D0D0D"/>
                <w:sz w:val="20"/>
                <w:szCs w:val="20"/>
                <w:lang w:eastAsia="en-GB"/>
              </w:rPr>
              <w:t>ë</w:t>
            </w:r>
            <w:r w:rsidRPr="00EE038F">
              <w:rPr>
                <w:rFonts w:ascii="Garamond" w:eastAsia="Times New Roman" w:hAnsi="Garamond"/>
                <w:color w:val="0D0D0D"/>
                <w:sz w:val="20"/>
                <w:szCs w:val="20"/>
                <w:lang w:eastAsia="en-GB"/>
              </w:rPr>
              <w:t xml:space="preserve"> ndaj totalit t</w:t>
            </w:r>
            <w:r w:rsidRPr="00EE038F">
              <w:rPr>
                <w:rFonts w:ascii="Garamond" w:eastAsia="Times New Roman" w:hAnsi="Garamond" w:cs="Garamond"/>
                <w:color w:val="0D0D0D"/>
                <w:sz w:val="20"/>
                <w:szCs w:val="20"/>
                <w:lang w:eastAsia="en-GB"/>
              </w:rPr>
              <w:t>ë</w:t>
            </w:r>
            <w:r w:rsidRPr="00EE038F">
              <w:rPr>
                <w:rFonts w:ascii="Garamond" w:eastAsia="Times New Roman" w:hAnsi="Garamond"/>
                <w:color w:val="0D0D0D"/>
                <w:sz w:val="20"/>
                <w:szCs w:val="20"/>
                <w:lang w:eastAsia="en-GB"/>
              </w:rPr>
              <w:t xml:space="preserve"> kredis</w:t>
            </w:r>
            <w:r w:rsidRPr="00EE038F">
              <w:rPr>
                <w:rFonts w:ascii="Garamond" w:eastAsia="Times New Roman" w:hAnsi="Garamond" w:cs="Garamond"/>
                <w:color w:val="0D0D0D"/>
                <w:sz w:val="20"/>
                <w:szCs w:val="20"/>
                <w:lang w:eastAsia="en-GB"/>
              </w:rPr>
              <w:t>ë</w:t>
            </w:r>
          </w:p>
        </w:tc>
        <w:tc>
          <w:tcPr>
            <w:tcW w:w="474" w:type="pct"/>
            <w:tcBorders>
              <w:top w:val="nil"/>
              <w:left w:val="nil"/>
              <w:bottom w:val="single" w:sz="8" w:space="0" w:color="BDD6EE"/>
              <w:right w:val="nil"/>
            </w:tcBorders>
            <w:shd w:val="clear" w:color="000000" w:fill="FFFFFF"/>
            <w:noWrap/>
            <w:vAlign w:val="center"/>
            <w:hideMark/>
          </w:tcPr>
          <w:p w14:paraId="0E7A2BFE"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56.4</w:t>
            </w:r>
          </w:p>
        </w:tc>
        <w:tc>
          <w:tcPr>
            <w:tcW w:w="366" w:type="pct"/>
            <w:tcBorders>
              <w:top w:val="nil"/>
              <w:left w:val="nil"/>
              <w:bottom w:val="single" w:sz="8" w:space="0" w:color="BDD6EE"/>
              <w:right w:val="nil"/>
            </w:tcBorders>
            <w:shd w:val="clear" w:color="000000" w:fill="FFFFFF"/>
            <w:noWrap/>
            <w:vAlign w:val="center"/>
            <w:hideMark/>
          </w:tcPr>
          <w:p w14:paraId="7FF65C60"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56.1</w:t>
            </w:r>
          </w:p>
        </w:tc>
        <w:tc>
          <w:tcPr>
            <w:tcW w:w="366" w:type="pct"/>
            <w:tcBorders>
              <w:top w:val="nil"/>
              <w:left w:val="nil"/>
              <w:bottom w:val="single" w:sz="8" w:space="0" w:color="BDD6EE"/>
              <w:right w:val="nil"/>
            </w:tcBorders>
            <w:shd w:val="clear" w:color="000000" w:fill="FFFFFF"/>
            <w:noWrap/>
            <w:vAlign w:val="center"/>
            <w:hideMark/>
          </w:tcPr>
          <w:p w14:paraId="2942DC6B"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51.2</w:t>
            </w:r>
          </w:p>
        </w:tc>
        <w:tc>
          <w:tcPr>
            <w:tcW w:w="366" w:type="pct"/>
            <w:tcBorders>
              <w:top w:val="nil"/>
              <w:left w:val="nil"/>
              <w:bottom w:val="single" w:sz="8" w:space="0" w:color="BDD6EE"/>
              <w:right w:val="nil"/>
            </w:tcBorders>
            <w:shd w:val="clear" w:color="000000" w:fill="FFFFFF"/>
            <w:noWrap/>
            <w:vAlign w:val="center"/>
            <w:hideMark/>
          </w:tcPr>
          <w:p w14:paraId="050EACFF"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50.3</w:t>
            </w:r>
          </w:p>
        </w:tc>
        <w:tc>
          <w:tcPr>
            <w:tcW w:w="366" w:type="pct"/>
            <w:tcBorders>
              <w:top w:val="nil"/>
              <w:left w:val="nil"/>
              <w:bottom w:val="single" w:sz="8" w:space="0" w:color="BDD6EE"/>
              <w:right w:val="nil"/>
            </w:tcBorders>
            <w:shd w:val="clear" w:color="000000" w:fill="FFFFFF"/>
            <w:noWrap/>
            <w:vAlign w:val="center"/>
            <w:hideMark/>
          </w:tcPr>
          <w:p w14:paraId="1F0F67FD"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51.1</w:t>
            </w:r>
          </w:p>
        </w:tc>
        <w:tc>
          <w:tcPr>
            <w:tcW w:w="366" w:type="pct"/>
            <w:tcBorders>
              <w:top w:val="nil"/>
              <w:left w:val="nil"/>
              <w:bottom w:val="single" w:sz="8" w:space="0" w:color="BDD6EE"/>
              <w:right w:val="nil"/>
            </w:tcBorders>
            <w:shd w:val="clear" w:color="000000" w:fill="FFFFFF"/>
            <w:noWrap/>
            <w:vAlign w:val="center"/>
            <w:hideMark/>
          </w:tcPr>
          <w:p w14:paraId="2D1514FA"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51.4</w:t>
            </w:r>
          </w:p>
        </w:tc>
        <w:tc>
          <w:tcPr>
            <w:tcW w:w="702" w:type="pct"/>
            <w:tcBorders>
              <w:top w:val="nil"/>
              <w:left w:val="nil"/>
              <w:bottom w:val="single" w:sz="8" w:space="0" w:color="BDD6EE"/>
              <w:right w:val="nil"/>
            </w:tcBorders>
            <w:shd w:val="clear" w:color="000000" w:fill="FFFFFF"/>
            <w:noWrap/>
            <w:vAlign w:val="center"/>
          </w:tcPr>
          <w:p w14:paraId="1CD279EA" w14:textId="71A6A312" w:rsidR="00C50585" w:rsidRPr="00EE038F" w:rsidRDefault="00AD3D9C"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46.3</w:t>
            </w: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45.3</w:t>
            </w:r>
          </w:p>
        </w:tc>
      </w:tr>
      <w:tr w:rsidR="00C50585" w:rsidRPr="00EE038F" w14:paraId="7AE14FB3" w14:textId="77777777" w:rsidTr="007F6BCD">
        <w:trPr>
          <w:trHeight w:val="20"/>
          <w:jc w:val="center"/>
        </w:trPr>
        <w:tc>
          <w:tcPr>
            <w:tcW w:w="1995" w:type="pct"/>
            <w:tcBorders>
              <w:top w:val="nil"/>
              <w:left w:val="nil"/>
              <w:bottom w:val="single" w:sz="8" w:space="0" w:color="BDD6EE"/>
              <w:right w:val="nil"/>
            </w:tcBorders>
            <w:shd w:val="clear" w:color="000000" w:fill="FFFFFF"/>
            <w:noWrap/>
            <w:vAlign w:val="center"/>
            <w:hideMark/>
          </w:tcPr>
          <w:p w14:paraId="5DD15F99" w14:textId="77777777" w:rsidR="00C50585" w:rsidRPr="00EE038F" w:rsidRDefault="00C50585" w:rsidP="00C253BF">
            <w:pPr>
              <w:spacing w:after="0" w:line="240" w:lineRule="auto"/>
              <w:jc w:val="both"/>
              <w:rPr>
                <w:rFonts w:ascii="Garamond" w:eastAsia="Times New Roman" w:hAnsi="Garamond"/>
                <w:color w:val="0D0D0D"/>
                <w:sz w:val="20"/>
                <w:szCs w:val="20"/>
                <w:lang w:eastAsia="en-GB"/>
              </w:rPr>
            </w:pPr>
            <w:r w:rsidRPr="00EE038F">
              <w:rPr>
                <w:rFonts w:ascii="Times New Roman" w:eastAsia="Times New Roman" w:hAnsi="Times New Roman" w:cs="Times New Roman"/>
                <w:color w:val="0D0D0D"/>
                <w:sz w:val="20"/>
                <w:szCs w:val="20"/>
                <w:lang w:eastAsia="en-GB"/>
              </w:rPr>
              <w:t>˗</w:t>
            </w:r>
            <w:r w:rsidRPr="00EE038F">
              <w:rPr>
                <w:rFonts w:ascii="Garamond" w:eastAsia="Times New Roman" w:hAnsi="Garamond"/>
                <w:color w:val="0D0D0D"/>
                <w:sz w:val="20"/>
                <w:szCs w:val="20"/>
                <w:lang w:eastAsia="en-GB"/>
              </w:rPr>
              <w:t xml:space="preserve"> pozicioni i hapur neto n</w:t>
            </w:r>
            <w:r w:rsidRPr="00EE038F">
              <w:rPr>
                <w:rFonts w:ascii="Garamond" w:eastAsia="Times New Roman" w:hAnsi="Garamond" w:cs="Garamond"/>
                <w:color w:val="0D0D0D"/>
                <w:sz w:val="20"/>
                <w:szCs w:val="20"/>
                <w:lang w:eastAsia="en-GB"/>
              </w:rPr>
              <w:t>ë</w:t>
            </w:r>
            <w:r w:rsidRPr="00EE038F">
              <w:rPr>
                <w:rFonts w:ascii="Garamond" w:eastAsia="Times New Roman" w:hAnsi="Garamond"/>
                <w:color w:val="0D0D0D"/>
                <w:sz w:val="20"/>
                <w:szCs w:val="20"/>
                <w:lang w:eastAsia="en-GB"/>
              </w:rPr>
              <w:t xml:space="preserve"> valut</w:t>
            </w:r>
            <w:r w:rsidRPr="00EE038F">
              <w:rPr>
                <w:rFonts w:ascii="Garamond" w:eastAsia="Times New Roman" w:hAnsi="Garamond" w:cs="Garamond"/>
                <w:color w:val="0D0D0D"/>
                <w:sz w:val="20"/>
                <w:szCs w:val="20"/>
                <w:lang w:eastAsia="en-GB"/>
              </w:rPr>
              <w:t>ë</w:t>
            </w:r>
            <w:r w:rsidRPr="00EE038F">
              <w:rPr>
                <w:rFonts w:ascii="Garamond" w:eastAsia="Times New Roman" w:hAnsi="Garamond"/>
                <w:color w:val="0D0D0D"/>
                <w:sz w:val="20"/>
                <w:szCs w:val="20"/>
                <w:lang w:eastAsia="en-GB"/>
              </w:rPr>
              <w:t xml:space="preserve"> ndaj kapitalit rregullator</w:t>
            </w:r>
          </w:p>
        </w:tc>
        <w:tc>
          <w:tcPr>
            <w:tcW w:w="474" w:type="pct"/>
            <w:tcBorders>
              <w:top w:val="nil"/>
              <w:left w:val="nil"/>
              <w:bottom w:val="single" w:sz="8" w:space="0" w:color="BDD6EE"/>
              <w:right w:val="nil"/>
            </w:tcBorders>
            <w:shd w:val="clear" w:color="000000" w:fill="FFFFFF"/>
            <w:noWrap/>
            <w:vAlign w:val="center"/>
            <w:hideMark/>
          </w:tcPr>
          <w:p w14:paraId="444D5283"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6.7</w:t>
            </w:r>
          </w:p>
        </w:tc>
        <w:tc>
          <w:tcPr>
            <w:tcW w:w="366" w:type="pct"/>
            <w:tcBorders>
              <w:top w:val="nil"/>
              <w:left w:val="nil"/>
              <w:bottom w:val="single" w:sz="8" w:space="0" w:color="BDD6EE"/>
              <w:right w:val="nil"/>
            </w:tcBorders>
            <w:shd w:val="clear" w:color="000000" w:fill="FFFFFF"/>
            <w:noWrap/>
            <w:vAlign w:val="center"/>
            <w:hideMark/>
          </w:tcPr>
          <w:p w14:paraId="656354F0"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7.8</w:t>
            </w:r>
          </w:p>
        </w:tc>
        <w:tc>
          <w:tcPr>
            <w:tcW w:w="366" w:type="pct"/>
            <w:tcBorders>
              <w:top w:val="nil"/>
              <w:left w:val="nil"/>
              <w:bottom w:val="single" w:sz="8" w:space="0" w:color="BDD6EE"/>
              <w:right w:val="nil"/>
            </w:tcBorders>
            <w:shd w:val="clear" w:color="000000" w:fill="FFFFFF"/>
            <w:noWrap/>
            <w:vAlign w:val="center"/>
            <w:hideMark/>
          </w:tcPr>
          <w:p w14:paraId="2EBE63DD"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7.4</w:t>
            </w:r>
          </w:p>
        </w:tc>
        <w:tc>
          <w:tcPr>
            <w:tcW w:w="366" w:type="pct"/>
            <w:tcBorders>
              <w:top w:val="nil"/>
              <w:left w:val="nil"/>
              <w:bottom w:val="single" w:sz="8" w:space="0" w:color="BDD6EE"/>
              <w:right w:val="nil"/>
            </w:tcBorders>
            <w:shd w:val="clear" w:color="000000" w:fill="FFFFFF"/>
            <w:noWrap/>
            <w:vAlign w:val="center"/>
            <w:hideMark/>
          </w:tcPr>
          <w:p w14:paraId="5909E59B"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8.4</w:t>
            </w:r>
          </w:p>
        </w:tc>
        <w:tc>
          <w:tcPr>
            <w:tcW w:w="366" w:type="pct"/>
            <w:tcBorders>
              <w:top w:val="nil"/>
              <w:left w:val="nil"/>
              <w:bottom w:val="single" w:sz="8" w:space="0" w:color="BDD6EE"/>
              <w:right w:val="nil"/>
            </w:tcBorders>
            <w:shd w:val="clear" w:color="000000" w:fill="FFFFFF"/>
            <w:noWrap/>
            <w:vAlign w:val="center"/>
            <w:hideMark/>
          </w:tcPr>
          <w:p w14:paraId="6BBA60B8"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9.2</w:t>
            </w:r>
          </w:p>
        </w:tc>
        <w:tc>
          <w:tcPr>
            <w:tcW w:w="366" w:type="pct"/>
            <w:tcBorders>
              <w:top w:val="nil"/>
              <w:left w:val="nil"/>
              <w:bottom w:val="single" w:sz="8" w:space="0" w:color="BDD6EE"/>
              <w:right w:val="nil"/>
            </w:tcBorders>
            <w:shd w:val="clear" w:color="000000" w:fill="FFFFFF"/>
            <w:noWrap/>
            <w:vAlign w:val="center"/>
            <w:hideMark/>
          </w:tcPr>
          <w:p w14:paraId="681D64E2" w14:textId="1F70DE12" w:rsidR="00C50585" w:rsidRPr="00EE038F" w:rsidRDefault="00AD3D9C"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5.0</w:t>
            </w:r>
            <w:r w:rsidRPr="00EE038F">
              <w:rPr>
                <w:rFonts w:ascii="Garamond" w:eastAsia="Times New Roman" w:hAnsi="Garamond"/>
                <w:color w:val="0D0D0D" w:themeColor="text1" w:themeTint="F2"/>
                <w:sz w:val="20"/>
                <w:szCs w:val="20"/>
                <w:lang w:eastAsia="en-GB"/>
              </w:rPr>
              <w:t xml:space="preserve"> </w:t>
            </w:r>
          </w:p>
        </w:tc>
        <w:tc>
          <w:tcPr>
            <w:tcW w:w="702" w:type="pct"/>
            <w:tcBorders>
              <w:top w:val="nil"/>
              <w:left w:val="nil"/>
              <w:bottom w:val="single" w:sz="8" w:space="0" w:color="BDD6EE"/>
              <w:right w:val="nil"/>
            </w:tcBorders>
            <w:shd w:val="clear" w:color="000000" w:fill="FFFFFF"/>
            <w:noWrap/>
            <w:vAlign w:val="center"/>
          </w:tcPr>
          <w:p w14:paraId="4AB41DA0" w14:textId="05DDF3C9" w:rsidR="00C50585" w:rsidRPr="00EE038F" w:rsidRDefault="00AD3D9C"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6.1</w:t>
            </w:r>
            <w:r w:rsidRPr="00EE038F">
              <w:rPr>
                <w:rFonts w:ascii="Garamond" w:eastAsia="Times New Roman" w:hAnsi="Garamond"/>
                <w:color w:val="0D0D0D" w:themeColor="text1" w:themeTint="F2"/>
                <w:sz w:val="20"/>
                <w:szCs w:val="20"/>
                <w:lang w:eastAsia="en-GB"/>
              </w:rPr>
              <w:t xml:space="preserve"> </w:t>
            </w:r>
            <w:r w:rsidR="00C50585" w:rsidRPr="00EE038F">
              <w:rPr>
                <w:rFonts w:ascii="Garamond" w:eastAsia="Times New Roman" w:hAnsi="Garamond"/>
                <w:color w:val="0D0D0D" w:themeColor="text1" w:themeTint="F2"/>
                <w:sz w:val="20"/>
                <w:szCs w:val="20"/>
                <w:lang w:eastAsia="en-GB"/>
              </w:rPr>
              <w:t>4.2</w:t>
            </w:r>
          </w:p>
        </w:tc>
      </w:tr>
      <w:tr w:rsidR="00C50585" w:rsidRPr="00EE038F" w14:paraId="229617F3" w14:textId="77777777" w:rsidTr="007F6BCD">
        <w:trPr>
          <w:trHeight w:val="20"/>
          <w:jc w:val="center"/>
        </w:trPr>
        <w:tc>
          <w:tcPr>
            <w:tcW w:w="1995" w:type="pct"/>
            <w:tcBorders>
              <w:top w:val="nil"/>
              <w:left w:val="nil"/>
              <w:bottom w:val="single" w:sz="8" w:space="0" w:color="BDD6EE"/>
              <w:right w:val="nil"/>
            </w:tcBorders>
            <w:shd w:val="clear" w:color="000000" w:fill="FFFFFF"/>
            <w:noWrap/>
            <w:vAlign w:val="center"/>
            <w:hideMark/>
          </w:tcPr>
          <w:p w14:paraId="30BB784B" w14:textId="77777777" w:rsidR="00C50585" w:rsidRPr="00EE038F" w:rsidRDefault="00C50585" w:rsidP="00C253BF">
            <w:pPr>
              <w:spacing w:after="0" w:line="240" w:lineRule="auto"/>
              <w:jc w:val="both"/>
              <w:rPr>
                <w:rFonts w:ascii="Garamond" w:eastAsia="Times New Roman" w:hAnsi="Garamond"/>
                <w:color w:val="0D0D0D"/>
                <w:sz w:val="20"/>
                <w:szCs w:val="20"/>
                <w:lang w:eastAsia="en-GB"/>
              </w:rPr>
            </w:pPr>
            <w:r w:rsidRPr="00EE038F">
              <w:rPr>
                <w:rFonts w:ascii="Times New Roman" w:eastAsia="Times New Roman" w:hAnsi="Times New Roman" w:cs="Times New Roman"/>
                <w:color w:val="0D0D0D"/>
                <w:sz w:val="20"/>
                <w:szCs w:val="20"/>
                <w:lang w:eastAsia="en-GB"/>
              </w:rPr>
              <w:t>˗</w:t>
            </w:r>
            <w:r w:rsidRPr="00EE038F">
              <w:rPr>
                <w:rFonts w:ascii="Garamond" w:eastAsia="Times New Roman" w:hAnsi="Garamond"/>
                <w:color w:val="0D0D0D"/>
                <w:sz w:val="20"/>
                <w:szCs w:val="20"/>
                <w:lang w:eastAsia="en-GB"/>
              </w:rPr>
              <w:t xml:space="preserve"> pozicioni neto i hapur i normave t</w:t>
            </w:r>
            <w:r w:rsidRPr="00EE038F">
              <w:rPr>
                <w:rFonts w:ascii="Garamond" w:eastAsia="Times New Roman" w:hAnsi="Garamond" w:cs="Garamond"/>
                <w:color w:val="0D0D0D"/>
                <w:sz w:val="20"/>
                <w:szCs w:val="20"/>
                <w:lang w:eastAsia="en-GB"/>
              </w:rPr>
              <w:t>ë</w:t>
            </w:r>
            <w:r w:rsidRPr="00EE038F">
              <w:rPr>
                <w:rFonts w:ascii="Garamond" w:eastAsia="Times New Roman" w:hAnsi="Garamond"/>
                <w:color w:val="0D0D0D"/>
                <w:sz w:val="20"/>
                <w:szCs w:val="20"/>
                <w:lang w:eastAsia="en-GB"/>
              </w:rPr>
              <w:t xml:space="preserve"> interesit ndaj kapitalit rregullator </w:t>
            </w:r>
          </w:p>
        </w:tc>
        <w:tc>
          <w:tcPr>
            <w:tcW w:w="474" w:type="pct"/>
            <w:tcBorders>
              <w:top w:val="nil"/>
              <w:left w:val="nil"/>
              <w:bottom w:val="single" w:sz="8" w:space="0" w:color="BDD6EE"/>
              <w:right w:val="nil"/>
            </w:tcBorders>
            <w:shd w:val="clear" w:color="000000" w:fill="FFFFFF"/>
            <w:noWrap/>
            <w:vAlign w:val="center"/>
            <w:hideMark/>
          </w:tcPr>
          <w:p w14:paraId="2302AF3D"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-1.5</w:t>
            </w:r>
          </w:p>
        </w:tc>
        <w:tc>
          <w:tcPr>
            <w:tcW w:w="366" w:type="pct"/>
            <w:tcBorders>
              <w:top w:val="nil"/>
              <w:left w:val="nil"/>
              <w:bottom w:val="single" w:sz="8" w:space="0" w:color="BDD6EE"/>
              <w:right w:val="nil"/>
            </w:tcBorders>
            <w:shd w:val="clear" w:color="000000" w:fill="FFFFFF"/>
            <w:noWrap/>
            <w:vAlign w:val="center"/>
            <w:hideMark/>
          </w:tcPr>
          <w:p w14:paraId="39097068"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2.4</w:t>
            </w:r>
          </w:p>
        </w:tc>
        <w:tc>
          <w:tcPr>
            <w:tcW w:w="366" w:type="pct"/>
            <w:tcBorders>
              <w:top w:val="nil"/>
              <w:left w:val="nil"/>
              <w:bottom w:val="single" w:sz="8" w:space="0" w:color="BDD6EE"/>
              <w:right w:val="nil"/>
            </w:tcBorders>
            <w:shd w:val="clear" w:color="000000" w:fill="FFFFFF"/>
            <w:noWrap/>
            <w:vAlign w:val="center"/>
            <w:hideMark/>
          </w:tcPr>
          <w:p w14:paraId="3A2A16EE"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2.9</w:t>
            </w:r>
          </w:p>
        </w:tc>
        <w:tc>
          <w:tcPr>
            <w:tcW w:w="366" w:type="pct"/>
            <w:tcBorders>
              <w:top w:val="nil"/>
              <w:left w:val="nil"/>
              <w:bottom w:val="single" w:sz="8" w:space="0" w:color="BDD6EE"/>
              <w:right w:val="nil"/>
            </w:tcBorders>
            <w:shd w:val="clear" w:color="000000" w:fill="FFFFFF"/>
            <w:noWrap/>
            <w:vAlign w:val="center"/>
            <w:hideMark/>
          </w:tcPr>
          <w:p w14:paraId="7BBE776F"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4.3</w:t>
            </w:r>
          </w:p>
        </w:tc>
        <w:tc>
          <w:tcPr>
            <w:tcW w:w="366" w:type="pct"/>
            <w:tcBorders>
              <w:top w:val="nil"/>
              <w:left w:val="nil"/>
              <w:bottom w:val="single" w:sz="8" w:space="0" w:color="BDD6EE"/>
              <w:right w:val="nil"/>
            </w:tcBorders>
            <w:shd w:val="clear" w:color="000000" w:fill="FFFFFF"/>
            <w:noWrap/>
            <w:vAlign w:val="center"/>
            <w:hideMark/>
          </w:tcPr>
          <w:p w14:paraId="54F8C865" w14:textId="77777777"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5.8</w:t>
            </w:r>
          </w:p>
        </w:tc>
        <w:tc>
          <w:tcPr>
            <w:tcW w:w="366" w:type="pct"/>
            <w:tcBorders>
              <w:top w:val="nil"/>
              <w:left w:val="nil"/>
              <w:bottom w:val="single" w:sz="8" w:space="0" w:color="BDD6EE"/>
              <w:right w:val="nil"/>
            </w:tcBorders>
            <w:shd w:val="clear" w:color="000000" w:fill="FFFFFF"/>
            <w:noWrap/>
            <w:vAlign w:val="center"/>
            <w:hideMark/>
          </w:tcPr>
          <w:p w14:paraId="672CBA42" w14:textId="5462A071"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3</w:t>
            </w:r>
            <w:r w:rsidR="002D0DDC" w:rsidRPr="00EE038F">
              <w:rPr>
                <w:rFonts w:ascii="Garamond" w:eastAsia="Times New Roman" w:hAnsi="Garamond"/>
                <w:color w:val="0D0D0D" w:themeColor="text1" w:themeTint="F2"/>
                <w:sz w:val="20"/>
                <w:szCs w:val="20"/>
                <w:lang w:eastAsia="en-GB"/>
              </w:rPr>
              <w:t>.</w:t>
            </w:r>
            <w:r w:rsidRPr="00EE038F">
              <w:rPr>
                <w:rFonts w:ascii="Garamond" w:eastAsia="Times New Roman" w:hAnsi="Garamond"/>
                <w:color w:val="0D0D0D" w:themeColor="text1" w:themeTint="F2"/>
                <w:sz w:val="20"/>
                <w:szCs w:val="20"/>
                <w:lang w:eastAsia="en-GB"/>
              </w:rPr>
              <w:t>0</w:t>
            </w:r>
            <w:r w:rsidR="00AD3D9C" w:rsidRPr="00EE038F">
              <w:rPr>
                <w:rFonts w:ascii="Garamond" w:eastAsia="Times New Roman" w:hAnsi="Garamond"/>
                <w:color w:val="0D0D0D" w:themeColor="text1" w:themeTint="F2"/>
                <w:sz w:val="20"/>
                <w:szCs w:val="20"/>
                <w:lang w:eastAsia="en-GB"/>
              </w:rPr>
              <w:t xml:space="preserve"> </w:t>
            </w:r>
          </w:p>
        </w:tc>
        <w:tc>
          <w:tcPr>
            <w:tcW w:w="702" w:type="pct"/>
            <w:tcBorders>
              <w:top w:val="nil"/>
              <w:left w:val="nil"/>
              <w:bottom w:val="single" w:sz="8" w:space="0" w:color="BDD6EE"/>
              <w:right w:val="nil"/>
            </w:tcBorders>
            <w:shd w:val="clear" w:color="000000" w:fill="FFFFFF"/>
            <w:noWrap/>
            <w:vAlign w:val="center"/>
          </w:tcPr>
          <w:p w14:paraId="39F26193" w14:textId="50F8933E" w:rsidR="00C50585" w:rsidRPr="00EE038F" w:rsidRDefault="00C50585" w:rsidP="00891B37">
            <w:pPr>
              <w:spacing w:after="0" w:line="240" w:lineRule="auto"/>
              <w:jc w:val="right"/>
              <w:rPr>
                <w:rFonts w:ascii="Garamond" w:eastAsia="Times New Roman" w:hAnsi="Garamond"/>
                <w:color w:val="0D0D0D" w:themeColor="text1" w:themeTint="F2"/>
                <w:sz w:val="20"/>
                <w:szCs w:val="20"/>
                <w:lang w:eastAsia="en-GB"/>
              </w:rPr>
            </w:pPr>
            <w:r w:rsidRPr="00EE038F">
              <w:rPr>
                <w:rFonts w:ascii="Garamond" w:eastAsia="Times New Roman" w:hAnsi="Garamond"/>
                <w:color w:val="0D0D0D" w:themeColor="text1" w:themeTint="F2"/>
                <w:sz w:val="20"/>
                <w:szCs w:val="20"/>
                <w:lang w:eastAsia="en-GB"/>
              </w:rPr>
              <w:t xml:space="preserve"> 1</w:t>
            </w:r>
            <w:r w:rsidR="002D0DDC" w:rsidRPr="00EE038F">
              <w:rPr>
                <w:rFonts w:ascii="Garamond" w:eastAsia="Times New Roman" w:hAnsi="Garamond"/>
                <w:color w:val="0D0D0D" w:themeColor="text1" w:themeTint="F2"/>
                <w:sz w:val="20"/>
                <w:szCs w:val="20"/>
                <w:lang w:eastAsia="en-GB"/>
              </w:rPr>
              <w:t>.</w:t>
            </w:r>
            <w:r w:rsidRPr="00EE038F">
              <w:rPr>
                <w:rFonts w:ascii="Garamond" w:eastAsia="Times New Roman" w:hAnsi="Garamond"/>
                <w:color w:val="0D0D0D" w:themeColor="text1" w:themeTint="F2"/>
                <w:sz w:val="20"/>
                <w:szCs w:val="20"/>
                <w:lang w:eastAsia="en-GB"/>
              </w:rPr>
              <w:t>6</w:t>
            </w:r>
            <w:r w:rsidR="00AD3D9C" w:rsidRPr="00EE038F">
              <w:rPr>
                <w:rFonts w:ascii="Garamond" w:eastAsia="Times New Roman" w:hAnsi="Garamond"/>
                <w:color w:val="0D0D0D" w:themeColor="text1" w:themeTint="F2"/>
                <w:sz w:val="20"/>
                <w:szCs w:val="20"/>
                <w:lang w:eastAsia="en-GB"/>
              </w:rPr>
              <w:t xml:space="preserve"> </w:t>
            </w:r>
            <w:r w:rsidRPr="00EE038F">
              <w:rPr>
                <w:rFonts w:ascii="Garamond" w:eastAsia="Times New Roman" w:hAnsi="Garamond"/>
                <w:color w:val="0D0D0D" w:themeColor="text1" w:themeTint="F2"/>
                <w:sz w:val="20"/>
                <w:szCs w:val="20"/>
                <w:lang w:eastAsia="en-GB"/>
              </w:rPr>
              <w:t>3.1</w:t>
            </w:r>
          </w:p>
        </w:tc>
      </w:tr>
    </w:tbl>
    <w:p w14:paraId="73218D0E" w14:textId="15D49054" w:rsidR="00C50585" w:rsidRPr="00EE038F" w:rsidRDefault="00C50585" w:rsidP="007B63DE">
      <w:pPr>
        <w:spacing w:after="0" w:line="240" w:lineRule="auto"/>
        <w:jc w:val="center"/>
        <w:rPr>
          <w:rFonts w:ascii="Garamond" w:eastAsia="Times New Roman" w:hAnsi="Garamond"/>
          <w:i/>
          <w:color w:val="0D0D0D" w:themeColor="text1" w:themeTint="F2"/>
          <w:sz w:val="24"/>
          <w:szCs w:val="24"/>
        </w:rPr>
      </w:pPr>
      <w:r w:rsidRPr="00EE038F">
        <w:rPr>
          <w:rFonts w:ascii="Garamond" w:eastAsia="Times New Roman" w:hAnsi="Garamond"/>
          <w:i/>
          <w:iCs/>
          <w:color w:val="0D0D0D" w:themeColor="text1" w:themeTint="F2"/>
          <w:sz w:val="24"/>
          <w:szCs w:val="24"/>
          <w:lang w:eastAsia="en-GB"/>
        </w:rPr>
        <w:t>* Tetor 2024</w:t>
      </w:r>
      <w:r w:rsidR="007F6BCD" w:rsidRPr="00EE038F">
        <w:rPr>
          <w:rFonts w:ascii="Garamond" w:eastAsia="Times New Roman" w:hAnsi="Garamond"/>
          <w:i/>
          <w:iCs/>
          <w:color w:val="0D0D0D" w:themeColor="text1" w:themeTint="F2"/>
          <w:sz w:val="24"/>
          <w:szCs w:val="24"/>
          <w:lang w:eastAsia="en-GB"/>
        </w:rPr>
        <w:t xml:space="preserve"> –</w:t>
      </w:r>
      <w:r w:rsidRPr="00EE038F">
        <w:rPr>
          <w:rFonts w:ascii="Garamond" w:eastAsia="Times New Roman" w:hAnsi="Garamond"/>
          <w:i/>
          <w:iCs/>
          <w:color w:val="0D0D0D" w:themeColor="text1" w:themeTint="F2"/>
          <w:sz w:val="24"/>
          <w:szCs w:val="24"/>
          <w:lang w:eastAsia="en-GB"/>
        </w:rPr>
        <w:t xml:space="preserve"> data e fundit e raportimit të të dhënave</w:t>
      </w:r>
      <w:r w:rsidR="007F6BCD" w:rsidRPr="00EE038F">
        <w:rPr>
          <w:rFonts w:ascii="Garamond" w:eastAsia="Times New Roman" w:hAnsi="Garamond"/>
          <w:i/>
          <w:iCs/>
          <w:color w:val="0D0D0D" w:themeColor="text1" w:themeTint="F2"/>
          <w:sz w:val="24"/>
          <w:szCs w:val="24"/>
          <w:lang w:eastAsia="en-GB"/>
        </w:rPr>
        <w:t>.</w:t>
      </w:r>
    </w:p>
    <w:p w14:paraId="692D52BC" w14:textId="77777777" w:rsidR="00C50585" w:rsidRPr="00EE038F" w:rsidRDefault="00C50585" w:rsidP="00C50585">
      <w:pPr>
        <w:spacing w:after="0" w:line="240" w:lineRule="auto"/>
        <w:jc w:val="both"/>
        <w:rPr>
          <w:rFonts w:ascii="Garamond" w:eastAsia="Times New Roman" w:hAnsi="Garamond"/>
          <w:i/>
          <w:color w:val="0D0D0D" w:themeColor="text1" w:themeTint="F2"/>
        </w:rPr>
      </w:pPr>
    </w:p>
    <w:p w14:paraId="0ACBF1DB" w14:textId="3E57FD98" w:rsidR="00C50585" w:rsidRPr="00EE038F" w:rsidRDefault="00C50585" w:rsidP="00C253BF">
      <w:pPr>
        <w:pStyle w:val="TEKSTIIIIII"/>
        <w:rPr>
          <w:rFonts w:eastAsia="Times New Roman"/>
        </w:rPr>
      </w:pPr>
      <w:r w:rsidRPr="00EE038F">
        <w:rPr>
          <w:rFonts w:eastAsia="Times New Roman"/>
        </w:rPr>
        <w:t>Gjatë nëntë muajve të parë të vitit 2024, pesha e aktiveve të sistemit financiar ndaj PBB-së u rrit lehtë me 0.4 p.p. në terma vjetorë në 92%, duke qenë se ritmi i zgjerimit të aktiveve të sistemit financiar ishte më i lartë krahasuar me normën e rritjes ekonomike. Pothuajse të gjith</w:t>
      </w:r>
      <w:r w:rsidR="00AB72C2" w:rsidRPr="00EE038F">
        <w:rPr>
          <w:rFonts w:eastAsia="Times New Roman"/>
        </w:rPr>
        <w:t xml:space="preserve">a </w:t>
      </w:r>
      <w:r w:rsidRPr="00EE038F">
        <w:rPr>
          <w:rFonts w:eastAsia="Times New Roman"/>
        </w:rPr>
        <w:t>segmentet e sistemit financiar kanë raportuar rritje të aktiveve të tyre gjatë periudhës. Brenda sistemit financiar, sektori bankar vijon të mbizotërojë me gati 91% të totalit të aktiveve. Ekspozimi i sektorit bankar ndaj sektorit jobankar mbetet i ulët, pavarësisht se ka shënuar një rritje të lehtë gjatë periudhës. Ndjeshmëria e sektorit jobankar ndaj aktivitetit të sektorit bankar mbetet e lartë, por e pandryshuar gjatë periudhës. Banka e Shqipërisë monitoron rregullisht treguesit e ndërlidhjes</w:t>
      </w:r>
      <w:r w:rsidR="00AB72C2" w:rsidRPr="00EE038F">
        <w:rPr>
          <w:rFonts w:eastAsia="Times New Roman"/>
        </w:rPr>
        <w:t>,</w:t>
      </w:r>
      <w:r w:rsidRPr="00EE038F">
        <w:rPr>
          <w:rFonts w:eastAsia="Times New Roman"/>
        </w:rPr>
        <w:t xml:space="preserve"> në kuadër të vlerësimit periodik të rreziqeve sistemike.</w:t>
      </w:r>
    </w:p>
    <w:p w14:paraId="4D0A2631" w14:textId="77777777" w:rsidR="00C50585" w:rsidRPr="00EE038F" w:rsidRDefault="00C50585" w:rsidP="00C253BF">
      <w:pPr>
        <w:pStyle w:val="TEKSTIIIIII"/>
        <w:rPr>
          <w:rFonts w:eastAsia="Times New Roman"/>
        </w:rPr>
      </w:pPr>
    </w:p>
    <w:p w14:paraId="1967F228" w14:textId="77777777" w:rsidR="00C50585" w:rsidRPr="00EE038F" w:rsidRDefault="00C50585" w:rsidP="00066DFC">
      <w:pPr>
        <w:pBdr>
          <w:bottom w:val="single" w:sz="4" w:space="1" w:color="auto"/>
        </w:pBdr>
        <w:spacing w:after="0" w:line="240" w:lineRule="auto"/>
        <w:jc w:val="center"/>
        <w:rPr>
          <w:rFonts w:ascii="Garamond" w:eastAsia="Times New Roman" w:hAnsi="Garamond"/>
          <w:i/>
          <w:iCs/>
          <w:sz w:val="24"/>
          <w:szCs w:val="24"/>
          <w:lang w:eastAsia="en-GB"/>
        </w:rPr>
      </w:pPr>
      <w:r w:rsidRPr="00EE038F">
        <w:rPr>
          <w:rFonts w:ascii="Garamond" w:eastAsia="Times New Roman" w:hAnsi="Garamond"/>
          <w:i/>
          <w:iCs/>
          <w:sz w:val="24"/>
          <w:szCs w:val="24"/>
          <w:lang w:eastAsia="en-GB"/>
        </w:rPr>
        <w:t>Aktivet e sistemit financiar ndaj PBB-së</w:t>
      </w:r>
    </w:p>
    <w:tbl>
      <w:tblPr>
        <w:tblStyle w:val="GridTable3-Accent1"/>
        <w:tblW w:w="5000" w:type="pct"/>
        <w:jc w:val="center"/>
        <w:tblLook w:val="04A0" w:firstRow="1" w:lastRow="0" w:firstColumn="1" w:lastColumn="0" w:noHBand="0" w:noVBand="1"/>
      </w:tblPr>
      <w:tblGrid>
        <w:gridCol w:w="1397"/>
        <w:gridCol w:w="967"/>
        <w:gridCol w:w="819"/>
        <w:gridCol w:w="1118"/>
        <w:gridCol w:w="1187"/>
        <w:gridCol w:w="1118"/>
        <w:gridCol w:w="1225"/>
        <w:gridCol w:w="1189"/>
      </w:tblGrid>
      <w:tr w:rsidR="00C50585" w:rsidRPr="00EE038F" w14:paraId="3FF104AC" w14:textId="77777777" w:rsidTr="00AB72C2">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100" w:firstRow="0" w:lastRow="0" w:firstColumn="1" w:lastColumn="0" w:oddVBand="0" w:evenVBand="0" w:oddHBand="0" w:evenHBand="0" w:firstRowFirstColumn="1" w:firstRowLastColumn="0" w:lastRowFirstColumn="0" w:lastRowLastColumn="0"/>
            <w:tcW w:w="774" w:type="pct"/>
            <w:vAlign w:val="center"/>
            <w:hideMark/>
          </w:tcPr>
          <w:p w14:paraId="43C19F87" w14:textId="77777777" w:rsidR="00C50585" w:rsidRPr="00EE038F" w:rsidRDefault="00C50585" w:rsidP="00AB72C2">
            <w:pPr>
              <w:jc w:val="center"/>
              <w:rPr>
                <w:rFonts w:ascii="Garamond" w:eastAsia="Times New Roman" w:hAnsi="Garamond"/>
                <w:bCs w:val="0"/>
                <w:i w:val="0"/>
                <w:color w:val="0D0D0D" w:themeColor="text1" w:themeTint="F2"/>
                <w:sz w:val="18"/>
                <w:lang w:val="sq-AL" w:eastAsia="en-GB"/>
              </w:rPr>
            </w:pPr>
            <w:r w:rsidRPr="00EE038F">
              <w:rPr>
                <w:rFonts w:ascii="Garamond" w:eastAsia="Times New Roman" w:hAnsi="Garamond"/>
                <w:bCs w:val="0"/>
                <w:i w:val="0"/>
                <w:color w:val="0D0D0D" w:themeColor="text1" w:themeTint="F2"/>
                <w:sz w:val="18"/>
                <w:lang w:val="sq-AL" w:eastAsia="en-GB"/>
              </w:rPr>
              <w:t>Autoriteti mbikëqyrës</w:t>
            </w:r>
          </w:p>
        </w:tc>
        <w:tc>
          <w:tcPr>
            <w:tcW w:w="1610" w:type="pct"/>
            <w:gridSpan w:val="3"/>
            <w:vAlign w:val="center"/>
            <w:hideMark/>
          </w:tcPr>
          <w:p w14:paraId="7611E451" w14:textId="77777777" w:rsidR="00C50585" w:rsidRPr="00EE038F" w:rsidRDefault="00C50585" w:rsidP="00AB72C2">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Cs w:val="0"/>
                <w:color w:val="0D0D0D" w:themeColor="text1" w:themeTint="F2"/>
                <w:sz w:val="18"/>
                <w:lang w:val="sq-AL" w:eastAsia="en-GB"/>
              </w:rPr>
            </w:pPr>
            <w:r w:rsidRPr="00EE038F">
              <w:rPr>
                <w:rFonts w:ascii="Garamond" w:eastAsia="Times New Roman" w:hAnsi="Garamond"/>
                <w:bCs w:val="0"/>
                <w:color w:val="0D0D0D" w:themeColor="text1" w:themeTint="F2"/>
                <w:sz w:val="18"/>
                <w:lang w:val="sq-AL" w:eastAsia="en-GB"/>
              </w:rPr>
              <w:t>Banka e Shqipërisë</w:t>
            </w:r>
          </w:p>
        </w:tc>
        <w:tc>
          <w:tcPr>
            <w:tcW w:w="1957" w:type="pct"/>
            <w:gridSpan w:val="3"/>
            <w:vAlign w:val="center"/>
            <w:hideMark/>
          </w:tcPr>
          <w:p w14:paraId="2770F54F" w14:textId="77777777" w:rsidR="00C50585" w:rsidRPr="00EE038F" w:rsidRDefault="00C50585" w:rsidP="00AB72C2">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Cs w:val="0"/>
                <w:color w:val="0D0D0D" w:themeColor="text1" w:themeTint="F2"/>
                <w:sz w:val="18"/>
                <w:lang w:val="sq-AL" w:eastAsia="en-GB"/>
              </w:rPr>
            </w:pPr>
            <w:r w:rsidRPr="00EE038F">
              <w:rPr>
                <w:rFonts w:ascii="Garamond" w:eastAsia="Times New Roman" w:hAnsi="Garamond"/>
                <w:bCs w:val="0"/>
                <w:color w:val="0D0D0D" w:themeColor="text1" w:themeTint="F2"/>
                <w:sz w:val="18"/>
                <w:lang w:val="sq-AL" w:eastAsia="en-GB"/>
              </w:rPr>
              <w:t>Autoriteti i Mbikëqyrjes Financiare</w:t>
            </w:r>
          </w:p>
        </w:tc>
        <w:tc>
          <w:tcPr>
            <w:tcW w:w="659" w:type="pct"/>
            <w:vAlign w:val="center"/>
            <w:hideMark/>
          </w:tcPr>
          <w:p w14:paraId="337F912C" w14:textId="77777777" w:rsidR="00C50585" w:rsidRPr="00EE038F" w:rsidRDefault="00C50585" w:rsidP="00AB72C2">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Cs w:val="0"/>
                <w:color w:val="0D0D0D" w:themeColor="text1" w:themeTint="F2"/>
                <w:sz w:val="18"/>
                <w:lang w:val="sq-AL" w:eastAsia="en-GB"/>
              </w:rPr>
            </w:pPr>
            <w:r w:rsidRPr="00EE038F">
              <w:rPr>
                <w:rFonts w:ascii="Garamond" w:eastAsia="Times New Roman" w:hAnsi="Garamond"/>
                <w:bCs w:val="0"/>
                <w:color w:val="0D0D0D" w:themeColor="text1" w:themeTint="F2"/>
                <w:sz w:val="18"/>
                <w:lang w:val="sq-AL" w:eastAsia="en-GB"/>
              </w:rPr>
              <w:t>Madhësia e sektorit financiar</w:t>
            </w:r>
          </w:p>
        </w:tc>
      </w:tr>
      <w:tr w:rsidR="00C50585" w:rsidRPr="00EE038F" w14:paraId="1AD2E7CA" w14:textId="77777777" w:rsidTr="00AB72C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74" w:type="pct"/>
            <w:vAlign w:val="center"/>
            <w:hideMark/>
          </w:tcPr>
          <w:p w14:paraId="1C4D2376" w14:textId="77777777" w:rsidR="00C50585" w:rsidRPr="00EE038F" w:rsidRDefault="00C50585" w:rsidP="00AB72C2">
            <w:pPr>
              <w:jc w:val="center"/>
              <w:rPr>
                <w:rFonts w:ascii="Garamond" w:eastAsia="Times New Roman" w:hAnsi="Garamond"/>
                <w:b/>
                <w:bCs/>
                <w:i w:val="0"/>
                <w:color w:val="0D0D0D" w:themeColor="text1" w:themeTint="F2"/>
                <w:sz w:val="18"/>
                <w:lang w:val="sq-AL" w:eastAsia="en-GB"/>
              </w:rPr>
            </w:pPr>
            <w:r w:rsidRPr="00EE038F">
              <w:rPr>
                <w:rFonts w:ascii="Garamond" w:eastAsia="Times New Roman" w:hAnsi="Garamond"/>
                <w:b/>
                <w:bCs/>
                <w:i w:val="0"/>
                <w:color w:val="0D0D0D" w:themeColor="text1" w:themeTint="F2"/>
                <w:sz w:val="18"/>
                <w:lang w:val="sq-AL" w:eastAsia="en-GB"/>
              </w:rPr>
              <w:t>Sistemi financiar</w:t>
            </w:r>
          </w:p>
        </w:tc>
        <w:tc>
          <w:tcPr>
            <w:tcW w:w="536" w:type="pct"/>
            <w:vAlign w:val="center"/>
            <w:hideMark/>
          </w:tcPr>
          <w:p w14:paraId="56562BB3" w14:textId="77777777" w:rsidR="00C50585" w:rsidRPr="00EE038F" w:rsidRDefault="00C50585" w:rsidP="00AB72C2">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0D0D0D" w:themeColor="text1" w:themeTint="F2"/>
                <w:sz w:val="18"/>
                <w:lang w:val="sq-AL" w:eastAsia="en-GB"/>
              </w:rPr>
            </w:pPr>
            <w:r w:rsidRPr="00EE038F">
              <w:rPr>
                <w:rFonts w:ascii="Garamond" w:eastAsia="Times New Roman" w:hAnsi="Garamond"/>
                <w:b/>
                <w:bCs/>
                <w:color w:val="0D0D0D" w:themeColor="text1" w:themeTint="F2"/>
                <w:sz w:val="18"/>
                <w:lang w:val="sq-AL" w:eastAsia="en-GB"/>
              </w:rPr>
              <w:t>Sektori bankar</w:t>
            </w:r>
          </w:p>
        </w:tc>
        <w:tc>
          <w:tcPr>
            <w:tcW w:w="454" w:type="pct"/>
            <w:vAlign w:val="center"/>
            <w:hideMark/>
          </w:tcPr>
          <w:p w14:paraId="42D756F5" w14:textId="77777777" w:rsidR="00C50585" w:rsidRPr="00EE038F" w:rsidRDefault="00C50585" w:rsidP="00AB72C2">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0D0D0D" w:themeColor="text1" w:themeTint="F2"/>
                <w:sz w:val="18"/>
                <w:lang w:val="sq-AL" w:eastAsia="en-GB"/>
              </w:rPr>
            </w:pPr>
            <w:r w:rsidRPr="00EE038F">
              <w:rPr>
                <w:rFonts w:ascii="Garamond" w:eastAsia="Times New Roman" w:hAnsi="Garamond"/>
                <w:b/>
                <w:bCs/>
                <w:color w:val="0D0D0D" w:themeColor="text1" w:themeTint="F2"/>
                <w:sz w:val="18"/>
                <w:lang w:val="sq-AL" w:eastAsia="en-GB"/>
              </w:rPr>
              <w:t>IFJB</w:t>
            </w:r>
          </w:p>
        </w:tc>
        <w:tc>
          <w:tcPr>
            <w:tcW w:w="620" w:type="pct"/>
            <w:vAlign w:val="center"/>
            <w:hideMark/>
          </w:tcPr>
          <w:p w14:paraId="5A2FC22E" w14:textId="77777777" w:rsidR="00C50585" w:rsidRPr="00EE038F" w:rsidRDefault="00C50585" w:rsidP="00AB72C2">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0D0D0D" w:themeColor="text1" w:themeTint="F2"/>
                <w:sz w:val="18"/>
                <w:lang w:val="sq-AL" w:eastAsia="en-GB"/>
              </w:rPr>
            </w:pPr>
            <w:r w:rsidRPr="00EE038F">
              <w:rPr>
                <w:rFonts w:ascii="Garamond" w:eastAsia="Times New Roman" w:hAnsi="Garamond"/>
                <w:b/>
                <w:bCs/>
                <w:color w:val="0D0D0D" w:themeColor="text1" w:themeTint="F2"/>
                <w:sz w:val="18"/>
                <w:lang w:val="sq-AL" w:eastAsia="en-GB"/>
              </w:rPr>
              <w:t>SHKK-të dhe Unioni</w:t>
            </w:r>
          </w:p>
        </w:tc>
        <w:tc>
          <w:tcPr>
            <w:tcW w:w="658" w:type="pct"/>
            <w:vAlign w:val="center"/>
            <w:hideMark/>
          </w:tcPr>
          <w:p w14:paraId="75393BFE" w14:textId="77777777" w:rsidR="00C50585" w:rsidRPr="00EE038F" w:rsidRDefault="00C50585" w:rsidP="00AB72C2">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0D0D0D" w:themeColor="text1" w:themeTint="F2"/>
                <w:sz w:val="18"/>
                <w:lang w:val="sq-AL" w:eastAsia="en-GB"/>
              </w:rPr>
            </w:pPr>
            <w:r w:rsidRPr="00EE038F">
              <w:rPr>
                <w:rFonts w:ascii="Garamond" w:eastAsia="Times New Roman" w:hAnsi="Garamond"/>
                <w:b/>
                <w:bCs/>
                <w:color w:val="0D0D0D" w:themeColor="text1" w:themeTint="F2"/>
                <w:sz w:val="18"/>
                <w:lang w:val="sq-AL" w:eastAsia="en-GB"/>
              </w:rPr>
              <w:t>Kompanitë e sigurimit</w:t>
            </w:r>
          </w:p>
        </w:tc>
        <w:tc>
          <w:tcPr>
            <w:tcW w:w="620" w:type="pct"/>
            <w:vAlign w:val="center"/>
            <w:hideMark/>
          </w:tcPr>
          <w:p w14:paraId="2FBF84F2" w14:textId="77777777" w:rsidR="00C50585" w:rsidRPr="00EE038F" w:rsidRDefault="00C50585" w:rsidP="00AB72C2">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0D0D0D" w:themeColor="text1" w:themeTint="F2"/>
                <w:sz w:val="18"/>
                <w:lang w:val="sq-AL" w:eastAsia="en-GB"/>
              </w:rPr>
            </w:pPr>
            <w:r w:rsidRPr="00EE038F">
              <w:rPr>
                <w:rFonts w:ascii="Garamond" w:eastAsia="Times New Roman" w:hAnsi="Garamond"/>
                <w:b/>
                <w:bCs/>
                <w:color w:val="0D0D0D" w:themeColor="text1" w:themeTint="F2"/>
                <w:sz w:val="18"/>
                <w:lang w:val="sq-AL" w:eastAsia="en-GB"/>
              </w:rPr>
              <w:t>Fondet e pensionit</w:t>
            </w:r>
          </w:p>
        </w:tc>
        <w:tc>
          <w:tcPr>
            <w:tcW w:w="679" w:type="pct"/>
            <w:vAlign w:val="center"/>
            <w:hideMark/>
          </w:tcPr>
          <w:p w14:paraId="615C138D" w14:textId="77777777" w:rsidR="00C50585" w:rsidRPr="00EE038F" w:rsidRDefault="00C50585" w:rsidP="00AB72C2">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0D0D0D" w:themeColor="text1" w:themeTint="F2"/>
                <w:sz w:val="18"/>
                <w:lang w:val="sq-AL" w:eastAsia="en-GB"/>
              </w:rPr>
            </w:pPr>
            <w:r w:rsidRPr="00EE038F">
              <w:rPr>
                <w:rFonts w:ascii="Garamond" w:eastAsia="Times New Roman" w:hAnsi="Garamond"/>
                <w:b/>
                <w:bCs/>
                <w:color w:val="0D0D0D" w:themeColor="text1" w:themeTint="F2"/>
                <w:sz w:val="18"/>
                <w:lang w:val="sq-AL" w:eastAsia="en-GB"/>
              </w:rPr>
              <w:t>Fondet e investimit</w:t>
            </w:r>
          </w:p>
        </w:tc>
        <w:tc>
          <w:tcPr>
            <w:tcW w:w="659" w:type="pct"/>
            <w:vAlign w:val="center"/>
            <w:hideMark/>
          </w:tcPr>
          <w:p w14:paraId="2466E7AF" w14:textId="50A883D7" w:rsidR="00C50585" w:rsidRPr="00EE038F" w:rsidRDefault="00C50585" w:rsidP="00AB72C2">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0D0D0D" w:themeColor="text1" w:themeTint="F2"/>
                <w:sz w:val="18"/>
                <w:lang w:val="sq-AL" w:eastAsia="en-GB"/>
              </w:rPr>
            </w:pPr>
          </w:p>
        </w:tc>
      </w:tr>
      <w:tr w:rsidR="00C50585" w:rsidRPr="00EE038F" w14:paraId="3063A40B" w14:textId="77777777" w:rsidTr="00AB72C2">
        <w:trPr>
          <w:trHeight w:val="20"/>
          <w:jc w:val="center"/>
        </w:trPr>
        <w:tc>
          <w:tcPr>
            <w:cnfStyle w:val="001000000000" w:firstRow="0" w:lastRow="0" w:firstColumn="1" w:lastColumn="0" w:oddVBand="0" w:evenVBand="0" w:oddHBand="0" w:evenHBand="0" w:firstRowFirstColumn="0" w:firstRowLastColumn="0" w:lastRowFirstColumn="0" w:lastRowLastColumn="0"/>
            <w:tcW w:w="774" w:type="pct"/>
            <w:noWrap/>
            <w:hideMark/>
          </w:tcPr>
          <w:p w14:paraId="2812E13D" w14:textId="77777777" w:rsidR="00C50585" w:rsidRPr="00EE038F" w:rsidRDefault="00C50585" w:rsidP="00AB72C2">
            <w:pPr>
              <w:jc w:val="center"/>
              <w:rPr>
                <w:rFonts w:ascii="Garamond" w:eastAsia="Times New Roman" w:hAnsi="Garamond"/>
                <w:b/>
                <w:i w:val="0"/>
                <w:color w:val="0D0D0D" w:themeColor="text1" w:themeTint="F2"/>
                <w:sz w:val="18"/>
                <w:lang w:val="sq-AL" w:eastAsia="en-GB"/>
              </w:rPr>
            </w:pPr>
            <w:r w:rsidRPr="00EE038F">
              <w:rPr>
                <w:rFonts w:ascii="Garamond" w:eastAsia="Times New Roman" w:hAnsi="Garamond"/>
                <w:b/>
                <w:i w:val="0"/>
                <w:color w:val="0D0D0D" w:themeColor="text1" w:themeTint="F2"/>
                <w:sz w:val="18"/>
                <w:lang w:val="sq-AL" w:eastAsia="en-GB"/>
              </w:rPr>
              <w:t>2011</w:t>
            </w:r>
          </w:p>
        </w:tc>
        <w:tc>
          <w:tcPr>
            <w:tcW w:w="536" w:type="pct"/>
            <w:noWrap/>
            <w:vAlign w:val="center"/>
          </w:tcPr>
          <w:p w14:paraId="7757A51E"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86.1</w:t>
            </w:r>
          </w:p>
        </w:tc>
        <w:tc>
          <w:tcPr>
            <w:tcW w:w="454" w:type="pct"/>
            <w:noWrap/>
            <w:vAlign w:val="center"/>
          </w:tcPr>
          <w:p w14:paraId="7866666F"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2.6</w:t>
            </w:r>
          </w:p>
        </w:tc>
        <w:tc>
          <w:tcPr>
            <w:tcW w:w="620" w:type="pct"/>
            <w:noWrap/>
            <w:vAlign w:val="center"/>
          </w:tcPr>
          <w:p w14:paraId="0B7497F4"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0.8</w:t>
            </w:r>
          </w:p>
        </w:tc>
        <w:tc>
          <w:tcPr>
            <w:tcW w:w="658" w:type="pct"/>
            <w:noWrap/>
            <w:vAlign w:val="center"/>
          </w:tcPr>
          <w:p w14:paraId="12F62736"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1.5</w:t>
            </w:r>
          </w:p>
        </w:tc>
        <w:tc>
          <w:tcPr>
            <w:tcW w:w="620" w:type="pct"/>
            <w:noWrap/>
            <w:vAlign w:val="center"/>
          </w:tcPr>
          <w:p w14:paraId="084B059B"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0.0</w:t>
            </w:r>
          </w:p>
        </w:tc>
        <w:tc>
          <w:tcPr>
            <w:tcW w:w="679" w:type="pct"/>
            <w:noWrap/>
            <w:vAlign w:val="center"/>
          </w:tcPr>
          <w:p w14:paraId="4122CD9F"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 </w:t>
            </w:r>
          </w:p>
        </w:tc>
        <w:tc>
          <w:tcPr>
            <w:tcW w:w="659" w:type="pct"/>
            <w:noWrap/>
            <w:vAlign w:val="center"/>
          </w:tcPr>
          <w:p w14:paraId="6F371D15"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0D0D0D" w:themeColor="text1" w:themeTint="F2"/>
                <w:sz w:val="18"/>
                <w:lang w:val="sq-AL"/>
              </w:rPr>
            </w:pPr>
            <w:r w:rsidRPr="00EE038F">
              <w:rPr>
                <w:rFonts w:ascii="Garamond" w:hAnsi="Garamond"/>
                <w:b/>
                <w:bCs/>
                <w:color w:val="0D0D0D" w:themeColor="text1" w:themeTint="F2"/>
                <w:sz w:val="18"/>
                <w:lang w:val="sq-AL"/>
              </w:rPr>
              <w:t>91.0</w:t>
            </w:r>
          </w:p>
        </w:tc>
      </w:tr>
      <w:tr w:rsidR="00C50585" w:rsidRPr="00EE038F" w14:paraId="28131912" w14:textId="77777777" w:rsidTr="00AB72C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74" w:type="pct"/>
            <w:noWrap/>
            <w:hideMark/>
          </w:tcPr>
          <w:p w14:paraId="799905BF" w14:textId="77777777" w:rsidR="00C50585" w:rsidRPr="00EE038F" w:rsidRDefault="00C50585" w:rsidP="00AB72C2">
            <w:pPr>
              <w:jc w:val="center"/>
              <w:rPr>
                <w:rFonts w:ascii="Garamond" w:eastAsia="Times New Roman" w:hAnsi="Garamond"/>
                <w:b/>
                <w:i w:val="0"/>
                <w:color w:val="0D0D0D" w:themeColor="text1" w:themeTint="F2"/>
                <w:sz w:val="18"/>
                <w:lang w:val="sq-AL" w:eastAsia="en-GB"/>
              </w:rPr>
            </w:pPr>
            <w:r w:rsidRPr="00EE038F">
              <w:rPr>
                <w:rFonts w:ascii="Garamond" w:eastAsia="Times New Roman" w:hAnsi="Garamond"/>
                <w:b/>
                <w:i w:val="0"/>
                <w:color w:val="0D0D0D" w:themeColor="text1" w:themeTint="F2"/>
                <w:sz w:val="18"/>
                <w:lang w:val="sq-AL" w:eastAsia="en-GB"/>
              </w:rPr>
              <w:t>2012</w:t>
            </w:r>
          </w:p>
        </w:tc>
        <w:tc>
          <w:tcPr>
            <w:tcW w:w="536" w:type="pct"/>
            <w:noWrap/>
            <w:vAlign w:val="center"/>
          </w:tcPr>
          <w:p w14:paraId="7E7E62B9"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89.1</w:t>
            </w:r>
          </w:p>
        </w:tc>
        <w:tc>
          <w:tcPr>
            <w:tcW w:w="454" w:type="pct"/>
            <w:noWrap/>
            <w:vAlign w:val="center"/>
          </w:tcPr>
          <w:p w14:paraId="519E5A9A"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2.7</w:t>
            </w:r>
          </w:p>
        </w:tc>
        <w:tc>
          <w:tcPr>
            <w:tcW w:w="620" w:type="pct"/>
            <w:noWrap/>
            <w:vAlign w:val="center"/>
          </w:tcPr>
          <w:p w14:paraId="4306A87A"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0.8</w:t>
            </w:r>
          </w:p>
        </w:tc>
        <w:tc>
          <w:tcPr>
            <w:tcW w:w="658" w:type="pct"/>
            <w:noWrap/>
            <w:vAlign w:val="center"/>
          </w:tcPr>
          <w:p w14:paraId="717A24B0"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1.6</w:t>
            </w:r>
          </w:p>
        </w:tc>
        <w:tc>
          <w:tcPr>
            <w:tcW w:w="620" w:type="pct"/>
            <w:noWrap/>
            <w:vAlign w:val="center"/>
          </w:tcPr>
          <w:p w14:paraId="75DE6201"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0.0</w:t>
            </w:r>
          </w:p>
        </w:tc>
        <w:tc>
          <w:tcPr>
            <w:tcW w:w="679" w:type="pct"/>
            <w:noWrap/>
            <w:vAlign w:val="center"/>
          </w:tcPr>
          <w:p w14:paraId="6F62BA1F"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1.2</w:t>
            </w:r>
          </w:p>
        </w:tc>
        <w:tc>
          <w:tcPr>
            <w:tcW w:w="659" w:type="pct"/>
            <w:noWrap/>
            <w:vAlign w:val="center"/>
          </w:tcPr>
          <w:p w14:paraId="398B178C"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0D0D0D" w:themeColor="text1" w:themeTint="F2"/>
                <w:sz w:val="18"/>
                <w:lang w:val="sq-AL"/>
              </w:rPr>
            </w:pPr>
            <w:r w:rsidRPr="00EE038F">
              <w:rPr>
                <w:rFonts w:ascii="Garamond" w:hAnsi="Garamond"/>
                <w:b/>
                <w:bCs/>
                <w:color w:val="0D0D0D" w:themeColor="text1" w:themeTint="F2"/>
                <w:sz w:val="18"/>
                <w:lang w:val="sq-AL"/>
              </w:rPr>
              <w:t>95.4</w:t>
            </w:r>
          </w:p>
        </w:tc>
      </w:tr>
      <w:tr w:rsidR="00C50585" w:rsidRPr="00EE038F" w14:paraId="2B1D5DDE" w14:textId="77777777" w:rsidTr="00AB72C2">
        <w:trPr>
          <w:trHeight w:val="20"/>
          <w:jc w:val="center"/>
        </w:trPr>
        <w:tc>
          <w:tcPr>
            <w:cnfStyle w:val="001000000000" w:firstRow="0" w:lastRow="0" w:firstColumn="1" w:lastColumn="0" w:oddVBand="0" w:evenVBand="0" w:oddHBand="0" w:evenHBand="0" w:firstRowFirstColumn="0" w:firstRowLastColumn="0" w:lastRowFirstColumn="0" w:lastRowLastColumn="0"/>
            <w:tcW w:w="774" w:type="pct"/>
            <w:noWrap/>
            <w:hideMark/>
          </w:tcPr>
          <w:p w14:paraId="7FB59EC1" w14:textId="77777777" w:rsidR="00C50585" w:rsidRPr="00EE038F" w:rsidRDefault="00C50585" w:rsidP="00AB72C2">
            <w:pPr>
              <w:jc w:val="center"/>
              <w:rPr>
                <w:rFonts w:ascii="Garamond" w:eastAsia="Times New Roman" w:hAnsi="Garamond"/>
                <w:b/>
                <w:i w:val="0"/>
                <w:color w:val="0D0D0D" w:themeColor="text1" w:themeTint="F2"/>
                <w:sz w:val="18"/>
                <w:lang w:val="sq-AL" w:eastAsia="en-GB"/>
              </w:rPr>
            </w:pPr>
            <w:r w:rsidRPr="00EE038F">
              <w:rPr>
                <w:rFonts w:ascii="Garamond" w:eastAsia="Times New Roman" w:hAnsi="Garamond"/>
                <w:b/>
                <w:i w:val="0"/>
                <w:color w:val="0D0D0D" w:themeColor="text1" w:themeTint="F2"/>
                <w:sz w:val="18"/>
                <w:lang w:val="sq-AL" w:eastAsia="en-GB"/>
              </w:rPr>
              <w:t>2013</w:t>
            </w:r>
          </w:p>
        </w:tc>
        <w:tc>
          <w:tcPr>
            <w:tcW w:w="536" w:type="pct"/>
            <w:noWrap/>
            <w:vAlign w:val="center"/>
          </w:tcPr>
          <w:p w14:paraId="75983C6F"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91.4</w:t>
            </w:r>
          </w:p>
        </w:tc>
        <w:tc>
          <w:tcPr>
            <w:tcW w:w="454" w:type="pct"/>
            <w:noWrap/>
            <w:vAlign w:val="center"/>
          </w:tcPr>
          <w:p w14:paraId="6C5364EF"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2.6</w:t>
            </w:r>
          </w:p>
        </w:tc>
        <w:tc>
          <w:tcPr>
            <w:tcW w:w="620" w:type="pct"/>
            <w:noWrap/>
            <w:vAlign w:val="center"/>
          </w:tcPr>
          <w:p w14:paraId="56541358"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0.7</w:t>
            </w:r>
          </w:p>
        </w:tc>
        <w:tc>
          <w:tcPr>
            <w:tcW w:w="658" w:type="pct"/>
            <w:noWrap/>
            <w:vAlign w:val="center"/>
          </w:tcPr>
          <w:p w14:paraId="7276EDCF"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1.6</w:t>
            </w:r>
          </w:p>
        </w:tc>
        <w:tc>
          <w:tcPr>
            <w:tcW w:w="620" w:type="pct"/>
            <w:noWrap/>
            <w:vAlign w:val="center"/>
          </w:tcPr>
          <w:p w14:paraId="578E0C0B"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0.0</w:t>
            </w:r>
          </w:p>
        </w:tc>
        <w:tc>
          <w:tcPr>
            <w:tcW w:w="679" w:type="pct"/>
            <w:noWrap/>
            <w:vAlign w:val="center"/>
          </w:tcPr>
          <w:p w14:paraId="7F70E6EC"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3.7</w:t>
            </w:r>
          </w:p>
        </w:tc>
        <w:tc>
          <w:tcPr>
            <w:tcW w:w="659" w:type="pct"/>
            <w:noWrap/>
            <w:vAlign w:val="center"/>
          </w:tcPr>
          <w:p w14:paraId="2957DF47"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0D0D0D" w:themeColor="text1" w:themeTint="F2"/>
                <w:sz w:val="18"/>
                <w:lang w:val="sq-AL"/>
              </w:rPr>
            </w:pPr>
            <w:r w:rsidRPr="00EE038F">
              <w:rPr>
                <w:rFonts w:ascii="Garamond" w:hAnsi="Garamond"/>
                <w:b/>
                <w:bCs/>
                <w:color w:val="0D0D0D" w:themeColor="text1" w:themeTint="F2"/>
                <w:sz w:val="18"/>
                <w:lang w:val="sq-AL"/>
              </w:rPr>
              <w:t>100.2</w:t>
            </w:r>
          </w:p>
        </w:tc>
      </w:tr>
      <w:tr w:rsidR="00C50585" w:rsidRPr="00EE038F" w14:paraId="53F9B730" w14:textId="77777777" w:rsidTr="00AB72C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74" w:type="pct"/>
            <w:noWrap/>
            <w:hideMark/>
          </w:tcPr>
          <w:p w14:paraId="20A6D488" w14:textId="77777777" w:rsidR="00C50585" w:rsidRPr="00EE038F" w:rsidRDefault="00C50585" w:rsidP="00AB72C2">
            <w:pPr>
              <w:jc w:val="center"/>
              <w:rPr>
                <w:rFonts w:ascii="Garamond" w:eastAsia="Times New Roman" w:hAnsi="Garamond"/>
                <w:b/>
                <w:i w:val="0"/>
                <w:color w:val="0D0D0D" w:themeColor="text1" w:themeTint="F2"/>
                <w:sz w:val="18"/>
                <w:lang w:val="sq-AL" w:eastAsia="en-GB"/>
              </w:rPr>
            </w:pPr>
            <w:r w:rsidRPr="00EE038F">
              <w:rPr>
                <w:rFonts w:ascii="Garamond" w:eastAsia="Times New Roman" w:hAnsi="Garamond"/>
                <w:b/>
                <w:i w:val="0"/>
                <w:color w:val="0D0D0D" w:themeColor="text1" w:themeTint="F2"/>
                <w:sz w:val="18"/>
                <w:lang w:val="sq-AL" w:eastAsia="en-GB"/>
              </w:rPr>
              <w:t>2014</w:t>
            </w:r>
          </w:p>
        </w:tc>
        <w:tc>
          <w:tcPr>
            <w:tcW w:w="536" w:type="pct"/>
            <w:noWrap/>
            <w:vAlign w:val="center"/>
          </w:tcPr>
          <w:p w14:paraId="3B3438CD"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92.7</w:t>
            </w:r>
          </w:p>
        </w:tc>
        <w:tc>
          <w:tcPr>
            <w:tcW w:w="454" w:type="pct"/>
            <w:noWrap/>
            <w:vAlign w:val="center"/>
          </w:tcPr>
          <w:p w14:paraId="5D73F0AE"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2.8</w:t>
            </w:r>
          </w:p>
        </w:tc>
        <w:tc>
          <w:tcPr>
            <w:tcW w:w="620" w:type="pct"/>
            <w:noWrap/>
            <w:vAlign w:val="center"/>
          </w:tcPr>
          <w:p w14:paraId="43E525BE"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0.8</w:t>
            </w:r>
          </w:p>
        </w:tc>
        <w:tc>
          <w:tcPr>
            <w:tcW w:w="658" w:type="pct"/>
            <w:noWrap/>
            <w:vAlign w:val="center"/>
          </w:tcPr>
          <w:p w14:paraId="48E5BE64"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1.8</w:t>
            </w:r>
          </w:p>
        </w:tc>
        <w:tc>
          <w:tcPr>
            <w:tcW w:w="620" w:type="pct"/>
            <w:noWrap/>
            <w:vAlign w:val="center"/>
          </w:tcPr>
          <w:p w14:paraId="30C5F066"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0.0</w:t>
            </w:r>
          </w:p>
        </w:tc>
        <w:tc>
          <w:tcPr>
            <w:tcW w:w="679" w:type="pct"/>
            <w:noWrap/>
            <w:vAlign w:val="center"/>
          </w:tcPr>
          <w:p w14:paraId="34A44C60"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4.6</w:t>
            </w:r>
          </w:p>
        </w:tc>
        <w:tc>
          <w:tcPr>
            <w:tcW w:w="659" w:type="pct"/>
            <w:noWrap/>
            <w:vAlign w:val="center"/>
          </w:tcPr>
          <w:p w14:paraId="1E12D81E"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0D0D0D" w:themeColor="text1" w:themeTint="F2"/>
                <w:sz w:val="18"/>
                <w:lang w:val="sq-AL"/>
              </w:rPr>
            </w:pPr>
            <w:r w:rsidRPr="00EE038F">
              <w:rPr>
                <w:rFonts w:ascii="Garamond" w:hAnsi="Garamond"/>
                <w:b/>
                <w:bCs/>
                <w:color w:val="0D0D0D" w:themeColor="text1" w:themeTint="F2"/>
                <w:sz w:val="18"/>
                <w:lang w:val="sq-AL"/>
              </w:rPr>
              <w:t>102.7</w:t>
            </w:r>
          </w:p>
        </w:tc>
      </w:tr>
      <w:tr w:rsidR="00C50585" w:rsidRPr="00EE038F" w14:paraId="5A23FACA" w14:textId="77777777" w:rsidTr="00AB72C2">
        <w:trPr>
          <w:trHeight w:val="20"/>
          <w:jc w:val="center"/>
        </w:trPr>
        <w:tc>
          <w:tcPr>
            <w:cnfStyle w:val="001000000000" w:firstRow="0" w:lastRow="0" w:firstColumn="1" w:lastColumn="0" w:oddVBand="0" w:evenVBand="0" w:oddHBand="0" w:evenHBand="0" w:firstRowFirstColumn="0" w:firstRowLastColumn="0" w:lastRowFirstColumn="0" w:lastRowLastColumn="0"/>
            <w:tcW w:w="774" w:type="pct"/>
            <w:noWrap/>
            <w:hideMark/>
          </w:tcPr>
          <w:p w14:paraId="2DF5806F" w14:textId="77777777" w:rsidR="00C50585" w:rsidRPr="00EE038F" w:rsidRDefault="00C50585" w:rsidP="00AB72C2">
            <w:pPr>
              <w:jc w:val="center"/>
              <w:rPr>
                <w:rFonts w:ascii="Garamond" w:eastAsia="Times New Roman" w:hAnsi="Garamond"/>
                <w:b/>
                <w:i w:val="0"/>
                <w:color w:val="0D0D0D" w:themeColor="text1" w:themeTint="F2"/>
                <w:sz w:val="18"/>
                <w:lang w:val="sq-AL" w:eastAsia="en-GB"/>
              </w:rPr>
            </w:pPr>
            <w:r w:rsidRPr="00EE038F">
              <w:rPr>
                <w:rFonts w:ascii="Garamond" w:eastAsia="Times New Roman" w:hAnsi="Garamond"/>
                <w:b/>
                <w:i w:val="0"/>
                <w:color w:val="0D0D0D" w:themeColor="text1" w:themeTint="F2"/>
                <w:sz w:val="18"/>
                <w:lang w:val="sq-AL" w:eastAsia="en-GB"/>
              </w:rPr>
              <w:t>2015</w:t>
            </w:r>
          </w:p>
        </w:tc>
        <w:tc>
          <w:tcPr>
            <w:tcW w:w="536" w:type="pct"/>
            <w:noWrap/>
            <w:vAlign w:val="center"/>
          </w:tcPr>
          <w:p w14:paraId="3E4CED8D"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91.9</w:t>
            </w:r>
          </w:p>
        </w:tc>
        <w:tc>
          <w:tcPr>
            <w:tcW w:w="454" w:type="pct"/>
            <w:noWrap/>
            <w:vAlign w:val="center"/>
          </w:tcPr>
          <w:p w14:paraId="28422226"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2.7</w:t>
            </w:r>
          </w:p>
        </w:tc>
        <w:tc>
          <w:tcPr>
            <w:tcW w:w="620" w:type="pct"/>
            <w:noWrap/>
            <w:vAlign w:val="center"/>
          </w:tcPr>
          <w:p w14:paraId="0C24E32D"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0.7</w:t>
            </w:r>
          </w:p>
        </w:tc>
        <w:tc>
          <w:tcPr>
            <w:tcW w:w="658" w:type="pct"/>
            <w:noWrap/>
            <w:vAlign w:val="center"/>
          </w:tcPr>
          <w:p w14:paraId="7E2BE0E1"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2.0</w:t>
            </w:r>
          </w:p>
        </w:tc>
        <w:tc>
          <w:tcPr>
            <w:tcW w:w="620" w:type="pct"/>
            <w:noWrap/>
            <w:vAlign w:val="center"/>
          </w:tcPr>
          <w:p w14:paraId="745F0608"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0.1</w:t>
            </w:r>
          </w:p>
        </w:tc>
        <w:tc>
          <w:tcPr>
            <w:tcW w:w="679" w:type="pct"/>
            <w:noWrap/>
            <w:vAlign w:val="center"/>
          </w:tcPr>
          <w:p w14:paraId="7C774921"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4.7</w:t>
            </w:r>
          </w:p>
        </w:tc>
        <w:tc>
          <w:tcPr>
            <w:tcW w:w="659" w:type="pct"/>
            <w:noWrap/>
            <w:vAlign w:val="center"/>
          </w:tcPr>
          <w:p w14:paraId="073D6A4F"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0D0D0D" w:themeColor="text1" w:themeTint="F2"/>
                <w:sz w:val="18"/>
                <w:lang w:val="sq-AL"/>
              </w:rPr>
            </w:pPr>
            <w:r w:rsidRPr="00EE038F">
              <w:rPr>
                <w:rFonts w:ascii="Garamond" w:hAnsi="Garamond"/>
                <w:b/>
                <w:bCs/>
                <w:color w:val="0D0D0D" w:themeColor="text1" w:themeTint="F2"/>
                <w:sz w:val="18"/>
                <w:lang w:val="sq-AL"/>
              </w:rPr>
              <w:t>102.0</w:t>
            </w:r>
          </w:p>
        </w:tc>
      </w:tr>
      <w:tr w:rsidR="00C50585" w:rsidRPr="00EE038F" w14:paraId="4670B05A" w14:textId="77777777" w:rsidTr="00AB72C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74" w:type="pct"/>
            <w:noWrap/>
            <w:hideMark/>
          </w:tcPr>
          <w:p w14:paraId="31590A06" w14:textId="77777777" w:rsidR="00C50585" w:rsidRPr="00EE038F" w:rsidRDefault="00C50585" w:rsidP="00AB72C2">
            <w:pPr>
              <w:jc w:val="center"/>
              <w:rPr>
                <w:rFonts w:ascii="Garamond" w:eastAsia="Times New Roman" w:hAnsi="Garamond"/>
                <w:b/>
                <w:i w:val="0"/>
                <w:color w:val="0D0D0D" w:themeColor="text1" w:themeTint="F2"/>
                <w:sz w:val="18"/>
                <w:lang w:val="sq-AL" w:eastAsia="en-GB"/>
              </w:rPr>
            </w:pPr>
            <w:r w:rsidRPr="00EE038F">
              <w:rPr>
                <w:rFonts w:ascii="Garamond" w:eastAsia="Times New Roman" w:hAnsi="Garamond"/>
                <w:b/>
                <w:i w:val="0"/>
                <w:color w:val="0D0D0D" w:themeColor="text1" w:themeTint="F2"/>
                <w:sz w:val="18"/>
                <w:lang w:val="sq-AL" w:eastAsia="en-GB"/>
              </w:rPr>
              <w:t>2016</w:t>
            </w:r>
          </w:p>
        </w:tc>
        <w:tc>
          <w:tcPr>
            <w:tcW w:w="536" w:type="pct"/>
            <w:noWrap/>
            <w:vAlign w:val="center"/>
          </w:tcPr>
          <w:p w14:paraId="3FE25E93"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95.5</w:t>
            </w:r>
          </w:p>
        </w:tc>
        <w:tc>
          <w:tcPr>
            <w:tcW w:w="454" w:type="pct"/>
            <w:noWrap/>
            <w:vAlign w:val="center"/>
          </w:tcPr>
          <w:p w14:paraId="6A52F16F"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2.8</w:t>
            </w:r>
          </w:p>
        </w:tc>
        <w:tc>
          <w:tcPr>
            <w:tcW w:w="620" w:type="pct"/>
            <w:noWrap/>
            <w:vAlign w:val="center"/>
          </w:tcPr>
          <w:p w14:paraId="0B052CD5"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0.6</w:t>
            </w:r>
          </w:p>
        </w:tc>
        <w:tc>
          <w:tcPr>
            <w:tcW w:w="658" w:type="pct"/>
            <w:noWrap/>
            <w:vAlign w:val="center"/>
          </w:tcPr>
          <w:p w14:paraId="6095A45E"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2.0</w:t>
            </w:r>
          </w:p>
        </w:tc>
        <w:tc>
          <w:tcPr>
            <w:tcW w:w="620" w:type="pct"/>
            <w:noWrap/>
            <w:vAlign w:val="center"/>
          </w:tcPr>
          <w:p w14:paraId="67CFA4CE"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0.1</w:t>
            </w:r>
          </w:p>
        </w:tc>
        <w:tc>
          <w:tcPr>
            <w:tcW w:w="679" w:type="pct"/>
            <w:noWrap/>
            <w:vAlign w:val="center"/>
          </w:tcPr>
          <w:p w14:paraId="23F259F0"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4.5</w:t>
            </w:r>
          </w:p>
        </w:tc>
        <w:tc>
          <w:tcPr>
            <w:tcW w:w="659" w:type="pct"/>
            <w:noWrap/>
            <w:vAlign w:val="center"/>
          </w:tcPr>
          <w:p w14:paraId="237123A2"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0D0D0D" w:themeColor="text1" w:themeTint="F2"/>
                <w:sz w:val="18"/>
                <w:lang w:val="sq-AL"/>
              </w:rPr>
            </w:pPr>
            <w:r w:rsidRPr="00EE038F">
              <w:rPr>
                <w:rFonts w:ascii="Garamond" w:hAnsi="Garamond"/>
                <w:b/>
                <w:bCs/>
                <w:color w:val="0D0D0D" w:themeColor="text1" w:themeTint="F2"/>
                <w:sz w:val="18"/>
                <w:lang w:val="sq-AL"/>
              </w:rPr>
              <w:t>105.5</w:t>
            </w:r>
          </w:p>
        </w:tc>
      </w:tr>
      <w:tr w:rsidR="00C50585" w:rsidRPr="00EE038F" w14:paraId="7BE44861" w14:textId="77777777" w:rsidTr="00AB72C2">
        <w:trPr>
          <w:trHeight w:val="20"/>
          <w:jc w:val="center"/>
        </w:trPr>
        <w:tc>
          <w:tcPr>
            <w:cnfStyle w:val="001000000000" w:firstRow="0" w:lastRow="0" w:firstColumn="1" w:lastColumn="0" w:oddVBand="0" w:evenVBand="0" w:oddHBand="0" w:evenHBand="0" w:firstRowFirstColumn="0" w:firstRowLastColumn="0" w:lastRowFirstColumn="0" w:lastRowLastColumn="0"/>
            <w:tcW w:w="774" w:type="pct"/>
            <w:noWrap/>
            <w:hideMark/>
          </w:tcPr>
          <w:p w14:paraId="6C2A56DE" w14:textId="77777777" w:rsidR="00C50585" w:rsidRPr="00EE038F" w:rsidRDefault="00C50585" w:rsidP="00AB72C2">
            <w:pPr>
              <w:jc w:val="center"/>
              <w:rPr>
                <w:rFonts w:ascii="Garamond" w:eastAsia="Times New Roman" w:hAnsi="Garamond"/>
                <w:b/>
                <w:i w:val="0"/>
                <w:color w:val="0D0D0D" w:themeColor="text1" w:themeTint="F2"/>
                <w:sz w:val="18"/>
                <w:lang w:val="sq-AL" w:eastAsia="en-GB"/>
              </w:rPr>
            </w:pPr>
            <w:r w:rsidRPr="00EE038F">
              <w:rPr>
                <w:rFonts w:ascii="Garamond" w:eastAsia="Times New Roman" w:hAnsi="Garamond"/>
                <w:b/>
                <w:i w:val="0"/>
                <w:color w:val="0D0D0D" w:themeColor="text1" w:themeTint="F2"/>
                <w:sz w:val="18"/>
                <w:lang w:val="sq-AL" w:eastAsia="en-GB"/>
              </w:rPr>
              <w:t>2017</w:t>
            </w:r>
          </w:p>
        </w:tc>
        <w:tc>
          <w:tcPr>
            <w:tcW w:w="536" w:type="pct"/>
            <w:noWrap/>
            <w:vAlign w:val="center"/>
          </w:tcPr>
          <w:p w14:paraId="2F536B40"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93.2</w:t>
            </w:r>
          </w:p>
        </w:tc>
        <w:tc>
          <w:tcPr>
            <w:tcW w:w="454" w:type="pct"/>
            <w:noWrap/>
            <w:vAlign w:val="center"/>
          </w:tcPr>
          <w:p w14:paraId="2E463F9B"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2.9</w:t>
            </w:r>
          </w:p>
        </w:tc>
        <w:tc>
          <w:tcPr>
            <w:tcW w:w="620" w:type="pct"/>
            <w:noWrap/>
            <w:vAlign w:val="center"/>
          </w:tcPr>
          <w:p w14:paraId="5802F07A"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0.5</w:t>
            </w:r>
          </w:p>
        </w:tc>
        <w:tc>
          <w:tcPr>
            <w:tcW w:w="658" w:type="pct"/>
            <w:noWrap/>
            <w:vAlign w:val="center"/>
          </w:tcPr>
          <w:p w14:paraId="03D069FE"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2.0</w:t>
            </w:r>
          </w:p>
        </w:tc>
        <w:tc>
          <w:tcPr>
            <w:tcW w:w="620" w:type="pct"/>
            <w:noWrap/>
            <w:vAlign w:val="center"/>
          </w:tcPr>
          <w:p w14:paraId="6D7ED770"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0.1</w:t>
            </w:r>
          </w:p>
        </w:tc>
        <w:tc>
          <w:tcPr>
            <w:tcW w:w="679" w:type="pct"/>
            <w:noWrap/>
            <w:vAlign w:val="center"/>
          </w:tcPr>
          <w:p w14:paraId="361BDD4C"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4.7</w:t>
            </w:r>
          </w:p>
        </w:tc>
        <w:tc>
          <w:tcPr>
            <w:tcW w:w="659" w:type="pct"/>
            <w:noWrap/>
            <w:vAlign w:val="center"/>
          </w:tcPr>
          <w:p w14:paraId="66057EF4"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0D0D0D" w:themeColor="text1" w:themeTint="F2"/>
                <w:sz w:val="18"/>
                <w:lang w:val="sq-AL"/>
              </w:rPr>
            </w:pPr>
            <w:r w:rsidRPr="00EE038F">
              <w:rPr>
                <w:rFonts w:ascii="Garamond" w:hAnsi="Garamond"/>
                <w:b/>
                <w:bCs/>
                <w:color w:val="0D0D0D" w:themeColor="text1" w:themeTint="F2"/>
                <w:sz w:val="18"/>
                <w:lang w:val="sq-AL"/>
              </w:rPr>
              <w:t>103.4</w:t>
            </w:r>
          </w:p>
        </w:tc>
      </w:tr>
      <w:tr w:rsidR="00C50585" w:rsidRPr="00EE038F" w14:paraId="4F711540" w14:textId="77777777" w:rsidTr="00AB72C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74" w:type="pct"/>
            <w:noWrap/>
            <w:hideMark/>
          </w:tcPr>
          <w:p w14:paraId="7FB9A719" w14:textId="77777777" w:rsidR="00C50585" w:rsidRPr="00EE038F" w:rsidRDefault="00C50585" w:rsidP="00AB72C2">
            <w:pPr>
              <w:jc w:val="center"/>
              <w:rPr>
                <w:rFonts w:ascii="Garamond" w:eastAsia="Times New Roman" w:hAnsi="Garamond"/>
                <w:b/>
                <w:i w:val="0"/>
                <w:color w:val="0D0D0D" w:themeColor="text1" w:themeTint="F2"/>
                <w:sz w:val="18"/>
                <w:lang w:val="sq-AL" w:eastAsia="en-GB"/>
              </w:rPr>
            </w:pPr>
            <w:r w:rsidRPr="00EE038F">
              <w:rPr>
                <w:rFonts w:ascii="Garamond" w:eastAsia="Times New Roman" w:hAnsi="Garamond"/>
                <w:b/>
                <w:i w:val="0"/>
                <w:color w:val="0D0D0D" w:themeColor="text1" w:themeTint="F2"/>
                <w:sz w:val="18"/>
                <w:lang w:val="sq-AL" w:eastAsia="en-GB"/>
              </w:rPr>
              <w:t>2018</w:t>
            </w:r>
          </w:p>
        </w:tc>
        <w:tc>
          <w:tcPr>
            <w:tcW w:w="536" w:type="pct"/>
            <w:noWrap/>
            <w:vAlign w:val="center"/>
          </w:tcPr>
          <w:p w14:paraId="104C5FA6"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88.8</w:t>
            </w:r>
          </w:p>
        </w:tc>
        <w:tc>
          <w:tcPr>
            <w:tcW w:w="454" w:type="pct"/>
            <w:noWrap/>
            <w:vAlign w:val="center"/>
          </w:tcPr>
          <w:p w14:paraId="5CFE16A1"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3.2</w:t>
            </w:r>
          </w:p>
        </w:tc>
        <w:tc>
          <w:tcPr>
            <w:tcW w:w="620" w:type="pct"/>
            <w:noWrap/>
            <w:vAlign w:val="center"/>
          </w:tcPr>
          <w:p w14:paraId="1AB70897"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0.6</w:t>
            </w:r>
          </w:p>
        </w:tc>
        <w:tc>
          <w:tcPr>
            <w:tcW w:w="658" w:type="pct"/>
            <w:noWrap/>
            <w:vAlign w:val="center"/>
          </w:tcPr>
          <w:p w14:paraId="7AD1441F"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1.9</w:t>
            </w:r>
          </w:p>
        </w:tc>
        <w:tc>
          <w:tcPr>
            <w:tcW w:w="620" w:type="pct"/>
            <w:noWrap/>
            <w:vAlign w:val="center"/>
          </w:tcPr>
          <w:p w14:paraId="492F4D1A"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0.1</w:t>
            </w:r>
          </w:p>
        </w:tc>
        <w:tc>
          <w:tcPr>
            <w:tcW w:w="679" w:type="pct"/>
            <w:noWrap/>
            <w:vAlign w:val="center"/>
          </w:tcPr>
          <w:p w14:paraId="36ADB164"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4.2</w:t>
            </w:r>
          </w:p>
        </w:tc>
        <w:tc>
          <w:tcPr>
            <w:tcW w:w="659" w:type="pct"/>
            <w:noWrap/>
            <w:vAlign w:val="center"/>
          </w:tcPr>
          <w:p w14:paraId="407B2617"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0D0D0D" w:themeColor="text1" w:themeTint="F2"/>
                <w:sz w:val="18"/>
                <w:lang w:val="sq-AL"/>
              </w:rPr>
            </w:pPr>
            <w:r w:rsidRPr="00EE038F">
              <w:rPr>
                <w:rFonts w:ascii="Garamond" w:hAnsi="Garamond"/>
                <w:b/>
                <w:bCs/>
                <w:color w:val="0D0D0D" w:themeColor="text1" w:themeTint="F2"/>
                <w:sz w:val="18"/>
                <w:lang w:val="sq-AL"/>
              </w:rPr>
              <w:t>98.8</w:t>
            </w:r>
          </w:p>
        </w:tc>
      </w:tr>
      <w:tr w:rsidR="00C50585" w:rsidRPr="00EE038F" w14:paraId="48E117B6" w14:textId="77777777" w:rsidTr="00AB72C2">
        <w:trPr>
          <w:trHeight w:val="20"/>
          <w:jc w:val="center"/>
        </w:trPr>
        <w:tc>
          <w:tcPr>
            <w:cnfStyle w:val="001000000000" w:firstRow="0" w:lastRow="0" w:firstColumn="1" w:lastColumn="0" w:oddVBand="0" w:evenVBand="0" w:oddHBand="0" w:evenHBand="0" w:firstRowFirstColumn="0" w:firstRowLastColumn="0" w:lastRowFirstColumn="0" w:lastRowLastColumn="0"/>
            <w:tcW w:w="774" w:type="pct"/>
            <w:noWrap/>
            <w:hideMark/>
          </w:tcPr>
          <w:p w14:paraId="40490A5F" w14:textId="77777777" w:rsidR="00C50585" w:rsidRPr="00EE038F" w:rsidRDefault="00C50585" w:rsidP="00AB72C2">
            <w:pPr>
              <w:jc w:val="center"/>
              <w:rPr>
                <w:rFonts w:ascii="Garamond" w:eastAsia="Times New Roman" w:hAnsi="Garamond"/>
                <w:b/>
                <w:i w:val="0"/>
                <w:color w:val="0D0D0D" w:themeColor="text1" w:themeTint="F2"/>
                <w:sz w:val="18"/>
                <w:lang w:val="sq-AL" w:eastAsia="en-GB"/>
              </w:rPr>
            </w:pPr>
            <w:r w:rsidRPr="00EE038F">
              <w:rPr>
                <w:rFonts w:ascii="Garamond" w:eastAsia="Times New Roman" w:hAnsi="Garamond"/>
                <w:b/>
                <w:i w:val="0"/>
                <w:color w:val="0D0D0D" w:themeColor="text1" w:themeTint="F2"/>
                <w:sz w:val="18"/>
                <w:lang w:val="sq-AL" w:eastAsia="en-GB"/>
              </w:rPr>
              <w:t>2019</w:t>
            </w:r>
          </w:p>
        </w:tc>
        <w:tc>
          <w:tcPr>
            <w:tcW w:w="536" w:type="pct"/>
            <w:noWrap/>
            <w:vAlign w:val="center"/>
          </w:tcPr>
          <w:p w14:paraId="4D1FBB59"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87.2</w:t>
            </w:r>
          </w:p>
        </w:tc>
        <w:tc>
          <w:tcPr>
            <w:tcW w:w="454" w:type="pct"/>
            <w:noWrap/>
            <w:vAlign w:val="center"/>
          </w:tcPr>
          <w:p w14:paraId="55632131"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3.9</w:t>
            </w:r>
          </w:p>
        </w:tc>
        <w:tc>
          <w:tcPr>
            <w:tcW w:w="620" w:type="pct"/>
            <w:noWrap/>
            <w:vAlign w:val="center"/>
          </w:tcPr>
          <w:p w14:paraId="56FD492A"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0.6</w:t>
            </w:r>
          </w:p>
        </w:tc>
        <w:tc>
          <w:tcPr>
            <w:tcW w:w="658" w:type="pct"/>
            <w:noWrap/>
            <w:vAlign w:val="center"/>
          </w:tcPr>
          <w:p w14:paraId="4DECAD78"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2.0</w:t>
            </w:r>
          </w:p>
        </w:tc>
        <w:tc>
          <w:tcPr>
            <w:tcW w:w="620" w:type="pct"/>
            <w:noWrap/>
            <w:vAlign w:val="center"/>
          </w:tcPr>
          <w:p w14:paraId="0BC7ACF0"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0.2</w:t>
            </w:r>
          </w:p>
        </w:tc>
        <w:tc>
          <w:tcPr>
            <w:tcW w:w="679" w:type="pct"/>
            <w:noWrap/>
            <w:vAlign w:val="center"/>
          </w:tcPr>
          <w:p w14:paraId="06422C96"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4.0</w:t>
            </w:r>
          </w:p>
        </w:tc>
        <w:tc>
          <w:tcPr>
            <w:tcW w:w="659" w:type="pct"/>
            <w:noWrap/>
            <w:vAlign w:val="center"/>
          </w:tcPr>
          <w:p w14:paraId="33B52F37"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0D0D0D" w:themeColor="text1" w:themeTint="F2"/>
                <w:sz w:val="18"/>
                <w:lang w:val="sq-AL"/>
              </w:rPr>
            </w:pPr>
            <w:r w:rsidRPr="00EE038F">
              <w:rPr>
                <w:rFonts w:ascii="Garamond" w:hAnsi="Garamond"/>
                <w:b/>
                <w:bCs/>
                <w:color w:val="0D0D0D" w:themeColor="text1" w:themeTint="F2"/>
                <w:sz w:val="18"/>
                <w:lang w:val="sq-AL"/>
              </w:rPr>
              <w:t>97.9</w:t>
            </w:r>
          </w:p>
        </w:tc>
      </w:tr>
      <w:tr w:rsidR="00C50585" w:rsidRPr="00EE038F" w14:paraId="32A20334" w14:textId="77777777" w:rsidTr="00AB72C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74" w:type="pct"/>
            <w:noWrap/>
            <w:hideMark/>
          </w:tcPr>
          <w:p w14:paraId="7E578CEF" w14:textId="77777777" w:rsidR="00C50585" w:rsidRPr="00EE038F" w:rsidRDefault="00C50585" w:rsidP="00AB72C2">
            <w:pPr>
              <w:jc w:val="center"/>
              <w:rPr>
                <w:rFonts w:ascii="Garamond" w:eastAsia="Times New Roman" w:hAnsi="Garamond"/>
                <w:b/>
                <w:i w:val="0"/>
                <w:color w:val="0D0D0D" w:themeColor="text1" w:themeTint="F2"/>
                <w:sz w:val="18"/>
                <w:lang w:val="sq-AL" w:eastAsia="en-GB"/>
              </w:rPr>
            </w:pPr>
            <w:r w:rsidRPr="00EE038F">
              <w:rPr>
                <w:rFonts w:ascii="Garamond" w:eastAsia="Times New Roman" w:hAnsi="Garamond"/>
                <w:b/>
                <w:i w:val="0"/>
                <w:color w:val="0D0D0D" w:themeColor="text1" w:themeTint="F2"/>
                <w:sz w:val="18"/>
                <w:lang w:val="sq-AL" w:eastAsia="en-GB"/>
              </w:rPr>
              <w:t>2020</w:t>
            </w:r>
          </w:p>
        </w:tc>
        <w:tc>
          <w:tcPr>
            <w:tcW w:w="536" w:type="pct"/>
            <w:noWrap/>
            <w:vAlign w:val="center"/>
          </w:tcPr>
          <w:p w14:paraId="7FC6BBA2"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97.8</w:t>
            </w:r>
          </w:p>
        </w:tc>
        <w:tc>
          <w:tcPr>
            <w:tcW w:w="454" w:type="pct"/>
            <w:noWrap/>
            <w:vAlign w:val="center"/>
          </w:tcPr>
          <w:p w14:paraId="06193E26"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4.2</w:t>
            </w:r>
          </w:p>
        </w:tc>
        <w:tc>
          <w:tcPr>
            <w:tcW w:w="620" w:type="pct"/>
            <w:noWrap/>
            <w:vAlign w:val="center"/>
          </w:tcPr>
          <w:p w14:paraId="1171FADE"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0.7</w:t>
            </w:r>
          </w:p>
        </w:tc>
        <w:tc>
          <w:tcPr>
            <w:tcW w:w="658" w:type="pct"/>
            <w:noWrap/>
            <w:vAlign w:val="center"/>
          </w:tcPr>
          <w:p w14:paraId="5CB1DFED"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2.4</w:t>
            </w:r>
          </w:p>
        </w:tc>
        <w:tc>
          <w:tcPr>
            <w:tcW w:w="620" w:type="pct"/>
            <w:noWrap/>
            <w:vAlign w:val="center"/>
          </w:tcPr>
          <w:p w14:paraId="2EE879AA"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0.2</w:t>
            </w:r>
          </w:p>
        </w:tc>
        <w:tc>
          <w:tcPr>
            <w:tcW w:w="679" w:type="pct"/>
            <w:noWrap/>
            <w:vAlign w:val="center"/>
          </w:tcPr>
          <w:p w14:paraId="27903E2F"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4.2</w:t>
            </w:r>
          </w:p>
        </w:tc>
        <w:tc>
          <w:tcPr>
            <w:tcW w:w="659" w:type="pct"/>
            <w:noWrap/>
            <w:vAlign w:val="center"/>
          </w:tcPr>
          <w:p w14:paraId="63AE593A"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0D0D0D" w:themeColor="text1" w:themeTint="F2"/>
                <w:sz w:val="18"/>
                <w:lang w:val="sq-AL"/>
              </w:rPr>
            </w:pPr>
            <w:r w:rsidRPr="00EE038F">
              <w:rPr>
                <w:rFonts w:ascii="Garamond" w:hAnsi="Garamond"/>
                <w:b/>
                <w:bCs/>
                <w:color w:val="0D0D0D" w:themeColor="text1" w:themeTint="F2"/>
                <w:sz w:val="18"/>
                <w:lang w:val="sq-AL"/>
              </w:rPr>
              <w:t>107.5</w:t>
            </w:r>
          </w:p>
        </w:tc>
      </w:tr>
      <w:tr w:rsidR="00C50585" w:rsidRPr="00EE038F" w14:paraId="6C43355C" w14:textId="77777777" w:rsidTr="00AB72C2">
        <w:trPr>
          <w:trHeight w:val="20"/>
          <w:jc w:val="center"/>
        </w:trPr>
        <w:tc>
          <w:tcPr>
            <w:cnfStyle w:val="001000000000" w:firstRow="0" w:lastRow="0" w:firstColumn="1" w:lastColumn="0" w:oddVBand="0" w:evenVBand="0" w:oddHBand="0" w:evenHBand="0" w:firstRowFirstColumn="0" w:firstRowLastColumn="0" w:lastRowFirstColumn="0" w:lastRowLastColumn="0"/>
            <w:tcW w:w="774" w:type="pct"/>
            <w:noWrap/>
            <w:hideMark/>
          </w:tcPr>
          <w:p w14:paraId="0C61A268" w14:textId="77777777" w:rsidR="00C50585" w:rsidRPr="00EE038F" w:rsidRDefault="00C50585" w:rsidP="00AB72C2">
            <w:pPr>
              <w:jc w:val="center"/>
              <w:rPr>
                <w:rFonts w:ascii="Garamond" w:eastAsia="Times New Roman" w:hAnsi="Garamond"/>
                <w:b/>
                <w:i w:val="0"/>
                <w:color w:val="0D0D0D" w:themeColor="text1" w:themeTint="F2"/>
                <w:sz w:val="18"/>
                <w:lang w:val="sq-AL" w:eastAsia="en-GB"/>
              </w:rPr>
            </w:pPr>
            <w:r w:rsidRPr="00EE038F">
              <w:rPr>
                <w:rFonts w:ascii="Garamond" w:eastAsia="Times New Roman" w:hAnsi="Garamond"/>
                <w:b/>
                <w:i w:val="0"/>
                <w:color w:val="0D0D0D" w:themeColor="text1" w:themeTint="F2"/>
                <w:sz w:val="18"/>
                <w:lang w:val="sq-AL" w:eastAsia="en-GB"/>
              </w:rPr>
              <w:t>2021</w:t>
            </w:r>
          </w:p>
        </w:tc>
        <w:tc>
          <w:tcPr>
            <w:tcW w:w="536" w:type="pct"/>
            <w:noWrap/>
            <w:vAlign w:val="center"/>
          </w:tcPr>
          <w:p w14:paraId="18A03252"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95.5</w:t>
            </w:r>
          </w:p>
        </w:tc>
        <w:tc>
          <w:tcPr>
            <w:tcW w:w="454" w:type="pct"/>
            <w:noWrap/>
            <w:vAlign w:val="center"/>
          </w:tcPr>
          <w:p w14:paraId="54B732A7"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4.1</w:t>
            </w:r>
          </w:p>
        </w:tc>
        <w:tc>
          <w:tcPr>
            <w:tcW w:w="620" w:type="pct"/>
            <w:noWrap/>
            <w:vAlign w:val="center"/>
          </w:tcPr>
          <w:p w14:paraId="131F19B8"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0.7</w:t>
            </w:r>
          </w:p>
        </w:tc>
        <w:tc>
          <w:tcPr>
            <w:tcW w:w="658" w:type="pct"/>
            <w:noWrap/>
            <w:vAlign w:val="center"/>
          </w:tcPr>
          <w:p w14:paraId="2B2A74A6"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2.2</w:t>
            </w:r>
          </w:p>
        </w:tc>
        <w:tc>
          <w:tcPr>
            <w:tcW w:w="620" w:type="pct"/>
            <w:noWrap/>
            <w:vAlign w:val="center"/>
          </w:tcPr>
          <w:p w14:paraId="16C9BEC0"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0.2</w:t>
            </w:r>
          </w:p>
        </w:tc>
        <w:tc>
          <w:tcPr>
            <w:tcW w:w="679" w:type="pct"/>
            <w:noWrap/>
            <w:vAlign w:val="center"/>
          </w:tcPr>
          <w:p w14:paraId="54A7994D"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4.2</w:t>
            </w:r>
          </w:p>
        </w:tc>
        <w:tc>
          <w:tcPr>
            <w:tcW w:w="659" w:type="pct"/>
            <w:noWrap/>
            <w:vAlign w:val="center"/>
          </w:tcPr>
          <w:p w14:paraId="3CB0F8BD"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0D0D0D" w:themeColor="text1" w:themeTint="F2"/>
                <w:sz w:val="18"/>
                <w:lang w:val="sq-AL"/>
              </w:rPr>
            </w:pPr>
            <w:r w:rsidRPr="00EE038F">
              <w:rPr>
                <w:rFonts w:ascii="Garamond" w:hAnsi="Garamond"/>
                <w:b/>
                <w:bCs/>
                <w:color w:val="0D0D0D" w:themeColor="text1" w:themeTint="F2"/>
                <w:sz w:val="18"/>
                <w:lang w:val="sq-AL"/>
              </w:rPr>
              <w:t>107.0</w:t>
            </w:r>
          </w:p>
        </w:tc>
      </w:tr>
      <w:tr w:rsidR="00C50585" w:rsidRPr="00EE038F" w14:paraId="6FF9D909" w14:textId="77777777" w:rsidTr="00AB72C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74" w:type="pct"/>
            <w:noWrap/>
            <w:hideMark/>
          </w:tcPr>
          <w:p w14:paraId="69630E4B" w14:textId="77777777" w:rsidR="00C50585" w:rsidRPr="00EE038F" w:rsidRDefault="00C50585" w:rsidP="00AB72C2">
            <w:pPr>
              <w:jc w:val="center"/>
              <w:rPr>
                <w:rFonts w:ascii="Garamond" w:eastAsia="Times New Roman" w:hAnsi="Garamond"/>
                <w:b/>
                <w:i w:val="0"/>
                <w:color w:val="0D0D0D" w:themeColor="text1" w:themeTint="F2"/>
                <w:sz w:val="18"/>
                <w:lang w:val="sq-AL" w:eastAsia="en-GB"/>
              </w:rPr>
            </w:pPr>
            <w:r w:rsidRPr="00EE038F">
              <w:rPr>
                <w:rFonts w:ascii="Garamond" w:eastAsia="Times New Roman" w:hAnsi="Garamond"/>
                <w:b/>
                <w:i w:val="0"/>
                <w:color w:val="0D0D0D" w:themeColor="text1" w:themeTint="F2"/>
                <w:sz w:val="18"/>
                <w:lang w:val="sq-AL" w:eastAsia="en-GB"/>
              </w:rPr>
              <w:lastRenderedPageBreak/>
              <w:t>2022</w:t>
            </w:r>
          </w:p>
        </w:tc>
        <w:tc>
          <w:tcPr>
            <w:tcW w:w="536" w:type="pct"/>
            <w:noWrap/>
            <w:vAlign w:val="center"/>
          </w:tcPr>
          <w:p w14:paraId="18284776"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87.8</w:t>
            </w:r>
          </w:p>
        </w:tc>
        <w:tc>
          <w:tcPr>
            <w:tcW w:w="454" w:type="pct"/>
            <w:noWrap/>
            <w:vAlign w:val="center"/>
          </w:tcPr>
          <w:p w14:paraId="5C4A4924"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3.8</w:t>
            </w:r>
          </w:p>
        </w:tc>
        <w:tc>
          <w:tcPr>
            <w:tcW w:w="620" w:type="pct"/>
            <w:noWrap/>
            <w:vAlign w:val="center"/>
          </w:tcPr>
          <w:p w14:paraId="28E4CAAA"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0.7</w:t>
            </w:r>
          </w:p>
        </w:tc>
        <w:tc>
          <w:tcPr>
            <w:tcW w:w="658" w:type="pct"/>
            <w:noWrap/>
            <w:vAlign w:val="center"/>
          </w:tcPr>
          <w:p w14:paraId="6C3F9467"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2.0</w:t>
            </w:r>
          </w:p>
        </w:tc>
        <w:tc>
          <w:tcPr>
            <w:tcW w:w="620" w:type="pct"/>
            <w:noWrap/>
            <w:vAlign w:val="center"/>
          </w:tcPr>
          <w:p w14:paraId="5E2D198B"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0.3</w:t>
            </w:r>
          </w:p>
        </w:tc>
        <w:tc>
          <w:tcPr>
            <w:tcW w:w="679" w:type="pct"/>
            <w:noWrap/>
            <w:vAlign w:val="center"/>
          </w:tcPr>
          <w:p w14:paraId="0339D985"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1.9</w:t>
            </w:r>
          </w:p>
        </w:tc>
        <w:tc>
          <w:tcPr>
            <w:tcW w:w="659" w:type="pct"/>
            <w:noWrap/>
            <w:vAlign w:val="center"/>
          </w:tcPr>
          <w:p w14:paraId="5D5A65A2"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0D0D0D" w:themeColor="text1" w:themeTint="F2"/>
                <w:sz w:val="18"/>
                <w:lang w:val="sq-AL"/>
              </w:rPr>
            </w:pPr>
            <w:r w:rsidRPr="00EE038F">
              <w:rPr>
                <w:rFonts w:ascii="Garamond" w:hAnsi="Garamond"/>
                <w:b/>
                <w:bCs/>
                <w:color w:val="0D0D0D" w:themeColor="text1" w:themeTint="F2"/>
                <w:sz w:val="18"/>
                <w:lang w:val="sq-AL"/>
              </w:rPr>
              <w:t>96.5</w:t>
            </w:r>
          </w:p>
        </w:tc>
      </w:tr>
      <w:tr w:rsidR="00C50585" w:rsidRPr="00EE038F" w14:paraId="1C9157A0" w14:textId="77777777" w:rsidTr="00AB72C2">
        <w:trPr>
          <w:trHeight w:val="20"/>
          <w:jc w:val="center"/>
        </w:trPr>
        <w:tc>
          <w:tcPr>
            <w:cnfStyle w:val="001000000000" w:firstRow="0" w:lastRow="0" w:firstColumn="1" w:lastColumn="0" w:oddVBand="0" w:evenVBand="0" w:oddHBand="0" w:evenHBand="0" w:firstRowFirstColumn="0" w:firstRowLastColumn="0" w:lastRowFirstColumn="0" w:lastRowLastColumn="0"/>
            <w:tcW w:w="774" w:type="pct"/>
            <w:noWrap/>
          </w:tcPr>
          <w:p w14:paraId="5F080F4D" w14:textId="77777777" w:rsidR="00C50585" w:rsidRPr="00EE038F" w:rsidRDefault="00C50585" w:rsidP="00AB72C2">
            <w:pPr>
              <w:jc w:val="center"/>
              <w:rPr>
                <w:rFonts w:ascii="Garamond" w:eastAsia="Times New Roman" w:hAnsi="Garamond"/>
                <w:b/>
                <w:i w:val="0"/>
                <w:color w:val="0D0D0D" w:themeColor="text1" w:themeTint="F2"/>
                <w:sz w:val="18"/>
                <w:lang w:val="sq-AL" w:eastAsia="en-GB"/>
              </w:rPr>
            </w:pPr>
            <w:r w:rsidRPr="00EE038F">
              <w:rPr>
                <w:rFonts w:ascii="Garamond" w:eastAsia="Times New Roman" w:hAnsi="Garamond"/>
                <w:b/>
                <w:i w:val="0"/>
                <w:color w:val="0D0D0D" w:themeColor="text1" w:themeTint="F2"/>
                <w:sz w:val="18"/>
                <w:lang w:val="sq-AL" w:eastAsia="en-GB"/>
              </w:rPr>
              <w:t>2023</w:t>
            </w:r>
          </w:p>
        </w:tc>
        <w:tc>
          <w:tcPr>
            <w:tcW w:w="536" w:type="pct"/>
            <w:noWrap/>
            <w:vAlign w:val="center"/>
          </w:tcPr>
          <w:p w14:paraId="533FDF81"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82.9</w:t>
            </w:r>
          </w:p>
        </w:tc>
        <w:tc>
          <w:tcPr>
            <w:tcW w:w="454" w:type="pct"/>
            <w:noWrap/>
            <w:vAlign w:val="center"/>
          </w:tcPr>
          <w:p w14:paraId="546E2C3B"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3.7</w:t>
            </w:r>
          </w:p>
        </w:tc>
        <w:tc>
          <w:tcPr>
            <w:tcW w:w="620" w:type="pct"/>
            <w:noWrap/>
            <w:vAlign w:val="center"/>
          </w:tcPr>
          <w:p w14:paraId="21A3C181"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0.7</w:t>
            </w:r>
          </w:p>
        </w:tc>
        <w:tc>
          <w:tcPr>
            <w:tcW w:w="658" w:type="pct"/>
            <w:noWrap/>
            <w:vAlign w:val="center"/>
          </w:tcPr>
          <w:p w14:paraId="22434530"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2.1</w:t>
            </w:r>
          </w:p>
        </w:tc>
        <w:tc>
          <w:tcPr>
            <w:tcW w:w="620" w:type="pct"/>
            <w:noWrap/>
            <w:vAlign w:val="center"/>
          </w:tcPr>
          <w:p w14:paraId="09C1F551"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0.3</w:t>
            </w:r>
          </w:p>
        </w:tc>
        <w:tc>
          <w:tcPr>
            <w:tcW w:w="679" w:type="pct"/>
            <w:noWrap/>
            <w:vAlign w:val="center"/>
          </w:tcPr>
          <w:p w14:paraId="70ECE4B6"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2.1</w:t>
            </w:r>
          </w:p>
        </w:tc>
        <w:tc>
          <w:tcPr>
            <w:tcW w:w="659" w:type="pct"/>
            <w:noWrap/>
            <w:vAlign w:val="center"/>
          </w:tcPr>
          <w:p w14:paraId="4B0F147A" w14:textId="77777777" w:rsidR="00C50585" w:rsidRPr="00EE038F" w:rsidRDefault="00C50585" w:rsidP="00AB72C2">
            <w:pPr>
              <w:jc w:val="right"/>
              <w:cnfStyle w:val="000000000000" w:firstRow="0" w:lastRow="0" w:firstColumn="0" w:lastColumn="0" w:oddVBand="0" w:evenVBand="0" w:oddHBand="0" w:evenHBand="0" w:firstRowFirstColumn="0" w:firstRowLastColumn="0" w:lastRowFirstColumn="0" w:lastRowLastColumn="0"/>
              <w:rPr>
                <w:rFonts w:ascii="Garamond" w:hAnsi="Garamond"/>
                <w:b/>
                <w:bCs/>
                <w:color w:val="0D0D0D" w:themeColor="text1" w:themeTint="F2"/>
                <w:sz w:val="18"/>
                <w:lang w:val="sq-AL"/>
              </w:rPr>
            </w:pPr>
            <w:r w:rsidRPr="00EE038F">
              <w:rPr>
                <w:rFonts w:ascii="Garamond" w:hAnsi="Garamond"/>
                <w:b/>
                <w:bCs/>
                <w:color w:val="0D0D0D" w:themeColor="text1" w:themeTint="F2"/>
                <w:sz w:val="18"/>
                <w:lang w:val="sq-AL"/>
              </w:rPr>
              <w:t>91.8</w:t>
            </w:r>
          </w:p>
        </w:tc>
      </w:tr>
      <w:tr w:rsidR="00C50585" w:rsidRPr="00EE038F" w14:paraId="6CB79A77" w14:textId="77777777" w:rsidTr="00AB72C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74" w:type="pct"/>
            <w:noWrap/>
          </w:tcPr>
          <w:p w14:paraId="0EDB5DA9" w14:textId="77777777" w:rsidR="00C50585" w:rsidRPr="00EE038F" w:rsidRDefault="00C50585" w:rsidP="00AB72C2">
            <w:pPr>
              <w:jc w:val="center"/>
              <w:rPr>
                <w:rFonts w:ascii="Garamond" w:eastAsia="Times New Roman" w:hAnsi="Garamond"/>
                <w:b/>
                <w:i w:val="0"/>
                <w:color w:val="0D0D0D" w:themeColor="text1" w:themeTint="F2"/>
                <w:sz w:val="18"/>
                <w:lang w:val="sq-AL" w:eastAsia="en-GB"/>
              </w:rPr>
            </w:pPr>
            <w:r w:rsidRPr="00EE038F">
              <w:rPr>
                <w:rFonts w:ascii="Garamond" w:eastAsia="Times New Roman" w:hAnsi="Garamond"/>
                <w:b/>
                <w:i w:val="0"/>
                <w:color w:val="0D0D0D" w:themeColor="text1" w:themeTint="F2"/>
                <w:sz w:val="18"/>
                <w:lang w:val="sq-AL" w:eastAsia="en-GB"/>
              </w:rPr>
              <w:t>2024</w:t>
            </w:r>
          </w:p>
        </w:tc>
        <w:tc>
          <w:tcPr>
            <w:tcW w:w="536" w:type="pct"/>
            <w:noWrap/>
            <w:vAlign w:val="center"/>
          </w:tcPr>
          <w:p w14:paraId="10A4C948"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83.4</w:t>
            </w:r>
          </w:p>
        </w:tc>
        <w:tc>
          <w:tcPr>
            <w:tcW w:w="454" w:type="pct"/>
            <w:noWrap/>
            <w:vAlign w:val="center"/>
          </w:tcPr>
          <w:p w14:paraId="1CCA7B11"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3.4</w:t>
            </w:r>
          </w:p>
        </w:tc>
        <w:tc>
          <w:tcPr>
            <w:tcW w:w="620" w:type="pct"/>
            <w:noWrap/>
            <w:vAlign w:val="center"/>
          </w:tcPr>
          <w:p w14:paraId="1EDFFF96"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0.7</w:t>
            </w:r>
          </w:p>
        </w:tc>
        <w:tc>
          <w:tcPr>
            <w:tcW w:w="658" w:type="pct"/>
            <w:noWrap/>
            <w:vAlign w:val="center"/>
          </w:tcPr>
          <w:p w14:paraId="125CF11E"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2.2</w:t>
            </w:r>
          </w:p>
        </w:tc>
        <w:tc>
          <w:tcPr>
            <w:tcW w:w="620" w:type="pct"/>
            <w:noWrap/>
            <w:vAlign w:val="center"/>
          </w:tcPr>
          <w:p w14:paraId="129AB44A"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0.3</w:t>
            </w:r>
          </w:p>
        </w:tc>
        <w:tc>
          <w:tcPr>
            <w:tcW w:w="679" w:type="pct"/>
            <w:noWrap/>
            <w:vAlign w:val="center"/>
          </w:tcPr>
          <w:p w14:paraId="54032AB0"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color w:val="0D0D0D" w:themeColor="text1" w:themeTint="F2"/>
                <w:sz w:val="18"/>
                <w:lang w:val="sq-AL"/>
              </w:rPr>
            </w:pPr>
            <w:r w:rsidRPr="00EE038F">
              <w:rPr>
                <w:rFonts w:ascii="Garamond" w:hAnsi="Garamond"/>
                <w:color w:val="0D0D0D" w:themeColor="text1" w:themeTint="F2"/>
                <w:sz w:val="18"/>
                <w:lang w:val="sq-AL"/>
              </w:rPr>
              <w:t>2.2</w:t>
            </w:r>
          </w:p>
        </w:tc>
        <w:tc>
          <w:tcPr>
            <w:tcW w:w="659" w:type="pct"/>
            <w:noWrap/>
            <w:vAlign w:val="center"/>
          </w:tcPr>
          <w:p w14:paraId="1889776F" w14:textId="77777777" w:rsidR="00C50585" w:rsidRPr="00EE038F" w:rsidRDefault="00C50585" w:rsidP="00AB72C2">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0D0D0D" w:themeColor="text1" w:themeTint="F2"/>
                <w:sz w:val="18"/>
                <w:lang w:val="sq-AL"/>
              </w:rPr>
            </w:pPr>
            <w:r w:rsidRPr="00EE038F">
              <w:rPr>
                <w:rFonts w:ascii="Garamond" w:hAnsi="Garamond"/>
                <w:b/>
                <w:bCs/>
                <w:color w:val="0D0D0D" w:themeColor="text1" w:themeTint="F2"/>
                <w:sz w:val="18"/>
                <w:lang w:val="sq-AL"/>
              </w:rPr>
              <w:t>92.2</w:t>
            </w:r>
          </w:p>
        </w:tc>
      </w:tr>
    </w:tbl>
    <w:p w14:paraId="5AADA976" w14:textId="6421D918" w:rsidR="00C50585" w:rsidRPr="00EE038F" w:rsidRDefault="00C50585" w:rsidP="00066DFC">
      <w:pPr>
        <w:spacing w:after="0" w:line="240" w:lineRule="auto"/>
        <w:jc w:val="center"/>
        <w:rPr>
          <w:rFonts w:ascii="Garamond" w:eastAsia="Times New Roman" w:hAnsi="Garamond"/>
          <w:i/>
          <w:color w:val="0D0D0D" w:themeColor="text1" w:themeTint="F2"/>
          <w:sz w:val="24"/>
          <w:szCs w:val="24"/>
        </w:rPr>
      </w:pPr>
      <w:r w:rsidRPr="00EE038F">
        <w:rPr>
          <w:rFonts w:ascii="Garamond" w:hAnsi="Garamond"/>
          <w:i/>
          <w:sz w:val="24"/>
          <w:szCs w:val="24"/>
        </w:rPr>
        <w:t>Burimi: Banka e Shqipërisë, INSTAT, Autoriteti i Mbikëqyrjes Financiare,</w:t>
      </w:r>
      <w:r w:rsidR="00662A67" w:rsidRPr="00EE038F">
        <w:rPr>
          <w:rFonts w:ascii="Garamond" w:hAnsi="Garamond"/>
          <w:i/>
          <w:sz w:val="24"/>
          <w:szCs w:val="24"/>
        </w:rPr>
        <w:t xml:space="preserve"> </w:t>
      </w:r>
      <w:r w:rsidRPr="00EE038F">
        <w:rPr>
          <w:rFonts w:ascii="Garamond" w:eastAsia="Times New Roman" w:hAnsi="Garamond"/>
          <w:i/>
          <w:color w:val="0D0D0D" w:themeColor="text1" w:themeTint="F2"/>
          <w:sz w:val="24"/>
          <w:szCs w:val="24"/>
        </w:rPr>
        <w:t>*</w:t>
      </w:r>
      <w:r w:rsidR="00662A67" w:rsidRPr="00EE038F">
        <w:rPr>
          <w:rFonts w:ascii="Garamond" w:eastAsia="Times New Roman" w:hAnsi="Garamond"/>
          <w:i/>
          <w:color w:val="0D0D0D" w:themeColor="text1" w:themeTint="F2"/>
          <w:sz w:val="24"/>
          <w:szCs w:val="24"/>
        </w:rPr>
        <w:t xml:space="preserve">shtator </w:t>
      </w:r>
      <w:r w:rsidRPr="00EE038F">
        <w:rPr>
          <w:rFonts w:ascii="Garamond" w:eastAsia="Times New Roman" w:hAnsi="Garamond"/>
          <w:i/>
          <w:color w:val="0D0D0D" w:themeColor="text1" w:themeTint="F2"/>
          <w:sz w:val="24"/>
          <w:szCs w:val="24"/>
        </w:rPr>
        <w:t>2024</w:t>
      </w:r>
    </w:p>
    <w:p w14:paraId="534AF2CD" w14:textId="77777777" w:rsidR="00C50585" w:rsidRPr="00EE038F" w:rsidRDefault="00C50585" w:rsidP="00C50585">
      <w:pPr>
        <w:spacing w:after="0" w:line="240" w:lineRule="auto"/>
        <w:jc w:val="both"/>
        <w:rPr>
          <w:rFonts w:ascii="Garamond" w:eastAsia="Times New Roman" w:hAnsi="Garamond"/>
          <w:color w:val="0D0D0D" w:themeColor="text1" w:themeTint="F2"/>
        </w:rPr>
      </w:pPr>
    </w:p>
    <w:p w14:paraId="7D5181A1" w14:textId="3B79E7F6" w:rsidR="00C50585" w:rsidRPr="00080BF2" w:rsidRDefault="00C50585" w:rsidP="00C253BF">
      <w:pPr>
        <w:spacing w:after="0" w:line="240" w:lineRule="auto"/>
        <w:ind w:firstLine="284"/>
        <w:jc w:val="both"/>
        <w:rPr>
          <w:rFonts w:ascii="Garamond" w:eastAsia="Times New Roman" w:hAnsi="Garamond"/>
          <w:color w:val="0D0D0D" w:themeColor="text1" w:themeTint="F2"/>
          <w:sz w:val="24"/>
          <w:szCs w:val="24"/>
        </w:rPr>
      </w:pPr>
      <w:r w:rsidRPr="00203AED">
        <w:rPr>
          <w:rFonts w:ascii="Garamond" w:eastAsia="Times New Roman" w:hAnsi="Garamond"/>
          <w:color w:val="0D0D0D" w:themeColor="text1" w:themeTint="F2"/>
          <w:sz w:val="24"/>
          <w:szCs w:val="24"/>
          <w:u w:val="single"/>
        </w:rPr>
        <w:t>Bilanci i bankave</w:t>
      </w:r>
      <w:r w:rsidRPr="00080BF2">
        <w:rPr>
          <w:rFonts w:ascii="Garamond" w:eastAsia="Times New Roman" w:hAnsi="Garamond"/>
          <w:color w:val="0D0D0D" w:themeColor="text1" w:themeTint="F2"/>
          <w:sz w:val="24"/>
          <w:szCs w:val="24"/>
        </w:rPr>
        <w:t xml:space="preserve"> u rrit me 6% vit më vit deri në fund të tetorit</w:t>
      </w:r>
      <w:r w:rsidR="00F254B8" w:rsidRPr="00080BF2">
        <w:rPr>
          <w:rFonts w:ascii="Garamond" w:eastAsia="Times New Roman" w:hAnsi="Garamond"/>
          <w:color w:val="0D0D0D" w:themeColor="text1" w:themeTint="F2"/>
          <w:sz w:val="24"/>
          <w:szCs w:val="24"/>
        </w:rPr>
        <w:t xml:space="preserve"> ‘</w:t>
      </w:r>
      <w:r w:rsidRPr="00080BF2">
        <w:rPr>
          <w:rFonts w:ascii="Garamond" w:eastAsia="Times New Roman" w:hAnsi="Garamond"/>
          <w:color w:val="0D0D0D" w:themeColor="text1" w:themeTint="F2"/>
          <w:sz w:val="24"/>
          <w:szCs w:val="24"/>
        </w:rPr>
        <w:t xml:space="preserve">24. Nga ana e aktiveve rritja u ndikua nga një rritje vjetore prej 11% e stokut të investimeve në letra me vlerë dhe kredi. Investimet e thesarit dhe ato ndërbankare u tkurrën me 10%. Rreth 32% e letrave me vlerë të bankave janë letra me vlerë në valutë të emetuara nga jorezidentët. Pjesa e mbetur prej 68% janë bono thesari dhe obligacione të qeverisë shqiptare, nga të cilat letrat me vlerë të emetuara në monedhë kombëtare zënë rreth 55% të totalit të ekspozimit. Aktivet në valutë ranë në 50% të totalit të aktiveve nga 53% në tetor </w:t>
      </w:r>
      <w:r w:rsidR="00DE76F2"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 xml:space="preserve">23, si rezultat i rritjes shumë më të fortë (me +11%) të aktiveve në monedhën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 xml:space="preserve">e krahasuar me një rritje vjetore prej 1% të aktiveve në valutë. Pretendimet e bankave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e ndaj jorezidentëve zënë 22% të totalit të aktiveve dhe kanë mbetur të pandryshuara. Aktivet dhe detyrimet e bankave në valutë janë të krahasueshme në madhësi, ndërsa pretendimet ndaj jorezidentëve janë rreth 9 herë më të larta se detyrimet ndaj jorezidentëve dhe sektori bankar shqiptar mbetet një huadhënës neto kundrejt jorezidentëve.</w:t>
      </w:r>
    </w:p>
    <w:p w14:paraId="3AE6F18E" w14:textId="3780FBA5" w:rsidR="00C50585" w:rsidRPr="00080BF2" w:rsidRDefault="00C50585" w:rsidP="00C253BF">
      <w:pPr>
        <w:spacing w:after="0" w:line="240" w:lineRule="auto"/>
        <w:ind w:firstLine="284"/>
        <w:jc w:val="both"/>
        <w:rPr>
          <w:rFonts w:ascii="Garamond" w:eastAsia="Times New Roman" w:hAnsi="Garamond"/>
          <w:color w:val="0D0D0D" w:themeColor="text1" w:themeTint="F2"/>
          <w:sz w:val="24"/>
          <w:szCs w:val="24"/>
        </w:rPr>
      </w:pPr>
      <w:r w:rsidRPr="00080BF2">
        <w:rPr>
          <w:rFonts w:ascii="Garamond" w:eastAsia="Times New Roman" w:hAnsi="Garamond"/>
          <w:color w:val="0D0D0D" w:themeColor="text1" w:themeTint="F2"/>
          <w:sz w:val="24"/>
          <w:szCs w:val="24"/>
        </w:rPr>
        <w:t xml:space="preserve">Burimi kryesor i </w:t>
      </w:r>
      <w:r w:rsidRPr="009C0900">
        <w:rPr>
          <w:rFonts w:ascii="Garamond" w:eastAsia="Times New Roman" w:hAnsi="Garamond"/>
          <w:color w:val="0D0D0D" w:themeColor="text1" w:themeTint="F2"/>
          <w:sz w:val="24"/>
          <w:szCs w:val="24"/>
          <w:u w:val="single"/>
        </w:rPr>
        <w:t>financimit</w:t>
      </w:r>
      <w:r w:rsidRPr="00080BF2">
        <w:rPr>
          <w:rFonts w:ascii="Garamond" w:eastAsia="Times New Roman" w:hAnsi="Garamond"/>
          <w:color w:val="0D0D0D" w:themeColor="text1" w:themeTint="F2"/>
          <w:sz w:val="24"/>
          <w:szCs w:val="24"/>
        </w:rPr>
        <w:t xml:space="preserve"> të bankave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e është në formën e depozitave, të cilat në fund të tetorit</w:t>
      </w:r>
      <w:r w:rsidR="00F254B8" w:rsidRPr="00080BF2">
        <w:rPr>
          <w:rFonts w:ascii="Garamond" w:eastAsia="Times New Roman" w:hAnsi="Garamond"/>
          <w:color w:val="0D0D0D" w:themeColor="text1" w:themeTint="F2"/>
          <w:sz w:val="24"/>
          <w:szCs w:val="24"/>
        </w:rPr>
        <w:t xml:space="preserve"> ‘</w:t>
      </w:r>
      <w:r w:rsidRPr="00080BF2">
        <w:rPr>
          <w:rFonts w:ascii="Garamond" w:eastAsia="Times New Roman" w:hAnsi="Garamond"/>
          <w:color w:val="0D0D0D" w:themeColor="text1" w:themeTint="F2"/>
          <w:sz w:val="24"/>
          <w:szCs w:val="24"/>
        </w:rPr>
        <w:t xml:space="preserve">24 shënuan vlerën 1,652 miliardë lekë dhe u rritën me 5.3% në terma vjetorë. Rritja vjetore e depozitave në valutë është ndikuar ndjeshëm nga efekti statistikor i lëvizjeve të kursit të këmbimit. Ndryshimi vjetor i depozitave, pa efektin zvogëlues (për rreth 61 miliardë lekë) do të ishte +9.2%, ndërsa rritja vjetore e depozitave në valutë do të ishte 9% nga 1.9%. Depozitat në monedhën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 xml:space="preserve">e u rritën mesatarisht me 9% nga janari në tetor dhe kjo ecuri ishte më e lartë krahasuar me rritjen mesatare prej 3% në vitin 2023. Rritja e depozitave gjatë 12 muajve deri në tetor 2024 u mbështet nga rritja e depozitave me afat në monedhën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e të individëve. Mjedisi i zgjatur i normave të ulëta të interesit ka favorizuar një rritje më të shpejtë të llogarive rrjedhëse deri në vitet 2021</w:t>
      </w:r>
      <w:r w:rsidR="00347139"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 xml:space="preserve">2022, por në vitet 2023–2024 pesha e depozitave me afat në stokun e përgjithshëm të depozitave është stabilizuar rreth 44%. Rritja e depozitave me afat u lidh me zgjerimin e depozitave me afat të individëve në monedhën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e</w:t>
      </w:r>
      <w:r w:rsidR="00347139"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 xml:space="preserve"> për shkak të normave më të larta të interesit për depozitat në monedhë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e krahasuar me ato në valutë.</w:t>
      </w:r>
    </w:p>
    <w:p w14:paraId="48CD9600" w14:textId="24BFDCBF" w:rsidR="00C50585" w:rsidRPr="00080BF2" w:rsidRDefault="00C50585" w:rsidP="00C253BF">
      <w:pPr>
        <w:spacing w:after="0" w:line="240" w:lineRule="auto"/>
        <w:ind w:firstLine="284"/>
        <w:jc w:val="both"/>
        <w:rPr>
          <w:rFonts w:ascii="Garamond" w:eastAsia="Times New Roman" w:hAnsi="Garamond"/>
          <w:color w:val="0D0D0D" w:themeColor="text1" w:themeTint="F2"/>
          <w:sz w:val="24"/>
          <w:szCs w:val="24"/>
        </w:rPr>
      </w:pPr>
      <w:r w:rsidRPr="00080BF2">
        <w:rPr>
          <w:rFonts w:ascii="Garamond" w:eastAsia="Times New Roman" w:hAnsi="Garamond"/>
          <w:color w:val="0D0D0D" w:themeColor="text1" w:themeTint="F2"/>
          <w:sz w:val="24"/>
          <w:szCs w:val="24"/>
        </w:rPr>
        <w:t xml:space="preserve">Burimi kryesor i financimit të bankave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e është në formën e depozitave, të cilat në fund të tetorit</w:t>
      </w:r>
      <w:r w:rsidR="006A523E" w:rsidRPr="00080BF2">
        <w:rPr>
          <w:rFonts w:ascii="Garamond" w:eastAsia="Times New Roman" w:hAnsi="Garamond"/>
          <w:color w:val="0D0D0D" w:themeColor="text1" w:themeTint="F2"/>
          <w:sz w:val="24"/>
          <w:szCs w:val="24"/>
        </w:rPr>
        <w:t xml:space="preserve"> ‘</w:t>
      </w:r>
      <w:r w:rsidRPr="00080BF2">
        <w:rPr>
          <w:rFonts w:ascii="Garamond" w:eastAsia="Times New Roman" w:hAnsi="Garamond"/>
          <w:color w:val="0D0D0D" w:themeColor="text1" w:themeTint="F2"/>
          <w:sz w:val="24"/>
          <w:szCs w:val="24"/>
        </w:rPr>
        <w:t xml:space="preserve">24 shënuan vlerën 1,652 miliardë lekë dhe u rritën me 5.3% në terma vjetorë. Rritja vjetore e depozitave në valutë është ndikuar ndjeshëm nga efekti statistikor i lëvizjeve të kursit të këmbimit. Ndryshimi vjetor i depozitave, pa efektin zvogëlues (për rreth 61 miliardë lekë) do të ishte +9.2%, ndërsa rritja vjetore e depozitave në valutë do të ishte 9% nga 1.9%. Depozitat në monedhën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 xml:space="preserve">e u rritën mesatarisht me 9% nga janari në tetor dhe kjo ecuri ishte më e lartë krahasuar me rritjen mesatare prej 3% në vitin 2023. Rritja e depozitave gjatë 12 muajve deri në tetor 2024 u mbështet nga rritja e depozitave me afat në monedhën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e të individëve. Mjedisi i zgjatur i normave të ulëta të interesit ka favorizuar një rritje më të shpejtë të llogarive rrjedhëse deri në vitet 2021</w:t>
      </w:r>
      <w:r w:rsidR="006A523E"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2022, por në vitet 2023</w:t>
      </w:r>
      <w:r w:rsidR="006A523E"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 xml:space="preserve">2024 pesha e depozitave me afat në stokun e përgjithshëm të depozitave është stabilizuar rreth 44%. Rritja e depozitave me afat lidhet kryesisht me zgjerimin e depozitave me afat të individëve në monedhën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e</w:t>
      </w:r>
      <w:r w:rsidR="00D40407"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 xml:space="preserve"> për shkak të normave më të larta të interesit për depozitat në monedhë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e krahasuar me ato në valutë.</w:t>
      </w:r>
    </w:p>
    <w:p w14:paraId="1200476F" w14:textId="66432B94" w:rsidR="00C50585" w:rsidRPr="00080BF2" w:rsidRDefault="00C50585" w:rsidP="00C253BF">
      <w:pPr>
        <w:spacing w:after="0" w:line="240" w:lineRule="auto"/>
        <w:ind w:firstLine="284"/>
        <w:jc w:val="both"/>
        <w:rPr>
          <w:rFonts w:ascii="Garamond" w:eastAsia="Times New Roman" w:hAnsi="Garamond"/>
          <w:color w:val="0D0D0D" w:themeColor="text1" w:themeTint="F2"/>
          <w:sz w:val="24"/>
          <w:szCs w:val="24"/>
        </w:rPr>
      </w:pPr>
      <w:r w:rsidRPr="00080BF2">
        <w:rPr>
          <w:rFonts w:ascii="Garamond" w:eastAsia="Times New Roman" w:hAnsi="Garamond"/>
          <w:color w:val="0D0D0D" w:themeColor="text1" w:themeTint="F2"/>
          <w:sz w:val="24"/>
          <w:szCs w:val="24"/>
        </w:rPr>
        <w:t xml:space="preserve">Në fund të muajit tetor </w:t>
      </w:r>
      <w:r w:rsidR="00D40407"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 xml:space="preserve">24, </w:t>
      </w:r>
      <w:r w:rsidRPr="009C0900">
        <w:rPr>
          <w:rFonts w:ascii="Garamond" w:eastAsia="Times New Roman" w:hAnsi="Garamond"/>
          <w:color w:val="0D0D0D" w:themeColor="text1" w:themeTint="F2"/>
          <w:sz w:val="24"/>
          <w:szCs w:val="24"/>
          <w:u w:val="single"/>
        </w:rPr>
        <w:t>teprica e kredisë</w:t>
      </w:r>
      <w:r w:rsidRPr="00080BF2">
        <w:rPr>
          <w:rFonts w:ascii="Garamond" w:eastAsia="Times New Roman" w:hAnsi="Garamond"/>
          <w:color w:val="0D0D0D" w:themeColor="text1" w:themeTint="F2"/>
          <w:sz w:val="24"/>
          <w:szCs w:val="24"/>
        </w:rPr>
        <w:t xml:space="preserve"> ishte 811 miliardë lekë, duke u rritur me 11.2% nga niveli i raportuar nga bankat në fund të tetorit </w:t>
      </w:r>
      <w:r w:rsidR="0039099F"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23. Rritja mesatare vjetore e stokut të tepricës së kredisë për periudhën janar</w:t>
      </w:r>
      <w:r w:rsidR="00D40407"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 xml:space="preserve">tetor </w:t>
      </w:r>
      <w:r w:rsidR="00D40407"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 xml:space="preserve">24 ishte 9%. Rritja e tepricës së kredisë e shprehur në monedhën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 xml:space="preserve">e është ndikuar negativisht nga mbiçmimi i ndjeshëm i monedhës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e në terma vjetorë. E rregulluar për efektin e kursit të këmbimit, rritja vjetore e stokut të kredisë arrin në 14.5%. Fluksi i kredive të reja të dhëna gjatë 10 muajve të parë të vitit 2024 ishte 25% më i lartë se fluksi i kredive të dhëna në të njëjtën periudhë të vitit 2023 dhe muajt me performancën më të mirë ishin prilli, maji dhe gushti.</w:t>
      </w:r>
    </w:p>
    <w:p w14:paraId="2FC1211A" w14:textId="37980FBF" w:rsidR="00C50585" w:rsidRPr="00080BF2" w:rsidRDefault="00C50585" w:rsidP="00C253BF">
      <w:pPr>
        <w:spacing w:after="0" w:line="240" w:lineRule="auto"/>
        <w:ind w:firstLine="284"/>
        <w:jc w:val="both"/>
        <w:rPr>
          <w:rFonts w:ascii="Garamond" w:eastAsia="Times New Roman" w:hAnsi="Garamond"/>
          <w:color w:val="0D0D0D" w:themeColor="text1" w:themeTint="F2"/>
          <w:sz w:val="24"/>
          <w:szCs w:val="24"/>
        </w:rPr>
      </w:pPr>
      <w:r w:rsidRPr="00080BF2">
        <w:rPr>
          <w:rFonts w:ascii="Garamond" w:eastAsia="Times New Roman" w:hAnsi="Garamond"/>
          <w:color w:val="0D0D0D" w:themeColor="text1" w:themeTint="F2"/>
          <w:sz w:val="24"/>
          <w:szCs w:val="24"/>
        </w:rPr>
        <w:lastRenderedPageBreak/>
        <w:t xml:space="preserve">Deri në fund të muajit tetor </w:t>
      </w:r>
      <w:r w:rsidR="0039099F"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 xml:space="preserve">24, të dhënat tregojnë përmirësim të ritmit të shlyerjes së kredive performuese. </w:t>
      </w:r>
      <w:r w:rsidR="0039099F" w:rsidRPr="00080BF2">
        <w:rPr>
          <w:rFonts w:ascii="Garamond" w:eastAsia="Times New Roman" w:hAnsi="Garamond"/>
          <w:color w:val="0D0D0D" w:themeColor="text1" w:themeTint="F2"/>
          <w:sz w:val="24"/>
          <w:szCs w:val="24"/>
        </w:rPr>
        <w:t>Portofolat</w:t>
      </w:r>
      <w:r w:rsidRPr="00080BF2">
        <w:rPr>
          <w:rFonts w:ascii="Garamond" w:eastAsia="Times New Roman" w:hAnsi="Garamond"/>
          <w:color w:val="0D0D0D" w:themeColor="text1" w:themeTint="F2"/>
          <w:sz w:val="24"/>
          <w:szCs w:val="24"/>
        </w:rPr>
        <w:t xml:space="preserve"> e kredisë me rritjen më të fortë deri në fund të tetorit ‘24 ishin në monedhën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e (+15%), për individë (+12%) dhe kredia e dhënë për pasuri të paluajtshme (+12%). Stoku i kredive afatshkurtra dhe afatmesme u zgjerua me 5</w:t>
      </w:r>
      <w:r w:rsidR="00BB534E"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 xml:space="preserve">7% në terma vjetorë dhe stoku i kredive të tjera afatgjata u rrit me 17%. Stoku i tepricës së kredisë së sektorit të biznesit u rrit me 11% në terma vjetorë. Deri në </w:t>
      </w:r>
      <w:r w:rsidR="0039099F" w:rsidRPr="00080BF2">
        <w:rPr>
          <w:rFonts w:ascii="Garamond" w:eastAsia="Times New Roman" w:hAnsi="Garamond"/>
          <w:color w:val="0D0D0D" w:themeColor="text1" w:themeTint="F2"/>
          <w:sz w:val="24"/>
          <w:szCs w:val="24"/>
        </w:rPr>
        <w:t xml:space="preserve">shtator </w:t>
      </w:r>
      <w:r w:rsidRPr="00080BF2">
        <w:rPr>
          <w:rFonts w:ascii="Garamond" w:eastAsia="Times New Roman" w:hAnsi="Garamond"/>
          <w:color w:val="0D0D0D" w:themeColor="text1" w:themeTint="F2"/>
          <w:sz w:val="24"/>
          <w:szCs w:val="24"/>
        </w:rPr>
        <w:t>2024, bankat lehtësuan kushtet e termat e kreditimit të kredive të reja akorduar bizneseve. Kostot dhe kufizimet më të ulëta nga bilanci të kombinuara me perceptimin më të ulët të rrezikut në lidhje me perspektivën e brendshme makroekonomike, ishin faktorët kryesorë që mbështetën vendimet e bankave për të reduktuar marzhet për kreditë për ndërmarrjet. Kushtet e përgjithshme të kredisë së bankave u lehtësuan</w:t>
      </w:r>
      <w:r w:rsidR="008C0144"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 xml:space="preserve"> gjithashtu</w:t>
      </w:r>
      <w:r w:rsidR="008C0144"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 xml:space="preserve"> për kreditë për individët</w:t>
      </w:r>
      <w:r w:rsidR="008C0144"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 xml:space="preserve"> për shkak të mjedisit konkurrues në të cilin bankat operojnë. </w:t>
      </w:r>
    </w:p>
    <w:p w14:paraId="1F1FA9A1" w14:textId="6FF957A9" w:rsidR="00C50585" w:rsidRPr="00080BF2" w:rsidRDefault="00C50585" w:rsidP="00C253BF">
      <w:pPr>
        <w:spacing w:after="0" w:line="240" w:lineRule="auto"/>
        <w:ind w:firstLine="284"/>
        <w:jc w:val="both"/>
        <w:rPr>
          <w:rFonts w:ascii="Garamond" w:eastAsia="Times New Roman" w:hAnsi="Garamond"/>
          <w:color w:val="0D0D0D" w:themeColor="text1" w:themeTint="F2"/>
          <w:sz w:val="24"/>
          <w:szCs w:val="24"/>
        </w:rPr>
      </w:pPr>
      <w:r w:rsidRPr="00F70DCE">
        <w:rPr>
          <w:rFonts w:ascii="Garamond" w:eastAsia="Times New Roman" w:hAnsi="Garamond"/>
          <w:color w:val="0D0D0D" w:themeColor="text1" w:themeTint="F2"/>
          <w:sz w:val="24"/>
          <w:szCs w:val="24"/>
          <w:u w:val="single"/>
        </w:rPr>
        <w:t>Raporti i mjaftueshmërisë së kapitalit</w:t>
      </w:r>
      <w:r w:rsidRPr="00080BF2">
        <w:rPr>
          <w:rFonts w:ascii="Garamond" w:eastAsia="Times New Roman" w:hAnsi="Garamond"/>
          <w:color w:val="0D0D0D" w:themeColor="text1" w:themeTint="F2"/>
          <w:sz w:val="24"/>
          <w:szCs w:val="24"/>
        </w:rPr>
        <w:t xml:space="preserve"> të sektorit bankar, në nivelin 20.2%, mbetet dukshëm mbi minimumin rregullator dhe është rritur me 0.6 p.p. nga shtatori 2023 deri në shtator 2024, për shkak të një rritjeje më të shpejtë të kapitalit rregullator krahasuar me zgjerimin e aktiveve të peshuara me rrezik. Rezultati neto i sektorit bankar në fund të tetorit 2024 ishte pozitiv (31 miliardë lekë)</w:t>
      </w:r>
      <w:r w:rsidR="008C0144" w:rsidRPr="00080BF2">
        <w:rPr>
          <w:rFonts w:ascii="Garamond" w:eastAsia="Times New Roman" w:hAnsi="Garamond"/>
          <w:color w:val="0D0D0D" w:themeColor="text1" w:themeTint="F2"/>
          <w:sz w:val="24"/>
          <w:szCs w:val="24"/>
        </w:rPr>
        <w:t xml:space="preserve"> </w:t>
      </w:r>
      <w:r w:rsidRPr="00080BF2">
        <w:rPr>
          <w:rFonts w:ascii="Garamond" w:eastAsia="Times New Roman" w:hAnsi="Garamond"/>
          <w:color w:val="0D0D0D" w:themeColor="text1" w:themeTint="F2"/>
          <w:sz w:val="24"/>
          <w:szCs w:val="24"/>
        </w:rPr>
        <w:t xml:space="preserve">dhe fitimet e bankave ishin dukshëm më të larta krahasuar me ato të së njëjtës periudhë të vitit 2023, si rezultat i të ardhurave neto më të larta nga interesat dhe humbjeve dukshëm më të ulëta nga investimet në instrumente financiare. Shpenzimet operative kanë kontribuar negativisht në rezultatin neto, por tkurrja e shpenzimeve të provigjionimit ka përmirësuar rezultatin financiar neto të bankave. Rritja e fitimeve neto është raportuar nga shumica e bankave, ku vetëm dy banka kanë regjistruar fitim më të ulët. RoA dhe RoE u rritën në 1.9% dhe 18.5% nga 1.6% dhe 16% në tetor 2023 dhe rritja ishte më e lartë krahasuar me tetorin 2022. Pothuajse i gjithë fitimi neto u krijua nga aktiviteti i bankave në valutë (rreth 80%), dhe më pak në monedhën </w:t>
      </w:r>
      <w:r w:rsidR="007F728D" w:rsidRPr="00080BF2">
        <w:rPr>
          <w:rFonts w:ascii="Garamond" w:eastAsia="Times New Roman" w:hAnsi="Garamond"/>
          <w:color w:val="0D0D0D" w:themeColor="text1" w:themeTint="F2"/>
          <w:sz w:val="24"/>
          <w:szCs w:val="24"/>
        </w:rPr>
        <w:t>vendës</w:t>
      </w:r>
      <w:r w:rsidRPr="00080BF2">
        <w:rPr>
          <w:rFonts w:ascii="Garamond" w:eastAsia="Times New Roman" w:hAnsi="Garamond"/>
          <w:color w:val="0D0D0D" w:themeColor="text1" w:themeTint="F2"/>
          <w:sz w:val="24"/>
          <w:szCs w:val="24"/>
        </w:rPr>
        <w:t>e (në masën 20%).</w:t>
      </w:r>
    </w:p>
    <w:p w14:paraId="1CBB4E65" w14:textId="43263305" w:rsidR="00C50585" w:rsidRPr="00080BF2" w:rsidRDefault="00C50585" w:rsidP="00C253BF">
      <w:pPr>
        <w:spacing w:after="0" w:line="240" w:lineRule="auto"/>
        <w:ind w:firstLine="284"/>
        <w:jc w:val="both"/>
        <w:rPr>
          <w:rFonts w:ascii="Garamond" w:eastAsia="Times New Roman" w:hAnsi="Garamond"/>
          <w:color w:val="0D0D0D" w:themeColor="text1" w:themeTint="F2"/>
          <w:sz w:val="24"/>
          <w:szCs w:val="24"/>
        </w:rPr>
      </w:pPr>
      <w:r w:rsidRPr="00080BF2">
        <w:rPr>
          <w:rFonts w:ascii="Garamond" w:eastAsia="Times New Roman" w:hAnsi="Garamond"/>
          <w:color w:val="0D0D0D" w:themeColor="text1" w:themeTint="F2"/>
          <w:sz w:val="24"/>
          <w:szCs w:val="24"/>
        </w:rPr>
        <w:t xml:space="preserve">Gjatë vitit 2024, bankat ulën shpenzimet e tyre për provigjionet e kredive </w:t>
      </w:r>
      <w:r w:rsidR="0046470A"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të humbura</w:t>
      </w:r>
      <w:r w:rsidR="0046470A" w:rsidRPr="00080BF2">
        <w:rPr>
          <w:rFonts w:ascii="Garamond" w:eastAsia="Times New Roman" w:hAnsi="Garamond"/>
          <w:color w:val="0D0D0D" w:themeColor="text1" w:themeTint="F2"/>
          <w:sz w:val="24"/>
          <w:szCs w:val="24"/>
        </w:rPr>
        <w:t>”</w:t>
      </w:r>
      <w:r w:rsidRPr="00080BF2">
        <w:rPr>
          <w:rFonts w:ascii="Garamond" w:eastAsia="Times New Roman" w:hAnsi="Garamond"/>
          <w:color w:val="0D0D0D" w:themeColor="text1" w:themeTint="F2"/>
          <w:sz w:val="24"/>
          <w:szCs w:val="24"/>
        </w:rPr>
        <w:t xml:space="preserve">, në një nivel i cili ishte më të ulët se ai i vitit 2023. Rezultatet e </w:t>
      </w:r>
      <w:r w:rsidR="00955AD5" w:rsidRPr="00080BF2">
        <w:rPr>
          <w:rFonts w:ascii="Garamond" w:eastAsia="Times New Roman" w:hAnsi="Garamond"/>
          <w:color w:val="0D0D0D" w:themeColor="text1" w:themeTint="F2"/>
          <w:sz w:val="24"/>
          <w:szCs w:val="24"/>
        </w:rPr>
        <w:t>provës së rezis</w:t>
      </w:r>
      <w:r w:rsidRPr="00080BF2">
        <w:rPr>
          <w:rFonts w:ascii="Garamond" w:eastAsia="Times New Roman" w:hAnsi="Garamond"/>
          <w:color w:val="0D0D0D" w:themeColor="text1" w:themeTint="F2"/>
          <w:sz w:val="24"/>
          <w:szCs w:val="24"/>
        </w:rPr>
        <w:t>tencës për horizontin 2024–2026 tregojnë se sektori bankar mbetet i qëndrueshëm ndaj goditjeve të mundshme makroekonomike, megjithëse disa bankave mund të kenë nevojë të rrisin kapitalin e tyre të paguar.</w:t>
      </w:r>
    </w:p>
    <w:p w14:paraId="58BB486A" w14:textId="7545E28A" w:rsidR="00C50585" w:rsidRPr="00080BF2" w:rsidRDefault="00C50585" w:rsidP="00C253BF">
      <w:pPr>
        <w:spacing w:after="0" w:line="240" w:lineRule="auto"/>
        <w:ind w:firstLine="284"/>
        <w:jc w:val="both"/>
        <w:rPr>
          <w:rFonts w:ascii="Garamond" w:eastAsia="Times New Roman" w:hAnsi="Garamond"/>
          <w:color w:val="0D0D0D" w:themeColor="text1" w:themeTint="F2"/>
          <w:sz w:val="24"/>
          <w:szCs w:val="24"/>
        </w:rPr>
      </w:pPr>
      <w:r w:rsidRPr="00B533FC">
        <w:rPr>
          <w:rFonts w:ascii="Garamond" w:eastAsia="Times New Roman" w:hAnsi="Garamond"/>
          <w:color w:val="0D0D0D" w:themeColor="text1" w:themeTint="F2"/>
          <w:sz w:val="24"/>
          <w:szCs w:val="24"/>
          <w:u w:val="single"/>
        </w:rPr>
        <w:t>Cilësia e kredive</w:t>
      </w:r>
      <w:r w:rsidRPr="00080BF2">
        <w:rPr>
          <w:rFonts w:ascii="Garamond" w:eastAsia="Times New Roman" w:hAnsi="Garamond"/>
          <w:color w:val="0D0D0D" w:themeColor="text1" w:themeTint="F2"/>
          <w:sz w:val="24"/>
          <w:szCs w:val="24"/>
        </w:rPr>
        <w:t xml:space="preserve"> të bankave tregon një përmirësim të lehtë në tetor 2024, ku raporti i kredive me probleme ndaj totalit të kredive (NPL) u zvogëlua në 4.6% nga 5.1% në tetor 2023. Ky zhvillim reflekton një rritje më të shpejtë të totalit të tepricës së kredisë në krahasim me stokun e kredive me probleme. Rënia e stokut të kredive me probleme është ndikuar nga zhvendosja e kredive me cilësi më të ulët drejt klasave me performancë më të lartë dhe vëllimi relativisht më i lartë i fshirjeve dhe </w:t>
      </w:r>
      <w:r w:rsidR="00E71077" w:rsidRPr="00080BF2">
        <w:rPr>
          <w:rFonts w:ascii="Garamond" w:eastAsia="Times New Roman" w:hAnsi="Garamond"/>
          <w:color w:val="0D0D0D" w:themeColor="text1" w:themeTint="F2"/>
          <w:sz w:val="24"/>
          <w:szCs w:val="24"/>
        </w:rPr>
        <w:t xml:space="preserve">i </w:t>
      </w:r>
      <w:r w:rsidRPr="00080BF2">
        <w:rPr>
          <w:rFonts w:ascii="Garamond" w:eastAsia="Times New Roman" w:hAnsi="Garamond"/>
          <w:color w:val="0D0D0D" w:themeColor="text1" w:themeTint="F2"/>
          <w:sz w:val="24"/>
          <w:szCs w:val="24"/>
        </w:rPr>
        <w:t>shlyerjeve brenda portofolit të kredive me probleme. Struktura e kredive me probleme dominohet nga kategoria e kredive të humbura (54%), ndërsa kreditë e dyshimta dhe ato nën standard zënë 20% dhe 26% të totalit të tepricës së kredive me probleme.</w:t>
      </w:r>
    </w:p>
    <w:p w14:paraId="23D5EE8A" w14:textId="77777777" w:rsidR="00C50585" w:rsidRPr="00080BF2" w:rsidRDefault="00C50585" w:rsidP="00C253BF">
      <w:pPr>
        <w:spacing w:after="0" w:line="240" w:lineRule="auto"/>
        <w:ind w:firstLine="284"/>
        <w:jc w:val="both"/>
        <w:rPr>
          <w:rFonts w:ascii="Garamond" w:eastAsiaTheme="minorHAnsi" w:hAnsi="Garamond"/>
          <w:i/>
          <w:sz w:val="24"/>
          <w:szCs w:val="24"/>
        </w:rPr>
      </w:pPr>
      <w:r w:rsidRPr="00080BF2">
        <w:rPr>
          <w:rFonts w:ascii="Garamond" w:eastAsiaTheme="minorHAnsi" w:hAnsi="Garamond"/>
          <w:i/>
          <w:sz w:val="24"/>
          <w:szCs w:val="24"/>
        </w:rPr>
        <w:t xml:space="preserve">Mbikëqyrja makroprudenciale </w:t>
      </w:r>
    </w:p>
    <w:p w14:paraId="5EBE2049" w14:textId="112A7AE5" w:rsidR="00066DFC" w:rsidRPr="0007782C" w:rsidRDefault="00C50585" w:rsidP="0007782C">
      <w:pPr>
        <w:spacing w:after="0" w:line="240" w:lineRule="auto"/>
        <w:ind w:firstLine="284"/>
        <w:jc w:val="both"/>
        <w:rPr>
          <w:rFonts w:ascii="Garamond" w:eastAsiaTheme="minorHAnsi" w:hAnsi="Garamond"/>
          <w:sz w:val="24"/>
          <w:szCs w:val="24"/>
        </w:rPr>
      </w:pPr>
      <w:r w:rsidRPr="00080BF2">
        <w:rPr>
          <w:rFonts w:ascii="Garamond" w:eastAsiaTheme="minorHAnsi" w:hAnsi="Garamond"/>
          <w:sz w:val="24"/>
          <w:szCs w:val="24"/>
        </w:rPr>
        <w:t xml:space="preserve">Në vijim të miratimit të dokumentit të </w:t>
      </w:r>
      <w:r w:rsidR="00695C3E">
        <w:rPr>
          <w:rFonts w:ascii="Garamond" w:eastAsiaTheme="minorHAnsi" w:hAnsi="Garamond"/>
          <w:sz w:val="24"/>
          <w:szCs w:val="24"/>
        </w:rPr>
        <w:t>“</w:t>
      </w:r>
      <w:r w:rsidRPr="00080BF2">
        <w:rPr>
          <w:rFonts w:ascii="Garamond" w:eastAsiaTheme="minorHAnsi" w:hAnsi="Garamond"/>
          <w:sz w:val="24"/>
          <w:szCs w:val="24"/>
        </w:rPr>
        <w:t xml:space="preserve">Strategjisë së </w:t>
      </w:r>
      <w:r w:rsidR="00695C3E" w:rsidRPr="00080BF2">
        <w:rPr>
          <w:rFonts w:ascii="Garamond" w:eastAsiaTheme="minorHAnsi" w:hAnsi="Garamond"/>
          <w:sz w:val="24"/>
          <w:szCs w:val="24"/>
        </w:rPr>
        <w:t xml:space="preserve">politikës makroprudenciale </w:t>
      </w:r>
      <w:r w:rsidRPr="00080BF2">
        <w:rPr>
          <w:rFonts w:ascii="Garamond" w:eastAsiaTheme="minorHAnsi" w:hAnsi="Garamond"/>
          <w:sz w:val="24"/>
          <w:szCs w:val="24"/>
        </w:rPr>
        <w:t>(2017)</w:t>
      </w:r>
      <w:r w:rsidR="00695C3E">
        <w:rPr>
          <w:rFonts w:ascii="Garamond" w:eastAsiaTheme="minorHAnsi" w:hAnsi="Garamond"/>
          <w:sz w:val="24"/>
          <w:szCs w:val="24"/>
        </w:rPr>
        <w:t>”</w:t>
      </w:r>
      <w:r w:rsidRPr="00080BF2">
        <w:rPr>
          <w:rFonts w:ascii="Garamond" w:eastAsiaTheme="minorHAnsi" w:hAnsi="Garamond"/>
          <w:sz w:val="24"/>
          <w:szCs w:val="24"/>
        </w:rPr>
        <w:t xml:space="preserve">, i cili përcakton një kuadër të përgjithshëm operacional për zbatimin e politikës makroprudenciale në Shqipëri, Banka e Shqipërisë miratoi </w:t>
      </w:r>
      <w:r w:rsidR="006A2199" w:rsidRPr="00080BF2">
        <w:rPr>
          <w:rFonts w:ascii="Garamond" w:eastAsiaTheme="minorHAnsi" w:hAnsi="Garamond"/>
          <w:sz w:val="24"/>
          <w:szCs w:val="24"/>
        </w:rPr>
        <w:t xml:space="preserve">rregulloren </w:t>
      </w:r>
      <w:r w:rsidR="00D555C7" w:rsidRPr="00080BF2">
        <w:rPr>
          <w:rFonts w:ascii="Garamond" w:eastAsiaTheme="minorHAnsi" w:hAnsi="Garamond"/>
          <w:sz w:val="24"/>
          <w:szCs w:val="24"/>
        </w:rPr>
        <w:t>“</w:t>
      </w:r>
      <w:r w:rsidRPr="00080BF2">
        <w:rPr>
          <w:rFonts w:ascii="Garamond" w:eastAsiaTheme="minorHAnsi" w:hAnsi="Garamond"/>
          <w:sz w:val="24"/>
          <w:szCs w:val="24"/>
        </w:rPr>
        <w:t>Mbi shtesat makroprudenciale të kapitalit</w:t>
      </w:r>
      <w:r w:rsidR="00D555C7" w:rsidRPr="00080BF2">
        <w:rPr>
          <w:rFonts w:ascii="Garamond" w:eastAsiaTheme="minorHAnsi" w:hAnsi="Garamond"/>
          <w:sz w:val="24"/>
          <w:szCs w:val="24"/>
        </w:rPr>
        <w:t>”</w:t>
      </w:r>
      <w:r w:rsidRPr="00080BF2">
        <w:rPr>
          <w:rFonts w:ascii="Garamond" w:eastAsiaTheme="minorHAnsi" w:hAnsi="Garamond"/>
          <w:sz w:val="24"/>
          <w:szCs w:val="24"/>
        </w:rPr>
        <w:t xml:space="preserve"> (2019). Kjo rregullore përcakton metodën e vendosjes së shtesës konservuese të kapitalit (KONS), shtesës kundërciklike të kapitalit (KUNC), shtesës së kapitalit për bankat me rëndësi sistemike (SIST) dhe shtesës së kapitalit për rrezikun sistemik (STRUK) për bankat që kryejnë aktivitet në Shqipëri. Të gjitha këto shtesa duhet të plotësohen me instrumente të kapitalit bazë të nivelit të parë (KBN1); aplikohen si shtesa ndaj kërkesave të detyrueshme për kapital që janë kërkesat për ‘Shtyllën I + Shtyllën II + MREL</w:t>
      </w:r>
      <w:r w:rsidRPr="00080BF2">
        <w:rPr>
          <w:rFonts w:ascii="Garamond" w:eastAsiaTheme="minorHAnsi" w:hAnsi="Garamond"/>
          <w:sz w:val="24"/>
          <w:szCs w:val="24"/>
          <w:vertAlign w:val="superscript"/>
        </w:rPr>
        <w:footnoteReference w:id="8"/>
      </w:r>
      <w:r w:rsidR="00C55AFD" w:rsidRPr="00080BF2">
        <w:rPr>
          <w:rFonts w:ascii="Garamond" w:eastAsiaTheme="minorHAnsi" w:hAnsi="Garamond"/>
          <w:sz w:val="24"/>
          <w:szCs w:val="24"/>
        </w:rPr>
        <w:t>”</w:t>
      </w:r>
      <w:r w:rsidRPr="00080BF2">
        <w:rPr>
          <w:rFonts w:ascii="Garamond" w:eastAsiaTheme="minorHAnsi" w:hAnsi="Garamond"/>
          <w:sz w:val="24"/>
          <w:szCs w:val="24"/>
        </w:rPr>
        <w:t xml:space="preserve"> dhe shprehen si raport në </w:t>
      </w:r>
      <w:r w:rsidR="003771A2" w:rsidRPr="00080BF2">
        <w:rPr>
          <w:rFonts w:ascii="Garamond" w:eastAsiaTheme="minorHAnsi" w:hAnsi="Garamond"/>
          <w:sz w:val="24"/>
          <w:szCs w:val="24"/>
        </w:rPr>
        <w:t xml:space="preserve">përqindje </w:t>
      </w:r>
      <w:r w:rsidRPr="00080BF2">
        <w:rPr>
          <w:rFonts w:ascii="Garamond" w:eastAsiaTheme="minorHAnsi" w:hAnsi="Garamond"/>
          <w:sz w:val="24"/>
          <w:szCs w:val="24"/>
        </w:rPr>
        <w:t xml:space="preserve">ndaj ekspozimeve të peshuara me rrezik. Rregullorja parashikoi një zbatim gradual të shtesave makroprudenciale të kapitalit dhe zbatimi i plotë i shtesës së kombinuar makroprudenciale të kapitalit u realizua në tremujorin e parë të vitit 2024. </w:t>
      </w:r>
    </w:p>
    <w:p w14:paraId="05E5F48C" w14:textId="21BC6302" w:rsidR="00C50585" w:rsidRPr="00EE038F" w:rsidRDefault="00C50585" w:rsidP="00066DFC">
      <w:pPr>
        <w:spacing w:after="0" w:line="240" w:lineRule="auto"/>
        <w:jc w:val="center"/>
        <w:rPr>
          <w:rFonts w:ascii="Garamond" w:eastAsia="Times New Roman" w:hAnsi="Garamond"/>
          <w:i/>
          <w:iCs/>
          <w:color w:val="000000"/>
          <w:sz w:val="24"/>
          <w:szCs w:val="24"/>
          <w:lang w:eastAsia="en-GB"/>
        </w:rPr>
      </w:pPr>
      <w:r w:rsidRPr="00EE038F">
        <w:rPr>
          <w:rFonts w:ascii="Garamond" w:eastAsia="Times New Roman" w:hAnsi="Garamond"/>
          <w:i/>
          <w:iCs/>
          <w:color w:val="000000"/>
          <w:sz w:val="24"/>
          <w:szCs w:val="24"/>
          <w:lang w:eastAsia="en-GB"/>
        </w:rPr>
        <w:lastRenderedPageBreak/>
        <w:t>Pasqyr</w:t>
      </w:r>
      <w:r w:rsidR="003509E1" w:rsidRPr="00EE038F">
        <w:rPr>
          <w:rFonts w:ascii="Garamond" w:eastAsia="Times New Roman" w:hAnsi="Garamond"/>
          <w:i/>
          <w:iCs/>
          <w:color w:val="000000"/>
          <w:sz w:val="24"/>
          <w:szCs w:val="24"/>
          <w:lang w:eastAsia="en-GB"/>
        </w:rPr>
        <w:t>a</w:t>
      </w:r>
      <w:r w:rsidRPr="00EE038F">
        <w:rPr>
          <w:rFonts w:ascii="Garamond" w:eastAsia="Times New Roman" w:hAnsi="Garamond"/>
          <w:i/>
          <w:iCs/>
          <w:color w:val="000000"/>
          <w:sz w:val="24"/>
          <w:szCs w:val="24"/>
          <w:lang w:eastAsia="en-GB"/>
        </w:rPr>
        <w:t xml:space="preserve"> e hyrjes graduale në fuqi të shtesave makroprudenciale të kapitalit</w:t>
      </w:r>
    </w:p>
    <w:p w14:paraId="61E342AC" w14:textId="77777777" w:rsidR="00C50585" w:rsidRPr="00EE038F" w:rsidRDefault="00C50585" w:rsidP="00C50585">
      <w:pPr>
        <w:spacing w:after="0" w:line="240" w:lineRule="auto"/>
        <w:jc w:val="both"/>
        <w:rPr>
          <w:rFonts w:ascii="Garamond" w:eastAsiaTheme="minorHAnsi" w:hAnsi="Garamond"/>
        </w:rPr>
      </w:pPr>
      <w:r w:rsidRPr="00EE038F">
        <w:rPr>
          <w:rFonts w:ascii="Garamond" w:eastAsiaTheme="minorHAnsi" w:hAnsi="Garamond"/>
          <w:noProof/>
          <w:lang w:eastAsia="en-GB"/>
        </w:rPr>
        <w:drawing>
          <wp:inline distT="0" distB="0" distL="0" distR="0" wp14:anchorId="7D25F671" wp14:editId="346C551F">
            <wp:extent cx="5822899" cy="2710297"/>
            <wp:effectExtent l="0" t="0" r="6985"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a:extLst>
                        <a:ext uri="{84589F7E-364E-4C9E-8A38-B11213B215E9}">
                          <a14:cameraTool xmlns:a14="http://schemas.microsoft.com/office/drawing/2010/main" cellRange="$B$29:$G$49"/>
                        </a:ext>
                      </a:extLst>
                    </pic:cNvPicPr>
                  </pic:nvPicPr>
                  <pic:blipFill>
                    <a:blip r:embed="rId33"/>
                    <a:srcRect/>
                    <a:stretch>
                      <a:fillRect/>
                    </a:stretch>
                  </pic:blipFill>
                  <pic:spPr bwMode="auto">
                    <a:xfrm>
                      <a:off x="0" y="0"/>
                      <a:ext cx="5858679" cy="2726951"/>
                    </a:xfrm>
                    <a:prstGeom prst="rect">
                      <a:avLst/>
                    </a:prstGeom>
                    <a:noFill/>
                  </pic:spPr>
                </pic:pic>
              </a:graphicData>
            </a:graphic>
          </wp:inline>
        </w:drawing>
      </w:r>
    </w:p>
    <w:p w14:paraId="6681B9F1" w14:textId="77777777" w:rsidR="00C50585" w:rsidRPr="00EE038F" w:rsidRDefault="00C50585" w:rsidP="00066DFC">
      <w:pPr>
        <w:spacing w:after="0" w:line="240" w:lineRule="auto"/>
        <w:jc w:val="center"/>
        <w:rPr>
          <w:rFonts w:ascii="Garamond" w:eastAsiaTheme="minorHAnsi" w:hAnsi="Garamond"/>
          <w:i/>
          <w:sz w:val="24"/>
          <w:szCs w:val="24"/>
        </w:rPr>
      </w:pPr>
      <w:r w:rsidRPr="00EE038F">
        <w:rPr>
          <w:rFonts w:ascii="Garamond" w:eastAsiaTheme="minorHAnsi" w:hAnsi="Garamond"/>
          <w:i/>
          <w:sz w:val="24"/>
          <w:szCs w:val="24"/>
        </w:rPr>
        <w:t>Burimi: Banka e Shqipërisë</w:t>
      </w:r>
    </w:p>
    <w:p w14:paraId="19C73D40" w14:textId="77777777" w:rsidR="00C50585" w:rsidRPr="00EE038F" w:rsidRDefault="00C50585" w:rsidP="00C50585">
      <w:pPr>
        <w:spacing w:after="0" w:line="240" w:lineRule="auto"/>
        <w:jc w:val="both"/>
        <w:rPr>
          <w:rFonts w:ascii="Garamond" w:eastAsia="Times New Roman" w:hAnsi="Garamond"/>
          <w:b/>
          <w:bCs/>
          <w:i/>
          <w:iCs/>
          <w:color w:val="000000"/>
          <w:lang w:eastAsia="en-GB"/>
        </w:rPr>
      </w:pPr>
    </w:p>
    <w:p w14:paraId="0B858CE8" w14:textId="226F3549" w:rsidR="00C50585" w:rsidRPr="00EE038F" w:rsidRDefault="00C50585" w:rsidP="00C253BF">
      <w:pPr>
        <w:pStyle w:val="TEKSTIIIIII"/>
        <w:rPr>
          <w:rFonts w:eastAsiaTheme="minorHAnsi"/>
        </w:rPr>
      </w:pPr>
      <w:r w:rsidRPr="00EE038F">
        <w:rPr>
          <w:rFonts w:eastAsiaTheme="minorHAnsi"/>
        </w:rPr>
        <w:t xml:space="preserve">Duke filluar nga viti 2020 bankat kanë filluar të përmbushin kërkesat për kapital të lidhura me shtesat KONS dhe SIST. Ndërkohë që instrumenti KUNC është aktiv dhe operacional, norma e tij ka </w:t>
      </w:r>
      <w:r w:rsidR="004B75D7" w:rsidRPr="00EE038F">
        <w:rPr>
          <w:rFonts w:eastAsiaTheme="minorHAnsi"/>
        </w:rPr>
        <w:t>qëndruar</w:t>
      </w:r>
      <w:r w:rsidRPr="00EE038F">
        <w:rPr>
          <w:rFonts w:eastAsiaTheme="minorHAnsi"/>
        </w:rPr>
        <w:t xml:space="preserve"> </w:t>
      </w:r>
      <w:r w:rsidR="004B75D7" w:rsidRPr="00EE038F">
        <w:rPr>
          <w:rFonts w:eastAsiaTheme="minorHAnsi"/>
        </w:rPr>
        <w:t xml:space="preserve">e </w:t>
      </w:r>
      <w:r w:rsidRPr="00EE038F">
        <w:rPr>
          <w:rFonts w:eastAsiaTheme="minorHAnsi"/>
        </w:rPr>
        <w:t xml:space="preserve">barabartë me zero që nga shpallja për herë të parë e kësaj norme deri në fund të tremujorit të dytë të vitit 2024, kur u rrit për herë të parë nga niveli 0% në 0.25%. Norma e KUNC prej 0.25% duhet të përmbushet nga bankat në T2-2025. Norma e KONS që aplikohet për të gjitha bankat është e barabartë me 2.5% nga viti 2024 e në vazhdim. </w:t>
      </w:r>
    </w:p>
    <w:p w14:paraId="1D7B4CCB" w14:textId="6711FA76" w:rsidR="00C50585" w:rsidRPr="00EE038F" w:rsidRDefault="00C50585" w:rsidP="00C253BF">
      <w:pPr>
        <w:pStyle w:val="TEKSTIIIIII"/>
        <w:rPr>
          <w:rFonts w:eastAsia="Times New Roman"/>
          <w:color w:val="0D0D0D" w:themeColor="text1" w:themeTint="F2"/>
        </w:rPr>
      </w:pPr>
      <w:r w:rsidRPr="00EE038F">
        <w:rPr>
          <w:rFonts w:eastAsiaTheme="minorHAnsi"/>
        </w:rPr>
        <w:t xml:space="preserve">Banka e Shqipërisë shpall listën e bankave sistemike dhe shtesat përkatëse SIST një herë në vit në fund të tremujorit të parë. Për vitin 2024 janë identifikuar 4 banka me rëndësi sistemike dhe shtesat e kapitalit për rëndësinë sistemike të aplikuara për to janë: </w:t>
      </w:r>
      <w:r w:rsidRPr="00EE038F">
        <w:rPr>
          <w:rFonts w:eastAsia="Times New Roman"/>
          <w:color w:val="0D0D0D" w:themeColor="text1" w:themeTint="F2"/>
        </w:rPr>
        <w:t>Banka Kombëtare Tregtare: 1.5%; Banka Credins: 1.0%; Banka Raiffeisen: 1.0% dhe Banka OTP Albania: 0.5%. Në vitin 2025, bazuar në vendimin nr.</w:t>
      </w:r>
      <w:r w:rsidR="00120D19" w:rsidRPr="00EE038F">
        <w:rPr>
          <w:rFonts w:eastAsia="Times New Roman"/>
          <w:color w:val="0D0D0D" w:themeColor="text1" w:themeTint="F2"/>
        </w:rPr>
        <w:t xml:space="preserve"> </w:t>
      </w:r>
      <w:r w:rsidRPr="00EE038F">
        <w:rPr>
          <w:rFonts w:eastAsia="Times New Roman"/>
          <w:color w:val="0D0D0D" w:themeColor="text1" w:themeTint="F2"/>
        </w:rPr>
        <w:t>1481, datë 2.4.2024</w:t>
      </w:r>
      <w:r w:rsidR="00120D19" w:rsidRPr="00EE038F">
        <w:rPr>
          <w:rFonts w:eastAsia="Times New Roman"/>
          <w:color w:val="0D0D0D" w:themeColor="text1" w:themeTint="F2"/>
        </w:rPr>
        <w:t>,</w:t>
      </w:r>
      <w:r w:rsidRPr="00EE038F">
        <w:rPr>
          <w:rFonts w:eastAsia="Times New Roman"/>
          <w:color w:val="0D0D0D" w:themeColor="text1" w:themeTint="F2"/>
        </w:rPr>
        <w:t xml:space="preserve"> bankat me rëndësi sistemike dhe shtesat përkatëse të kapitalit, do të jenë: Banka Kombëtare Tregtare: 1.5%; Banka Raiffeisen: 1.0%; Banka Credins: 1.0%; dhe Banka OTP Albania: 0.5%.</w:t>
      </w:r>
    </w:p>
    <w:p w14:paraId="1E3DB72E" w14:textId="537916C4" w:rsidR="00C50585" w:rsidRPr="00EE038F" w:rsidRDefault="00C50585" w:rsidP="00C253BF">
      <w:pPr>
        <w:pStyle w:val="TEKSTIIIIII"/>
        <w:rPr>
          <w:rFonts w:eastAsia="Times New Roman"/>
          <w:b/>
          <w:bCs/>
          <w:i/>
          <w:iCs/>
          <w:lang w:eastAsia="en-GB"/>
        </w:rPr>
      </w:pPr>
      <w:r w:rsidRPr="00EE038F">
        <w:rPr>
          <w:rFonts w:eastAsiaTheme="minorHAnsi"/>
        </w:rPr>
        <w:t>Zbatimi i shtesave KUNC dhe SIST mbështetet nga metodologjitë shoqëruese që janë publikuar në faqen e Bankës së Shqipërisë. Përmbushja nga ana e bankave e kërkesave për shtesat e kapitalit</w:t>
      </w:r>
      <w:r w:rsidR="00DD5FFD" w:rsidRPr="00EE038F">
        <w:rPr>
          <w:rFonts w:eastAsiaTheme="minorHAnsi"/>
        </w:rPr>
        <w:t>,</w:t>
      </w:r>
      <w:r w:rsidRPr="00EE038F">
        <w:rPr>
          <w:rFonts w:eastAsiaTheme="minorHAnsi"/>
        </w:rPr>
        <w:t xml:space="preserve"> sipas </w:t>
      </w:r>
      <w:r w:rsidR="00DD5FFD" w:rsidRPr="00EE038F">
        <w:rPr>
          <w:rFonts w:eastAsiaTheme="minorHAnsi"/>
        </w:rPr>
        <w:t xml:space="preserve">rregullores </w:t>
      </w:r>
      <w:r w:rsidRPr="00EE038F">
        <w:rPr>
          <w:rFonts w:eastAsiaTheme="minorHAnsi"/>
        </w:rPr>
        <w:t>vlerësohet çdo tremujor nga Banka e Shqipërisë</w:t>
      </w:r>
      <w:r w:rsidR="00DD5FFD" w:rsidRPr="00EE038F">
        <w:rPr>
          <w:rFonts w:eastAsiaTheme="minorHAnsi"/>
        </w:rPr>
        <w:t xml:space="preserve">, </w:t>
      </w:r>
      <w:r w:rsidRPr="00EE038F">
        <w:rPr>
          <w:rFonts w:eastAsiaTheme="minorHAnsi"/>
        </w:rPr>
        <w:t>në bazë të një pakete të posaçme raportimi dhe raportit përkatës. Shtesa për rrezikun sistemik nuk është ende operacionale, por në të ardhmen ajo mund të përdoret si një mjet makroprudencial për të adresuar rrezikun sistemik strukturor.</w:t>
      </w:r>
    </w:p>
    <w:p w14:paraId="40A9125D" w14:textId="5566E78A" w:rsidR="00C50585" w:rsidRPr="00EE038F" w:rsidRDefault="00C50585" w:rsidP="00C253BF">
      <w:pPr>
        <w:pStyle w:val="TEKSTIIIIII"/>
        <w:rPr>
          <w:rFonts w:eastAsia="Times New Roman"/>
          <w:color w:val="0D0D0D" w:themeColor="text1" w:themeTint="F2"/>
        </w:rPr>
      </w:pPr>
      <w:r w:rsidRPr="00EE038F">
        <w:rPr>
          <w:rFonts w:eastAsia="Times New Roman"/>
          <w:color w:val="0D0D0D" w:themeColor="text1" w:themeTint="F2"/>
        </w:rPr>
        <w:t xml:space="preserve">Në zbatim të rregullores së hartuar nga Departamenti i Stabilitetit Financiar </w:t>
      </w:r>
      <w:r w:rsidR="00D555C7" w:rsidRPr="00EE038F">
        <w:rPr>
          <w:rFonts w:eastAsia="Times New Roman"/>
          <w:color w:val="0D0D0D" w:themeColor="text1" w:themeTint="F2"/>
        </w:rPr>
        <w:t>“</w:t>
      </w:r>
      <w:r w:rsidRPr="00EE038F">
        <w:rPr>
          <w:rFonts w:eastAsia="Times New Roman"/>
          <w:color w:val="0D0D0D" w:themeColor="text1" w:themeTint="F2"/>
        </w:rPr>
        <w:t>Për raportimin e të dhënave, identifikimin dhe monitorimin e treguesve mbi kredidhënien dhe investimet për prona të paluajtshme</w:t>
      </w:r>
      <w:r w:rsidR="00D555C7" w:rsidRPr="00EE038F">
        <w:rPr>
          <w:rFonts w:eastAsia="Times New Roman"/>
          <w:color w:val="0D0D0D" w:themeColor="text1" w:themeTint="F2"/>
        </w:rPr>
        <w:t>”</w:t>
      </w:r>
      <w:r w:rsidRPr="00EE038F">
        <w:rPr>
          <w:rFonts w:eastAsia="Times New Roman"/>
          <w:color w:val="0D0D0D" w:themeColor="text1" w:themeTint="F2"/>
        </w:rPr>
        <w:t>, miratuar me vendim të Këshillit Mbikëqyrës të Bankës së Shqipërisë</w:t>
      </w:r>
      <w:r w:rsidR="00CB32E4" w:rsidRPr="00EE038F">
        <w:rPr>
          <w:rFonts w:eastAsia="Times New Roman"/>
          <w:color w:val="0D0D0D" w:themeColor="text1" w:themeTint="F2"/>
        </w:rPr>
        <w:t xml:space="preserve"> n</w:t>
      </w:r>
      <w:r w:rsidRPr="00EE038F">
        <w:rPr>
          <w:rFonts w:eastAsia="Times New Roman"/>
          <w:color w:val="0D0D0D" w:themeColor="text1" w:themeTint="F2"/>
        </w:rPr>
        <w:t>r. 44, datë 4.10.2023 (hyrë në fuqi në datë 28 tetor 2024), pas një periudhe testimi, bankat në vend dërguan me sukses informacionin e kërkuar mbi kreditë e reja për pasuritë e paluajtshme rezidenciale (RRE) dhe komerciale (CRE) për T1 dhe T2 2024. Ky informacion u përpunua dhe u analizua nga DSF</w:t>
      </w:r>
      <w:r w:rsidR="006C51DD" w:rsidRPr="00EE038F">
        <w:rPr>
          <w:rFonts w:eastAsia="Times New Roman"/>
          <w:color w:val="0D0D0D" w:themeColor="text1" w:themeTint="F2"/>
        </w:rPr>
        <w:t>-ja</w:t>
      </w:r>
      <w:r w:rsidR="00002F2E" w:rsidRPr="00EE038F">
        <w:rPr>
          <w:rFonts w:eastAsia="Times New Roman"/>
          <w:color w:val="0D0D0D" w:themeColor="text1" w:themeTint="F2"/>
        </w:rPr>
        <w:t>,</w:t>
      </w:r>
      <w:r w:rsidRPr="00EE038F">
        <w:rPr>
          <w:rFonts w:eastAsia="Times New Roman"/>
          <w:color w:val="0D0D0D" w:themeColor="text1" w:themeTint="F2"/>
        </w:rPr>
        <w:t xml:space="preserve"> duke u fokusuar në treguesit e standardeve të kreditimit, dhe analiz</w:t>
      </w:r>
      <w:r w:rsidR="00002F2E" w:rsidRPr="00EE038F">
        <w:rPr>
          <w:rFonts w:eastAsia="Times New Roman"/>
          <w:color w:val="0D0D0D" w:themeColor="text1" w:themeTint="F2"/>
        </w:rPr>
        <w:t>a</w:t>
      </w:r>
      <w:r w:rsidRPr="00EE038F">
        <w:rPr>
          <w:rFonts w:eastAsia="Times New Roman"/>
          <w:color w:val="0D0D0D" w:themeColor="text1" w:themeTint="F2"/>
        </w:rPr>
        <w:t xml:space="preserve"> e detajuar është dërguar tashmë pranë Këshillit Mbikëqyrës. Aktualisht, bankat kanë përfunduar</w:t>
      </w:r>
      <w:r w:rsidR="00002F2E" w:rsidRPr="00EE038F">
        <w:rPr>
          <w:rFonts w:eastAsia="Times New Roman"/>
          <w:color w:val="0D0D0D" w:themeColor="text1" w:themeTint="F2"/>
        </w:rPr>
        <w:t>,</w:t>
      </w:r>
      <w:r w:rsidRPr="00EE038F">
        <w:rPr>
          <w:rFonts w:eastAsia="Times New Roman"/>
          <w:color w:val="0D0D0D" w:themeColor="text1" w:themeTint="F2"/>
        </w:rPr>
        <w:t xml:space="preserve"> gjithashtu</w:t>
      </w:r>
      <w:r w:rsidR="00002F2E" w:rsidRPr="00EE038F">
        <w:rPr>
          <w:rFonts w:eastAsia="Times New Roman"/>
          <w:color w:val="0D0D0D" w:themeColor="text1" w:themeTint="F2"/>
        </w:rPr>
        <w:t>,</w:t>
      </w:r>
      <w:r w:rsidRPr="00EE038F">
        <w:rPr>
          <w:rFonts w:eastAsia="Times New Roman"/>
          <w:color w:val="0D0D0D" w:themeColor="text1" w:themeTint="F2"/>
        </w:rPr>
        <w:t xml:space="preserve"> procesin e dërgimit së informacionit vjetor për stokun e kredisë për pasuritë e paluajtshme rezidenciale dhe komerciale (përfshirë informacionin mbi vlerat mesatare dhe shpërndarjen e treguesve të kredisë bazuar te huamarrës), ndërkohë që janë të proces të dërgimit të informacionin për kreditë e reja të disbursuara për RRE dhe CRE gjatë tremujorit të tretë.</w:t>
      </w:r>
    </w:p>
    <w:p w14:paraId="31324B88" w14:textId="77777777" w:rsidR="00C50585" w:rsidRPr="00EE038F" w:rsidRDefault="00560ACF" w:rsidP="00560ACF">
      <w:pPr>
        <w:pStyle w:val="TEKSTIIIIII"/>
        <w:rPr>
          <w:b/>
        </w:rPr>
      </w:pPr>
      <w:bookmarkStart w:id="9" w:name="_Toc484076171"/>
      <w:bookmarkStart w:id="10" w:name="_Toc30661215"/>
      <w:bookmarkStart w:id="11" w:name="_Toc187328203"/>
      <w:r w:rsidRPr="00EE038F">
        <w:rPr>
          <w:b/>
        </w:rPr>
        <w:t xml:space="preserve">3.3 </w:t>
      </w:r>
      <w:r w:rsidR="00C50585" w:rsidRPr="00EE038F">
        <w:rPr>
          <w:b/>
        </w:rPr>
        <w:t>Skenarët alternativë dhe risqet</w:t>
      </w:r>
      <w:bookmarkEnd w:id="9"/>
      <w:bookmarkEnd w:id="10"/>
      <w:bookmarkEnd w:id="11"/>
    </w:p>
    <w:p w14:paraId="718880C3" w14:textId="77777777" w:rsidR="00C50585" w:rsidRPr="00EE038F" w:rsidRDefault="00C50585" w:rsidP="00560ACF">
      <w:pPr>
        <w:pStyle w:val="TEKSTIIIIII"/>
      </w:pPr>
      <w:r w:rsidRPr="00EE038F">
        <w:lastRenderedPageBreak/>
        <w:t xml:space="preserve">Skenari bazë vlerësohet të ketë probabilitet më të lartë për t’u materializuar. Megjithatë parashikimi i skenarëve alternativë – duke supozuar se një pjesë e risqeve të ndryshme, që rrethojnë skenarin bazë mund të materializohen – është një komponent i rëndësishëm i planifikimit të financave publike. </w:t>
      </w:r>
    </w:p>
    <w:p w14:paraId="1CC0A94F" w14:textId="0FC70504" w:rsidR="00C50585" w:rsidRPr="00EE038F" w:rsidRDefault="00C50585" w:rsidP="00560ACF">
      <w:pPr>
        <w:pStyle w:val="TEKSTIIIIII"/>
      </w:pPr>
      <w:r w:rsidRPr="00EE038F">
        <w:t xml:space="preserve">Prezantimi i skenarëve alternativë rrit cilësinë e planifikimit, duke lejuar një menaxhim më efikas të fondeve publike në çdo situatë që ka një probabilitet të caktuar për të ndodhur. Më poshtë paraqiten shkurtimisht dy skenarë alternativë, në mënyrë specifike një skenar </w:t>
      </w:r>
      <w:r w:rsidR="00D555C7" w:rsidRPr="00EE038F">
        <w:t>“</w:t>
      </w:r>
      <w:r w:rsidRPr="00EE038F">
        <w:t>pesimist</w:t>
      </w:r>
      <w:r w:rsidR="00D555C7" w:rsidRPr="00EE038F">
        <w:t>”</w:t>
      </w:r>
      <w:r w:rsidRPr="00EE038F">
        <w:t xml:space="preserve"> dhe një skenar </w:t>
      </w:r>
      <w:r w:rsidR="00D555C7" w:rsidRPr="00EE038F">
        <w:t>“</w:t>
      </w:r>
      <w:r w:rsidRPr="00EE038F">
        <w:t>optimist</w:t>
      </w:r>
      <w:r w:rsidR="00D555C7" w:rsidRPr="00EE038F">
        <w:t>”</w:t>
      </w:r>
      <w:r w:rsidRPr="00EE038F">
        <w:t>.</w:t>
      </w:r>
    </w:p>
    <w:p w14:paraId="262C07E7" w14:textId="6D2EF482" w:rsidR="00C50585" w:rsidRPr="00EE038F" w:rsidRDefault="00C50585" w:rsidP="00560ACF">
      <w:pPr>
        <w:pStyle w:val="TEKSTIIIIII"/>
      </w:pPr>
      <w:r w:rsidRPr="00EE038F">
        <w:t xml:space="preserve">Secili nga skenarët alternativë supozon që një grup risqesh negative (në rastin e një skenari </w:t>
      </w:r>
      <w:r w:rsidR="00D555C7" w:rsidRPr="00EE038F">
        <w:t>“</w:t>
      </w:r>
      <w:r w:rsidRPr="00EE038F">
        <w:t>pesimist</w:t>
      </w:r>
      <w:r w:rsidR="00D555C7" w:rsidRPr="00EE038F">
        <w:t>”</w:t>
      </w:r>
      <w:r w:rsidRPr="00EE038F">
        <w:t xml:space="preserve">) ose risqesh pozitive (në rastin një skenari </w:t>
      </w:r>
      <w:r w:rsidR="00D555C7" w:rsidRPr="00EE038F">
        <w:t>“</w:t>
      </w:r>
      <w:r w:rsidRPr="00EE038F">
        <w:t>optimist</w:t>
      </w:r>
      <w:r w:rsidR="00D555C7" w:rsidRPr="00EE038F">
        <w:t>”</w:t>
      </w:r>
      <w:r w:rsidRPr="00EE038F">
        <w:t>) do të materializohen. Ky grup risqesh supozon devijime nga parashikimet në skenarin bazë për treguesit kryesorë makroekonomikë, duke përfshirë kreditimin e ekonomisë, ecurinë e ekonomisë së Eurozonës me efektet që ka në eksportin e mallrave dhe të shërbimeve, në remitanca, në flukset e kapitaleve të huaja, si dhe në kursin e këmbimit, normën e interesit, ritmin dhe ndikimin e reformave të politikave strukturore të planifikuara për periudhën afatmesme etj.</w:t>
      </w:r>
    </w:p>
    <w:p w14:paraId="0237F859" w14:textId="742F050F" w:rsidR="00C50585" w:rsidRPr="00EE038F" w:rsidRDefault="00C50585" w:rsidP="00560ACF">
      <w:pPr>
        <w:pStyle w:val="TEKSTIIIIII"/>
      </w:pPr>
      <w:r w:rsidRPr="00EE038F">
        <w:t xml:space="preserve">Për thjeshtësinë e analizës (modelimit), efekti i përgjithshëm i të gjitha risqeve të supozuara, negative ose pozitive, jepet si një goditje fillestare në terma të një variabli të vetëm, </w:t>
      </w:r>
      <w:r w:rsidR="00D555C7" w:rsidRPr="00EE038F">
        <w:t>“</w:t>
      </w:r>
      <w:r w:rsidRPr="00EE038F">
        <w:t>rritjes ekonomike reale</w:t>
      </w:r>
      <w:r w:rsidR="00D555C7" w:rsidRPr="00EE038F">
        <w:t>”</w:t>
      </w:r>
      <w:r w:rsidRPr="00EE038F">
        <w:t>. Pra, skenarët alternativë bazohen në supozime të ndryshme të rritjes ekonomike nga skenari bazë. Në këtë seksion, si dhe në seksionin tjetër përkatës 4.7 (Analiza e ndjeshmërisë), ne zgjasim horizontin e kohës së simulimit deri në vitin 2027</w:t>
      </w:r>
      <w:r w:rsidR="00CA12FC" w:rsidRPr="00EE038F">
        <w:t>,</w:t>
      </w:r>
      <w:r w:rsidRPr="00EE038F">
        <w:t xml:space="preserve"> në mënyrë që të kemi një pamje më gjithëpërfshirëse dhe të dobishme sipas secilit skenar alternativ.</w:t>
      </w:r>
    </w:p>
    <w:p w14:paraId="383F1020" w14:textId="2C72A815" w:rsidR="00C50585" w:rsidRPr="00EE038F" w:rsidRDefault="00C50585" w:rsidP="00560ACF">
      <w:pPr>
        <w:pStyle w:val="TEKSTIIIIII"/>
      </w:pPr>
      <w:r w:rsidRPr="00EE038F">
        <w:t xml:space="preserve">Tabela e mëposhtme paraqet supozimet e </w:t>
      </w:r>
      <w:r w:rsidR="00D555C7" w:rsidRPr="00EE038F">
        <w:t>“</w:t>
      </w:r>
      <w:r w:rsidRPr="00EE038F">
        <w:t>rritjes reale</w:t>
      </w:r>
      <w:r w:rsidR="00D555C7" w:rsidRPr="00EE038F">
        <w:t>”</w:t>
      </w:r>
      <w:r w:rsidRPr="00EE038F">
        <w:t xml:space="preserve"> në skenarët alternativë, rritjen nominale të derivuar dhe nivelin nominal të PBB-së. Për më tepër, tabela përfshin implikimet e supozuara mbi disa variabla kryesorë fiskalë</w:t>
      </w:r>
      <w:r w:rsidR="00E97E79" w:rsidRPr="00EE038F">
        <w:t>,</w:t>
      </w:r>
      <w:r w:rsidRPr="00EE038F">
        <w:t xml:space="preserve"> që shpjegohen në seksionin 4.7 për të lehtësuar më mirë kuptimin.</w:t>
      </w:r>
    </w:p>
    <w:p w14:paraId="665A7264" w14:textId="36547658" w:rsidR="00C50585" w:rsidRPr="00EE038F" w:rsidRDefault="00C50585" w:rsidP="00560ACF">
      <w:pPr>
        <w:pStyle w:val="TEKSTIIIIII"/>
        <w:rPr>
          <w:highlight w:val="yellow"/>
        </w:rPr>
      </w:pPr>
      <w:r w:rsidRPr="00EE038F">
        <w:t xml:space="preserve">Më shumë rëndësi i japim skenarit </w:t>
      </w:r>
      <w:r w:rsidR="00D555C7" w:rsidRPr="00EE038F">
        <w:t>“</w:t>
      </w:r>
      <w:r w:rsidRPr="00EE038F">
        <w:t>pesimist</w:t>
      </w:r>
      <w:r w:rsidR="00D555C7" w:rsidRPr="00EE038F">
        <w:t>”</w:t>
      </w:r>
      <w:r w:rsidRPr="00EE038F">
        <w:t xml:space="preserve"> dhe përballimit të mundshëm të implikimeve të tij, si dhe prezantojmë në mënyrë asimetrike një goditje më të madhe negative në këtë skenar krahasuar me madhësinë e kundërt të goditjes më të vogël pozitive që prezantojmë në atë </w:t>
      </w:r>
      <w:r w:rsidR="00D555C7" w:rsidRPr="00EE038F">
        <w:t>“</w:t>
      </w:r>
      <w:r w:rsidRPr="00EE038F">
        <w:t>optimist</w:t>
      </w:r>
      <w:r w:rsidR="00D555C7" w:rsidRPr="00EE038F">
        <w:t>”</w:t>
      </w:r>
      <w:r w:rsidRPr="00EE038F">
        <w:t xml:space="preserve">. Supozojmë se në skenarin </w:t>
      </w:r>
      <w:r w:rsidR="00D555C7" w:rsidRPr="00EE038F">
        <w:t>“</w:t>
      </w:r>
      <w:r w:rsidRPr="00EE038F">
        <w:t>pesimist</w:t>
      </w:r>
      <w:r w:rsidR="00D555C7" w:rsidRPr="00EE038F">
        <w:t>”</w:t>
      </w:r>
      <w:r w:rsidR="003606CA" w:rsidRPr="00EE038F">
        <w:t>,</w:t>
      </w:r>
      <w:r w:rsidRPr="00EE038F">
        <w:t xml:space="preserve"> rritja reale e PBB-së do të jetë 1.5 p.p. më e ulët për çdo vit (2025–2027) se sa parashikimet përkatëse të rritjes në skenarin </w:t>
      </w:r>
      <w:r w:rsidR="00D555C7" w:rsidRPr="00EE038F">
        <w:t>“</w:t>
      </w:r>
      <w:r w:rsidRPr="00EE038F">
        <w:t>bazë</w:t>
      </w:r>
      <w:r w:rsidR="00D555C7" w:rsidRPr="00EE038F">
        <w:t>”</w:t>
      </w:r>
      <w:r w:rsidRPr="00EE038F">
        <w:t xml:space="preserve">. Ndërsa në skenarin </w:t>
      </w:r>
      <w:r w:rsidR="00D555C7" w:rsidRPr="00EE038F">
        <w:t>“</w:t>
      </w:r>
      <w:r w:rsidRPr="00EE038F">
        <w:t>optimist</w:t>
      </w:r>
      <w:r w:rsidR="00D555C7" w:rsidRPr="00EE038F">
        <w:t>”</w:t>
      </w:r>
      <w:r w:rsidRPr="00EE038F">
        <w:t xml:space="preserve"> supozojmë se rritja reale do të jetë 0.5 p.p. më i lartë për çdo vit se sa ajo që parashikojmë përkatësisht në skenarin </w:t>
      </w:r>
      <w:r w:rsidR="00D555C7" w:rsidRPr="00EE038F">
        <w:t>“</w:t>
      </w:r>
      <w:r w:rsidRPr="00EE038F">
        <w:t>bazë</w:t>
      </w:r>
      <w:r w:rsidR="00D555C7" w:rsidRPr="00EE038F">
        <w:t>”</w:t>
      </w:r>
      <w:r w:rsidRPr="00EE038F">
        <w:t>.</w:t>
      </w:r>
    </w:p>
    <w:p w14:paraId="36E36435" w14:textId="77777777" w:rsidR="00C50585" w:rsidRPr="00EE038F" w:rsidRDefault="00C50585" w:rsidP="00C50585">
      <w:pPr>
        <w:widowControl w:val="0"/>
        <w:tabs>
          <w:tab w:val="left" w:pos="720"/>
        </w:tabs>
        <w:spacing w:after="0" w:line="240" w:lineRule="auto"/>
        <w:jc w:val="both"/>
        <w:rPr>
          <w:rFonts w:ascii="Garamond" w:eastAsia="Arial Narrow" w:hAnsi="Garamond"/>
          <w:color w:val="0D0D0D" w:themeColor="text1" w:themeTint="F2"/>
        </w:rPr>
      </w:pPr>
    </w:p>
    <w:p w14:paraId="1F3FB374" w14:textId="77777777" w:rsidR="00066DFC" w:rsidRPr="00EE038F" w:rsidRDefault="00066DFC" w:rsidP="00560ACF">
      <w:pPr>
        <w:pStyle w:val="TEKSTIIIIII"/>
        <w:rPr>
          <w:rFonts w:eastAsia="Arial Narrow"/>
        </w:rPr>
      </w:pPr>
    </w:p>
    <w:p w14:paraId="0BA510B1" w14:textId="77777777" w:rsidR="00066DFC" w:rsidRPr="00EE038F" w:rsidRDefault="00066DFC" w:rsidP="00560ACF">
      <w:pPr>
        <w:pStyle w:val="TEKSTIIIIII"/>
        <w:rPr>
          <w:rFonts w:eastAsia="Arial Narrow"/>
        </w:rPr>
      </w:pPr>
    </w:p>
    <w:p w14:paraId="3CB7240D" w14:textId="77777777" w:rsidR="00066DFC" w:rsidRPr="00EE038F" w:rsidRDefault="00066DFC" w:rsidP="00560ACF">
      <w:pPr>
        <w:pStyle w:val="TEKSTIIIIII"/>
        <w:rPr>
          <w:rFonts w:eastAsia="Arial Narrow"/>
        </w:rPr>
      </w:pPr>
    </w:p>
    <w:p w14:paraId="5E9FCC31" w14:textId="77777777" w:rsidR="00066DFC" w:rsidRPr="00EE038F" w:rsidRDefault="00066DFC" w:rsidP="00560ACF">
      <w:pPr>
        <w:pStyle w:val="TEKSTIIIIII"/>
        <w:rPr>
          <w:rFonts w:eastAsia="Arial Narrow"/>
        </w:rPr>
      </w:pPr>
    </w:p>
    <w:p w14:paraId="6AA914AD" w14:textId="77777777" w:rsidR="00066DFC" w:rsidRPr="00EE038F" w:rsidRDefault="00066DFC" w:rsidP="00560ACF">
      <w:pPr>
        <w:pStyle w:val="TEKSTIIIIII"/>
        <w:rPr>
          <w:rFonts w:eastAsia="Arial Narrow"/>
        </w:rPr>
      </w:pPr>
    </w:p>
    <w:p w14:paraId="3E1F0ECF" w14:textId="77777777" w:rsidR="00066DFC" w:rsidRPr="00EE038F" w:rsidRDefault="00066DFC" w:rsidP="00560ACF">
      <w:pPr>
        <w:pStyle w:val="TEKSTIIIIII"/>
        <w:rPr>
          <w:rFonts w:eastAsia="Arial Narrow"/>
        </w:rPr>
      </w:pPr>
    </w:p>
    <w:p w14:paraId="21EA5CA7" w14:textId="77777777" w:rsidR="00066DFC" w:rsidRPr="00EE038F" w:rsidRDefault="00066DFC" w:rsidP="00560ACF">
      <w:pPr>
        <w:pStyle w:val="TEKSTIIIIII"/>
        <w:rPr>
          <w:rFonts w:eastAsia="Arial Narrow"/>
        </w:rPr>
      </w:pPr>
    </w:p>
    <w:p w14:paraId="5FA9C493" w14:textId="77777777" w:rsidR="00066DFC" w:rsidRPr="00EE038F" w:rsidRDefault="00066DFC" w:rsidP="00560ACF">
      <w:pPr>
        <w:pStyle w:val="TEKSTIIIIII"/>
        <w:rPr>
          <w:rFonts w:eastAsia="Arial Narrow"/>
        </w:rPr>
      </w:pPr>
    </w:p>
    <w:p w14:paraId="52043EBF" w14:textId="77777777" w:rsidR="00066DFC" w:rsidRPr="00EE038F" w:rsidRDefault="00066DFC" w:rsidP="00560ACF">
      <w:pPr>
        <w:pStyle w:val="TEKSTIIIIII"/>
        <w:rPr>
          <w:rFonts w:eastAsia="Arial Narrow"/>
        </w:rPr>
      </w:pPr>
    </w:p>
    <w:p w14:paraId="6BCF5360" w14:textId="77777777" w:rsidR="00066DFC" w:rsidRPr="00EE038F" w:rsidRDefault="00066DFC" w:rsidP="00560ACF">
      <w:pPr>
        <w:pStyle w:val="TEKSTIIIIII"/>
        <w:rPr>
          <w:rFonts w:eastAsia="Arial Narrow"/>
        </w:rPr>
      </w:pPr>
    </w:p>
    <w:p w14:paraId="263D049A" w14:textId="77777777" w:rsidR="00066DFC" w:rsidRPr="00EE038F" w:rsidRDefault="00066DFC" w:rsidP="00560ACF">
      <w:pPr>
        <w:pStyle w:val="TEKSTIIIIII"/>
        <w:rPr>
          <w:rFonts w:eastAsia="Arial Narrow"/>
        </w:rPr>
      </w:pPr>
    </w:p>
    <w:p w14:paraId="58FD5C4E" w14:textId="77777777" w:rsidR="00066DFC" w:rsidRPr="00EE038F" w:rsidRDefault="00066DFC" w:rsidP="00560ACF">
      <w:pPr>
        <w:pStyle w:val="TEKSTIIIIII"/>
        <w:rPr>
          <w:rFonts w:eastAsia="Arial Narrow"/>
        </w:rPr>
      </w:pPr>
    </w:p>
    <w:p w14:paraId="280DC59D" w14:textId="77777777" w:rsidR="00066DFC" w:rsidRPr="00EE038F" w:rsidRDefault="00066DFC" w:rsidP="00560ACF">
      <w:pPr>
        <w:pStyle w:val="TEKSTIIIIII"/>
        <w:rPr>
          <w:rFonts w:eastAsia="Arial Narrow"/>
        </w:rPr>
      </w:pPr>
    </w:p>
    <w:p w14:paraId="75EE8FA8" w14:textId="77777777" w:rsidR="00066DFC" w:rsidRPr="00EE038F" w:rsidRDefault="00066DFC" w:rsidP="00560ACF">
      <w:pPr>
        <w:pStyle w:val="TEKSTIIIIII"/>
        <w:rPr>
          <w:rFonts w:eastAsia="Arial Narrow"/>
        </w:rPr>
      </w:pPr>
    </w:p>
    <w:p w14:paraId="0997E596" w14:textId="77777777" w:rsidR="00066DFC" w:rsidRPr="00EE038F" w:rsidRDefault="00066DFC" w:rsidP="00560ACF">
      <w:pPr>
        <w:pStyle w:val="TEKSTIIIIII"/>
        <w:rPr>
          <w:rFonts w:eastAsia="Arial Narrow"/>
        </w:rPr>
      </w:pPr>
    </w:p>
    <w:p w14:paraId="19F61CAE" w14:textId="77777777" w:rsidR="00066DFC" w:rsidRPr="00EE038F" w:rsidRDefault="00066DFC" w:rsidP="00560ACF">
      <w:pPr>
        <w:pStyle w:val="TEKSTIIIIII"/>
        <w:rPr>
          <w:rFonts w:eastAsia="Arial Narrow"/>
        </w:rPr>
      </w:pPr>
    </w:p>
    <w:p w14:paraId="350A1EC5" w14:textId="77777777" w:rsidR="00066DFC" w:rsidRPr="00EE038F" w:rsidRDefault="00066DFC" w:rsidP="00560ACF">
      <w:pPr>
        <w:pStyle w:val="TEKSTIIIIII"/>
        <w:rPr>
          <w:rFonts w:eastAsia="Arial Narrow"/>
        </w:rPr>
      </w:pPr>
    </w:p>
    <w:p w14:paraId="42E35641" w14:textId="77777777" w:rsidR="00066DFC" w:rsidRPr="00EE038F" w:rsidRDefault="00066DFC" w:rsidP="00560ACF">
      <w:pPr>
        <w:pStyle w:val="TEKSTIIIIII"/>
        <w:rPr>
          <w:rFonts w:eastAsia="Arial Narrow"/>
        </w:rPr>
      </w:pPr>
    </w:p>
    <w:p w14:paraId="4C882516" w14:textId="2670DBAC" w:rsidR="00C50585" w:rsidRPr="00EE038F" w:rsidRDefault="00C50585" w:rsidP="00066DFC">
      <w:pPr>
        <w:pStyle w:val="TEKSTIIIIII"/>
        <w:ind w:firstLine="0"/>
        <w:jc w:val="center"/>
        <w:rPr>
          <w:rFonts w:eastAsia="Arial Narrow"/>
          <w:i/>
          <w:iCs/>
        </w:rPr>
      </w:pPr>
      <w:r w:rsidRPr="00EE038F">
        <w:rPr>
          <w:rFonts w:eastAsia="Arial Narrow"/>
          <w:i/>
          <w:iCs/>
        </w:rPr>
        <w:lastRenderedPageBreak/>
        <w:t>Tabelë 3.3.1: Supozimet alternative për secilin skenar</w:t>
      </w:r>
    </w:p>
    <w:p w14:paraId="1E03A30C" w14:textId="77777777" w:rsidR="00C50585" w:rsidRPr="00EE038F" w:rsidRDefault="00C50585" w:rsidP="008E52C2">
      <w:pPr>
        <w:widowControl w:val="0"/>
        <w:tabs>
          <w:tab w:val="left" w:pos="720"/>
        </w:tabs>
        <w:spacing w:after="0" w:line="240" w:lineRule="auto"/>
        <w:jc w:val="center"/>
        <w:rPr>
          <w:rFonts w:ascii="Garamond" w:eastAsia="Arial Narrow" w:hAnsi="Garamond"/>
          <w:color w:val="0D0D0D" w:themeColor="text1" w:themeTint="F2"/>
        </w:rPr>
      </w:pPr>
      <w:r w:rsidRPr="00EE038F">
        <w:rPr>
          <w:rFonts w:ascii="Garamond" w:hAnsi="Garamond"/>
          <w:noProof/>
          <w:lang w:eastAsia="en-GB"/>
        </w:rPr>
        <w:drawing>
          <wp:inline distT="0" distB="0" distL="0" distR="0" wp14:anchorId="3B0A5AB5" wp14:editId="1746A06E">
            <wp:extent cx="5457139" cy="4716327"/>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9473" cy="4744272"/>
                    </a:xfrm>
                    <a:prstGeom prst="rect">
                      <a:avLst/>
                    </a:prstGeom>
                    <a:noFill/>
                    <a:ln>
                      <a:noFill/>
                    </a:ln>
                  </pic:spPr>
                </pic:pic>
              </a:graphicData>
            </a:graphic>
          </wp:inline>
        </w:drawing>
      </w:r>
    </w:p>
    <w:p w14:paraId="0C92C5F9" w14:textId="77777777" w:rsidR="00C50585" w:rsidRPr="00EE038F" w:rsidRDefault="00C50585" w:rsidP="00BC1D37">
      <w:pPr>
        <w:snapToGrid w:val="0"/>
        <w:spacing w:after="0" w:line="240" w:lineRule="auto"/>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Burimi: Ministria e Financave, 2024</w:t>
      </w:r>
    </w:p>
    <w:p w14:paraId="75C1A74A" w14:textId="77777777" w:rsidR="00C50585" w:rsidRPr="00EE038F" w:rsidRDefault="00C50585" w:rsidP="004E7B72">
      <w:pPr>
        <w:pStyle w:val="TEKSTIIIIII"/>
      </w:pPr>
    </w:p>
    <w:p w14:paraId="213BA6D0" w14:textId="77777777" w:rsidR="00C50585" w:rsidRPr="00EE038F" w:rsidRDefault="004E7B72" w:rsidP="004E7B72">
      <w:pPr>
        <w:pStyle w:val="TEKSTIIIIII"/>
        <w:rPr>
          <w:bCs/>
        </w:rPr>
      </w:pPr>
      <w:bookmarkStart w:id="12" w:name="_Toc484076172"/>
      <w:bookmarkStart w:id="13" w:name="_Toc62805581"/>
      <w:bookmarkStart w:id="14" w:name="_Toc187328204"/>
      <w:r w:rsidRPr="00EE038F">
        <w:rPr>
          <w:bCs/>
        </w:rPr>
        <w:t xml:space="preserve">4. </w:t>
      </w:r>
      <w:r w:rsidR="00C50585" w:rsidRPr="00EE038F">
        <w:rPr>
          <w:bCs/>
        </w:rPr>
        <w:t>KUADRI FISKAL</w:t>
      </w:r>
      <w:bookmarkEnd w:id="12"/>
      <w:bookmarkEnd w:id="13"/>
      <w:bookmarkEnd w:id="14"/>
    </w:p>
    <w:p w14:paraId="087B46D1" w14:textId="30EF3478" w:rsidR="00C50585" w:rsidRPr="00EE038F" w:rsidRDefault="004E7B72" w:rsidP="004E7B72">
      <w:pPr>
        <w:pStyle w:val="TEKSTIIIIII"/>
        <w:rPr>
          <w:b/>
        </w:rPr>
      </w:pPr>
      <w:bookmarkStart w:id="15" w:name="_Toc484076173"/>
      <w:bookmarkStart w:id="16" w:name="_Toc30661217"/>
      <w:bookmarkStart w:id="17" w:name="_Toc187328205"/>
      <w:r w:rsidRPr="00EE038F">
        <w:rPr>
          <w:b/>
        </w:rPr>
        <w:t xml:space="preserve">4.1 </w:t>
      </w:r>
      <w:r w:rsidR="00C50585" w:rsidRPr="00EE038F">
        <w:rPr>
          <w:b/>
        </w:rPr>
        <w:t>Politikat strategjike dhe objektivat afatmes</w:t>
      </w:r>
      <w:r w:rsidR="00D555C7" w:rsidRPr="00EE038F">
        <w:rPr>
          <w:b/>
        </w:rPr>
        <w:t>ë</w:t>
      </w:r>
      <w:r w:rsidR="00C50585" w:rsidRPr="00EE038F">
        <w:rPr>
          <w:b/>
        </w:rPr>
        <w:t>m</w:t>
      </w:r>
      <w:bookmarkEnd w:id="15"/>
      <w:bookmarkEnd w:id="16"/>
      <w:bookmarkEnd w:id="17"/>
      <w:r w:rsidR="00C50585" w:rsidRPr="00EE038F">
        <w:rPr>
          <w:b/>
        </w:rPr>
        <w:t xml:space="preserve"> </w:t>
      </w:r>
    </w:p>
    <w:p w14:paraId="7C587DD0" w14:textId="1D99AC4F" w:rsidR="00C50585" w:rsidRPr="00EE038F" w:rsidRDefault="00C50585" w:rsidP="004E7B72">
      <w:pPr>
        <w:pStyle w:val="TEKSTIIIIII"/>
      </w:pPr>
      <w:r w:rsidRPr="00EE038F">
        <w:t>Pas një stimuli të lartë, për të kryer një politikë fiskale ekspansioniste të domosdoshme dhe njëkohësisht të paevitueshme gjatë viteve 2020 dhe 2021</w:t>
      </w:r>
      <w:r w:rsidR="008E52C2" w:rsidRPr="00EE038F">
        <w:t>,</w:t>
      </w:r>
      <w:r w:rsidRPr="00EE038F">
        <w:t xml:space="preserve"> me qëllim amortizmin e goditjeve negative (nga tërmeti dhe sidomos pandemia), politika fiskale u rikthye qartësisht drejt konsolidimit</w:t>
      </w:r>
      <w:r w:rsidR="008E52C2" w:rsidRPr="00EE038F">
        <w:t>,</w:t>
      </w:r>
      <w:r w:rsidRPr="00EE038F">
        <w:t xml:space="preserve"> duke filluar prej vitit 2022. Konsolidimi fiskal do të vijojë të jetë objektivi themelor i politikës fiskale për periudhën afatmesme </w:t>
      </w:r>
      <w:r w:rsidR="00B41EC3" w:rsidRPr="00EE038F">
        <w:t>2025–2027</w:t>
      </w:r>
      <w:r w:rsidRPr="00EE038F">
        <w:t>, në funksion të drejtpërdrejtë të sigurimit të stabilitetit makroekonomik të vendit, si një premisë thelbësore për sigurimin e një rritje</w:t>
      </w:r>
      <w:r w:rsidR="008E52C2" w:rsidRPr="00EE038F">
        <w:t>je</w:t>
      </w:r>
      <w:r w:rsidRPr="00EE038F">
        <w:t xml:space="preserve"> ekonomike të qëndrueshme e gjithëpërfshirëse. Me synimin për të ruajtur të pac</w:t>
      </w:r>
      <w:r w:rsidR="00F56597" w:rsidRPr="00EE038F">
        <w:t>e</w:t>
      </w:r>
      <w:r w:rsidRPr="00EE038F">
        <w:t>nuar kredibilitetin e financave publike në perceptimin e tregjeve, politika fiskale do të targetojë një trajektore rënëse të përvitshme të borxhit publik, ndërsa balanca primare do të jetë së paku neutrale ose në nivel pozitiv prej vitit 2024 dhe e në vijim, duke përbërë objektivin kryesor operacional që do të ankorojë politikën fiskale në afatin e mesëm dhe të gjatë, në përputhje edhe me rregullat fiskalë respektivë në LOB.</w:t>
      </w:r>
    </w:p>
    <w:p w14:paraId="69DF961C" w14:textId="77777777" w:rsidR="004E7B72" w:rsidRPr="00EE038F" w:rsidRDefault="004E7B72" w:rsidP="004E7B72">
      <w:pPr>
        <w:pStyle w:val="TEKSTIIIIII"/>
      </w:pPr>
    </w:p>
    <w:tbl>
      <w:tblPr>
        <w:tblStyle w:val="TableGrid"/>
        <w:tblW w:w="0" w:type="auto"/>
        <w:jc w:val="center"/>
        <w:shd w:val="clear" w:color="auto" w:fill="F2F2F2" w:themeFill="background1" w:themeFillShade="F2"/>
        <w:tblLook w:val="04A0" w:firstRow="1" w:lastRow="0" w:firstColumn="1" w:lastColumn="0" w:noHBand="0" w:noVBand="1"/>
      </w:tblPr>
      <w:tblGrid>
        <w:gridCol w:w="9010"/>
      </w:tblGrid>
      <w:tr w:rsidR="004E7B72" w:rsidRPr="00EE038F" w14:paraId="59D3138F" w14:textId="77777777" w:rsidTr="00F56597">
        <w:trPr>
          <w:jc w:val="center"/>
        </w:trPr>
        <w:tc>
          <w:tcPr>
            <w:tcW w:w="9010" w:type="dxa"/>
            <w:shd w:val="clear" w:color="auto" w:fill="F2F2F2" w:themeFill="background1" w:themeFillShade="F2"/>
          </w:tcPr>
          <w:p w14:paraId="418EB29F" w14:textId="139549E6" w:rsidR="004E7B72" w:rsidRPr="00EE038F" w:rsidRDefault="004E7B72" w:rsidP="004E7B72">
            <w:pPr>
              <w:pStyle w:val="TEKSTIIIIII"/>
              <w:rPr>
                <w:b/>
              </w:rPr>
            </w:pPr>
            <w:r w:rsidRPr="00EE038F">
              <w:rPr>
                <w:b/>
              </w:rPr>
              <w:t>Kuadrat shpjegues 1:</w:t>
            </w:r>
            <w:r w:rsidR="00AD3D9C" w:rsidRPr="00EE038F">
              <w:rPr>
                <w:b/>
              </w:rPr>
              <w:t xml:space="preserve"> </w:t>
            </w:r>
            <w:r w:rsidRPr="00EE038F">
              <w:rPr>
                <w:b/>
              </w:rPr>
              <w:t>Balanca primare, ankora kryesore e politikës fiskale</w:t>
            </w:r>
          </w:p>
          <w:p w14:paraId="1A6760AB" w14:textId="77777777" w:rsidR="004E7B72" w:rsidRPr="00EE038F" w:rsidRDefault="004E7B72" w:rsidP="004E7B72">
            <w:pPr>
              <w:pStyle w:val="TEKSTIIIIII"/>
            </w:pPr>
          </w:p>
          <w:p w14:paraId="0AF450F9" w14:textId="4CF83853" w:rsidR="004E7B72" w:rsidRPr="00EE038F" w:rsidRDefault="004E7B72" w:rsidP="004E7B72">
            <w:pPr>
              <w:pStyle w:val="TEKSTIIIIII"/>
            </w:pPr>
            <w:r w:rsidRPr="00EE038F">
              <w:t xml:space="preserve">Balanca primare është një parametër shumë i rëndësishëm i </w:t>
            </w:r>
            <w:r w:rsidR="001B4BFD" w:rsidRPr="00EE038F">
              <w:t>qëndrueshmërisë</w:t>
            </w:r>
            <w:r w:rsidRPr="00EE038F">
              <w:t xml:space="preserve"> afatgjatë të financave publike. </w:t>
            </w:r>
            <w:r w:rsidRPr="00EE038F">
              <w:rPr>
                <w:rStyle w:val="rynqvb"/>
              </w:rPr>
              <w:t>Në korrik 2020, u ndërmor një iniciativë e rëndësishme ligjore, duke futur një rregull të ri fiskal</w:t>
            </w:r>
            <w:r w:rsidR="001B4BFD" w:rsidRPr="00EE038F">
              <w:rPr>
                <w:rStyle w:val="rynqvb"/>
              </w:rPr>
              <w:t>e,</w:t>
            </w:r>
            <w:r w:rsidRPr="00EE038F">
              <w:rPr>
                <w:rStyle w:val="rynqvb"/>
              </w:rPr>
              <w:t xml:space="preserve"> në kuadër të </w:t>
            </w:r>
            <w:r w:rsidR="001B4BFD" w:rsidRPr="00EE038F">
              <w:rPr>
                <w:rStyle w:val="rynqvb"/>
              </w:rPr>
              <w:t xml:space="preserve">ligjit organik të buxhetit </w:t>
            </w:r>
            <w:r w:rsidRPr="00EE038F">
              <w:rPr>
                <w:rStyle w:val="rynqvb"/>
              </w:rPr>
              <w:t>(OBL)</w:t>
            </w:r>
            <w:r w:rsidR="001B4BFD" w:rsidRPr="00EE038F">
              <w:rPr>
                <w:rStyle w:val="rynqvb"/>
              </w:rPr>
              <w:t>,</w:t>
            </w:r>
            <w:r w:rsidRPr="00EE038F">
              <w:rPr>
                <w:rStyle w:val="rynqvb"/>
              </w:rPr>
              <w:t xml:space="preserve"> në përputhje me rekomandimet e Komisionit Evropian dhe parimet themelore të </w:t>
            </w:r>
            <w:r w:rsidRPr="00EE038F">
              <w:rPr>
                <w:rStyle w:val="rynqvb"/>
                <w:i/>
                <w:iCs/>
              </w:rPr>
              <w:t>acquis</w:t>
            </w:r>
            <w:r w:rsidRPr="00EE038F">
              <w:rPr>
                <w:rStyle w:val="rynqvb"/>
              </w:rPr>
              <w:t xml:space="preserve"> të BE-së.</w:t>
            </w:r>
            <w:r w:rsidRPr="00EE038F">
              <w:rPr>
                <w:rStyle w:val="hwtze"/>
              </w:rPr>
              <w:t xml:space="preserve"> </w:t>
            </w:r>
            <w:r w:rsidRPr="00EE038F">
              <w:rPr>
                <w:rStyle w:val="rynqvb"/>
              </w:rPr>
              <w:t>K</w:t>
            </w:r>
            <w:r w:rsidR="001B4BFD" w:rsidRPr="00EE038F">
              <w:rPr>
                <w:rStyle w:val="rynqvb"/>
              </w:rPr>
              <w:t>jo</w:t>
            </w:r>
            <w:r w:rsidRPr="00EE038F">
              <w:rPr>
                <w:rStyle w:val="rynqvb"/>
              </w:rPr>
              <w:t xml:space="preserve"> rregull </w:t>
            </w:r>
            <w:r w:rsidRPr="00EE038F">
              <w:rPr>
                <w:rStyle w:val="rynqvb"/>
              </w:rPr>
              <w:lastRenderedPageBreak/>
              <w:t xml:space="preserve">vendos një detyrim ligjor që, duke filluar nga viti buxhetor 2024 e në </w:t>
            </w:r>
            <w:r w:rsidRPr="00EE038F">
              <w:t>vijim, balanca primare faktike nuk mund të rezultojë negative, pra duhet të jetë së paku e balancuar ose pozitive (suficit primar)</w:t>
            </w:r>
            <w:r w:rsidRPr="00EE038F">
              <w:rPr>
                <w:rStyle w:val="rynqvb"/>
              </w:rPr>
              <w:t xml:space="preserve">. </w:t>
            </w:r>
            <w:r w:rsidRPr="00EE038F">
              <w:t>Ky target i parametrit të balancës primare buxhetore do të përbëjë tashmë dhe në vijimësi objektivin kryesor operativ të politikës fiskale për të materializuar synimin e një trajektore vijimësisht rënëse të borxhit publik.</w:t>
            </w:r>
            <w:r w:rsidRPr="00EE038F">
              <w:rPr>
                <w:rStyle w:val="hwtze"/>
              </w:rPr>
              <w:t xml:space="preserve"> </w:t>
            </w:r>
            <w:r w:rsidRPr="00EE038F">
              <w:rPr>
                <w:rStyle w:val="rynqvb"/>
              </w:rPr>
              <w:t>Qëllimi kryesor është të lehtësojë konsolidimin e vazhdueshëm fiskal, duke siguruar qëndrueshmërinë afatgjatë të financave publike si një gur themeli për stabilitetin makroekonomik dhe mirëfunksionimin e përgjithshëm të ekonomisë së vendit.</w:t>
            </w:r>
          </w:p>
        </w:tc>
      </w:tr>
    </w:tbl>
    <w:p w14:paraId="11A22A25" w14:textId="77777777" w:rsidR="004E7B72" w:rsidRPr="00EE038F" w:rsidRDefault="004E7B72" w:rsidP="004E7B72">
      <w:pPr>
        <w:pStyle w:val="TEKSTIIIIII"/>
      </w:pPr>
    </w:p>
    <w:p w14:paraId="15379513" w14:textId="3DA62A76" w:rsidR="00C50585" w:rsidRPr="00EE038F" w:rsidRDefault="00C50585" w:rsidP="004E7B72">
      <w:pPr>
        <w:pStyle w:val="TEKSTIIIIII"/>
      </w:pPr>
      <w:r w:rsidRPr="00EE038F">
        <w:t>Balanca primare parashikohet në një mesatare prej rreth 0.5 për qind në vit gjatë periudhës së ardhshme afatmesme (</w:t>
      </w:r>
      <w:r w:rsidR="00B41EC3" w:rsidRPr="00EE038F">
        <w:t>2025–2027</w:t>
      </w:r>
      <w:r w:rsidRPr="00EE038F">
        <w:t>). Në vijim, projektojmë një balancë primare neutral për vitin 2025 dhe synojmë një suficit prej 0.7 për qind në vitin 2026 dhe duke arritur në 0.9 për qind në 2027.</w:t>
      </w:r>
    </w:p>
    <w:p w14:paraId="105EC642" w14:textId="3109A1DE" w:rsidR="00C50585" w:rsidRPr="00EE038F" w:rsidRDefault="00C50585" w:rsidP="004E7B72">
      <w:pPr>
        <w:pStyle w:val="TEKSTIIIIII"/>
      </w:pPr>
      <w:r w:rsidRPr="00EE038F">
        <w:t>Për rrjedhojë, ky angazhim ndaj kujdesit fiskal pritet të drejtojë borxhin publik bruto në një trajektore rënëse, duke u përafruar me rregull</w:t>
      </w:r>
      <w:r w:rsidR="002907B0" w:rsidRPr="00EE038F">
        <w:t>ë</w:t>
      </w:r>
      <w:r w:rsidRPr="00EE038F">
        <w:t>n fiskal</w:t>
      </w:r>
      <w:r w:rsidR="002907B0" w:rsidRPr="00EE038F">
        <w:t>e</w:t>
      </w:r>
      <w:r w:rsidRPr="00EE038F">
        <w:t xml:space="preserve"> përkatës</w:t>
      </w:r>
      <w:r w:rsidR="002907B0" w:rsidRPr="00EE038F">
        <w:t>e</w:t>
      </w:r>
      <w:r w:rsidRPr="00EE038F">
        <w:t xml:space="preserve">. Shifrat e parashikuara për vitin 2024 tregojnë një rënie të borxhit publik në rreth 55.2 për qind të PBB-së nga afërsisht 57.5 për qind në vitin 2023. Prirja është vendosur të vazhdojë, me një ulje të mëtejshme të pritshme në rreth 54.8 për qind në vitin 2025. Sipas skenarit aktual bazë, borxhi publik pritet të ulet në rreth 53.2 </w:t>
      </w:r>
      <w:r w:rsidR="00FD6514" w:rsidRPr="00EE038F">
        <w:t>për qind</w:t>
      </w:r>
      <w:r w:rsidRPr="00EE038F">
        <w:t xml:space="preserve"> deri në vitin 2027, me një rënie të mëtejshme në afërsisht 48.0 për qind deri në vitin 2031 dhe (në mungesë të ndonjë shoku makroekonomik të konsiderueshëm negativ)</w:t>
      </w:r>
      <w:r w:rsidR="00203269" w:rsidRPr="00EE038F">
        <w:t>,</w:t>
      </w:r>
      <w:r w:rsidRPr="00EE038F">
        <w:t xml:space="preserve"> duke qëndruar nën 45% të PBB-së deri në vitin 2034.</w:t>
      </w:r>
    </w:p>
    <w:p w14:paraId="1EE888FA" w14:textId="789CB3BD" w:rsidR="00C50585" w:rsidRPr="00EE038F" w:rsidRDefault="00C50585" w:rsidP="004E7B72">
      <w:pPr>
        <w:pStyle w:val="TEKSTIIIIII"/>
      </w:pPr>
      <w:r w:rsidRPr="00EE038F">
        <w:t>Në të njëjtën kohë, krahas angazhimit për konsolidim fiskal, ne do të përpiqemi të ruajmë një ekuilibër të kujdesshëm midis shpenzimeve buxhetore ko</w:t>
      </w:r>
      <w:r w:rsidR="00203269" w:rsidRPr="00EE038F">
        <w:t>r</w:t>
      </w:r>
      <w:r w:rsidRPr="00EE038F">
        <w:t xml:space="preserve">rente dhe kapitale. Konkretisht, shpenzimet kapitale të qeverisë qendrore, duke përfshirë pjesën më të madhe të investimeve publike, do të synohen në një mesatare vjetore prej 6.1 për qind të PBB-së përgjatë periudhës </w:t>
      </w:r>
      <w:r w:rsidR="003F70BC" w:rsidRPr="00EE038F">
        <w:t>2025–2027</w:t>
      </w:r>
      <w:r w:rsidR="00502A04" w:rsidRPr="00EE038F">
        <w:t>,</w:t>
      </w:r>
      <w:r w:rsidR="003F70BC" w:rsidRPr="00EE038F">
        <w:t xml:space="preserve"> </w:t>
      </w:r>
      <w:r w:rsidRPr="00EE038F">
        <w:t xml:space="preserve">duke përfshirë këtu edhe investimet e reja publike që potencialisht do të mundësohen në kuadër të </w:t>
      </w:r>
      <w:r w:rsidR="00502A04" w:rsidRPr="00EE038F">
        <w:t xml:space="preserve">planit të ri të rritjes </w:t>
      </w:r>
      <w:r w:rsidRPr="00EE038F">
        <w:t>të implementuar nga Bashkimi Evropian</w:t>
      </w:r>
      <w:r w:rsidR="00502A04" w:rsidRPr="00EE038F">
        <w:t>,</w:t>
      </w:r>
      <w:r w:rsidRPr="00EE038F">
        <w:t xml:space="preserve"> me synimin përfundimtar për një zhvendosje të konsiderueshme të rritjes potenciale në vendet e Ballkanit Perëndimor. Kjo shpërndarje konsiderohet thelbësore për të mbështetur rritjen ekonomike</w:t>
      </w:r>
      <w:r w:rsidR="00502A04" w:rsidRPr="00EE038F">
        <w:t>,</w:t>
      </w:r>
      <w:r w:rsidRPr="00EE038F">
        <w:t xml:space="preserve"> si në afat të mesëm</w:t>
      </w:r>
      <w:r w:rsidR="00502A04" w:rsidRPr="00EE038F">
        <w:t>,</w:t>
      </w:r>
      <w:r w:rsidRPr="00EE038F">
        <w:t xml:space="preserve"> ashtu edhe në atë afatgjatë. Në të njëjtën kohë, deficiti i përgjithshëm buxhetor synohet të jetë mesatarisht 2.0 për qind në vit gjatë kësaj periudhe kohore. Ndaj, në bazë të strategjisë sonë fiskale qëndron përkushtimi për të ruajtur një bilanc fiskal korrent pozitiv, në përputhje me përcaktimet e </w:t>
      </w:r>
      <w:r w:rsidR="00D555C7" w:rsidRPr="00EE038F">
        <w:t>“</w:t>
      </w:r>
      <w:r w:rsidRPr="00EE038F">
        <w:t>rregull</w:t>
      </w:r>
      <w:r w:rsidR="009713E3" w:rsidRPr="00EE038F">
        <w:t>ës</w:t>
      </w:r>
      <w:r w:rsidRPr="00EE038F">
        <w:t xml:space="preserve"> </w:t>
      </w:r>
      <w:r w:rsidR="009713E3" w:rsidRPr="00EE038F">
        <w:t>s</w:t>
      </w:r>
      <w:r w:rsidRPr="00EE038F">
        <w:t>ë artë</w:t>
      </w:r>
      <w:r w:rsidR="00D555C7" w:rsidRPr="00EE038F">
        <w:t>”</w:t>
      </w:r>
      <w:r w:rsidRPr="00EE038F">
        <w:t xml:space="preserve"> të buxhetit. Bilanci aktual fiskal, i llogaritur si diferencë ndërmjet investimeve publike dhe deficitit fiskal, pritet të jetë pozitiv në çdo vit dhe mesatarisht në +4.1 për qind të PBB-së në vit në harkun afatmesëm nga viti 2025 deri në vitin 2027. Më saktësisht, bilanci i përgjithshëm fiskal është synuar në -2.6 për qind për vitin 2025, i ndjekur nga objektivat prej -1.9 për qind për vitin 2026 dhe -1.6 për qind për vitin 2027. Njëkohësisht, shpenzimet kapitale janë parashikuar përkatësisht në 6.2 për qind, 6.1 për qind dhe 6.1 për qind për vitet 2025, 2026 dhe 2027. Për rrjedhojë, suficiti fiskal korrent i synuar është 3.6 për qind për vitin 2025 dhe 4.2 për qind dhe 4.5 për qind për 2026 dhe 2027, respektivisht.</w:t>
      </w:r>
    </w:p>
    <w:p w14:paraId="59DB9EBC" w14:textId="77777777" w:rsidR="00C50585" w:rsidRPr="00EE038F" w:rsidRDefault="00C50585" w:rsidP="004E7B72">
      <w:pPr>
        <w:pStyle w:val="TEKSTIIIIII"/>
        <w:rPr>
          <w:rFonts w:eastAsia="SimSun"/>
        </w:rPr>
      </w:pPr>
    </w:p>
    <w:tbl>
      <w:tblPr>
        <w:tblStyle w:val="TableGrid"/>
        <w:tblW w:w="0" w:type="auto"/>
        <w:tblLook w:val="04A0" w:firstRow="1" w:lastRow="0" w:firstColumn="1" w:lastColumn="0" w:noHBand="0" w:noVBand="1"/>
      </w:tblPr>
      <w:tblGrid>
        <w:gridCol w:w="9010"/>
      </w:tblGrid>
      <w:tr w:rsidR="004E7B72" w:rsidRPr="00EE038F" w14:paraId="35FCF360" w14:textId="77777777" w:rsidTr="004E7B72">
        <w:tc>
          <w:tcPr>
            <w:tcW w:w="9010" w:type="dxa"/>
          </w:tcPr>
          <w:p w14:paraId="596569D0" w14:textId="5F54BBCA" w:rsidR="004E7B72" w:rsidRPr="00EE038F" w:rsidRDefault="004E7B72" w:rsidP="004E7B72">
            <w:pPr>
              <w:ind w:firstLine="284"/>
              <w:rPr>
                <w:rFonts w:ascii="Garamond" w:hAnsi="Garamond"/>
                <w:b/>
                <w:sz w:val="24"/>
                <w:szCs w:val="24"/>
              </w:rPr>
            </w:pPr>
            <w:r w:rsidRPr="00EE038F">
              <w:rPr>
                <w:rFonts w:ascii="Garamond" w:hAnsi="Garamond"/>
                <w:b/>
                <w:sz w:val="24"/>
                <w:szCs w:val="24"/>
              </w:rPr>
              <w:t>Shtojcë</w:t>
            </w:r>
            <w:r w:rsidR="007C4243" w:rsidRPr="00EE038F">
              <w:rPr>
                <w:rFonts w:ascii="Garamond" w:hAnsi="Garamond"/>
                <w:b/>
                <w:sz w:val="24"/>
                <w:szCs w:val="24"/>
              </w:rPr>
              <w:t>.</w:t>
            </w:r>
            <w:r w:rsidRPr="00EE038F">
              <w:rPr>
                <w:rFonts w:ascii="Garamond" w:hAnsi="Garamond"/>
                <w:b/>
                <w:sz w:val="24"/>
                <w:szCs w:val="24"/>
              </w:rPr>
              <w:t xml:space="preserve"> Pajtueshmëria me rregullat fiskale</w:t>
            </w:r>
          </w:p>
          <w:p w14:paraId="22993066" w14:textId="7F67EC32" w:rsidR="004E7B72" w:rsidRPr="00EE038F" w:rsidRDefault="004E7B72" w:rsidP="004E7B72">
            <w:pPr>
              <w:ind w:firstLine="284"/>
              <w:jc w:val="both"/>
              <w:rPr>
                <w:rFonts w:ascii="Garamond" w:hAnsi="Garamond"/>
                <w:sz w:val="24"/>
                <w:szCs w:val="24"/>
              </w:rPr>
            </w:pPr>
            <w:r w:rsidRPr="00EE038F">
              <w:rPr>
                <w:rFonts w:ascii="Garamond" w:hAnsi="Garamond"/>
                <w:sz w:val="24"/>
                <w:szCs w:val="24"/>
              </w:rPr>
              <w:t xml:space="preserve">Në përputhje të plotë me detyrimet që rrjedhin nga </w:t>
            </w:r>
            <w:r w:rsidR="00A96B82" w:rsidRPr="00EE038F">
              <w:rPr>
                <w:rFonts w:ascii="Garamond" w:hAnsi="Garamond"/>
                <w:sz w:val="24"/>
                <w:szCs w:val="24"/>
              </w:rPr>
              <w:t xml:space="preserve">ligji organik i buxhetit </w:t>
            </w:r>
            <w:r w:rsidRPr="00EE038F">
              <w:rPr>
                <w:rFonts w:ascii="Garamond" w:hAnsi="Garamond"/>
                <w:sz w:val="24"/>
                <w:szCs w:val="24"/>
              </w:rPr>
              <w:t xml:space="preserve">(LOB) </w:t>
            </w:r>
            <w:r w:rsidR="007F03FA" w:rsidRPr="00EE038F">
              <w:rPr>
                <w:rFonts w:ascii="Garamond" w:hAnsi="Garamond"/>
                <w:sz w:val="24"/>
                <w:szCs w:val="24"/>
              </w:rPr>
              <w:t>nr</w:t>
            </w:r>
            <w:r w:rsidRPr="00EE038F">
              <w:rPr>
                <w:rFonts w:ascii="Garamond" w:hAnsi="Garamond"/>
                <w:sz w:val="24"/>
                <w:szCs w:val="24"/>
              </w:rPr>
              <w:t xml:space="preserve">. 9936/2008, i ndryshuar, kuadri fiskal për periudhën </w:t>
            </w:r>
            <w:r w:rsidR="00B41EC3" w:rsidRPr="00EE038F">
              <w:rPr>
                <w:rFonts w:ascii="Garamond" w:hAnsi="Garamond"/>
                <w:sz w:val="24"/>
                <w:szCs w:val="24"/>
              </w:rPr>
              <w:t>2025–2027</w:t>
            </w:r>
            <w:r w:rsidRPr="00EE038F">
              <w:rPr>
                <w:rFonts w:ascii="Garamond" w:hAnsi="Garamond"/>
                <w:sz w:val="24"/>
                <w:szCs w:val="24"/>
              </w:rPr>
              <w:t>, materializon parimet dhe rregullat fiskale të mëposhtme:</w:t>
            </w:r>
          </w:p>
          <w:p w14:paraId="69E278BE" w14:textId="70A23942" w:rsidR="004E7B72" w:rsidRPr="00EE038F" w:rsidRDefault="004E7B72" w:rsidP="00236C99">
            <w:pPr>
              <w:numPr>
                <w:ilvl w:val="0"/>
                <w:numId w:val="6"/>
              </w:numPr>
              <w:ind w:left="0" w:firstLine="284"/>
              <w:jc w:val="both"/>
              <w:rPr>
                <w:rFonts w:ascii="Garamond" w:hAnsi="Garamond"/>
                <w:i/>
                <w:sz w:val="24"/>
                <w:szCs w:val="24"/>
              </w:rPr>
            </w:pPr>
            <w:r w:rsidRPr="00EE038F">
              <w:rPr>
                <w:rFonts w:ascii="Garamond" w:hAnsi="Garamond"/>
                <w:i/>
                <w:sz w:val="24"/>
                <w:szCs w:val="24"/>
              </w:rPr>
              <w:t>Rregull</w:t>
            </w:r>
            <w:r w:rsidR="007F03FA" w:rsidRPr="00EE038F">
              <w:rPr>
                <w:rFonts w:ascii="Garamond" w:hAnsi="Garamond"/>
                <w:i/>
                <w:sz w:val="24"/>
                <w:szCs w:val="24"/>
              </w:rPr>
              <w:t>a e</w:t>
            </w:r>
            <w:r w:rsidRPr="00EE038F">
              <w:rPr>
                <w:rFonts w:ascii="Garamond" w:hAnsi="Garamond"/>
                <w:i/>
                <w:sz w:val="24"/>
                <w:szCs w:val="24"/>
              </w:rPr>
              <w:t xml:space="preserve"> </w:t>
            </w:r>
            <w:r w:rsidR="00D555C7" w:rsidRPr="00EE038F">
              <w:rPr>
                <w:rFonts w:ascii="Garamond" w:hAnsi="Garamond"/>
                <w:i/>
                <w:sz w:val="24"/>
                <w:szCs w:val="24"/>
              </w:rPr>
              <w:t>“</w:t>
            </w:r>
            <w:r w:rsidRPr="00EE038F">
              <w:rPr>
                <w:rFonts w:ascii="Garamond" w:hAnsi="Garamond"/>
                <w:i/>
                <w:sz w:val="24"/>
                <w:szCs w:val="24"/>
              </w:rPr>
              <w:t>Qëndrueshmërisë së borxhit</w:t>
            </w:r>
            <w:r w:rsidR="00D555C7" w:rsidRPr="00EE038F">
              <w:rPr>
                <w:rFonts w:ascii="Garamond" w:hAnsi="Garamond"/>
                <w:i/>
                <w:sz w:val="24"/>
                <w:szCs w:val="24"/>
              </w:rPr>
              <w:t>”</w:t>
            </w:r>
            <w:r w:rsidRPr="00EE038F">
              <w:rPr>
                <w:rFonts w:ascii="Garamond" w:hAnsi="Garamond"/>
                <w:i/>
                <w:sz w:val="24"/>
                <w:szCs w:val="24"/>
              </w:rPr>
              <w:t xml:space="preserve">: Në çdo ligj vjetor të buxhetit, fillestar apo të rishikuar, si dhe në planifikimet e buxhetit afatmesëm, raporti i borxhit publik ndaj </w:t>
            </w:r>
            <w:r w:rsidR="007F03FA" w:rsidRPr="00EE038F">
              <w:rPr>
                <w:rFonts w:ascii="Garamond" w:hAnsi="Garamond"/>
                <w:i/>
                <w:sz w:val="24"/>
                <w:szCs w:val="24"/>
              </w:rPr>
              <w:t xml:space="preserve">produktit të brendshëm bruto </w:t>
            </w:r>
            <w:r w:rsidRPr="00EE038F">
              <w:rPr>
                <w:rFonts w:ascii="Garamond" w:hAnsi="Garamond"/>
                <w:i/>
                <w:sz w:val="24"/>
                <w:szCs w:val="24"/>
              </w:rPr>
              <w:t>(PBB) do të planifikohet më i ulët se niveli i vlerësuar për vitin pararendës, deri atëherë kur niveli i borxhit të arrijë dhe të qëndrojë poshtë nivelit 45 për qind të PBB-së.</w:t>
            </w:r>
          </w:p>
          <w:p w14:paraId="303EFA00" w14:textId="1A7B9BBB" w:rsidR="004E7B72" w:rsidRPr="00EE038F" w:rsidRDefault="004E7B72" w:rsidP="004E7B72">
            <w:pPr>
              <w:ind w:firstLine="284"/>
              <w:jc w:val="both"/>
              <w:rPr>
                <w:rFonts w:ascii="Garamond" w:hAnsi="Garamond"/>
                <w:b/>
                <w:i/>
                <w:sz w:val="24"/>
                <w:szCs w:val="24"/>
              </w:rPr>
            </w:pPr>
            <w:r w:rsidRPr="00EE038F">
              <w:rPr>
                <w:rFonts w:ascii="Garamond" w:hAnsi="Garamond"/>
                <w:sz w:val="24"/>
                <w:szCs w:val="24"/>
              </w:rPr>
              <w:t>Në përputhje me këtë rregull fiskal</w:t>
            </w:r>
            <w:r w:rsidR="007F03FA" w:rsidRPr="00EE038F">
              <w:rPr>
                <w:rFonts w:ascii="Garamond" w:hAnsi="Garamond"/>
                <w:sz w:val="24"/>
                <w:szCs w:val="24"/>
              </w:rPr>
              <w:t>e</w:t>
            </w:r>
            <w:r w:rsidRPr="00EE038F">
              <w:rPr>
                <w:rFonts w:ascii="Garamond" w:hAnsi="Garamond"/>
                <w:sz w:val="24"/>
                <w:szCs w:val="24"/>
              </w:rPr>
              <w:t xml:space="preserve"> të LOB-së, kuadri fiskal </w:t>
            </w:r>
            <w:r w:rsidR="003F70BC" w:rsidRPr="00EE038F">
              <w:rPr>
                <w:rFonts w:ascii="Garamond" w:hAnsi="Garamond"/>
                <w:sz w:val="24"/>
                <w:szCs w:val="24"/>
              </w:rPr>
              <w:t xml:space="preserve">2025–2027 </w:t>
            </w:r>
            <w:r w:rsidRPr="00EE038F">
              <w:rPr>
                <w:rFonts w:ascii="Garamond" w:hAnsi="Garamond"/>
                <w:b/>
                <w:i/>
                <w:sz w:val="24"/>
                <w:szCs w:val="24"/>
              </w:rPr>
              <w:t xml:space="preserve">targeton çdo vit një nivel të borxhit publik total në </w:t>
            </w:r>
            <w:r w:rsidR="003771A2" w:rsidRPr="00EE038F">
              <w:rPr>
                <w:rFonts w:ascii="Garamond" w:hAnsi="Garamond"/>
                <w:b/>
                <w:i/>
                <w:sz w:val="24"/>
                <w:szCs w:val="24"/>
              </w:rPr>
              <w:t xml:space="preserve">përqindje </w:t>
            </w:r>
            <w:r w:rsidRPr="00EE038F">
              <w:rPr>
                <w:rFonts w:ascii="Garamond" w:hAnsi="Garamond"/>
                <w:b/>
                <w:i/>
                <w:sz w:val="24"/>
                <w:szCs w:val="24"/>
              </w:rPr>
              <w:t xml:space="preserve">të PBB-së më të ulët se niveli i vitit </w:t>
            </w:r>
            <w:r w:rsidRPr="00EE038F">
              <w:rPr>
                <w:rFonts w:ascii="Garamond" w:hAnsi="Garamond"/>
                <w:b/>
                <w:i/>
                <w:sz w:val="24"/>
                <w:szCs w:val="24"/>
              </w:rPr>
              <w:lastRenderedPageBreak/>
              <w:t>pararendës.</w:t>
            </w:r>
          </w:p>
          <w:p w14:paraId="7B0997D4" w14:textId="1DAE111B" w:rsidR="004E7B72" w:rsidRPr="00EE038F" w:rsidRDefault="004E7B72" w:rsidP="00236C99">
            <w:pPr>
              <w:numPr>
                <w:ilvl w:val="0"/>
                <w:numId w:val="6"/>
              </w:numPr>
              <w:ind w:left="0" w:firstLine="284"/>
              <w:jc w:val="both"/>
              <w:rPr>
                <w:rFonts w:ascii="Garamond" w:hAnsi="Garamond"/>
                <w:i/>
                <w:sz w:val="24"/>
                <w:szCs w:val="24"/>
              </w:rPr>
            </w:pPr>
            <w:r w:rsidRPr="00EE038F">
              <w:rPr>
                <w:rFonts w:ascii="Garamond" w:hAnsi="Garamond"/>
                <w:i/>
                <w:iCs/>
                <w:sz w:val="24"/>
                <w:szCs w:val="24"/>
              </w:rPr>
              <w:t>Rregull</w:t>
            </w:r>
            <w:r w:rsidR="00836357" w:rsidRPr="00EE038F">
              <w:rPr>
                <w:rFonts w:ascii="Garamond" w:hAnsi="Garamond"/>
                <w:i/>
                <w:iCs/>
                <w:sz w:val="24"/>
                <w:szCs w:val="24"/>
              </w:rPr>
              <w:t>a e</w:t>
            </w:r>
            <w:r w:rsidRPr="00EE038F">
              <w:rPr>
                <w:rFonts w:ascii="Garamond" w:hAnsi="Garamond"/>
                <w:i/>
                <w:iCs/>
                <w:sz w:val="24"/>
                <w:szCs w:val="24"/>
              </w:rPr>
              <w:t xml:space="preserve"> </w:t>
            </w:r>
            <w:r w:rsidR="00D555C7" w:rsidRPr="00EE038F">
              <w:rPr>
                <w:rFonts w:ascii="Garamond" w:hAnsi="Garamond"/>
                <w:i/>
                <w:iCs/>
                <w:sz w:val="24"/>
                <w:szCs w:val="24"/>
              </w:rPr>
              <w:t>“</w:t>
            </w:r>
            <w:r w:rsidRPr="00EE038F">
              <w:rPr>
                <w:rFonts w:ascii="Garamond" w:hAnsi="Garamond"/>
                <w:i/>
                <w:iCs/>
                <w:sz w:val="24"/>
                <w:szCs w:val="24"/>
              </w:rPr>
              <w:t>Balancës primare</w:t>
            </w:r>
            <w:r w:rsidR="00D555C7" w:rsidRPr="00EE038F">
              <w:rPr>
                <w:rFonts w:ascii="Garamond" w:hAnsi="Garamond"/>
                <w:i/>
                <w:iCs/>
                <w:sz w:val="24"/>
                <w:szCs w:val="24"/>
              </w:rPr>
              <w:t>”</w:t>
            </w:r>
            <w:r w:rsidRPr="00EE038F">
              <w:rPr>
                <w:rFonts w:ascii="Garamond" w:hAnsi="Garamond"/>
                <w:i/>
                <w:iCs/>
                <w:sz w:val="24"/>
                <w:szCs w:val="24"/>
              </w:rPr>
              <w:t>:</w:t>
            </w:r>
            <w:r w:rsidRPr="00EE038F">
              <w:rPr>
                <w:rFonts w:ascii="Garamond" w:hAnsi="Garamond"/>
                <w:sz w:val="24"/>
                <w:szCs w:val="24"/>
              </w:rPr>
              <w:t xml:space="preserve"> </w:t>
            </w:r>
            <w:r w:rsidRPr="00EE038F">
              <w:rPr>
                <w:rFonts w:ascii="Garamond" w:hAnsi="Garamond"/>
                <w:i/>
                <w:sz w:val="24"/>
                <w:szCs w:val="24"/>
              </w:rPr>
              <w:t>Duke filluar që prej vitit buxhetor 2024 e në vijim, balanca primare buxhetore nuk mund të jetë negative; duhet të jetë së paku zero ose pozitive (tepricë primare).</w:t>
            </w:r>
          </w:p>
          <w:p w14:paraId="3A12AB4F" w14:textId="173F2642" w:rsidR="004E7B72" w:rsidRPr="00EE038F" w:rsidRDefault="004E7B72" w:rsidP="004E7B72">
            <w:pPr>
              <w:ind w:firstLine="284"/>
              <w:jc w:val="both"/>
              <w:rPr>
                <w:rStyle w:val="rynqvb"/>
                <w:rFonts w:ascii="Garamond" w:hAnsi="Garamond"/>
                <w:sz w:val="24"/>
                <w:szCs w:val="24"/>
              </w:rPr>
            </w:pPr>
            <w:r w:rsidRPr="00EE038F">
              <w:rPr>
                <w:rFonts w:ascii="Garamond" w:hAnsi="Garamond"/>
                <w:sz w:val="24"/>
                <w:szCs w:val="24"/>
              </w:rPr>
              <w:t>Në përputhje me këtë dispozitë (rregull të ri fiskal</w:t>
            </w:r>
            <w:r w:rsidR="008D0E4B" w:rsidRPr="00EE038F">
              <w:rPr>
                <w:rFonts w:ascii="Garamond" w:hAnsi="Garamond"/>
                <w:sz w:val="24"/>
                <w:szCs w:val="24"/>
              </w:rPr>
              <w:t>e</w:t>
            </w:r>
            <w:r w:rsidRPr="00EE038F">
              <w:rPr>
                <w:rFonts w:ascii="Garamond" w:hAnsi="Garamond"/>
                <w:sz w:val="24"/>
                <w:szCs w:val="24"/>
              </w:rPr>
              <w:t>) të LOB</w:t>
            </w:r>
            <w:r w:rsidR="008D0E4B" w:rsidRPr="00EE038F">
              <w:rPr>
                <w:rFonts w:ascii="Garamond" w:hAnsi="Garamond"/>
                <w:sz w:val="24"/>
                <w:szCs w:val="24"/>
              </w:rPr>
              <w:t>-së</w:t>
            </w:r>
            <w:r w:rsidRPr="00EE038F">
              <w:rPr>
                <w:rFonts w:ascii="Garamond" w:hAnsi="Garamond"/>
                <w:sz w:val="24"/>
                <w:szCs w:val="24"/>
              </w:rPr>
              <w:t xml:space="preserve">, </w:t>
            </w:r>
            <w:r w:rsidRPr="00EE038F">
              <w:rPr>
                <w:rFonts w:ascii="Garamond" w:hAnsi="Garamond"/>
                <w:b/>
                <w:i/>
                <w:sz w:val="24"/>
                <w:szCs w:val="24"/>
              </w:rPr>
              <w:t>kuadri fiskal për periudhën</w:t>
            </w:r>
            <w:r w:rsidR="00AD3D9C" w:rsidRPr="00EE038F">
              <w:rPr>
                <w:rFonts w:ascii="Garamond" w:hAnsi="Garamond"/>
                <w:b/>
                <w:i/>
                <w:sz w:val="24"/>
                <w:szCs w:val="24"/>
              </w:rPr>
              <w:t xml:space="preserve"> </w:t>
            </w:r>
            <w:r w:rsidR="003F70BC" w:rsidRPr="00EE038F">
              <w:rPr>
                <w:rFonts w:ascii="Garamond" w:hAnsi="Garamond"/>
                <w:b/>
                <w:i/>
                <w:sz w:val="24"/>
                <w:szCs w:val="24"/>
              </w:rPr>
              <w:t xml:space="preserve">2025–2027 </w:t>
            </w:r>
            <w:r w:rsidRPr="00EE038F">
              <w:rPr>
                <w:rFonts w:ascii="Garamond" w:hAnsi="Garamond"/>
                <w:b/>
                <w:i/>
                <w:sz w:val="24"/>
                <w:szCs w:val="24"/>
              </w:rPr>
              <w:t xml:space="preserve">targeton një balancë primare neutrale prej 0.0 </w:t>
            </w:r>
            <w:r w:rsidR="00FD6514" w:rsidRPr="00EE038F">
              <w:rPr>
                <w:rFonts w:ascii="Garamond" w:hAnsi="Garamond"/>
                <w:b/>
                <w:i/>
                <w:sz w:val="24"/>
                <w:szCs w:val="24"/>
              </w:rPr>
              <w:t>për qind</w:t>
            </w:r>
            <w:r w:rsidRPr="00EE038F">
              <w:rPr>
                <w:rFonts w:ascii="Garamond" w:hAnsi="Garamond"/>
                <w:b/>
                <w:i/>
                <w:sz w:val="24"/>
                <w:szCs w:val="24"/>
              </w:rPr>
              <w:t xml:space="preserve"> n</w:t>
            </w:r>
            <w:r w:rsidRPr="00EE038F">
              <w:rPr>
                <w:rFonts w:ascii="Garamond" w:hAnsi="Garamond"/>
                <w:b/>
                <w:i/>
                <w:sz w:val="24"/>
                <w:szCs w:val="24"/>
                <w:lang w:eastAsia="ja-JP"/>
              </w:rPr>
              <w:t xml:space="preserve">ë vitin 2025, 0.7 </w:t>
            </w:r>
            <w:r w:rsidR="00FD6514" w:rsidRPr="00EE038F">
              <w:rPr>
                <w:rFonts w:ascii="Garamond" w:hAnsi="Garamond"/>
                <w:b/>
                <w:i/>
                <w:sz w:val="24"/>
                <w:szCs w:val="24"/>
                <w:lang w:eastAsia="ja-JP"/>
              </w:rPr>
              <w:t>për qind</w:t>
            </w:r>
            <w:r w:rsidRPr="00EE038F">
              <w:rPr>
                <w:rFonts w:ascii="Garamond" w:hAnsi="Garamond"/>
                <w:b/>
                <w:i/>
                <w:sz w:val="24"/>
                <w:szCs w:val="24"/>
                <w:lang w:eastAsia="ja-JP"/>
              </w:rPr>
              <w:t xml:space="preserve"> në vitin 2026 dhe 0.9 </w:t>
            </w:r>
            <w:r w:rsidR="00FD6514" w:rsidRPr="00EE038F">
              <w:rPr>
                <w:rFonts w:ascii="Garamond" w:hAnsi="Garamond"/>
                <w:b/>
                <w:i/>
                <w:sz w:val="24"/>
                <w:szCs w:val="24"/>
                <w:lang w:eastAsia="ja-JP"/>
              </w:rPr>
              <w:t>për qind</w:t>
            </w:r>
            <w:r w:rsidRPr="00EE038F">
              <w:rPr>
                <w:rFonts w:ascii="Garamond" w:hAnsi="Garamond"/>
                <w:b/>
                <w:i/>
                <w:sz w:val="24"/>
                <w:szCs w:val="24"/>
                <w:lang w:eastAsia="ja-JP"/>
              </w:rPr>
              <w:t xml:space="preserve"> në vitin 2027</w:t>
            </w:r>
            <w:r w:rsidRPr="00EE038F">
              <w:rPr>
                <w:rFonts w:ascii="Garamond" w:hAnsi="Garamond"/>
                <w:sz w:val="24"/>
                <w:szCs w:val="24"/>
              </w:rPr>
              <w:t>.</w:t>
            </w:r>
          </w:p>
          <w:p w14:paraId="7942C2F2" w14:textId="597E4643" w:rsidR="004E7B72" w:rsidRPr="00EE038F" w:rsidRDefault="00D555C7" w:rsidP="00236C99">
            <w:pPr>
              <w:numPr>
                <w:ilvl w:val="0"/>
                <w:numId w:val="6"/>
              </w:numPr>
              <w:ind w:left="0" w:firstLine="284"/>
              <w:jc w:val="both"/>
              <w:rPr>
                <w:rFonts w:ascii="Garamond" w:hAnsi="Garamond"/>
                <w:i/>
                <w:sz w:val="24"/>
                <w:szCs w:val="24"/>
              </w:rPr>
            </w:pPr>
            <w:r w:rsidRPr="00EE038F">
              <w:rPr>
                <w:rFonts w:ascii="Garamond" w:hAnsi="Garamond"/>
                <w:i/>
                <w:sz w:val="24"/>
                <w:szCs w:val="24"/>
              </w:rPr>
              <w:t>“</w:t>
            </w:r>
            <w:r w:rsidR="004E7B72" w:rsidRPr="00EE038F">
              <w:rPr>
                <w:rFonts w:ascii="Garamond" w:hAnsi="Garamond"/>
                <w:i/>
                <w:sz w:val="24"/>
                <w:szCs w:val="24"/>
              </w:rPr>
              <w:t>Rregull</w:t>
            </w:r>
            <w:r w:rsidR="00024CE9" w:rsidRPr="00EE038F">
              <w:rPr>
                <w:rFonts w:ascii="Garamond" w:hAnsi="Garamond"/>
                <w:i/>
                <w:sz w:val="24"/>
                <w:szCs w:val="24"/>
              </w:rPr>
              <w:t xml:space="preserve">a e </w:t>
            </w:r>
            <w:r w:rsidR="004E7B72" w:rsidRPr="00EE038F">
              <w:rPr>
                <w:rFonts w:ascii="Garamond" w:hAnsi="Garamond"/>
                <w:i/>
                <w:sz w:val="24"/>
                <w:szCs w:val="24"/>
              </w:rPr>
              <w:t>artë</w:t>
            </w:r>
            <w:r w:rsidRPr="00EE038F">
              <w:rPr>
                <w:rFonts w:ascii="Garamond" w:hAnsi="Garamond"/>
                <w:i/>
                <w:sz w:val="24"/>
                <w:szCs w:val="24"/>
              </w:rPr>
              <w:t>”</w:t>
            </w:r>
            <w:r w:rsidR="004E7B72" w:rsidRPr="00EE038F">
              <w:rPr>
                <w:rFonts w:ascii="Garamond" w:hAnsi="Garamond"/>
                <w:i/>
                <w:sz w:val="24"/>
                <w:szCs w:val="24"/>
              </w:rPr>
              <w:t>: Masa e deficitit buxhetor nuk mund të tejkalojë masën e shpenzimeve kapitale, të miratuara çdo vit në ligjin e buxhetit.</w:t>
            </w:r>
          </w:p>
          <w:p w14:paraId="113DC889" w14:textId="3E122C70" w:rsidR="004E7B72" w:rsidRPr="00EE038F" w:rsidRDefault="004E7B72" w:rsidP="004E7B72">
            <w:pPr>
              <w:ind w:firstLine="284"/>
              <w:jc w:val="both"/>
              <w:rPr>
                <w:rFonts w:ascii="Garamond" w:hAnsi="Garamond"/>
                <w:sz w:val="24"/>
                <w:szCs w:val="24"/>
                <w:lang w:eastAsia="ja-JP"/>
              </w:rPr>
            </w:pPr>
            <w:r w:rsidRPr="00EE038F">
              <w:rPr>
                <w:rFonts w:ascii="Garamond" w:hAnsi="Garamond"/>
                <w:sz w:val="24"/>
                <w:szCs w:val="24"/>
              </w:rPr>
              <w:t>Në përputhje me këtë dispozitë (rregull fiskal</w:t>
            </w:r>
            <w:r w:rsidR="00741257" w:rsidRPr="00EE038F">
              <w:rPr>
                <w:rFonts w:ascii="Garamond" w:hAnsi="Garamond"/>
                <w:sz w:val="24"/>
                <w:szCs w:val="24"/>
              </w:rPr>
              <w:t>e</w:t>
            </w:r>
            <w:r w:rsidRPr="00EE038F">
              <w:rPr>
                <w:rFonts w:ascii="Garamond" w:hAnsi="Garamond"/>
                <w:sz w:val="24"/>
                <w:szCs w:val="24"/>
              </w:rPr>
              <w:t xml:space="preserve"> – </w:t>
            </w:r>
            <w:r w:rsidR="00D555C7" w:rsidRPr="00EE038F">
              <w:rPr>
                <w:rFonts w:ascii="Garamond" w:hAnsi="Garamond"/>
                <w:sz w:val="24"/>
                <w:szCs w:val="24"/>
              </w:rPr>
              <w:t>“</w:t>
            </w:r>
            <w:r w:rsidRPr="00EE038F">
              <w:rPr>
                <w:rFonts w:ascii="Garamond" w:hAnsi="Garamond"/>
                <w:sz w:val="24"/>
                <w:szCs w:val="24"/>
              </w:rPr>
              <w:t>rregull</w:t>
            </w:r>
            <w:r w:rsidR="00741257" w:rsidRPr="00EE038F">
              <w:rPr>
                <w:rFonts w:ascii="Garamond" w:hAnsi="Garamond"/>
                <w:sz w:val="24"/>
                <w:szCs w:val="24"/>
              </w:rPr>
              <w:t>a</w:t>
            </w:r>
            <w:r w:rsidRPr="00EE038F">
              <w:rPr>
                <w:rFonts w:ascii="Garamond" w:hAnsi="Garamond"/>
                <w:sz w:val="24"/>
                <w:szCs w:val="24"/>
              </w:rPr>
              <w:t xml:space="preserve"> </w:t>
            </w:r>
            <w:r w:rsidR="00741257" w:rsidRPr="00EE038F">
              <w:rPr>
                <w:rFonts w:ascii="Garamond" w:hAnsi="Garamond"/>
                <w:sz w:val="24"/>
                <w:szCs w:val="24"/>
              </w:rPr>
              <w:t>e</w:t>
            </w:r>
            <w:r w:rsidRPr="00EE038F">
              <w:rPr>
                <w:rFonts w:ascii="Garamond" w:hAnsi="Garamond"/>
                <w:sz w:val="24"/>
                <w:szCs w:val="24"/>
              </w:rPr>
              <w:t xml:space="preserve"> artë</w:t>
            </w:r>
            <w:r w:rsidR="00D555C7" w:rsidRPr="00EE038F">
              <w:rPr>
                <w:rFonts w:ascii="Garamond" w:hAnsi="Garamond"/>
                <w:sz w:val="24"/>
                <w:szCs w:val="24"/>
              </w:rPr>
              <w:t>”</w:t>
            </w:r>
            <w:r w:rsidRPr="00EE038F">
              <w:rPr>
                <w:rFonts w:ascii="Garamond" w:hAnsi="Garamond"/>
                <w:sz w:val="24"/>
                <w:szCs w:val="24"/>
              </w:rPr>
              <w:t>) të LOB</w:t>
            </w:r>
            <w:r w:rsidR="006712AC" w:rsidRPr="00EE038F">
              <w:rPr>
                <w:rFonts w:ascii="Garamond" w:hAnsi="Garamond"/>
                <w:sz w:val="24"/>
                <w:szCs w:val="24"/>
              </w:rPr>
              <w:t>-së</w:t>
            </w:r>
            <w:r w:rsidRPr="00EE038F">
              <w:rPr>
                <w:rFonts w:ascii="Garamond" w:hAnsi="Garamond"/>
                <w:sz w:val="24"/>
                <w:szCs w:val="24"/>
              </w:rPr>
              <w:t>, deficit i targetuar vjetor në këtë kuadër f</w:t>
            </w:r>
            <w:r w:rsidR="006712AC" w:rsidRPr="00EE038F">
              <w:rPr>
                <w:rFonts w:ascii="Garamond" w:hAnsi="Garamond"/>
                <w:sz w:val="24"/>
                <w:szCs w:val="24"/>
              </w:rPr>
              <w:t>i</w:t>
            </w:r>
            <w:r w:rsidRPr="00EE038F">
              <w:rPr>
                <w:rFonts w:ascii="Garamond" w:hAnsi="Garamond"/>
                <w:sz w:val="24"/>
                <w:szCs w:val="24"/>
              </w:rPr>
              <w:t>skal për periudhën</w:t>
            </w:r>
            <w:r w:rsidRPr="00EE038F">
              <w:rPr>
                <w:rFonts w:ascii="Garamond" w:eastAsia="Malgun Gothic" w:hAnsi="Garamond"/>
                <w:sz w:val="24"/>
                <w:szCs w:val="24"/>
              </w:rPr>
              <w:t xml:space="preserve"> </w:t>
            </w:r>
            <w:r w:rsidRPr="00EE038F">
              <w:rPr>
                <w:rFonts w:ascii="Garamond" w:hAnsi="Garamond"/>
                <w:sz w:val="24"/>
                <w:szCs w:val="24"/>
              </w:rPr>
              <w:t>2025</w:t>
            </w:r>
            <w:r w:rsidR="00662EEB" w:rsidRPr="00EE038F">
              <w:rPr>
                <w:rFonts w:ascii="Garamond" w:hAnsi="Garamond"/>
                <w:sz w:val="24"/>
                <w:szCs w:val="24"/>
              </w:rPr>
              <w:t>–</w:t>
            </w:r>
            <w:r w:rsidRPr="00EE038F">
              <w:rPr>
                <w:rFonts w:ascii="Garamond" w:hAnsi="Garamond"/>
                <w:sz w:val="24"/>
                <w:szCs w:val="24"/>
              </w:rPr>
              <w:t xml:space="preserve">2027 është </w:t>
            </w:r>
            <w:r w:rsidRPr="00EE038F">
              <w:rPr>
                <w:rFonts w:ascii="Garamond" w:hAnsi="Garamond"/>
                <w:b/>
                <w:i/>
                <w:sz w:val="24"/>
                <w:szCs w:val="24"/>
              </w:rPr>
              <w:t>çdo vit më i ulët sesa shpenzimet kapitale të planifikuara</w:t>
            </w:r>
            <w:r w:rsidRPr="00EE038F">
              <w:rPr>
                <w:rFonts w:ascii="Garamond" w:hAnsi="Garamond"/>
                <w:sz w:val="24"/>
                <w:szCs w:val="24"/>
              </w:rPr>
              <w:t xml:space="preserve">. Rrjedhimisht, balanca fiskale korrente e targetuar është pozitive çdo vit mesatarisht +4.1 </w:t>
            </w:r>
            <w:r w:rsidR="00FD6514" w:rsidRPr="00EE038F">
              <w:rPr>
                <w:rFonts w:ascii="Garamond" w:hAnsi="Garamond"/>
                <w:sz w:val="24"/>
                <w:szCs w:val="24"/>
              </w:rPr>
              <w:t>për qind</w:t>
            </w:r>
            <w:r w:rsidRPr="00EE038F">
              <w:rPr>
                <w:rFonts w:ascii="Garamond" w:hAnsi="Garamond"/>
                <w:sz w:val="24"/>
                <w:szCs w:val="24"/>
              </w:rPr>
              <w:t xml:space="preserve"> e PBB-së.</w:t>
            </w:r>
          </w:p>
          <w:p w14:paraId="0A42E4BF" w14:textId="0ACCD311" w:rsidR="004E7B72" w:rsidRPr="00EE038F" w:rsidRDefault="004E7B72" w:rsidP="00236C99">
            <w:pPr>
              <w:numPr>
                <w:ilvl w:val="0"/>
                <w:numId w:val="6"/>
              </w:numPr>
              <w:ind w:left="0" w:firstLine="284"/>
              <w:jc w:val="both"/>
              <w:rPr>
                <w:rFonts w:ascii="Garamond" w:eastAsia="Times New Roman" w:hAnsi="Garamond"/>
                <w:i/>
                <w:sz w:val="24"/>
                <w:szCs w:val="24"/>
              </w:rPr>
            </w:pPr>
            <w:r w:rsidRPr="00EE038F">
              <w:rPr>
                <w:rFonts w:ascii="Garamond" w:hAnsi="Garamond"/>
                <w:i/>
                <w:sz w:val="24"/>
                <w:szCs w:val="24"/>
              </w:rPr>
              <w:t xml:space="preserve">Parashikime makroekonomike të kujdesshme: </w:t>
            </w:r>
            <w:r w:rsidRPr="00EE038F">
              <w:rPr>
                <w:rFonts w:ascii="Garamond" w:eastAsia="Times New Roman" w:hAnsi="Garamond"/>
                <w:i/>
                <w:sz w:val="24"/>
                <w:szCs w:val="24"/>
              </w:rPr>
              <w:t xml:space="preserve">Vlera e </w:t>
            </w:r>
            <w:r w:rsidR="00423F63" w:rsidRPr="00EE038F">
              <w:rPr>
                <w:rFonts w:ascii="Garamond" w:eastAsia="Times New Roman" w:hAnsi="Garamond"/>
                <w:i/>
                <w:sz w:val="24"/>
                <w:szCs w:val="24"/>
              </w:rPr>
              <w:t xml:space="preserve">produktit të brendshëm bruto, </w:t>
            </w:r>
            <w:r w:rsidRPr="00EE038F">
              <w:rPr>
                <w:rFonts w:ascii="Garamond" w:eastAsia="Times New Roman" w:hAnsi="Garamond"/>
                <w:i/>
                <w:sz w:val="24"/>
                <w:szCs w:val="24"/>
              </w:rPr>
              <w:t xml:space="preserve">nominale në lekë, e cila do të përdoret për llogaritjen e raportit të borxhit publik ndaj </w:t>
            </w:r>
            <w:r w:rsidR="001D6B4A" w:rsidRPr="00EE038F">
              <w:rPr>
                <w:rFonts w:ascii="Garamond" w:eastAsia="Times New Roman" w:hAnsi="Garamond"/>
                <w:i/>
                <w:sz w:val="24"/>
                <w:szCs w:val="24"/>
              </w:rPr>
              <w:t xml:space="preserve">produktit të brendshëm bruto </w:t>
            </w:r>
            <w:r w:rsidRPr="00EE038F">
              <w:rPr>
                <w:rFonts w:ascii="Garamond" w:eastAsia="Times New Roman" w:hAnsi="Garamond"/>
                <w:i/>
                <w:sz w:val="24"/>
                <w:szCs w:val="24"/>
              </w:rPr>
              <w:t xml:space="preserve">për vitet buxhetore që planifikohen dhe për vitin pararendës, nuk mund të jetë më e lartë se vlera respektive e parashikuar ose vlerësuar në raportin </w:t>
            </w:r>
            <w:r w:rsidR="00D555C7" w:rsidRPr="00EE038F">
              <w:rPr>
                <w:rFonts w:ascii="Garamond" w:eastAsia="Times New Roman" w:hAnsi="Garamond"/>
                <w:i/>
                <w:sz w:val="24"/>
                <w:szCs w:val="24"/>
              </w:rPr>
              <w:t>“</w:t>
            </w:r>
            <w:r w:rsidRPr="00EE038F">
              <w:rPr>
                <w:rFonts w:ascii="Garamond" w:eastAsia="Times New Roman" w:hAnsi="Garamond"/>
                <w:i/>
                <w:sz w:val="24"/>
                <w:szCs w:val="24"/>
              </w:rPr>
              <w:t xml:space="preserve">Perspektiva </w:t>
            </w:r>
            <w:r w:rsidR="00080F27" w:rsidRPr="00EE038F">
              <w:rPr>
                <w:rFonts w:ascii="Garamond" w:eastAsia="Times New Roman" w:hAnsi="Garamond"/>
                <w:i/>
                <w:sz w:val="24"/>
                <w:szCs w:val="24"/>
              </w:rPr>
              <w:t>ekonomike botërore</w:t>
            </w:r>
            <w:r w:rsidR="00D555C7" w:rsidRPr="00EE038F">
              <w:rPr>
                <w:rFonts w:ascii="Garamond" w:eastAsia="Times New Roman" w:hAnsi="Garamond"/>
                <w:i/>
                <w:sz w:val="24"/>
                <w:szCs w:val="24"/>
              </w:rPr>
              <w:t>”</w:t>
            </w:r>
            <w:r w:rsidRPr="00EE038F">
              <w:rPr>
                <w:rFonts w:ascii="Garamond" w:eastAsia="Times New Roman" w:hAnsi="Garamond"/>
                <w:i/>
                <w:sz w:val="24"/>
                <w:szCs w:val="24"/>
              </w:rPr>
              <w:t xml:space="preserve"> (World Economic Outlook </w:t>
            </w:r>
            <w:r w:rsidR="00080F27" w:rsidRPr="00EE038F">
              <w:rPr>
                <w:rFonts w:ascii="Garamond" w:eastAsia="Times New Roman" w:hAnsi="Garamond"/>
                <w:i/>
                <w:sz w:val="24"/>
                <w:szCs w:val="24"/>
              </w:rPr>
              <w:t>–</w:t>
            </w:r>
            <w:r w:rsidRPr="00EE038F">
              <w:rPr>
                <w:rFonts w:ascii="Garamond" w:eastAsia="Times New Roman" w:hAnsi="Garamond"/>
                <w:i/>
                <w:sz w:val="24"/>
                <w:szCs w:val="24"/>
              </w:rPr>
              <w:t xml:space="preserve"> WEO), të Fondit Monetar Ndërkombëtar, më i fundit i publikuar në kohën kur ligji vjetor i buxhetit dorëzohet për miratim në Kuvend. Kjo dokumentohet qartësisht në relacionin shoqërues të ligjit vjetor të buxhetit</w:t>
            </w:r>
            <w:r w:rsidR="0029083B" w:rsidRPr="00EE038F">
              <w:rPr>
                <w:rFonts w:ascii="Garamond" w:eastAsia="Times New Roman" w:hAnsi="Garamond"/>
                <w:i/>
                <w:sz w:val="24"/>
                <w:szCs w:val="24"/>
              </w:rPr>
              <w:t>.</w:t>
            </w:r>
          </w:p>
          <w:p w14:paraId="434E36F9" w14:textId="0DDB11BF" w:rsidR="004E7B72" w:rsidRPr="00EE038F" w:rsidRDefault="004E7B72" w:rsidP="004E7B72">
            <w:pPr>
              <w:ind w:firstLine="284"/>
              <w:jc w:val="both"/>
              <w:rPr>
                <w:rFonts w:ascii="Garamond" w:eastAsia="Times New Roman" w:hAnsi="Garamond"/>
                <w:sz w:val="24"/>
                <w:szCs w:val="24"/>
              </w:rPr>
            </w:pPr>
            <w:r w:rsidRPr="00EE038F">
              <w:rPr>
                <w:rFonts w:ascii="Garamond" w:eastAsia="Times New Roman" w:hAnsi="Garamond"/>
                <w:sz w:val="24"/>
                <w:szCs w:val="24"/>
              </w:rPr>
              <w:t>Në përputhje me rregull</w:t>
            </w:r>
            <w:r w:rsidR="00165E0E" w:rsidRPr="00EE038F">
              <w:rPr>
                <w:rFonts w:ascii="Garamond" w:eastAsia="Times New Roman" w:hAnsi="Garamond"/>
                <w:sz w:val="24"/>
                <w:szCs w:val="24"/>
              </w:rPr>
              <w:t>ë</w:t>
            </w:r>
            <w:r w:rsidRPr="00EE038F">
              <w:rPr>
                <w:rFonts w:ascii="Garamond" w:eastAsia="Times New Roman" w:hAnsi="Garamond"/>
                <w:sz w:val="24"/>
                <w:szCs w:val="24"/>
              </w:rPr>
              <w:t>n fiskal</w:t>
            </w:r>
            <w:r w:rsidR="00165E0E" w:rsidRPr="00EE038F">
              <w:rPr>
                <w:rFonts w:ascii="Garamond" w:eastAsia="Times New Roman" w:hAnsi="Garamond"/>
                <w:sz w:val="24"/>
                <w:szCs w:val="24"/>
              </w:rPr>
              <w:t>e</w:t>
            </w:r>
            <w:r w:rsidRPr="00EE038F">
              <w:rPr>
                <w:rFonts w:ascii="Garamond" w:eastAsia="Times New Roman" w:hAnsi="Garamond"/>
                <w:sz w:val="24"/>
                <w:szCs w:val="24"/>
              </w:rPr>
              <w:t xml:space="preserve"> të përcaktuar në </w:t>
            </w:r>
            <w:r w:rsidR="00165E0E" w:rsidRPr="00EE038F">
              <w:rPr>
                <w:rFonts w:ascii="Garamond" w:eastAsia="Times New Roman" w:hAnsi="Garamond"/>
                <w:sz w:val="24"/>
                <w:szCs w:val="24"/>
              </w:rPr>
              <w:t xml:space="preserve">ligjin organik të buxhetit </w:t>
            </w:r>
            <w:r w:rsidRPr="00EE038F">
              <w:rPr>
                <w:rFonts w:ascii="Garamond" w:eastAsia="Times New Roman" w:hAnsi="Garamond"/>
                <w:sz w:val="24"/>
                <w:szCs w:val="24"/>
              </w:rPr>
              <w:t xml:space="preserve">(LOB), Kuadri Makroekonomik e Fiskal </w:t>
            </w:r>
            <w:r w:rsidR="003F70BC" w:rsidRPr="00EE038F">
              <w:rPr>
                <w:rFonts w:ascii="Garamond" w:eastAsia="Times New Roman" w:hAnsi="Garamond"/>
                <w:sz w:val="24"/>
                <w:szCs w:val="24"/>
              </w:rPr>
              <w:t xml:space="preserve">2025–2027 </w:t>
            </w:r>
            <w:r w:rsidRPr="00EE038F">
              <w:rPr>
                <w:rFonts w:ascii="Garamond" w:eastAsia="Times New Roman" w:hAnsi="Garamond"/>
                <w:sz w:val="24"/>
                <w:szCs w:val="24"/>
              </w:rPr>
              <w:t>mbështetet në projeksionet e Produktit të Brendshëm Bruto (PBB) nominal</w:t>
            </w:r>
            <w:r w:rsidR="00165E0E" w:rsidRPr="00EE038F">
              <w:rPr>
                <w:rFonts w:ascii="Garamond" w:eastAsia="Times New Roman" w:hAnsi="Garamond"/>
                <w:sz w:val="24"/>
                <w:szCs w:val="24"/>
              </w:rPr>
              <w:t>,</w:t>
            </w:r>
            <w:r w:rsidRPr="00EE038F">
              <w:rPr>
                <w:rFonts w:ascii="Garamond" w:eastAsia="Times New Roman" w:hAnsi="Garamond"/>
                <w:sz w:val="24"/>
                <w:szCs w:val="24"/>
              </w:rPr>
              <w:t xml:space="preserve"> të cilat nuk janë më të mëdha krahasimisht me projeksionet respektive më të fundit të Fondit Monetar Ndërkombëtar (FMN).</w:t>
            </w:r>
          </w:p>
          <w:p w14:paraId="2A9FC227" w14:textId="2BEEC256" w:rsidR="004E7B72" w:rsidRPr="00EE038F" w:rsidRDefault="004E7B72" w:rsidP="004E7B72">
            <w:pPr>
              <w:ind w:firstLine="284"/>
              <w:jc w:val="both"/>
              <w:rPr>
                <w:rFonts w:ascii="Garamond" w:eastAsia="Times New Roman" w:hAnsi="Garamond"/>
                <w:sz w:val="24"/>
                <w:szCs w:val="24"/>
              </w:rPr>
            </w:pPr>
            <w:r w:rsidRPr="00EE038F">
              <w:rPr>
                <w:rFonts w:ascii="Garamond" w:eastAsia="Times New Roman" w:hAnsi="Garamond"/>
                <w:sz w:val="24"/>
                <w:szCs w:val="24"/>
              </w:rPr>
              <w:t>Në këtë cikël të programimit për Kuadrin Makroekonomik e Fiskal afatmesëm, ankorimi i projeksioneve të PBB nominal, siç kërkohet nga k</w:t>
            </w:r>
            <w:r w:rsidR="009D51D8" w:rsidRPr="00EE038F">
              <w:rPr>
                <w:rFonts w:ascii="Garamond" w:eastAsia="Times New Roman" w:hAnsi="Garamond"/>
                <w:sz w:val="24"/>
                <w:szCs w:val="24"/>
              </w:rPr>
              <w:t>jo</w:t>
            </w:r>
            <w:r w:rsidRPr="00EE038F">
              <w:rPr>
                <w:rFonts w:ascii="Garamond" w:eastAsia="Times New Roman" w:hAnsi="Garamond"/>
                <w:sz w:val="24"/>
                <w:szCs w:val="24"/>
              </w:rPr>
              <w:t xml:space="preserve"> rregull fiskal</w:t>
            </w:r>
            <w:r w:rsidR="009D51D8" w:rsidRPr="00EE038F">
              <w:rPr>
                <w:rFonts w:ascii="Garamond" w:eastAsia="Times New Roman" w:hAnsi="Garamond"/>
                <w:sz w:val="24"/>
                <w:szCs w:val="24"/>
              </w:rPr>
              <w:t>e</w:t>
            </w:r>
            <w:r w:rsidRPr="00EE038F">
              <w:rPr>
                <w:rFonts w:ascii="Garamond" w:eastAsia="Times New Roman" w:hAnsi="Garamond"/>
                <w:sz w:val="24"/>
                <w:szCs w:val="24"/>
              </w:rPr>
              <w:t xml:space="preserve">, është realizuar kundrejt projeksioneve më të fundit (zyrtare) të FMN-së, të paraqitura në Raportin e Stafit për Konsultimet e Artikullit IV të vitit 2024. Këto projeksione janë më të fundit të përpiluara dhe </w:t>
            </w:r>
            <w:r w:rsidR="002143D0" w:rsidRPr="00EE038F">
              <w:rPr>
                <w:rFonts w:ascii="Garamond" w:eastAsia="Times New Roman" w:hAnsi="Garamond"/>
                <w:sz w:val="24"/>
                <w:szCs w:val="24"/>
              </w:rPr>
              <w:t xml:space="preserve">të </w:t>
            </w:r>
            <w:r w:rsidRPr="00EE038F">
              <w:rPr>
                <w:rFonts w:ascii="Garamond" w:eastAsia="Times New Roman" w:hAnsi="Garamond"/>
                <w:sz w:val="24"/>
                <w:szCs w:val="24"/>
              </w:rPr>
              <w:t xml:space="preserve">publikuara zyrtarisht nga FMN (misioni respektiv i FMN u realizua në fund të muajit </w:t>
            </w:r>
            <w:r w:rsidR="002518A1" w:rsidRPr="00EE038F">
              <w:rPr>
                <w:rFonts w:ascii="Garamond" w:eastAsia="Times New Roman" w:hAnsi="Garamond"/>
                <w:sz w:val="24"/>
                <w:szCs w:val="24"/>
              </w:rPr>
              <w:t xml:space="preserve">nëntor </w:t>
            </w:r>
            <w:r w:rsidRPr="00EE038F">
              <w:rPr>
                <w:rFonts w:ascii="Garamond" w:eastAsia="Times New Roman" w:hAnsi="Garamond"/>
                <w:sz w:val="24"/>
                <w:szCs w:val="24"/>
              </w:rPr>
              <w:t xml:space="preserve">2024, ndërsa </w:t>
            </w:r>
            <w:r w:rsidR="002518A1" w:rsidRPr="00EE038F">
              <w:rPr>
                <w:rFonts w:ascii="Garamond" w:eastAsia="Times New Roman" w:hAnsi="Garamond"/>
                <w:sz w:val="24"/>
                <w:szCs w:val="24"/>
              </w:rPr>
              <w:t xml:space="preserve">raporti i stafit </w:t>
            </w:r>
            <w:r w:rsidRPr="00EE038F">
              <w:rPr>
                <w:rFonts w:ascii="Garamond" w:eastAsia="Times New Roman" w:hAnsi="Garamond"/>
                <w:sz w:val="24"/>
                <w:szCs w:val="24"/>
              </w:rPr>
              <w:t xml:space="preserve">u publikuar në </w:t>
            </w:r>
            <w:r w:rsidR="002518A1" w:rsidRPr="00EE038F">
              <w:rPr>
                <w:rFonts w:ascii="Garamond" w:eastAsia="Times New Roman" w:hAnsi="Garamond"/>
                <w:sz w:val="24"/>
                <w:szCs w:val="24"/>
              </w:rPr>
              <w:t xml:space="preserve">janar 2025). </w:t>
            </w:r>
          </w:p>
          <w:p w14:paraId="4DE827E3" w14:textId="01A23703" w:rsidR="004E7B72" w:rsidRPr="00EE038F" w:rsidRDefault="004E7B72" w:rsidP="004E7B72">
            <w:pPr>
              <w:ind w:firstLine="284"/>
              <w:jc w:val="both"/>
              <w:rPr>
                <w:rFonts w:ascii="Garamond" w:eastAsia="Times New Roman" w:hAnsi="Garamond"/>
                <w:b/>
                <w:sz w:val="24"/>
                <w:szCs w:val="24"/>
              </w:rPr>
            </w:pPr>
            <w:r w:rsidRPr="00EE038F">
              <w:rPr>
                <w:rFonts w:ascii="Garamond" w:eastAsia="Times New Roman" w:hAnsi="Garamond"/>
                <w:sz w:val="24"/>
                <w:szCs w:val="24"/>
              </w:rPr>
              <w:t xml:space="preserve">Tabela e mëposhtme paraqet krahasueshmërinë e projeksioneve të Ministrisë së Financave me ato përkatëse të FMN-së, </w:t>
            </w:r>
            <w:r w:rsidRPr="00EE038F">
              <w:rPr>
                <w:rFonts w:ascii="Garamond" w:eastAsia="Times New Roman" w:hAnsi="Garamond"/>
                <w:b/>
                <w:sz w:val="24"/>
                <w:szCs w:val="24"/>
              </w:rPr>
              <w:t>duke demonstruar përputhshmërinë me këtë rregull fiskal</w:t>
            </w:r>
            <w:r w:rsidR="002518A1" w:rsidRPr="00EE038F">
              <w:rPr>
                <w:rFonts w:ascii="Garamond" w:eastAsia="Times New Roman" w:hAnsi="Garamond"/>
                <w:b/>
                <w:sz w:val="24"/>
                <w:szCs w:val="24"/>
              </w:rPr>
              <w:t>e</w:t>
            </w:r>
            <w:r w:rsidRPr="00EE038F">
              <w:rPr>
                <w:rFonts w:ascii="Garamond" w:eastAsia="Times New Roman" w:hAnsi="Garamond"/>
                <w:b/>
                <w:sz w:val="24"/>
                <w:szCs w:val="24"/>
              </w:rPr>
              <w:t xml:space="preserve"> të LOB-it.</w:t>
            </w:r>
          </w:p>
          <w:p w14:paraId="5E4F0183" w14:textId="77777777" w:rsidR="004E7B72" w:rsidRPr="00EE038F" w:rsidRDefault="004E7B72" w:rsidP="004E7B72">
            <w:pPr>
              <w:ind w:firstLine="284"/>
              <w:jc w:val="both"/>
              <w:rPr>
                <w:rFonts w:ascii="Garamond" w:eastAsia="Times New Roman" w:hAnsi="Garamond"/>
                <w:b/>
                <w:sz w:val="24"/>
                <w:szCs w:val="24"/>
              </w:rPr>
            </w:pPr>
          </w:p>
          <w:p w14:paraId="17F9D476" w14:textId="77777777" w:rsidR="004E7B72" w:rsidRPr="00EE038F" w:rsidRDefault="004E7B72" w:rsidP="004E7B72">
            <w:pPr>
              <w:jc w:val="center"/>
              <w:rPr>
                <w:rFonts w:ascii="Garamond" w:eastAsia="Times New Roman" w:hAnsi="Garamond"/>
                <w:b/>
                <w:sz w:val="24"/>
                <w:szCs w:val="24"/>
              </w:rPr>
            </w:pPr>
            <w:r w:rsidRPr="00EE038F">
              <w:rPr>
                <w:rFonts w:ascii="Garamond" w:hAnsi="Garamond"/>
                <w:noProof/>
                <w:sz w:val="24"/>
                <w:szCs w:val="24"/>
              </w:rPr>
              <w:drawing>
                <wp:inline distT="0" distB="0" distL="0" distR="0" wp14:anchorId="0B856B2A" wp14:editId="186CDD83">
                  <wp:extent cx="5405628" cy="1246497"/>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78273" cy="1263248"/>
                          </a:xfrm>
                          <a:prstGeom prst="rect">
                            <a:avLst/>
                          </a:prstGeom>
                          <a:noFill/>
                          <a:ln>
                            <a:noFill/>
                          </a:ln>
                        </pic:spPr>
                      </pic:pic>
                    </a:graphicData>
                  </a:graphic>
                </wp:inline>
              </w:drawing>
            </w:r>
          </w:p>
          <w:p w14:paraId="66586C7C" w14:textId="77777777" w:rsidR="004E7B72" w:rsidRPr="00EE038F" w:rsidRDefault="004E7B72" w:rsidP="004E7B72">
            <w:pPr>
              <w:ind w:firstLine="284"/>
              <w:rPr>
                <w:rFonts w:ascii="Garamond" w:hAnsi="Garamond" w:cs="Calibri"/>
                <w:i/>
                <w:sz w:val="24"/>
                <w:szCs w:val="24"/>
              </w:rPr>
            </w:pPr>
          </w:p>
          <w:p w14:paraId="6946C509" w14:textId="0C15A18E" w:rsidR="004E7B72" w:rsidRPr="00EE038F" w:rsidRDefault="004E7B72" w:rsidP="00236C99">
            <w:pPr>
              <w:numPr>
                <w:ilvl w:val="0"/>
                <w:numId w:val="6"/>
              </w:numPr>
              <w:ind w:left="0" w:firstLine="284"/>
              <w:jc w:val="both"/>
              <w:rPr>
                <w:rFonts w:ascii="Garamond" w:hAnsi="Garamond"/>
                <w:i/>
                <w:sz w:val="24"/>
                <w:szCs w:val="24"/>
              </w:rPr>
            </w:pPr>
            <w:r w:rsidRPr="00EE038F">
              <w:rPr>
                <w:rFonts w:ascii="Garamond" w:hAnsi="Garamond"/>
                <w:i/>
                <w:sz w:val="24"/>
                <w:szCs w:val="24"/>
              </w:rPr>
              <w:t xml:space="preserve">Planifikim kontigjence: Në çdo vit buxhetor të planifikuar duhet të përfshihet një kontigjencë e veçantë, prej jo më pak se 0.7 </w:t>
            </w:r>
            <w:r w:rsidR="00FD6514" w:rsidRPr="00EE038F">
              <w:rPr>
                <w:rFonts w:ascii="Garamond" w:hAnsi="Garamond"/>
                <w:i/>
                <w:sz w:val="24"/>
                <w:szCs w:val="24"/>
              </w:rPr>
              <w:t>për qind</w:t>
            </w:r>
            <w:r w:rsidRPr="00EE038F">
              <w:rPr>
                <w:rFonts w:ascii="Garamond" w:hAnsi="Garamond"/>
                <w:i/>
                <w:sz w:val="24"/>
                <w:szCs w:val="24"/>
              </w:rPr>
              <w:t xml:space="preserve"> e shpenzimeve totale të buxhetit, për të kompensuar rreziqe potenciale nga luhatjet në kurset e këmbimit ose normat e </w:t>
            </w:r>
            <w:r w:rsidR="00621A23" w:rsidRPr="00EE038F">
              <w:rPr>
                <w:rFonts w:ascii="Garamond" w:hAnsi="Garamond"/>
                <w:i/>
                <w:sz w:val="24"/>
                <w:szCs w:val="24"/>
              </w:rPr>
              <w:t>interesit</w:t>
            </w:r>
            <w:r w:rsidRPr="00EE038F">
              <w:rPr>
                <w:rFonts w:ascii="Garamond" w:hAnsi="Garamond"/>
                <w:i/>
                <w:sz w:val="24"/>
                <w:szCs w:val="24"/>
              </w:rPr>
              <w:t>, me ndikim në nivelin e borxhit.</w:t>
            </w:r>
          </w:p>
          <w:p w14:paraId="5B01CB00" w14:textId="075CF4A4" w:rsidR="004E7B72" w:rsidRPr="00EE038F" w:rsidRDefault="004E7B72" w:rsidP="004E7B72">
            <w:pPr>
              <w:ind w:firstLine="284"/>
              <w:jc w:val="both"/>
              <w:rPr>
                <w:rFonts w:ascii="Garamond" w:hAnsi="Garamond"/>
                <w:i/>
                <w:sz w:val="24"/>
                <w:szCs w:val="24"/>
              </w:rPr>
            </w:pPr>
            <w:r w:rsidRPr="00EE038F">
              <w:rPr>
                <w:rFonts w:ascii="Garamond" w:hAnsi="Garamond"/>
                <w:sz w:val="24"/>
                <w:szCs w:val="24"/>
              </w:rPr>
              <w:t>Në përputhje me këtë dispozitë (rregull fiskal</w:t>
            </w:r>
            <w:r w:rsidR="00C47E33" w:rsidRPr="00EE038F">
              <w:rPr>
                <w:rFonts w:ascii="Garamond" w:hAnsi="Garamond"/>
                <w:sz w:val="24"/>
                <w:szCs w:val="24"/>
              </w:rPr>
              <w:t>e</w:t>
            </w:r>
            <w:r w:rsidRPr="00EE038F">
              <w:rPr>
                <w:rFonts w:ascii="Garamond" w:hAnsi="Garamond"/>
                <w:sz w:val="24"/>
                <w:szCs w:val="24"/>
              </w:rPr>
              <w:t>) të LOB</w:t>
            </w:r>
            <w:r w:rsidR="00C47E33" w:rsidRPr="00EE038F">
              <w:rPr>
                <w:rFonts w:ascii="Garamond" w:hAnsi="Garamond"/>
                <w:sz w:val="24"/>
                <w:szCs w:val="24"/>
              </w:rPr>
              <w:t>-së</w:t>
            </w:r>
            <w:r w:rsidRPr="00EE038F">
              <w:rPr>
                <w:rFonts w:ascii="Garamond" w:hAnsi="Garamond"/>
                <w:sz w:val="24"/>
                <w:szCs w:val="24"/>
              </w:rPr>
              <w:t xml:space="preserve">, kuadri fiskal për periudhën </w:t>
            </w:r>
            <w:r w:rsidR="003F70BC" w:rsidRPr="00EE038F">
              <w:rPr>
                <w:rFonts w:ascii="Garamond" w:hAnsi="Garamond"/>
                <w:sz w:val="24"/>
                <w:szCs w:val="24"/>
              </w:rPr>
              <w:t xml:space="preserve">2025–2027 </w:t>
            </w:r>
            <w:r w:rsidRPr="00EE038F">
              <w:rPr>
                <w:rFonts w:ascii="Garamond" w:hAnsi="Garamond"/>
                <w:sz w:val="24"/>
                <w:szCs w:val="24"/>
              </w:rPr>
              <w:t xml:space="preserve">përfshin për çdo vit në një zë të veçantë të tij, emërtuar </w:t>
            </w:r>
            <w:r w:rsidR="00D555C7" w:rsidRPr="00EE038F">
              <w:rPr>
                <w:rFonts w:ascii="Garamond" w:hAnsi="Garamond"/>
                <w:sz w:val="24"/>
                <w:szCs w:val="24"/>
              </w:rPr>
              <w:t>“</w:t>
            </w:r>
            <w:r w:rsidRPr="00EE038F">
              <w:rPr>
                <w:rFonts w:ascii="Garamond" w:hAnsi="Garamond"/>
                <w:sz w:val="24"/>
                <w:szCs w:val="24"/>
              </w:rPr>
              <w:t>Kontigjencë për luhatjet e normave të interesit etj.</w:t>
            </w:r>
            <w:r w:rsidR="00D555C7" w:rsidRPr="00EE038F">
              <w:rPr>
                <w:rFonts w:ascii="Garamond" w:hAnsi="Garamond"/>
                <w:sz w:val="24"/>
                <w:szCs w:val="24"/>
              </w:rPr>
              <w:t>”</w:t>
            </w:r>
            <w:r w:rsidRPr="00EE038F">
              <w:rPr>
                <w:rFonts w:ascii="Garamond" w:hAnsi="Garamond"/>
                <w:sz w:val="24"/>
                <w:szCs w:val="24"/>
              </w:rPr>
              <w:t xml:space="preserve"> </w:t>
            </w:r>
            <w:r w:rsidRPr="00EE038F">
              <w:rPr>
                <w:rFonts w:ascii="Garamond" w:hAnsi="Garamond"/>
                <w:b/>
                <w:i/>
                <w:sz w:val="24"/>
                <w:szCs w:val="24"/>
              </w:rPr>
              <w:t xml:space="preserve">një kontigjencë prej mbi 0.7 </w:t>
            </w:r>
            <w:r w:rsidR="00FD6514" w:rsidRPr="00EE038F">
              <w:rPr>
                <w:rFonts w:ascii="Garamond" w:hAnsi="Garamond"/>
                <w:b/>
                <w:i/>
                <w:sz w:val="24"/>
                <w:szCs w:val="24"/>
              </w:rPr>
              <w:t>për qind</w:t>
            </w:r>
            <w:r w:rsidRPr="00EE038F">
              <w:rPr>
                <w:rFonts w:ascii="Garamond" w:hAnsi="Garamond"/>
                <w:b/>
                <w:i/>
                <w:sz w:val="24"/>
                <w:szCs w:val="24"/>
              </w:rPr>
              <w:t xml:space="preserve"> e shpenzimeve totale.</w:t>
            </w:r>
          </w:p>
          <w:p w14:paraId="6ED5ABF1" w14:textId="511CADE6" w:rsidR="004E7B72" w:rsidRPr="00EE038F" w:rsidRDefault="004E7B72" w:rsidP="00236C99">
            <w:pPr>
              <w:numPr>
                <w:ilvl w:val="0"/>
                <w:numId w:val="6"/>
              </w:numPr>
              <w:ind w:left="0" w:firstLine="284"/>
              <w:jc w:val="both"/>
              <w:rPr>
                <w:rFonts w:ascii="Garamond" w:hAnsi="Garamond"/>
                <w:i/>
                <w:sz w:val="24"/>
                <w:szCs w:val="24"/>
              </w:rPr>
            </w:pPr>
            <w:r w:rsidRPr="00EE038F">
              <w:rPr>
                <w:rFonts w:ascii="Garamond" w:hAnsi="Garamond"/>
                <w:i/>
                <w:sz w:val="24"/>
                <w:szCs w:val="24"/>
              </w:rPr>
              <w:t xml:space="preserve">Të ardhurat nga privatizimi: </w:t>
            </w:r>
            <w:r w:rsidR="003464CB" w:rsidRPr="00EE038F">
              <w:rPr>
                <w:rFonts w:ascii="Garamond" w:hAnsi="Garamond"/>
                <w:i/>
                <w:sz w:val="24"/>
                <w:szCs w:val="24"/>
              </w:rPr>
              <w:t xml:space="preserve">të </w:t>
            </w:r>
            <w:r w:rsidRPr="00EE038F">
              <w:rPr>
                <w:rFonts w:ascii="Garamond" w:hAnsi="Garamond"/>
                <w:i/>
                <w:sz w:val="24"/>
                <w:szCs w:val="24"/>
              </w:rPr>
              <w:t xml:space="preserve">ardhurat nga privatizimi nuk janë pjesë e procesit të programimit buxhetor. Në rast se arkëtohen, ato përdoren jo më pak se 50 për qind për uljen e borxhit publik dhe pjesa e mbetur për investime publike. </w:t>
            </w:r>
          </w:p>
          <w:p w14:paraId="20ECC2E1" w14:textId="2239EFA1" w:rsidR="004E7B72" w:rsidRPr="00EE038F" w:rsidRDefault="004E7B72" w:rsidP="003464CB">
            <w:pPr>
              <w:ind w:firstLine="284"/>
              <w:jc w:val="both"/>
              <w:rPr>
                <w:rFonts w:ascii="Garamond" w:hAnsi="Garamond"/>
                <w:sz w:val="24"/>
                <w:szCs w:val="24"/>
              </w:rPr>
            </w:pPr>
            <w:r w:rsidRPr="00EE038F">
              <w:rPr>
                <w:rFonts w:ascii="Garamond" w:hAnsi="Garamond"/>
                <w:sz w:val="24"/>
                <w:szCs w:val="24"/>
              </w:rPr>
              <w:t xml:space="preserve">Në përputhje me këtë </w:t>
            </w:r>
            <w:r w:rsidRPr="004D2C63">
              <w:rPr>
                <w:rFonts w:ascii="Garamond" w:hAnsi="Garamond"/>
                <w:sz w:val="24"/>
                <w:szCs w:val="24"/>
              </w:rPr>
              <w:t>dispozitë (rregull fiskal</w:t>
            </w:r>
            <w:r w:rsidR="004D2C63">
              <w:rPr>
                <w:rFonts w:ascii="Garamond" w:hAnsi="Garamond"/>
                <w:sz w:val="24"/>
                <w:szCs w:val="24"/>
              </w:rPr>
              <w:t>e</w:t>
            </w:r>
            <w:r w:rsidRPr="00EE038F">
              <w:rPr>
                <w:rFonts w:ascii="Garamond" w:hAnsi="Garamond"/>
                <w:sz w:val="24"/>
                <w:szCs w:val="24"/>
              </w:rPr>
              <w:t xml:space="preserve">) të LOB, kuadri fiskal për </w:t>
            </w:r>
            <w:r w:rsidR="003464CB" w:rsidRPr="00EE038F">
              <w:rPr>
                <w:rFonts w:ascii="Garamond" w:hAnsi="Garamond"/>
                <w:sz w:val="24"/>
                <w:szCs w:val="24"/>
              </w:rPr>
              <w:t>përudhën</w:t>
            </w:r>
            <w:r w:rsidRPr="00EE038F">
              <w:rPr>
                <w:rFonts w:ascii="Garamond" w:hAnsi="Garamond"/>
                <w:sz w:val="24"/>
                <w:szCs w:val="24"/>
              </w:rPr>
              <w:t xml:space="preserve"> 2025</w:t>
            </w:r>
            <w:r w:rsidR="003464CB" w:rsidRPr="00EE038F">
              <w:rPr>
                <w:rFonts w:ascii="Garamond" w:hAnsi="Garamond"/>
                <w:sz w:val="24"/>
                <w:szCs w:val="24"/>
              </w:rPr>
              <w:t>–</w:t>
            </w:r>
            <w:r w:rsidRPr="00EE038F">
              <w:rPr>
                <w:rFonts w:ascii="Garamond" w:hAnsi="Garamond"/>
                <w:sz w:val="24"/>
                <w:szCs w:val="24"/>
              </w:rPr>
              <w:t xml:space="preserve">2027 </w:t>
            </w:r>
            <w:r w:rsidRPr="00EE038F">
              <w:rPr>
                <w:rFonts w:ascii="Garamond" w:hAnsi="Garamond"/>
                <w:b/>
                <w:bCs/>
                <w:i/>
                <w:iCs/>
                <w:sz w:val="24"/>
                <w:szCs w:val="24"/>
              </w:rPr>
              <w:t>nuk përfshin të hyra nga privatizimet</w:t>
            </w:r>
            <w:r w:rsidRPr="00EE038F">
              <w:rPr>
                <w:rFonts w:ascii="Garamond" w:hAnsi="Garamond"/>
                <w:sz w:val="24"/>
                <w:szCs w:val="24"/>
              </w:rPr>
              <w:t xml:space="preserve"> </w:t>
            </w:r>
            <w:r w:rsidRPr="00EE038F">
              <w:rPr>
                <w:rFonts w:ascii="Garamond" w:hAnsi="Garamond"/>
                <w:b/>
                <w:i/>
                <w:sz w:val="24"/>
                <w:szCs w:val="24"/>
              </w:rPr>
              <w:t>e mundshme.</w:t>
            </w:r>
          </w:p>
        </w:tc>
      </w:tr>
    </w:tbl>
    <w:p w14:paraId="4323926A" w14:textId="77777777" w:rsidR="00C50585" w:rsidRPr="00EE038F" w:rsidRDefault="003B68AC" w:rsidP="00850D8F">
      <w:pPr>
        <w:pStyle w:val="TEKSTIIIIII"/>
        <w:rPr>
          <w:b/>
        </w:rPr>
      </w:pPr>
      <w:bookmarkStart w:id="18" w:name="_Toc484076174"/>
      <w:bookmarkStart w:id="19" w:name="_Toc30661218"/>
      <w:bookmarkStart w:id="20" w:name="_Toc187328206"/>
      <w:r w:rsidRPr="00EE038F">
        <w:rPr>
          <w:b/>
        </w:rPr>
        <w:lastRenderedPageBreak/>
        <w:t xml:space="preserve">4.2 </w:t>
      </w:r>
      <w:r w:rsidR="00C50585" w:rsidRPr="00EE038F">
        <w:rPr>
          <w:b/>
        </w:rPr>
        <w:t>Implementimi i buxhetit për vitin 20</w:t>
      </w:r>
      <w:bookmarkEnd w:id="18"/>
      <w:bookmarkEnd w:id="19"/>
      <w:r w:rsidR="00C50585" w:rsidRPr="00EE038F">
        <w:rPr>
          <w:b/>
        </w:rPr>
        <w:t>24</w:t>
      </w:r>
      <w:bookmarkEnd w:id="20"/>
    </w:p>
    <w:p w14:paraId="21ED61B4" w14:textId="6EE98322" w:rsidR="00C50585" w:rsidRPr="00EE038F" w:rsidRDefault="00C50585" w:rsidP="00850D8F">
      <w:pPr>
        <w:pStyle w:val="TEKSTIIIIII"/>
        <w:rPr>
          <w:i/>
          <w:color w:val="0D0D0D"/>
        </w:rPr>
      </w:pPr>
      <w:r w:rsidRPr="00EE038F">
        <w:rPr>
          <w:i/>
          <w:color w:val="0D0D0D"/>
        </w:rPr>
        <w:t xml:space="preserve">Ecuria e treguesve kryesorë të të ardhurave për periudhën </w:t>
      </w:r>
      <w:r w:rsidR="003464CB" w:rsidRPr="00EE038F">
        <w:rPr>
          <w:i/>
          <w:color w:val="0D0D0D"/>
        </w:rPr>
        <w:t xml:space="preserve">janar–shtator </w:t>
      </w:r>
      <w:r w:rsidRPr="00EE038F">
        <w:rPr>
          <w:i/>
          <w:color w:val="0D0D0D"/>
        </w:rPr>
        <w:t xml:space="preserve">2024, </w:t>
      </w:r>
      <w:r w:rsidRPr="00EE038F">
        <w:rPr>
          <w:i/>
          <w:kern w:val="36"/>
        </w:rPr>
        <w:t>krahasuar me planin fillestar të periudhës</w:t>
      </w:r>
    </w:p>
    <w:p w14:paraId="2AC9EE97" w14:textId="4684E9A7" w:rsidR="00C50585" w:rsidRPr="00EE038F" w:rsidRDefault="00C50585" w:rsidP="00850D8F">
      <w:pPr>
        <w:pStyle w:val="TEKSTIIIIII"/>
        <w:rPr>
          <w:rFonts w:eastAsia="SimSun"/>
          <w:bCs/>
        </w:rPr>
      </w:pPr>
      <w:r w:rsidRPr="00EE038F">
        <w:rPr>
          <w:rStyle w:val="jlqj4b"/>
          <w:rFonts w:eastAsiaTheme="majorEastAsia"/>
        </w:rPr>
        <w:t xml:space="preserve">Performanca e të ardhurave ka qenë pozitive gjatë vitit 2024. Të ardhurat tatimore për periudhën </w:t>
      </w:r>
      <w:r w:rsidR="00D1065E" w:rsidRPr="00EE038F">
        <w:rPr>
          <w:rStyle w:val="jlqj4b"/>
          <w:rFonts w:eastAsiaTheme="majorEastAsia"/>
        </w:rPr>
        <w:t>janar</w:t>
      </w:r>
      <w:r w:rsidR="00D1065E" w:rsidRPr="00EE038F">
        <w:rPr>
          <w:color w:val="0D0D0D"/>
        </w:rPr>
        <w:t>–</w:t>
      </w:r>
      <w:r w:rsidR="00D1065E" w:rsidRPr="00EE038F">
        <w:rPr>
          <w:rStyle w:val="jlqj4b"/>
          <w:rFonts w:eastAsiaTheme="majorEastAsia"/>
        </w:rPr>
        <w:t xml:space="preserve">shtator </w:t>
      </w:r>
      <w:r w:rsidRPr="00EE038F">
        <w:rPr>
          <w:rStyle w:val="jlqj4b"/>
          <w:rFonts w:eastAsiaTheme="majorEastAsia"/>
        </w:rPr>
        <w:t xml:space="preserve">2024, janë </w:t>
      </w:r>
      <w:r w:rsidRPr="00EE038F">
        <w:rPr>
          <w:rFonts w:eastAsia="SimSun"/>
          <w:bCs/>
        </w:rPr>
        <w:t xml:space="preserve">491.6 </w:t>
      </w:r>
      <w:r w:rsidRPr="00EE038F">
        <w:rPr>
          <w:rStyle w:val="jlqj4b"/>
          <w:rFonts w:eastAsiaTheme="majorEastAsia"/>
        </w:rPr>
        <w:t>miliardë lekë,</w:t>
      </w:r>
      <w:r w:rsidRPr="00EE038F">
        <w:rPr>
          <w:rFonts w:eastAsia="SimSun"/>
          <w:bCs/>
        </w:rPr>
        <w:t xml:space="preserve"> 4.5% ose 20.1 miliardë lekë më shumë se plani fillestar për </w:t>
      </w:r>
      <w:r w:rsidR="00454DC6" w:rsidRPr="00EE038F">
        <w:rPr>
          <w:rFonts w:eastAsia="SimSun"/>
          <w:bCs/>
        </w:rPr>
        <w:t xml:space="preserve">periudhën janar–shtator </w:t>
      </w:r>
      <w:r w:rsidRPr="00EE038F">
        <w:rPr>
          <w:rFonts w:eastAsia="SimSun"/>
          <w:bCs/>
        </w:rPr>
        <w:t>2024.</w:t>
      </w:r>
    </w:p>
    <w:p w14:paraId="1FD2D32D" w14:textId="52051C58" w:rsidR="00C50585" w:rsidRPr="00EE038F" w:rsidRDefault="003B68AC" w:rsidP="00850D8F">
      <w:pPr>
        <w:pStyle w:val="TEKSTIIIIII"/>
        <w:rPr>
          <w:rFonts w:eastAsia="SimSun"/>
          <w:bCs/>
        </w:rPr>
      </w:pPr>
      <w:r w:rsidRPr="00EE038F">
        <w:rPr>
          <w:rStyle w:val="jlqj4b"/>
          <w:rFonts w:eastAsiaTheme="majorEastAsia"/>
        </w:rPr>
        <w:t xml:space="preserve">- </w:t>
      </w:r>
      <w:r w:rsidR="00C50585" w:rsidRPr="00EE038F">
        <w:rPr>
          <w:rStyle w:val="jlqj4b"/>
          <w:rFonts w:eastAsiaTheme="majorEastAsia"/>
        </w:rPr>
        <w:t xml:space="preserve">Të ardhurat nga tatime, dogana dhe kontributet për periudhën </w:t>
      </w:r>
      <w:r w:rsidR="00D52FB2" w:rsidRPr="00EE038F">
        <w:rPr>
          <w:rStyle w:val="jlqj4b"/>
          <w:rFonts w:eastAsiaTheme="majorEastAsia"/>
        </w:rPr>
        <w:t>janar</w:t>
      </w:r>
      <w:r w:rsidR="00D52FB2" w:rsidRPr="00EE038F">
        <w:rPr>
          <w:color w:val="0D0D0D"/>
        </w:rPr>
        <w:t>–</w:t>
      </w:r>
      <w:r w:rsidR="00D52FB2" w:rsidRPr="00EE038F">
        <w:rPr>
          <w:rStyle w:val="jlqj4b"/>
          <w:rFonts w:eastAsiaTheme="majorEastAsia"/>
        </w:rPr>
        <w:t xml:space="preserve">shtator </w:t>
      </w:r>
      <w:r w:rsidR="00C50585" w:rsidRPr="00EE038F">
        <w:rPr>
          <w:rStyle w:val="jlqj4b"/>
          <w:rFonts w:eastAsiaTheme="majorEastAsia"/>
        </w:rPr>
        <w:t xml:space="preserve">2024, janë </w:t>
      </w:r>
      <w:r w:rsidR="00C50585" w:rsidRPr="00EE038F">
        <w:rPr>
          <w:rFonts w:eastAsia="SimSun"/>
          <w:bCs/>
        </w:rPr>
        <w:t xml:space="preserve">460.1 </w:t>
      </w:r>
      <w:r w:rsidR="00C50585" w:rsidRPr="00EE038F">
        <w:rPr>
          <w:rStyle w:val="jlqj4b"/>
          <w:rFonts w:eastAsiaTheme="majorEastAsia"/>
        </w:rPr>
        <w:t>miliardë lekë,</w:t>
      </w:r>
      <w:r w:rsidR="00C50585" w:rsidRPr="00EE038F">
        <w:rPr>
          <w:rFonts w:eastAsia="SimSun"/>
          <w:bCs/>
        </w:rPr>
        <w:t xml:space="preserve"> 2.4% ose 10.9 miliardë lekë më shumë se plani fillestar për 9</w:t>
      </w:r>
      <w:r w:rsidR="00FE4872" w:rsidRPr="00EE038F">
        <w:rPr>
          <w:rFonts w:eastAsia="SimSun"/>
          <w:bCs/>
        </w:rPr>
        <w:t>-</w:t>
      </w:r>
      <w:r w:rsidR="00C50585" w:rsidRPr="00EE038F">
        <w:rPr>
          <w:rFonts w:eastAsia="SimSun"/>
          <w:bCs/>
        </w:rPr>
        <w:t xml:space="preserve">mujorin e vitit 2024. </w:t>
      </w:r>
    </w:p>
    <w:p w14:paraId="75FC214A" w14:textId="5C7F4642" w:rsidR="00C50585" w:rsidRPr="00EE038F" w:rsidRDefault="003B68AC" w:rsidP="00850D8F">
      <w:pPr>
        <w:pStyle w:val="TEKSTIIIIII"/>
        <w:rPr>
          <w:rFonts w:eastAsia="SimSun"/>
          <w:bCs/>
        </w:rPr>
      </w:pPr>
      <w:r w:rsidRPr="00EE038F">
        <w:rPr>
          <w:rStyle w:val="jlqj4b"/>
          <w:rFonts w:eastAsiaTheme="majorEastAsia"/>
        </w:rPr>
        <w:t xml:space="preserve">- </w:t>
      </w:r>
      <w:r w:rsidR="00C50585" w:rsidRPr="00EE038F">
        <w:rPr>
          <w:rStyle w:val="jlqj4b"/>
          <w:rFonts w:eastAsiaTheme="majorEastAsia"/>
        </w:rPr>
        <w:t xml:space="preserve">Të ardhurat nga tatime dhe dogana pa kontributet për periudhën </w:t>
      </w:r>
      <w:r w:rsidR="00CB491D" w:rsidRPr="00EE038F">
        <w:rPr>
          <w:rStyle w:val="jlqj4b"/>
          <w:rFonts w:eastAsiaTheme="majorEastAsia"/>
        </w:rPr>
        <w:t>janar</w:t>
      </w:r>
      <w:r w:rsidR="00CB491D" w:rsidRPr="00EE038F">
        <w:rPr>
          <w:color w:val="0D0D0D"/>
        </w:rPr>
        <w:t>–</w:t>
      </w:r>
      <w:r w:rsidR="00CB491D" w:rsidRPr="00EE038F">
        <w:rPr>
          <w:rStyle w:val="jlqj4b"/>
          <w:rFonts w:eastAsiaTheme="majorEastAsia"/>
        </w:rPr>
        <w:t xml:space="preserve">shtator </w:t>
      </w:r>
      <w:r w:rsidR="00C50585" w:rsidRPr="00EE038F">
        <w:rPr>
          <w:rStyle w:val="jlqj4b"/>
          <w:rFonts w:eastAsiaTheme="majorEastAsia"/>
        </w:rPr>
        <w:t xml:space="preserve">2024, janë </w:t>
      </w:r>
      <w:r w:rsidR="00C50585" w:rsidRPr="00EE038F">
        <w:rPr>
          <w:rFonts w:eastAsia="SimSun"/>
          <w:bCs/>
        </w:rPr>
        <w:t xml:space="preserve">341,8 </w:t>
      </w:r>
      <w:r w:rsidR="00C50585" w:rsidRPr="00EE038F">
        <w:rPr>
          <w:rStyle w:val="jlqj4b"/>
          <w:rFonts w:eastAsiaTheme="majorEastAsia"/>
        </w:rPr>
        <w:t>miliardë lekë,</w:t>
      </w:r>
      <w:r w:rsidR="00C50585" w:rsidRPr="00EE038F">
        <w:rPr>
          <w:rFonts w:eastAsia="SimSun"/>
          <w:bCs/>
        </w:rPr>
        <w:t xml:space="preserve"> 2.5% ose 8.4 miliardë lekë më shumë se plani fillestar për 9</w:t>
      </w:r>
      <w:r w:rsidR="0078570A" w:rsidRPr="00EE038F">
        <w:rPr>
          <w:rFonts w:eastAsia="SimSun"/>
          <w:bCs/>
        </w:rPr>
        <w:t>-</w:t>
      </w:r>
      <w:r w:rsidR="00C50585" w:rsidRPr="00EE038F">
        <w:rPr>
          <w:rFonts w:eastAsia="SimSun"/>
          <w:bCs/>
        </w:rPr>
        <w:t xml:space="preserve">mujorin e vitit 2024. </w:t>
      </w:r>
    </w:p>
    <w:p w14:paraId="6495F9B5" w14:textId="31E41E35" w:rsidR="00C50585" w:rsidRPr="00EE038F" w:rsidRDefault="003B68AC" w:rsidP="00850D8F">
      <w:pPr>
        <w:pStyle w:val="TEKSTIIIIII"/>
        <w:rPr>
          <w:rStyle w:val="jlqj4b"/>
          <w:rFonts w:eastAsiaTheme="majorEastAsia"/>
        </w:rPr>
      </w:pPr>
      <w:r w:rsidRPr="00EE038F">
        <w:rPr>
          <w:rStyle w:val="jlqj4b"/>
          <w:rFonts w:eastAsiaTheme="majorEastAsia"/>
        </w:rPr>
        <w:t xml:space="preserve">- </w:t>
      </w:r>
      <w:r w:rsidR="00C50585" w:rsidRPr="00EE038F">
        <w:rPr>
          <w:rStyle w:val="jlqj4b"/>
          <w:rFonts w:eastAsiaTheme="majorEastAsia"/>
        </w:rPr>
        <w:t xml:space="preserve">Të ardhurat e arkëtuara nga kontributet (DPT, ISSH dhe FSDKSH) për periudhën </w:t>
      </w:r>
      <w:r w:rsidR="0078570A" w:rsidRPr="00EE038F">
        <w:rPr>
          <w:rStyle w:val="jlqj4b"/>
          <w:rFonts w:eastAsiaTheme="majorEastAsia"/>
        </w:rPr>
        <w:t>janar</w:t>
      </w:r>
      <w:r w:rsidR="0078570A" w:rsidRPr="00EE038F">
        <w:rPr>
          <w:i/>
          <w:color w:val="0D0D0D"/>
        </w:rPr>
        <w:t>–</w:t>
      </w:r>
      <w:r w:rsidR="0078570A" w:rsidRPr="00EE038F">
        <w:rPr>
          <w:rStyle w:val="jlqj4b"/>
          <w:rFonts w:eastAsiaTheme="majorEastAsia"/>
        </w:rPr>
        <w:t xml:space="preserve">shtator </w:t>
      </w:r>
      <w:r w:rsidR="00C50585" w:rsidRPr="00EE038F">
        <w:rPr>
          <w:rStyle w:val="jlqj4b"/>
          <w:rFonts w:eastAsiaTheme="majorEastAsia"/>
        </w:rPr>
        <w:t>2024 u realizuan në shumën 118.3 miliardë lekë, +2.6 miliardë lekë ose 2.2% më shumë se plani fillestar i periudhës.</w:t>
      </w:r>
    </w:p>
    <w:p w14:paraId="68998F42" w14:textId="77777777" w:rsidR="00C50585" w:rsidRPr="00EE038F" w:rsidRDefault="00C50585" w:rsidP="00C50585">
      <w:pPr>
        <w:spacing w:after="0" w:line="240" w:lineRule="auto"/>
        <w:jc w:val="both"/>
        <w:rPr>
          <w:rStyle w:val="jlqj4b"/>
          <w:rFonts w:ascii="Garamond" w:hAnsi="Garamond"/>
        </w:rPr>
      </w:pPr>
    </w:p>
    <w:p w14:paraId="6619D681" w14:textId="00AE2FA3" w:rsidR="00C50585" w:rsidRPr="00EE038F" w:rsidRDefault="00C50585" w:rsidP="00066DFC">
      <w:pPr>
        <w:pStyle w:val="TEKSTIIIIII"/>
        <w:ind w:firstLine="0"/>
        <w:jc w:val="center"/>
        <w:rPr>
          <w:i/>
          <w:iCs/>
        </w:rPr>
      </w:pPr>
      <w:r w:rsidRPr="00EE038F">
        <w:rPr>
          <w:i/>
          <w:iCs/>
        </w:rPr>
        <w:t>Tabela 4.2.1</w:t>
      </w:r>
      <w:r w:rsidR="0078570A" w:rsidRPr="00EE038F">
        <w:rPr>
          <w:i/>
          <w:iCs/>
        </w:rPr>
        <w:t>:</w:t>
      </w:r>
      <w:r w:rsidRPr="00EE038F">
        <w:rPr>
          <w:i/>
          <w:iCs/>
        </w:rPr>
        <w:t xml:space="preserve"> </w:t>
      </w:r>
      <w:r w:rsidRPr="00EE038F">
        <w:rPr>
          <w:rStyle w:val="jlqj4b"/>
          <w:i/>
          <w:iCs/>
        </w:rPr>
        <w:t>Të ardhurat totale nga tatimet, doganat</w:t>
      </w:r>
      <w:r w:rsidRPr="00EE038F">
        <w:rPr>
          <w:i/>
          <w:iCs/>
        </w:rPr>
        <w:t xml:space="preserve"> dhe kontributet (</w:t>
      </w:r>
      <w:r w:rsidRPr="00EE038F">
        <w:rPr>
          <w:rStyle w:val="jlqj4b"/>
          <w:i/>
          <w:iCs/>
        </w:rPr>
        <w:t>në milionë lekë</w:t>
      </w:r>
      <w:r w:rsidRPr="00EE038F">
        <w:rPr>
          <w:i/>
          <w:iCs/>
        </w:rPr>
        <w:t>)</w:t>
      </w:r>
    </w:p>
    <w:tbl>
      <w:tblPr>
        <w:tblStyle w:val="TableGrid3"/>
        <w:tblW w:w="8931" w:type="dxa"/>
        <w:tblLook w:val="04A0" w:firstRow="1" w:lastRow="0" w:firstColumn="1" w:lastColumn="0" w:noHBand="0" w:noVBand="1"/>
      </w:tblPr>
      <w:tblGrid>
        <w:gridCol w:w="2875"/>
        <w:gridCol w:w="1587"/>
        <w:gridCol w:w="1743"/>
        <w:gridCol w:w="1998"/>
        <w:gridCol w:w="728"/>
      </w:tblGrid>
      <w:tr w:rsidR="00A25CF0" w:rsidRPr="00EE038F" w14:paraId="33A8F0C1" w14:textId="77777777" w:rsidTr="00C25C61">
        <w:trPr>
          <w:trHeight w:val="20"/>
        </w:trPr>
        <w:tc>
          <w:tcPr>
            <w:tcW w:w="2875" w:type="dxa"/>
            <w:vMerge w:val="restart"/>
            <w:shd w:val="clear" w:color="auto" w:fill="D9D9D9" w:themeFill="background1" w:themeFillShade="D9"/>
            <w:vAlign w:val="center"/>
          </w:tcPr>
          <w:p w14:paraId="5DB4E055" w14:textId="6FC5D7BC" w:rsidR="00A25CF0" w:rsidRPr="00EE038F" w:rsidRDefault="00A25CF0" w:rsidP="00A25CF0">
            <w:pPr>
              <w:jc w:val="center"/>
              <w:rPr>
                <w:rFonts w:ascii="Garamond" w:eastAsia="Times New Roman" w:hAnsi="Garamond"/>
                <w:b/>
                <w:bCs/>
                <w:color w:val="000000"/>
                <w:sz w:val="16"/>
                <w:szCs w:val="20"/>
              </w:rPr>
            </w:pPr>
            <w:bookmarkStart w:id="21" w:name="page44"/>
            <w:bookmarkEnd w:id="21"/>
            <w:r w:rsidRPr="00EE038F">
              <w:rPr>
                <w:rFonts w:ascii="Garamond" w:eastAsia="Times New Roman" w:hAnsi="Garamond"/>
                <w:b/>
                <w:bCs/>
                <w:color w:val="000000"/>
                <w:sz w:val="16"/>
                <w:szCs w:val="20"/>
              </w:rPr>
              <w:t>Lloji i taksës</w:t>
            </w:r>
          </w:p>
        </w:tc>
        <w:tc>
          <w:tcPr>
            <w:tcW w:w="1587" w:type="dxa"/>
            <w:vMerge w:val="restart"/>
            <w:shd w:val="clear" w:color="auto" w:fill="D9D9D9" w:themeFill="background1" w:themeFillShade="D9"/>
            <w:vAlign w:val="center"/>
          </w:tcPr>
          <w:p w14:paraId="7F0F00AE" w14:textId="5AD08D85" w:rsidR="00A25CF0" w:rsidRPr="00EE038F" w:rsidRDefault="00A25CF0" w:rsidP="00A25CF0">
            <w:pPr>
              <w:jc w:val="center"/>
              <w:rPr>
                <w:rFonts w:ascii="Garamond" w:eastAsia="Times New Roman" w:hAnsi="Garamond"/>
                <w:b/>
                <w:bCs/>
                <w:color w:val="000000"/>
                <w:sz w:val="16"/>
                <w:szCs w:val="20"/>
              </w:rPr>
            </w:pPr>
            <w:r w:rsidRPr="00EE038F">
              <w:rPr>
                <w:rFonts w:ascii="Garamond" w:eastAsia="Times New Roman" w:hAnsi="Garamond"/>
                <w:b/>
                <w:bCs/>
                <w:color w:val="000000"/>
                <w:sz w:val="16"/>
                <w:szCs w:val="20"/>
              </w:rPr>
              <w:t>Fakt 9M 2024</w:t>
            </w:r>
          </w:p>
        </w:tc>
        <w:tc>
          <w:tcPr>
            <w:tcW w:w="1743" w:type="dxa"/>
            <w:vMerge w:val="restart"/>
            <w:shd w:val="clear" w:color="auto" w:fill="D9D9D9" w:themeFill="background1" w:themeFillShade="D9"/>
            <w:vAlign w:val="center"/>
          </w:tcPr>
          <w:p w14:paraId="7D9A1150" w14:textId="6A12B1FE" w:rsidR="00A25CF0" w:rsidRPr="00EE038F" w:rsidRDefault="00A25CF0" w:rsidP="00A25CF0">
            <w:pPr>
              <w:jc w:val="center"/>
              <w:rPr>
                <w:rFonts w:ascii="Garamond" w:eastAsia="Times New Roman" w:hAnsi="Garamond"/>
                <w:b/>
                <w:bCs/>
                <w:color w:val="000000"/>
                <w:sz w:val="16"/>
                <w:szCs w:val="20"/>
              </w:rPr>
            </w:pPr>
            <w:r w:rsidRPr="00EE038F">
              <w:rPr>
                <w:rFonts w:ascii="Garamond" w:eastAsia="Times New Roman" w:hAnsi="Garamond"/>
                <w:b/>
                <w:bCs/>
                <w:color w:val="000000"/>
                <w:sz w:val="16"/>
                <w:szCs w:val="20"/>
              </w:rPr>
              <w:t>Plan fillestar 9M 2024</w:t>
            </w:r>
          </w:p>
        </w:tc>
        <w:tc>
          <w:tcPr>
            <w:tcW w:w="2726" w:type="dxa"/>
            <w:gridSpan w:val="2"/>
            <w:shd w:val="clear" w:color="auto" w:fill="D9D9D9" w:themeFill="background1" w:themeFillShade="D9"/>
            <w:vAlign w:val="center"/>
          </w:tcPr>
          <w:p w14:paraId="3288581C" w14:textId="08431ACE" w:rsidR="00A25CF0" w:rsidRPr="00EE038F" w:rsidRDefault="00A25CF0" w:rsidP="00A25CF0">
            <w:pPr>
              <w:jc w:val="center"/>
              <w:rPr>
                <w:rFonts w:ascii="Garamond" w:eastAsia="Times New Roman" w:hAnsi="Garamond"/>
                <w:b/>
                <w:bCs/>
                <w:color w:val="000000"/>
                <w:sz w:val="16"/>
                <w:szCs w:val="20"/>
              </w:rPr>
            </w:pPr>
            <w:r w:rsidRPr="00EE038F">
              <w:rPr>
                <w:rFonts w:ascii="Garamond" w:eastAsia="Times New Roman" w:hAnsi="Garamond"/>
                <w:b/>
                <w:bCs/>
                <w:color w:val="000000"/>
                <w:sz w:val="16"/>
                <w:szCs w:val="20"/>
              </w:rPr>
              <w:t>Diferenca fakt/plan fillestar 9M 2024</w:t>
            </w:r>
          </w:p>
        </w:tc>
      </w:tr>
      <w:tr w:rsidR="00A25CF0" w:rsidRPr="00EE038F" w14:paraId="27D075FE" w14:textId="77777777" w:rsidTr="00C25C61">
        <w:trPr>
          <w:trHeight w:val="20"/>
        </w:trPr>
        <w:tc>
          <w:tcPr>
            <w:tcW w:w="2875" w:type="dxa"/>
            <w:vMerge/>
            <w:shd w:val="clear" w:color="auto" w:fill="D9D9D9" w:themeFill="background1" w:themeFillShade="D9"/>
            <w:vAlign w:val="center"/>
          </w:tcPr>
          <w:p w14:paraId="2A2F9BA9" w14:textId="70791274" w:rsidR="00A25CF0" w:rsidRPr="00EE038F" w:rsidRDefault="00A25CF0" w:rsidP="00A25CF0">
            <w:pPr>
              <w:jc w:val="center"/>
              <w:rPr>
                <w:rFonts w:ascii="Garamond" w:eastAsia="Times New Roman" w:hAnsi="Garamond"/>
                <w:bCs/>
                <w:color w:val="000000"/>
                <w:sz w:val="16"/>
                <w:szCs w:val="20"/>
              </w:rPr>
            </w:pPr>
          </w:p>
        </w:tc>
        <w:tc>
          <w:tcPr>
            <w:tcW w:w="1587" w:type="dxa"/>
            <w:vMerge/>
            <w:shd w:val="clear" w:color="auto" w:fill="D9D9D9" w:themeFill="background1" w:themeFillShade="D9"/>
            <w:vAlign w:val="center"/>
          </w:tcPr>
          <w:p w14:paraId="7F737B7B" w14:textId="03AB39AE" w:rsidR="00A25CF0" w:rsidRPr="00EE038F" w:rsidRDefault="00A25CF0" w:rsidP="00A25CF0">
            <w:pPr>
              <w:jc w:val="center"/>
              <w:rPr>
                <w:rFonts w:ascii="Garamond" w:eastAsia="Times New Roman" w:hAnsi="Garamond"/>
                <w:color w:val="000000"/>
                <w:sz w:val="16"/>
                <w:szCs w:val="20"/>
              </w:rPr>
            </w:pPr>
          </w:p>
        </w:tc>
        <w:tc>
          <w:tcPr>
            <w:tcW w:w="1743" w:type="dxa"/>
            <w:vMerge/>
            <w:shd w:val="clear" w:color="auto" w:fill="D9D9D9" w:themeFill="background1" w:themeFillShade="D9"/>
            <w:vAlign w:val="center"/>
          </w:tcPr>
          <w:p w14:paraId="0C551CC4" w14:textId="73C8668A" w:rsidR="00A25CF0" w:rsidRPr="00EE038F" w:rsidRDefault="00A25CF0" w:rsidP="00A25CF0">
            <w:pPr>
              <w:jc w:val="center"/>
              <w:rPr>
                <w:rFonts w:ascii="Garamond" w:eastAsia="Times New Roman" w:hAnsi="Garamond"/>
                <w:color w:val="000000"/>
                <w:sz w:val="16"/>
                <w:szCs w:val="20"/>
              </w:rPr>
            </w:pPr>
          </w:p>
        </w:tc>
        <w:tc>
          <w:tcPr>
            <w:tcW w:w="1998" w:type="dxa"/>
            <w:shd w:val="clear" w:color="auto" w:fill="D9D9D9" w:themeFill="background1" w:themeFillShade="D9"/>
            <w:vAlign w:val="center"/>
          </w:tcPr>
          <w:p w14:paraId="383D4114" w14:textId="6F88C161" w:rsidR="00A25CF0" w:rsidRPr="00EE038F" w:rsidRDefault="00A25CF0" w:rsidP="00A25CF0">
            <w:pPr>
              <w:jc w:val="center"/>
              <w:rPr>
                <w:rFonts w:ascii="Garamond" w:eastAsia="Times New Roman" w:hAnsi="Garamond"/>
                <w:color w:val="000000"/>
                <w:sz w:val="16"/>
                <w:szCs w:val="20"/>
              </w:rPr>
            </w:pPr>
            <w:r w:rsidRPr="00EE038F">
              <w:rPr>
                <w:rFonts w:ascii="Garamond" w:eastAsia="Times New Roman" w:hAnsi="Garamond"/>
                <w:b/>
                <w:bCs/>
                <w:color w:val="000000"/>
                <w:sz w:val="16"/>
                <w:szCs w:val="20"/>
              </w:rPr>
              <w:t>vlera</w:t>
            </w:r>
          </w:p>
        </w:tc>
        <w:tc>
          <w:tcPr>
            <w:tcW w:w="728" w:type="dxa"/>
            <w:shd w:val="clear" w:color="auto" w:fill="D9D9D9" w:themeFill="background1" w:themeFillShade="D9"/>
            <w:vAlign w:val="center"/>
          </w:tcPr>
          <w:p w14:paraId="20F666BF" w14:textId="1869769B" w:rsidR="00A25CF0" w:rsidRPr="00EE038F" w:rsidRDefault="00A25CF0" w:rsidP="00A25CF0">
            <w:pPr>
              <w:jc w:val="center"/>
              <w:rPr>
                <w:rFonts w:ascii="Garamond" w:eastAsia="Times New Roman" w:hAnsi="Garamond"/>
                <w:color w:val="000000"/>
                <w:sz w:val="16"/>
                <w:szCs w:val="20"/>
              </w:rPr>
            </w:pPr>
            <w:r w:rsidRPr="00EE038F">
              <w:rPr>
                <w:rFonts w:ascii="Garamond" w:eastAsia="Times New Roman" w:hAnsi="Garamond"/>
                <w:b/>
                <w:bCs/>
                <w:color w:val="000000"/>
                <w:sz w:val="16"/>
                <w:szCs w:val="20"/>
              </w:rPr>
              <w:t>%</w:t>
            </w:r>
          </w:p>
        </w:tc>
      </w:tr>
      <w:tr w:rsidR="00C50585" w:rsidRPr="00EE038F" w14:paraId="2418EF41" w14:textId="77777777" w:rsidTr="00A25CF0">
        <w:trPr>
          <w:trHeight w:val="20"/>
        </w:trPr>
        <w:tc>
          <w:tcPr>
            <w:tcW w:w="2875" w:type="dxa"/>
            <w:hideMark/>
          </w:tcPr>
          <w:p w14:paraId="1CFBEE1A" w14:textId="77777777" w:rsidR="00C50585" w:rsidRPr="00EE038F" w:rsidRDefault="00C50585" w:rsidP="003B68AC">
            <w:pPr>
              <w:jc w:val="both"/>
              <w:rPr>
                <w:rFonts w:ascii="Garamond" w:eastAsia="Times New Roman" w:hAnsi="Garamond"/>
                <w:bCs/>
                <w:color w:val="000000"/>
                <w:sz w:val="16"/>
                <w:szCs w:val="20"/>
              </w:rPr>
            </w:pPr>
            <w:r w:rsidRPr="00EE038F">
              <w:rPr>
                <w:rFonts w:ascii="Garamond" w:eastAsia="Times New Roman" w:hAnsi="Garamond"/>
                <w:bCs/>
                <w:color w:val="000000"/>
                <w:sz w:val="16"/>
                <w:szCs w:val="20"/>
              </w:rPr>
              <w:t>Totali i TVSH-së neto</w:t>
            </w:r>
          </w:p>
        </w:tc>
        <w:tc>
          <w:tcPr>
            <w:tcW w:w="1587" w:type="dxa"/>
            <w:hideMark/>
          </w:tcPr>
          <w:p w14:paraId="07EA0D47"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158,155</w:t>
            </w:r>
          </w:p>
        </w:tc>
        <w:tc>
          <w:tcPr>
            <w:tcW w:w="1743" w:type="dxa"/>
            <w:hideMark/>
          </w:tcPr>
          <w:p w14:paraId="390C0841"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157,785</w:t>
            </w:r>
          </w:p>
        </w:tc>
        <w:tc>
          <w:tcPr>
            <w:tcW w:w="1998" w:type="dxa"/>
            <w:hideMark/>
          </w:tcPr>
          <w:p w14:paraId="1DA56694"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370</w:t>
            </w:r>
          </w:p>
        </w:tc>
        <w:tc>
          <w:tcPr>
            <w:tcW w:w="728" w:type="dxa"/>
            <w:hideMark/>
          </w:tcPr>
          <w:p w14:paraId="6D5D01BF"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0.2%</w:t>
            </w:r>
          </w:p>
        </w:tc>
      </w:tr>
      <w:tr w:rsidR="00C50585" w:rsidRPr="00EE038F" w14:paraId="41EFCA25" w14:textId="77777777" w:rsidTr="00A25CF0">
        <w:trPr>
          <w:trHeight w:val="20"/>
        </w:trPr>
        <w:tc>
          <w:tcPr>
            <w:tcW w:w="2875" w:type="dxa"/>
            <w:hideMark/>
          </w:tcPr>
          <w:p w14:paraId="6B9F559F" w14:textId="77777777" w:rsidR="00C50585" w:rsidRPr="00EE038F" w:rsidRDefault="00C50585" w:rsidP="003B68AC">
            <w:pPr>
              <w:jc w:val="both"/>
              <w:rPr>
                <w:rFonts w:ascii="Garamond" w:eastAsia="Times New Roman" w:hAnsi="Garamond"/>
                <w:bCs/>
                <w:color w:val="000000"/>
                <w:sz w:val="16"/>
                <w:szCs w:val="20"/>
              </w:rPr>
            </w:pPr>
            <w:r w:rsidRPr="00EE038F">
              <w:rPr>
                <w:rFonts w:ascii="Garamond" w:eastAsia="Times New Roman" w:hAnsi="Garamond"/>
                <w:bCs/>
                <w:color w:val="000000"/>
                <w:sz w:val="16"/>
                <w:szCs w:val="20"/>
              </w:rPr>
              <w:t>Tatimi mbi fitimin</w:t>
            </w:r>
          </w:p>
        </w:tc>
        <w:tc>
          <w:tcPr>
            <w:tcW w:w="1587" w:type="dxa"/>
            <w:hideMark/>
          </w:tcPr>
          <w:p w14:paraId="5AA499C4"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43,364</w:t>
            </w:r>
          </w:p>
        </w:tc>
        <w:tc>
          <w:tcPr>
            <w:tcW w:w="1743" w:type="dxa"/>
            <w:hideMark/>
          </w:tcPr>
          <w:p w14:paraId="77ABC858"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39,210</w:t>
            </w:r>
          </w:p>
        </w:tc>
        <w:tc>
          <w:tcPr>
            <w:tcW w:w="1998" w:type="dxa"/>
            <w:hideMark/>
          </w:tcPr>
          <w:p w14:paraId="1431D780"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4,154</w:t>
            </w:r>
          </w:p>
        </w:tc>
        <w:tc>
          <w:tcPr>
            <w:tcW w:w="728" w:type="dxa"/>
            <w:hideMark/>
          </w:tcPr>
          <w:p w14:paraId="572502F8"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10.6%</w:t>
            </w:r>
          </w:p>
        </w:tc>
      </w:tr>
      <w:tr w:rsidR="00C50585" w:rsidRPr="00EE038F" w14:paraId="65F01DC3" w14:textId="77777777" w:rsidTr="00A25CF0">
        <w:trPr>
          <w:trHeight w:val="20"/>
        </w:trPr>
        <w:tc>
          <w:tcPr>
            <w:tcW w:w="2875" w:type="dxa"/>
            <w:hideMark/>
          </w:tcPr>
          <w:p w14:paraId="272AD66B" w14:textId="77777777" w:rsidR="00C50585" w:rsidRPr="00EE038F" w:rsidRDefault="00C50585" w:rsidP="003B68AC">
            <w:pPr>
              <w:jc w:val="both"/>
              <w:rPr>
                <w:rFonts w:ascii="Garamond" w:eastAsia="Times New Roman" w:hAnsi="Garamond"/>
                <w:bCs/>
                <w:color w:val="000000"/>
                <w:sz w:val="16"/>
                <w:szCs w:val="20"/>
              </w:rPr>
            </w:pPr>
            <w:r w:rsidRPr="00EE038F">
              <w:rPr>
                <w:rFonts w:ascii="Garamond" w:eastAsia="Times New Roman" w:hAnsi="Garamond"/>
                <w:bCs/>
                <w:color w:val="000000"/>
                <w:sz w:val="16"/>
                <w:szCs w:val="20"/>
              </w:rPr>
              <w:t>Akciza</w:t>
            </w:r>
          </w:p>
        </w:tc>
        <w:tc>
          <w:tcPr>
            <w:tcW w:w="1587" w:type="dxa"/>
            <w:hideMark/>
          </w:tcPr>
          <w:p w14:paraId="31708CB5"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47,206</w:t>
            </w:r>
          </w:p>
        </w:tc>
        <w:tc>
          <w:tcPr>
            <w:tcW w:w="1743" w:type="dxa"/>
            <w:hideMark/>
          </w:tcPr>
          <w:p w14:paraId="45D2BA52"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46,960</w:t>
            </w:r>
          </w:p>
        </w:tc>
        <w:tc>
          <w:tcPr>
            <w:tcW w:w="1998" w:type="dxa"/>
            <w:hideMark/>
          </w:tcPr>
          <w:p w14:paraId="4042A8F7"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246</w:t>
            </w:r>
          </w:p>
        </w:tc>
        <w:tc>
          <w:tcPr>
            <w:tcW w:w="728" w:type="dxa"/>
            <w:hideMark/>
          </w:tcPr>
          <w:p w14:paraId="5858E904"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0.5%</w:t>
            </w:r>
          </w:p>
        </w:tc>
      </w:tr>
      <w:tr w:rsidR="00C50585" w:rsidRPr="00EE038F" w14:paraId="2FE422D9" w14:textId="77777777" w:rsidTr="00A25CF0">
        <w:trPr>
          <w:trHeight w:val="20"/>
        </w:trPr>
        <w:tc>
          <w:tcPr>
            <w:tcW w:w="2875" w:type="dxa"/>
            <w:hideMark/>
          </w:tcPr>
          <w:p w14:paraId="47B29D7A" w14:textId="65C1389D" w:rsidR="00C50585" w:rsidRPr="00EE038F" w:rsidRDefault="00C50585" w:rsidP="003B68AC">
            <w:pPr>
              <w:jc w:val="both"/>
              <w:rPr>
                <w:rFonts w:ascii="Garamond" w:eastAsia="Times New Roman" w:hAnsi="Garamond"/>
                <w:bCs/>
                <w:color w:val="000000"/>
                <w:sz w:val="16"/>
                <w:szCs w:val="20"/>
              </w:rPr>
            </w:pPr>
            <w:r w:rsidRPr="00EE038F">
              <w:rPr>
                <w:rFonts w:ascii="Garamond" w:eastAsia="Times New Roman" w:hAnsi="Garamond"/>
                <w:bCs/>
                <w:color w:val="000000"/>
                <w:sz w:val="16"/>
                <w:szCs w:val="20"/>
              </w:rPr>
              <w:t xml:space="preserve">Tatimi mbi të </w:t>
            </w:r>
            <w:r w:rsidR="00EE1E67" w:rsidRPr="00EE038F">
              <w:rPr>
                <w:rFonts w:ascii="Garamond" w:eastAsia="Times New Roman" w:hAnsi="Garamond"/>
                <w:bCs/>
                <w:color w:val="000000"/>
                <w:sz w:val="16"/>
                <w:szCs w:val="20"/>
              </w:rPr>
              <w:t>ardhurat personale</w:t>
            </w:r>
          </w:p>
        </w:tc>
        <w:tc>
          <w:tcPr>
            <w:tcW w:w="1587" w:type="dxa"/>
            <w:hideMark/>
          </w:tcPr>
          <w:p w14:paraId="2A5030C8"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49,825</w:t>
            </w:r>
          </w:p>
        </w:tc>
        <w:tc>
          <w:tcPr>
            <w:tcW w:w="1743" w:type="dxa"/>
            <w:hideMark/>
          </w:tcPr>
          <w:p w14:paraId="616C2BDD"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49,357</w:t>
            </w:r>
          </w:p>
        </w:tc>
        <w:tc>
          <w:tcPr>
            <w:tcW w:w="1998" w:type="dxa"/>
            <w:hideMark/>
          </w:tcPr>
          <w:p w14:paraId="0DDBBADE"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468</w:t>
            </w:r>
          </w:p>
        </w:tc>
        <w:tc>
          <w:tcPr>
            <w:tcW w:w="728" w:type="dxa"/>
            <w:hideMark/>
          </w:tcPr>
          <w:p w14:paraId="419C9A9C"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0.9%</w:t>
            </w:r>
          </w:p>
        </w:tc>
      </w:tr>
      <w:tr w:rsidR="00C50585" w:rsidRPr="00EE038F" w14:paraId="3BDFFD1D" w14:textId="77777777" w:rsidTr="00A25CF0">
        <w:trPr>
          <w:trHeight w:val="20"/>
        </w:trPr>
        <w:tc>
          <w:tcPr>
            <w:tcW w:w="2875" w:type="dxa"/>
            <w:hideMark/>
          </w:tcPr>
          <w:p w14:paraId="5E199FF1" w14:textId="350F53F0" w:rsidR="00C50585" w:rsidRPr="00EE038F" w:rsidRDefault="00C50585" w:rsidP="003B68AC">
            <w:pPr>
              <w:jc w:val="both"/>
              <w:rPr>
                <w:rFonts w:ascii="Garamond" w:eastAsia="Times New Roman" w:hAnsi="Garamond"/>
                <w:bCs/>
                <w:color w:val="000000"/>
                <w:sz w:val="16"/>
                <w:szCs w:val="20"/>
              </w:rPr>
            </w:pPr>
            <w:r w:rsidRPr="00EE038F">
              <w:rPr>
                <w:rFonts w:ascii="Garamond" w:eastAsia="Times New Roman" w:hAnsi="Garamond"/>
                <w:bCs/>
                <w:color w:val="000000"/>
                <w:sz w:val="16"/>
                <w:szCs w:val="20"/>
              </w:rPr>
              <w:t xml:space="preserve">Taksat </w:t>
            </w:r>
            <w:r w:rsidR="00EE1E67" w:rsidRPr="00EE038F">
              <w:rPr>
                <w:rFonts w:ascii="Garamond" w:eastAsia="Times New Roman" w:hAnsi="Garamond"/>
                <w:bCs/>
                <w:color w:val="000000"/>
                <w:sz w:val="16"/>
                <w:szCs w:val="20"/>
              </w:rPr>
              <w:t>kombëtare</w:t>
            </w:r>
          </w:p>
        </w:tc>
        <w:tc>
          <w:tcPr>
            <w:tcW w:w="1587" w:type="dxa"/>
            <w:hideMark/>
          </w:tcPr>
          <w:p w14:paraId="1819DAD6"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36,585</w:t>
            </w:r>
          </w:p>
        </w:tc>
        <w:tc>
          <w:tcPr>
            <w:tcW w:w="1743" w:type="dxa"/>
            <w:hideMark/>
          </w:tcPr>
          <w:p w14:paraId="32ED0801"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33,501</w:t>
            </w:r>
          </w:p>
        </w:tc>
        <w:tc>
          <w:tcPr>
            <w:tcW w:w="1998" w:type="dxa"/>
            <w:hideMark/>
          </w:tcPr>
          <w:p w14:paraId="4A58D40C"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3,084</w:t>
            </w:r>
          </w:p>
        </w:tc>
        <w:tc>
          <w:tcPr>
            <w:tcW w:w="728" w:type="dxa"/>
            <w:hideMark/>
          </w:tcPr>
          <w:p w14:paraId="4CCBA75A"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9.2%</w:t>
            </w:r>
          </w:p>
        </w:tc>
      </w:tr>
      <w:tr w:rsidR="00C50585" w:rsidRPr="00EE038F" w14:paraId="20573584" w14:textId="77777777" w:rsidTr="00A25CF0">
        <w:trPr>
          <w:trHeight w:val="20"/>
        </w:trPr>
        <w:tc>
          <w:tcPr>
            <w:tcW w:w="2875" w:type="dxa"/>
            <w:hideMark/>
          </w:tcPr>
          <w:p w14:paraId="1AFE1E13" w14:textId="6832523E" w:rsidR="00C50585" w:rsidRPr="00EE038F" w:rsidRDefault="00C50585" w:rsidP="003B68AC">
            <w:pPr>
              <w:jc w:val="both"/>
              <w:rPr>
                <w:rFonts w:ascii="Garamond" w:eastAsia="Times New Roman" w:hAnsi="Garamond"/>
                <w:bCs/>
                <w:color w:val="000000"/>
                <w:sz w:val="16"/>
                <w:szCs w:val="20"/>
              </w:rPr>
            </w:pPr>
            <w:r w:rsidRPr="00EE038F">
              <w:rPr>
                <w:rFonts w:ascii="Garamond" w:eastAsia="Times New Roman" w:hAnsi="Garamond"/>
                <w:bCs/>
                <w:color w:val="000000"/>
                <w:sz w:val="16"/>
                <w:szCs w:val="20"/>
              </w:rPr>
              <w:t xml:space="preserve">Taksa </w:t>
            </w:r>
            <w:r w:rsidR="00EE1E67" w:rsidRPr="00EE038F">
              <w:rPr>
                <w:rFonts w:ascii="Garamond" w:eastAsia="Times New Roman" w:hAnsi="Garamond"/>
                <w:bCs/>
                <w:color w:val="000000"/>
                <w:sz w:val="16"/>
                <w:szCs w:val="20"/>
              </w:rPr>
              <w:t>doganore</w:t>
            </w:r>
          </w:p>
        </w:tc>
        <w:tc>
          <w:tcPr>
            <w:tcW w:w="1587" w:type="dxa"/>
            <w:hideMark/>
          </w:tcPr>
          <w:p w14:paraId="21D47EE5"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6,651</w:t>
            </w:r>
          </w:p>
        </w:tc>
        <w:tc>
          <w:tcPr>
            <w:tcW w:w="1743" w:type="dxa"/>
            <w:hideMark/>
          </w:tcPr>
          <w:p w14:paraId="7014CF4F"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6,618</w:t>
            </w:r>
          </w:p>
        </w:tc>
        <w:tc>
          <w:tcPr>
            <w:tcW w:w="1998" w:type="dxa"/>
            <w:hideMark/>
          </w:tcPr>
          <w:p w14:paraId="69620BC6"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33</w:t>
            </w:r>
          </w:p>
        </w:tc>
        <w:tc>
          <w:tcPr>
            <w:tcW w:w="728" w:type="dxa"/>
            <w:hideMark/>
          </w:tcPr>
          <w:p w14:paraId="716A915B"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0.5%</w:t>
            </w:r>
          </w:p>
        </w:tc>
      </w:tr>
      <w:tr w:rsidR="00C50585" w:rsidRPr="00EE038F" w14:paraId="493BDD76" w14:textId="77777777" w:rsidTr="00A25CF0">
        <w:trPr>
          <w:trHeight w:val="20"/>
        </w:trPr>
        <w:tc>
          <w:tcPr>
            <w:tcW w:w="2875" w:type="dxa"/>
            <w:hideMark/>
          </w:tcPr>
          <w:p w14:paraId="4CACBA55" w14:textId="0DDCB648" w:rsidR="00C50585" w:rsidRPr="00EE038F" w:rsidRDefault="00C50585" w:rsidP="003B68AC">
            <w:pPr>
              <w:jc w:val="both"/>
              <w:rPr>
                <w:rFonts w:ascii="Garamond" w:eastAsia="Times New Roman" w:hAnsi="Garamond"/>
                <w:b/>
                <w:bCs/>
                <w:color w:val="000000"/>
                <w:sz w:val="16"/>
                <w:szCs w:val="20"/>
              </w:rPr>
            </w:pPr>
            <w:r w:rsidRPr="00EE038F">
              <w:rPr>
                <w:rFonts w:ascii="Garamond" w:eastAsia="Times New Roman" w:hAnsi="Garamond"/>
                <w:b/>
                <w:bCs/>
                <w:color w:val="000000"/>
                <w:sz w:val="16"/>
                <w:szCs w:val="20"/>
              </w:rPr>
              <w:t>TOTALI</w:t>
            </w:r>
            <w:r w:rsidR="00EE1E67" w:rsidRPr="00EE038F">
              <w:rPr>
                <w:rFonts w:ascii="Garamond" w:eastAsia="Times New Roman" w:hAnsi="Garamond"/>
                <w:b/>
                <w:bCs/>
                <w:color w:val="000000"/>
                <w:sz w:val="16"/>
                <w:szCs w:val="20"/>
              </w:rPr>
              <w:t>:</w:t>
            </w:r>
            <w:r w:rsidRPr="00EE038F">
              <w:rPr>
                <w:rFonts w:ascii="Garamond" w:eastAsia="Times New Roman" w:hAnsi="Garamond"/>
                <w:b/>
                <w:bCs/>
                <w:color w:val="000000"/>
                <w:sz w:val="16"/>
                <w:szCs w:val="20"/>
              </w:rPr>
              <w:t xml:space="preserve"> </w:t>
            </w:r>
            <w:r w:rsidR="00EE1E67" w:rsidRPr="00EE038F">
              <w:rPr>
                <w:rFonts w:ascii="Garamond" w:eastAsia="Times New Roman" w:hAnsi="Garamond"/>
                <w:b/>
                <w:bCs/>
                <w:color w:val="000000"/>
                <w:sz w:val="16"/>
                <w:szCs w:val="20"/>
              </w:rPr>
              <w:t>tatime + dogana pa kontribute</w:t>
            </w:r>
          </w:p>
        </w:tc>
        <w:tc>
          <w:tcPr>
            <w:tcW w:w="1587" w:type="dxa"/>
            <w:hideMark/>
          </w:tcPr>
          <w:p w14:paraId="19751D42" w14:textId="77777777" w:rsidR="00C50585" w:rsidRPr="00EE038F" w:rsidRDefault="00C50585" w:rsidP="00EE1E67">
            <w:pPr>
              <w:jc w:val="right"/>
              <w:rPr>
                <w:rFonts w:ascii="Garamond" w:eastAsia="Times New Roman" w:hAnsi="Garamond"/>
                <w:b/>
                <w:bCs/>
                <w:color w:val="000000"/>
                <w:sz w:val="16"/>
                <w:szCs w:val="20"/>
              </w:rPr>
            </w:pPr>
            <w:r w:rsidRPr="00EE038F">
              <w:rPr>
                <w:rFonts w:ascii="Garamond" w:eastAsia="Times New Roman" w:hAnsi="Garamond"/>
                <w:b/>
                <w:bCs/>
                <w:color w:val="000000"/>
                <w:sz w:val="16"/>
                <w:szCs w:val="20"/>
              </w:rPr>
              <w:t>341,786</w:t>
            </w:r>
          </w:p>
        </w:tc>
        <w:tc>
          <w:tcPr>
            <w:tcW w:w="1743" w:type="dxa"/>
            <w:hideMark/>
          </w:tcPr>
          <w:p w14:paraId="3CF0204E" w14:textId="77777777" w:rsidR="00C50585" w:rsidRPr="00EE038F" w:rsidRDefault="00C50585" w:rsidP="00EE1E67">
            <w:pPr>
              <w:jc w:val="right"/>
              <w:rPr>
                <w:rFonts w:ascii="Garamond" w:eastAsia="Times New Roman" w:hAnsi="Garamond"/>
                <w:b/>
                <w:bCs/>
                <w:color w:val="000000"/>
                <w:sz w:val="16"/>
                <w:szCs w:val="20"/>
              </w:rPr>
            </w:pPr>
            <w:r w:rsidRPr="00EE038F">
              <w:rPr>
                <w:rFonts w:ascii="Garamond" w:eastAsia="Times New Roman" w:hAnsi="Garamond"/>
                <w:b/>
                <w:bCs/>
                <w:color w:val="000000"/>
                <w:sz w:val="16"/>
                <w:szCs w:val="20"/>
              </w:rPr>
              <w:t>333,431</w:t>
            </w:r>
          </w:p>
        </w:tc>
        <w:tc>
          <w:tcPr>
            <w:tcW w:w="1998" w:type="dxa"/>
            <w:hideMark/>
          </w:tcPr>
          <w:p w14:paraId="63141412" w14:textId="77777777" w:rsidR="00C50585" w:rsidRPr="00EE038F" w:rsidRDefault="00C50585" w:rsidP="00EE1E67">
            <w:pPr>
              <w:jc w:val="right"/>
              <w:rPr>
                <w:rFonts w:ascii="Garamond" w:eastAsia="Times New Roman" w:hAnsi="Garamond"/>
                <w:b/>
                <w:bCs/>
                <w:color w:val="000000"/>
                <w:sz w:val="16"/>
                <w:szCs w:val="20"/>
              </w:rPr>
            </w:pPr>
            <w:r w:rsidRPr="00EE038F">
              <w:rPr>
                <w:rFonts w:ascii="Garamond" w:eastAsia="Times New Roman" w:hAnsi="Garamond"/>
                <w:b/>
                <w:bCs/>
                <w:color w:val="000000"/>
                <w:sz w:val="16"/>
                <w:szCs w:val="20"/>
              </w:rPr>
              <w:t>8,355</w:t>
            </w:r>
          </w:p>
        </w:tc>
        <w:tc>
          <w:tcPr>
            <w:tcW w:w="728" w:type="dxa"/>
            <w:hideMark/>
          </w:tcPr>
          <w:p w14:paraId="1452D82C"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2.5%</w:t>
            </w:r>
          </w:p>
        </w:tc>
      </w:tr>
      <w:tr w:rsidR="00C50585" w:rsidRPr="00EE038F" w14:paraId="4AE7745E" w14:textId="77777777" w:rsidTr="00A25CF0">
        <w:trPr>
          <w:trHeight w:val="20"/>
        </w:trPr>
        <w:tc>
          <w:tcPr>
            <w:tcW w:w="2875" w:type="dxa"/>
            <w:hideMark/>
          </w:tcPr>
          <w:p w14:paraId="18ABCAAA" w14:textId="0C51F9A2" w:rsidR="00C50585" w:rsidRPr="00EE038F" w:rsidRDefault="00C50585" w:rsidP="003B68AC">
            <w:pPr>
              <w:jc w:val="both"/>
              <w:rPr>
                <w:rFonts w:ascii="Garamond" w:eastAsia="Times New Roman" w:hAnsi="Garamond"/>
                <w:bCs/>
                <w:color w:val="000000"/>
                <w:sz w:val="16"/>
                <w:szCs w:val="20"/>
              </w:rPr>
            </w:pPr>
            <w:r w:rsidRPr="00EE038F">
              <w:rPr>
                <w:rFonts w:ascii="Garamond" w:eastAsia="Times New Roman" w:hAnsi="Garamond"/>
                <w:bCs/>
                <w:color w:val="000000"/>
                <w:sz w:val="16"/>
                <w:szCs w:val="20"/>
              </w:rPr>
              <w:t>Kontributet e mbledhura DPT,</w:t>
            </w:r>
            <w:r w:rsidR="00EE1E67" w:rsidRPr="00EE038F">
              <w:rPr>
                <w:rFonts w:ascii="Garamond" w:eastAsia="Times New Roman" w:hAnsi="Garamond"/>
                <w:bCs/>
                <w:color w:val="000000"/>
                <w:sz w:val="16"/>
                <w:szCs w:val="20"/>
              </w:rPr>
              <w:t xml:space="preserve"> </w:t>
            </w:r>
            <w:r w:rsidRPr="00EE038F">
              <w:rPr>
                <w:rFonts w:ascii="Garamond" w:eastAsia="Times New Roman" w:hAnsi="Garamond"/>
                <w:bCs/>
                <w:color w:val="000000"/>
                <w:sz w:val="16"/>
                <w:szCs w:val="20"/>
              </w:rPr>
              <w:t>ISSH,</w:t>
            </w:r>
            <w:r w:rsidR="00EE1E67" w:rsidRPr="00EE038F">
              <w:rPr>
                <w:rFonts w:ascii="Garamond" w:eastAsia="Times New Roman" w:hAnsi="Garamond"/>
                <w:bCs/>
                <w:color w:val="000000"/>
                <w:sz w:val="16"/>
                <w:szCs w:val="20"/>
              </w:rPr>
              <w:t xml:space="preserve"> </w:t>
            </w:r>
            <w:r w:rsidRPr="00EE038F">
              <w:rPr>
                <w:rFonts w:ascii="Garamond" w:eastAsia="Times New Roman" w:hAnsi="Garamond"/>
                <w:bCs/>
                <w:color w:val="000000"/>
                <w:sz w:val="16"/>
                <w:szCs w:val="20"/>
              </w:rPr>
              <w:t>FSDKSH</w:t>
            </w:r>
          </w:p>
        </w:tc>
        <w:tc>
          <w:tcPr>
            <w:tcW w:w="1587" w:type="dxa"/>
            <w:hideMark/>
          </w:tcPr>
          <w:p w14:paraId="118AAA96"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118,333</w:t>
            </w:r>
          </w:p>
        </w:tc>
        <w:tc>
          <w:tcPr>
            <w:tcW w:w="1743" w:type="dxa"/>
            <w:hideMark/>
          </w:tcPr>
          <w:p w14:paraId="0FBEF345"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115,781</w:t>
            </w:r>
          </w:p>
        </w:tc>
        <w:tc>
          <w:tcPr>
            <w:tcW w:w="1998" w:type="dxa"/>
            <w:hideMark/>
          </w:tcPr>
          <w:p w14:paraId="2B874914" w14:textId="77777777" w:rsidR="00C50585" w:rsidRPr="00EE038F" w:rsidRDefault="00C50585" w:rsidP="00EE1E67">
            <w:pPr>
              <w:jc w:val="right"/>
              <w:rPr>
                <w:rFonts w:ascii="Garamond" w:eastAsia="Times New Roman" w:hAnsi="Garamond"/>
                <w:b/>
                <w:bCs/>
                <w:color w:val="000000"/>
                <w:sz w:val="16"/>
                <w:szCs w:val="20"/>
              </w:rPr>
            </w:pPr>
            <w:r w:rsidRPr="00EE038F">
              <w:rPr>
                <w:rFonts w:ascii="Garamond" w:eastAsia="Times New Roman" w:hAnsi="Garamond"/>
                <w:b/>
                <w:bCs/>
                <w:color w:val="000000"/>
                <w:sz w:val="16"/>
                <w:szCs w:val="20"/>
              </w:rPr>
              <w:t>2,552</w:t>
            </w:r>
          </w:p>
        </w:tc>
        <w:tc>
          <w:tcPr>
            <w:tcW w:w="728" w:type="dxa"/>
            <w:hideMark/>
          </w:tcPr>
          <w:p w14:paraId="000B41C9" w14:textId="77777777" w:rsidR="00C50585" w:rsidRPr="00EE038F" w:rsidRDefault="00C50585" w:rsidP="00EE1E67">
            <w:pPr>
              <w:jc w:val="right"/>
              <w:rPr>
                <w:rFonts w:ascii="Garamond" w:eastAsia="Times New Roman" w:hAnsi="Garamond"/>
                <w:color w:val="000000"/>
                <w:sz w:val="16"/>
                <w:szCs w:val="20"/>
              </w:rPr>
            </w:pPr>
            <w:r w:rsidRPr="00EE038F">
              <w:rPr>
                <w:rFonts w:ascii="Garamond" w:eastAsia="Times New Roman" w:hAnsi="Garamond"/>
                <w:color w:val="000000"/>
                <w:sz w:val="16"/>
                <w:szCs w:val="20"/>
              </w:rPr>
              <w:t>2.2%</w:t>
            </w:r>
          </w:p>
        </w:tc>
      </w:tr>
      <w:tr w:rsidR="00C50585" w:rsidRPr="00EE038F" w14:paraId="1E9D02D9" w14:textId="77777777" w:rsidTr="00A25CF0">
        <w:trPr>
          <w:trHeight w:val="20"/>
        </w:trPr>
        <w:tc>
          <w:tcPr>
            <w:tcW w:w="2875" w:type="dxa"/>
            <w:hideMark/>
          </w:tcPr>
          <w:p w14:paraId="2C680468" w14:textId="344AA550" w:rsidR="00C50585" w:rsidRPr="00EE038F" w:rsidRDefault="00C50585" w:rsidP="003B68AC">
            <w:pPr>
              <w:jc w:val="both"/>
              <w:rPr>
                <w:rFonts w:ascii="Garamond" w:eastAsia="Times New Roman" w:hAnsi="Garamond"/>
                <w:b/>
                <w:bCs/>
                <w:color w:val="000000"/>
                <w:sz w:val="16"/>
                <w:szCs w:val="20"/>
              </w:rPr>
            </w:pPr>
            <w:r w:rsidRPr="00EE038F">
              <w:rPr>
                <w:rFonts w:ascii="Garamond" w:eastAsia="Times New Roman" w:hAnsi="Garamond"/>
                <w:b/>
                <w:bCs/>
                <w:color w:val="000000"/>
                <w:sz w:val="16"/>
                <w:szCs w:val="20"/>
              </w:rPr>
              <w:t>TOTALI</w:t>
            </w:r>
            <w:r w:rsidR="00EE1E67" w:rsidRPr="00EE038F">
              <w:rPr>
                <w:rFonts w:ascii="Garamond" w:eastAsia="Times New Roman" w:hAnsi="Garamond"/>
                <w:b/>
                <w:bCs/>
                <w:color w:val="000000"/>
                <w:sz w:val="16"/>
                <w:szCs w:val="20"/>
              </w:rPr>
              <w:t>:</w:t>
            </w:r>
            <w:r w:rsidRPr="00EE038F">
              <w:rPr>
                <w:rFonts w:ascii="Garamond" w:eastAsia="Times New Roman" w:hAnsi="Garamond"/>
                <w:b/>
                <w:bCs/>
                <w:color w:val="000000"/>
                <w:sz w:val="16"/>
                <w:szCs w:val="20"/>
              </w:rPr>
              <w:t xml:space="preserve"> DPD + DPT +(</w:t>
            </w:r>
            <w:r w:rsidR="00EE1E67" w:rsidRPr="00EE038F">
              <w:rPr>
                <w:rFonts w:ascii="Garamond" w:eastAsia="Times New Roman" w:hAnsi="Garamond"/>
                <w:b/>
                <w:bCs/>
                <w:color w:val="000000"/>
                <w:sz w:val="16"/>
                <w:szCs w:val="20"/>
              </w:rPr>
              <w:t>kontribute</w:t>
            </w:r>
            <w:r w:rsidRPr="00EE038F">
              <w:rPr>
                <w:rFonts w:ascii="Garamond" w:eastAsia="Times New Roman" w:hAnsi="Garamond"/>
                <w:b/>
                <w:bCs/>
                <w:color w:val="000000"/>
                <w:sz w:val="16"/>
                <w:szCs w:val="20"/>
              </w:rPr>
              <w:t>)</w:t>
            </w:r>
          </w:p>
        </w:tc>
        <w:tc>
          <w:tcPr>
            <w:tcW w:w="1587" w:type="dxa"/>
            <w:hideMark/>
          </w:tcPr>
          <w:p w14:paraId="2D7DCB1F" w14:textId="77777777" w:rsidR="00C50585" w:rsidRPr="00EE038F" w:rsidRDefault="00C50585" w:rsidP="00EE1E67">
            <w:pPr>
              <w:jc w:val="right"/>
              <w:rPr>
                <w:rFonts w:ascii="Garamond" w:eastAsia="Times New Roman" w:hAnsi="Garamond"/>
                <w:b/>
                <w:bCs/>
                <w:color w:val="000000"/>
                <w:sz w:val="16"/>
                <w:szCs w:val="20"/>
              </w:rPr>
            </w:pPr>
            <w:r w:rsidRPr="00EE038F">
              <w:rPr>
                <w:rFonts w:ascii="Garamond" w:eastAsia="Times New Roman" w:hAnsi="Garamond"/>
                <w:b/>
                <w:bCs/>
                <w:color w:val="000000"/>
                <w:sz w:val="16"/>
                <w:szCs w:val="20"/>
              </w:rPr>
              <w:t>460,120</w:t>
            </w:r>
          </w:p>
        </w:tc>
        <w:tc>
          <w:tcPr>
            <w:tcW w:w="1743" w:type="dxa"/>
            <w:hideMark/>
          </w:tcPr>
          <w:p w14:paraId="4DE626B9" w14:textId="77777777" w:rsidR="00C50585" w:rsidRPr="00EE038F" w:rsidRDefault="00C50585" w:rsidP="00EE1E67">
            <w:pPr>
              <w:jc w:val="right"/>
              <w:rPr>
                <w:rFonts w:ascii="Garamond" w:eastAsia="Times New Roman" w:hAnsi="Garamond"/>
                <w:b/>
                <w:bCs/>
                <w:color w:val="000000"/>
                <w:sz w:val="16"/>
                <w:szCs w:val="20"/>
              </w:rPr>
            </w:pPr>
            <w:r w:rsidRPr="00EE038F">
              <w:rPr>
                <w:rFonts w:ascii="Garamond" w:eastAsia="Times New Roman" w:hAnsi="Garamond"/>
                <w:b/>
                <w:bCs/>
                <w:color w:val="000000"/>
                <w:sz w:val="16"/>
                <w:szCs w:val="20"/>
              </w:rPr>
              <w:t>449,212</w:t>
            </w:r>
          </w:p>
        </w:tc>
        <w:tc>
          <w:tcPr>
            <w:tcW w:w="1998" w:type="dxa"/>
            <w:hideMark/>
          </w:tcPr>
          <w:p w14:paraId="11686578" w14:textId="77777777" w:rsidR="00C50585" w:rsidRPr="00EE038F" w:rsidRDefault="00C50585" w:rsidP="00EE1E67">
            <w:pPr>
              <w:jc w:val="right"/>
              <w:rPr>
                <w:rFonts w:ascii="Garamond" w:eastAsia="Times New Roman" w:hAnsi="Garamond"/>
                <w:b/>
                <w:bCs/>
                <w:color w:val="000000"/>
                <w:sz w:val="16"/>
                <w:szCs w:val="20"/>
              </w:rPr>
            </w:pPr>
            <w:r w:rsidRPr="00EE038F">
              <w:rPr>
                <w:rFonts w:ascii="Garamond" w:eastAsia="Times New Roman" w:hAnsi="Garamond"/>
                <w:b/>
                <w:bCs/>
                <w:color w:val="000000"/>
                <w:sz w:val="16"/>
                <w:szCs w:val="20"/>
              </w:rPr>
              <w:t>10,907</w:t>
            </w:r>
          </w:p>
        </w:tc>
        <w:tc>
          <w:tcPr>
            <w:tcW w:w="728" w:type="dxa"/>
            <w:hideMark/>
          </w:tcPr>
          <w:p w14:paraId="6D097366" w14:textId="77777777" w:rsidR="00C50585" w:rsidRPr="00EE038F" w:rsidRDefault="00C50585" w:rsidP="00EE1E67">
            <w:pPr>
              <w:jc w:val="right"/>
              <w:rPr>
                <w:rFonts w:ascii="Garamond" w:eastAsia="Times New Roman" w:hAnsi="Garamond"/>
                <w:b/>
                <w:bCs/>
                <w:color w:val="000000"/>
                <w:sz w:val="16"/>
                <w:szCs w:val="20"/>
              </w:rPr>
            </w:pPr>
            <w:r w:rsidRPr="00EE038F">
              <w:rPr>
                <w:rFonts w:ascii="Garamond" w:eastAsia="Times New Roman" w:hAnsi="Garamond"/>
                <w:b/>
                <w:bCs/>
                <w:color w:val="000000"/>
                <w:sz w:val="16"/>
                <w:szCs w:val="20"/>
              </w:rPr>
              <w:t>2.4%</w:t>
            </w:r>
          </w:p>
        </w:tc>
      </w:tr>
    </w:tbl>
    <w:p w14:paraId="0882FCCD" w14:textId="77777777" w:rsidR="00C50585" w:rsidRPr="00EE038F" w:rsidRDefault="00C50585" w:rsidP="00066DFC">
      <w:pPr>
        <w:spacing w:after="0" w:line="240" w:lineRule="auto"/>
        <w:jc w:val="center"/>
        <w:rPr>
          <w:rFonts w:ascii="Garamond" w:eastAsia="Arial Narrow" w:hAnsi="Garamond"/>
          <w:i/>
          <w:iCs/>
          <w:color w:val="000000"/>
          <w:sz w:val="24"/>
          <w:szCs w:val="24"/>
        </w:rPr>
      </w:pPr>
      <w:r w:rsidRPr="00EE038F">
        <w:rPr>
          <w:rFonts w:ascii="Garamond" w:eastAsia="Arial Narrow" w:hAnsi="Garamond"/>
          <w:i/>
          <w:iCs/>
          <w:sz w:val="24"/>
          <w:szCs w:val="24"/>
        </w:rPr>
        <w:t>Burimi: Ministria e Financave (2024)</w:t>
      </w:r>
    </w:p>
    <w:p w14:paraId="53FC0898" w14:textId="27C966E1" w:rsidR="00C50585" w:rsidRPr="00EE038F" w:rsidRDefault="00C50585" w:rsidP="003B68AC">
      <w:pPr>
        <w:pStyle w:val="TEKSTIIIIII"/>
        <w:rPr>
          <w:b/>
        </w:rPr>
      </w:pPr>
      <w:r w:rsidRPr="00EE038F">
        <w:rPr>
          <w:b/>
        </w:rPr>
        <w:t>Faktorët kryesorë që kanë ndikuar në ecurinë pozitive 9</w:t>
      </w:r>
      <w:r w:rsidR="00A25CF0" w:rsidRPr="00EE038F">
        <w:rPr>
          <w:b/>
        </w:rPr>
        <w:t>-</w:t>
      </w:r>
      <w:r w:rsidRPr="00EE038F">
        <w:rPr>
          <w:b/>
        </w:rPr>
        <w:t>mujore kundrejt planit</w:t>
      </w:r>
      <w:r w:rsidRPr="00EE038F">
        <w:t xml:space="preserve"> </w:t>
      </w:r>
      <w:r w:rsidRPr="00EE038F">
        <w:rPr>
          <w:b/>
        </w:rPr>
        <w:t>fillestar janë:</w:t>
      </w:r>
    </w:p>
    <w:p w14:paraId="06E28B89" w14:textId="4E22573B" w:rsidR="00C50585" w:rsidRPr="00EE038F" w:rsidRDefault="003B68AC" w:rsidP="003B68AC">
      <w:pPr>
        <w:pStyle w:val="TEKSTIIIIII"/>
      </w:pPr>
      <w:r w:rsidRPr="00EE038F">
        <w:t xml:space="preserve">- </w:t>
      </w:r>
      <w:r w:rsidR="00C50585" w:rsidRPr="00EE038F">
        <w:t xml:space="preserve">Niveli i lartë i rritjes së </w:t>
      </w:r>
      <w:r w:rsidR="00C31A83" w:rsidRPr="00EE038F">
        <w:t>TVSH</w:t>
      </w:r>
      <w:r w:rsidR="00C50585" w:rsidRPr="00EE038F">
        <w:t>-së bruto të mbledhur brenda vendit, ku evidentohet sektori i tregtisë me rritje, sektori i transportit dhe sektori i prodhimit;</w:t>
      </w:r>
    </w:p>
    <w:p w14:paraId="3C0FB1DB" w14:textId="1B3CE569" w:rsidR="00C50585" w:rsidRPr="00EE038F" w:rsidRDefault="003B68AC" w:rsidP="003B68AC">
      <w:pPr>
        <w:pStyle w:val="TEKSTIIIIII"/>
      </w:pPr>
      <w:r w:rsidRPr="00EE038F">
        <w:t xml:space="preserve">- </w:t>
      </w:r>
      <w:r w:rsidR="00C50585" w:rsidRPr="00EE038F">
        <w:t>Rritja e të ardhurave nga akciza nga zbatimi i kalendarit të normës dhe indeksimit dhe rritja e sasive për konsum</w:t>
      </w:r>
      <w:r w:rsidR="00BA614C" w:rsidRPr="00EE038F">
        <w:t>;</w:t>
      </w:r>
    </w:p>
    <w:p w14:paraId="4126E30B" w14:textId="58051DFC" w:rsidR="00C50585" w:rsidRPr="00EE038F" w:rsidRDefault="003B68AC" w:rsidP="003B68AC">
      <w:pPr>
        <w:pStyle w:val="TEKSTIIIIII"/>
      </w:pPr>
      <w:r w:rsidRPr="00EE038F">
        <w:t xml:space="preserve">- </w:t>
      </w:r>
      <w:r w:rsidR="00C50585" w:rsidRPr="00EE038F">
        <w:t>Taksa nacionale, rezulton me rritje kryesisht për zërat kryesorë</w:t>
      </w:r>
      <w:r w:rsidR="00BA614C" w:rsidRPr="00EE038F">
        <w:t>,</w:t>
      </w:r>
      <w:r w:rsidR="00C50585" w:rsidRPr="00EE038F">
        <w:t xml:space="preserve"> si: taksa e qarkullimit, taksa për automjetet e përdorura të transportit</w:t>
      </w:r>
      <w:r w:rsidR="00BA614C" w:rsidRPr="00EE038F">
        <w:t>,</w:t>
      </w:r>
      <w:r w:rsidR="00C50585" w:rsidRPr="00EE038F">
        <w:t xml:space="preserve"> si dhe taksa e karbonit</w:t>
      </w:r>
      <w:r w:rsidR="00BA614C" w:rsidRPr="00EE038F">
        <w:t>;</w:t>
      </w:r>
    </w:p>
    <w:p w14:paraId="0BE0F797" w14:textId="22CCB1BE" w:rsidR="00C50585" w:rsidRPr="00EE038F" w:rsidRDefault="003B68AC" w:rsidP="003B68AC">
      <w:pPr>
        <w:pStyle w:val="TEKSTIIIIII"/>
      </w:pPr>
      <w:r w:rsidRPr="00EE038F">
        <w:t xml:space="preserve">- </w:t>
      </w:r>
      <w:r w:rsidR="00C50585" w:rsidRPr="00EE038F">
        <w:t>Rritja e sasive të karburanteve të hedhura për konsum</w:t>
      </w:r>
      <w:r w:rsidR="00122419" w:rsidRPr="00EE038F">
        <w:t>;</w:t>
      </w:r>
    </w:p>
    <w:p w14:paraId="5087001F" w14:textId="1953CEE5" w:rsidR="00C50585" w:rsidRPr="00EE038F" w:rsidRDefault="003B68AC" w:rsidP="003B68AC">
      <w:pPr>
        <w:pStyle w:val="TEKSTIIIIII"/>
      </w:pPr>
      <w:r w:rsidRPr="00EE038F">
        <w:t xml:space="preserve">- </w:t>
      </w:r>
      <w:r w:rsidR="00C50585" w:rsidRPr="00EE038F">
        <w:t>Fiskalizimi, lufta ndaj informalitetit dhe kontrolli i zinxhirit të transaksioneve ndërmjet operatorëve</w:t>
      </w:r>
      <w:r w:rsidR="00122419" w:rsidRPr="00EE038F">
        <w:t>;</w:t>
      </w:r>
    </w:p>
    <w:p w14:paraId="661C7BCD" w14:textId="6ACF571E" w:rsidR="00C50585" w:rsidRPr="00EE038F" w:rsidRDefault="003B68AC" w:rsidP="003B68AC">
      <w:pPr>
        <w:pStyle w:val="TEKSTIIIIII"/>
      </w:pPr>
      <w:r w:rsidRPr="00EE038F">
        <w:t xml:space="preserve">- </w:t>
      </w:r>
      <w:r w:rsidR="00C50585" w:rsidRPr="00EE038F">
        <w:t>Zgjerimi i aktivitetit ekonomik, duke u mbështetur nga performanca e mirë e sektorit privat</w:t>
      </w:r>
      <w:r w:rsidR="00122419" w:rsidRPr="00EE038F">
        <w:t>;</w:t>
      </w:r>
    </w:p>
    <w:p w14:paraId="6DC65FCE" w14:textId="2F4E056C" w:rsidR="00C50585" w:rsidRPr="00EE038F" w:rsidRDefault="003B68AC" w:rsidP="003B68AC">
      <w:pPr>
        <w:pStyle w:val="TEKSTIIIIII"/>
      </w:pPr>
      <w:r w:rsidRPr="00EE038F">
        <w:t xml:space="preserve">- </w:t>
      </w:r>
      <w:r w:rsidR="00C50585" w:rsidRPr="00EE038F">
        <w:t>Rritja e të ardhurave nga kontributet si rezultat i rritjes së pagës minimale dhe maksimale mbi të cilën llogariten kontributet, reformës në fushën e pagave</w:t>
      </w:r>
      <w:r w:rsidR="00122419" w:rsidRPr="00EE038F">
        <w:t>,</w:t>
      </w:r>
      <w:r w:rsidR="00AD3D9C" w:rsidRPr="00EE038F">
        <w:t xml:space="preserve"> </w:t>
      </w:r>
      <w:r w:rsidR="00C50585" w:rsidRPr="00EE038F">
        <w:t>si rezultat i së cilës janë rritur pagat, rrjedhimisht edhe kontributet e sigurimeve të sektorit publik, si dhe për shkak të reduktimit të informalitetit në fushën e deklarimit të pagave nga sektori privat.</w:t>
      </w:r>
    </w:p>
    <w:p w14:paraId="01583E44" w14:textId="784C9582" w:rsidR="00C50585" w:rsidRPr="00EE038F" w:rsidRDefault="00C50585" w:rsidP="003B68AC">
      <w:pPr>
        <w:pStyle w:val="TEKSTIIIIII"/>
        <w:rPr>
          <w:rFonts w:eastAsia="SimSun"/>
        </w:rPr>
      </w:pPr>
      <w:r w:rsidRPr="00EE038F">
        <w:t xml:space="preserve">Të ardhurat nga Drejtoria e Përgjithshme e Doganave </w:t>
      </w:r>
      <w:r w:rsidRPr="00EE038F">
        <w:rPr>
          <w:rFonts w:eastAsia="SimSun"/>
        </w:rPr>
        <w:t>për 9-mujorin e vitit 2024 janë 171.2 miliardë lekë, me ulje krahasuar me planin fillestar të 9-mujorit, në masën -1.1 miliardë lekë ose</w:t>
      </w:r>
      <w:r w:rsidR="00AD3D9C" w:rsidRPr="00EE038F">
        <w:rPr>
          <w:rFonts w:eastAsia="SimSun"/>
        </w:rPr>
        <w:t xml:space="preserve"> </w:t>
      </w:r>
      <w:r w:rsidRPr="00EE038F">
        <w:rPr>
          <w:rFonts w:eastAsia="SimSun"/>
        </w:rPr>
        <w:t xml:space="preserve">-0.6%. </w:t>
      </w:r>
      <w:r w:rsidRPr="00EE038F">
        <w:rPr>
          <w:color w:val="201F1E"/>
        </w:rPr>
        <w:t>Duhet theksuar se vetëm nga mbivlerësimi i Lekut Administrata Doganore ka humbur në nëntë muaj rreth 13,7 miliardë lekë.</w:t>
      </w:r>
    </w:p>
    <w:p w14:paraId="315964A3" w14:textId="261E201F" w:rsidR="00C50585" w:rsidRPr="00EE038F" w:rsidRDefault="00C50585" w:rsidP="003B68AC">
      <w:pPr>
        <w:pStyle w:val="TEKSTIIIIII"/>
        <w:rPr>
          <w:i/>
          <w:iCs/>
        </w:rPr>
      </w:pPr>
    </w:p>
    <w:p w14:paraId="4D7681F4" w14:textId="335F4992" w:rsidR="00C50585" w:rsidRPr="00EE038F" w:rsidRDefault="00C50585" w:rsidP="00066DFC">
      <w:pPr>
        <w:spacing w:after="0" w:line="240" w:lineRule="auto"/>
        <w:jc w:val="center"/>
        <w:rPr>
          <w:rFonts w:ascii="Garamond" w:hAnsi="Garamond"/>
          <w:i/>
          <w:iCs/>
          <w:sz w:val="24"/>
          <w:szCs w:val="24"/>
        </w:rPr>
      </w:pPr>
      <w:r w:rsidRPr="00EE038F">
        <w:rPr>
          <w:rFonts w:ascii="Garamond" w:hAnsi="Garamond"/>
          <w:i/>
          <w:iCs/>
          <w:sz w:val="24"/>
          <w:szCs w:val="24"/>
        </w:rPr>
        <w:t>Tabela 4.2.2</w:t>
      </w:r>
      <w:r w:rsidR="00C25C61" w:rsidRPr="00EE038F">
        <w:rPr>
          <w:rFonts w:ascii="Garamond" w:hAnsi="Garamond"/>
          <w:i/>
          <w:iCs/>
          <w:sz w:val="24"/>
          <w:szCs w:val="24"/>
        </w:rPr>
        <w:t>:</w:t>
      </w:r>
      <w:r w:rsidRPr="00EE038F">
        <w:rPr>
          <w:rFonts w:ascii="Garamond" w:hAnsi="Garamond"/>
          <w:i/>
          <w:iCs/>
          <w:sz w:val="24"/>
          <w:szCs w:val="24"/>
        </w:rPr>
        <w:t xml:space="preserve"> </w:t>
      </w:r>
      <w:r w:rsidRPr="00EE038F">
        <w:rPr>
          <w:rStyle w:val="jlqj4b"/>
          <w:rFonts w:ascii="Garamond" w:hAnsi="Garamond"/>
          <w:i/>
          <w:iCs/>
          <w:sz w:val="24"/>
          <w:szCs w:val="24"/>
        </w:rPr>
        <w:t xml:space="preserve">Të ardhurat e mbledhura nga Drejtoria e Përgjithshme e Doganave </w:t>
      </w:r>
      <w:r w:rsidRPr="00EE038F">
        <w:rPr>
          <w:rFonts w:ascii="Garamond" w:hAnsi="Garamond"/>
          <w:i/>
          <w:iCs/>
          <w:sz w:val="24"/>
          <w:szCs w:val="24"/>
        </w:rPr>
        <w:t>(</w:t>
      </w:r>
      <w:r w:rsidRPr="00EE038F">
        <w:rPr>
          <w:rStyle w:val="jlqj4b"/>
          <w:rFonts w:ascii="Garamond" w:hAnsi="Garamond"/>
          <w:i/>
          <w:iCs/>
          <w:sz w:val="24"/>
          <w:szCs w:val="24"/>
        </w:rPr>
        <w:t>në milionë lekë</w:t>
      </w:r>
      <w:r w:rsidRPr="00EE038F">
        <w:rPr>
          <w:rFonts w:ascii="Garamond" w:hAnsi="Garamond"/>
          <w:i/>
          <w:iCs/>
          <w:sz w:val="24"/>
          <w:szCs w:val="24"/>
        </w:rPr>
        <w:t>)</w:t>
      </w:r>
    </w:p>
    <w:tbl>
      <w:tblPr>
        <w:tblStyle w:val="TableGrid3"/>
        <w:tblW w:w="5000" w:type="pct"/>
        <w:jc w:val="center"/>
        <w:tblLook w:val="04A0" w:firstRow="1" w:lastRow="0" w:firstColumn="1" w:lastColumn="0" w:noHBand="0" w:noVBand="1"/>
      </w:tblPr>
      <w:tblGrid>
        <w:gridCol w:w="2726"/>
        <w:gridCol w:w="1663"/>
        <w:gridCol w:w="2260"/>
        <w:gridCol w:w="1031"/>
        <w:gridCol w:w="1330"/>
      </w:tblGrid>
      <w:tr w:rsidR="00C25C61" w:rsidRPr="00EE038F" w14:paraId="25E240B0" w14:textId="77777777" w:rsidTr="00C25C61">
        <w:trPr>
          <w:trHeight w:val="20"/>
          <w:jc w:val="center"/>
        </w:trPr>
        <w:tc>
          <w:tcPr>
            <w:tcW w:w="1513" w:type="pct"/>
            <w:vMerge w:val="restart"/>
            <w:shd w:val="clear" w:color="auto" w:fill="D9D9D9" w:themeFill="background1" w:themeFillShade="D9"/>
            <w:vAlign w:val="center"/>
          </w:tcPr>
          <w:p w14:paraId="7A0392DD" w14:textId="77777777" w:rsidR="00C25C61" w:rsidRPr="00EE038F" w:rsidRDefault="00C25C61" w:rsidP="00EA12A1">
            <w:pPr>
              <w:jc w:val="center"/>
              <w:rPr>
                <w:rFonts w:ascii="Garamond" w:eastAsia="Times New Roman" w:hAnsi="Garamond"/>
                <w:b/>
                <w:bCs/>
                <w:color w:val="000000"/>
                <w:sz w:val="16"/>
                <w:szCs w:val="20"/>
              </w:rPr>
            </w:pPr>
            <w:r w:rsidRPr="00EE038F">
              <w:rPr>
                <w:rFonts w:ascii="Garamond" w:eastAsia="Times New Roman" w:hAnsi="Garamond"/>
                <w:b/>
                <w:bCs/>
                <w:color w:val="000000"/>
                <w:sz w:val="16"/>
                <w:szCs w:val="20"/>
              </w:rPr>
              <w:t>Lloji i taksës</w:t>
            </w:r>
          </w:p>
        </w:tc>
        <w:tc>
          <w:tcPr>
            <w:tcW w:w="923" w:type="pct"/>
            <w:vMerge w:val="restart"/>
            <w:shd w:val="clear" w:color="auto" w:fill="D9D9D9" w:themeFill="background1" w:themeFillShade="D9"/>
            <w:vAlign w:val="center"/>
          </w:tcPr>
          <w:p w14:paraId="76261FF1" w14:textId="77777777" w:rsidR="00C25C61" w:rsidRPr="00EE038F" w:rsidRDefault="00C25C61" w:rsidP="00EA12A1">
            <w:pPr>
              <w:jc w:val="center"/>
              <w:rPr>
                <w:rFonts w:ascii="Garamond" w:eastAsia="Times New Roman" w:hAnsi="Garamond"/>
                <w:b/>
                <w:bCs/>
                <w:color w:val="000000"/>
                <w:sz w:val="16"/>
                <w:szCs w:val="20"/>
              </w:rPr>
            </w:pPr>
            <w:r w:rsidRPr="00EE038F">
              <w:rPr>
                <w:rFonts w:ascii="Garamond" w:eastAsia="Times New Roman" w:hAnsi="Garamond"/>
                <w:b/>
                <w:bCs/>
                <w:color w:val="000000"/>
                <w:sz w:val="16"/>
                <w:szCs w:val="20"/>
              </w:rPr>
              <w:t>Fakt 9M 2024</w:t>
            </w:r>
          </w:p>
        </w:tc>
        <w:tc>
          <w:tcPr>
            <w:tcW w:w="1254" w:type="pct"/>
            <w:vMerge w:val="restart"/>
            <w:shd w:val="clear" w:color="auto" w:fill="D9D9D9" w:themeFill="background1" w:themeFillShade="D9"/>
            <w:vAlign w:val="center"/>
          </w:tcPr>
          <w:p w14:paraId="2FA463E7" w14:textId="77777777" w:rsidR="00C25C61" w:rsidRPr="00EE038F" w:rsidRDefault="00C25C61" w:rsidP="00EA12A1">
            <w:pPr>
              <w:jc w:val="center"/>
              <w:rPr>
                <w:rFonts w:ascii="Garamond" w:eastAsia="Times New Roman" w:hAnsi="Garamond"/>
                <w:b/>
                <w:bCs/>
                <w:color w:val="000000"/>
                <w:sz w:val="16"/>
                <w:szCs w:val="20"/>
              </w:rPr>
            </w:pPr>
            <w:r w:rsidRPr="00EE038F">
              <w:rPr>
                <w:rFonts w:ascii="Garamond" w:eastAsia="Times New Roman" w:hAnsi="Garamond"/>
                <w:b/>
                <w:bCs/>
                <w:color w:val="000000"/>
                <w:sz w:val="16"/>
                <w:szCs w:val="20"/>
              </w:rPr>
              <w:t>Plan fillestar 9M 2024</w:t>
            </w:r>
          </w:p>
        </w:tc>
        <w:tc>
          <w:tcPr>
            <w:tcW w:w="1310" w:type="pct"/>
            <w:gridSpan w:val="2"/>
            <w:shd w:val="clear" w:color="auto" w:fill="D9D9D9" w:themeFill="background1" w:themeFillShade="D9"/>
            <w:vAlign w:val="center"/>
          </w:tcPr>
          <w:p w14:paraId="5099586D" w14:textId="77777777" w:rsidR="00C25C61" w:rsidRPr="00EE038F" w:rsidRDefault="00C25C61" w:rsidP="00EA12A1">
            <w:pPr>
              <w:jc w:val="center"/>
              <w:rPr>
                <w:rFonts w:ascii="Garamond" w:eastAsia="Times New Roman" w:hAnsi="Garamond"/>
                <w:b/>
                <w:bCs/>
                <w:color w:val="000000"/>
                <w:sz w:val="16"/>
                <w:szCs w:val="20"/>
              </w:rPr>
            </w:pPr>
            <w:r w:rsidRPr="00EE038F">
              <w:rPr>
                <w:rFonts w:ascii="Garamond" w:eastAsia="Times New Roman" w:hAnsi="Garamond"/>
                <w:b/>
                <w:bCs/>
                <w:color w:val="000000"/>
                <w:sz w:val="16"/>
                <w:szCs w:val="20"/>
              </w:rPr>
              <w:t>Diferenca fakt/plan fillestar 9M 2024</w:t>
            </w:r>
          </w:p>
        </w:tc>
      </w:tr>
      <w:tr w:rsidR="00C25C61" w:rsidRPr="00EE038F" w14:paraId="690D76B7" w14:textId="77777777" w:rsidTr="00C25C61">
        <w:trPr>
          <w:trHeight w:val="20"/>
          <w:jc w:val="center"/>
        </w:trPr>
        <w:tc>
          <w:tcPr>
            <w:tcW w:w="1513" w:type="pct"/>
            <w:vMerge/>
            <w:shd w:val="clear" w:color="auto" w:fill="D9D9D9" w:themeFill="background1" w:themeFillShade="D9"/>
            <w:vAlign w:val="center"/>
          </w:tcPr>
          <w:p w14:paraId="73D879C6" w14:textId="77777777" w:rsidR="00C25C61" w:rsidRPr="00EE038F" w:rsidRDefault="00C25C61" w:rsidP="00EA12A1">
            <w:pPr>
              <w:jc w:val="center"/>
              <w:rPr>
                <w:rFonts w:ascii="Garamond" w:eastAsia="Times New Roman" w:hAnsi="Garamond"/>
                <w:bCs/>
                <w:color w:val="000000"/>
                <w:sz w:val="16"/>
                <w:szCs w:val="20"/>
              </w:rPr>
            </w:pPr>
          </w:p>
        </w:tc>
        <w:tc>
          <w:tcPr>
            <w:tcW w:w="923" w:type="pct"/>
            <w:vMerge/>
            <w:shd w:val="clear" w:color="auto" w:fill="D9D9D9" w:themeFill="background1" w:themeFillShade="D9"/>
            <w:vAlign w:val="center"/>
          </w:tcPr>
          <w:p w14:paraId="52C498F7" w14:textId="77777777" w:rsidR="00C25C61" w:rsidRPr="00EE038F" w:rsidRDefault="00C25C61" w:rsidP="00EA12A1">
            <w:pPr>
              <w:jc w:val="center"/>
              <w:rPr>
                <w:rFonts w:ascii="Garamond" w:eastAsia="Times New Roman" w:hAnsi="Garamond"/>
                <w:color w:val="000000"/>
                <w:sz w:val="16"/>
                <w:szCs w:val="20"/>
              </w:rPr>
            </w:pPr>
          </w:p>
        </w:tc>
        <w:tc>
          <w:tcPr>
            <w:tcW w:w="1254" w:type="pct"/>
            <w:vMerge/>
            <w:shd w:val="clear" w:color="auto" w:fill="D9D9D9" w:themeFill="background1" w:themeFillShade="D9"/>
            <w:vAlign w:val="center"/>
          </w:tcPr>
          <w:p w14:paraId="5B2D1545" w14:textId="77777777" w:rsidR="00C25C61" w:rsidRPr="00EE038F" w:rsidRDefault="00C25C61" w:rsidP="00EA12A1">
            <w:pPr>
              <w:jc w:val="center"/>
              <w:rPr>
                <w:rFonts w:ascii="Garamond" w:eastAsia="Times New Roman" w:hAnsi="Garamond"/>
                <w:color w:val="000000"/>
                <w:sz w:val="16"/>
                <w:szCs w:val="20"/>
              </w:rPr>
            </w:pPr>
          </w:p>
        </w:tc>
        <w:tc>
          <w:tcPr>
            <w:tcW w:w="572" w:type="pct"/>
            <w:shd w:val="clear" w:color="auto" w:fill="D9D9D9" w:themeFill="background1" w:themeFillShade="D9"/>
            <w:vAlign w:val="center"/>
          </w:tcPr>
          <w:p w14:paraId="6B95D43A" w14:textId="77777777" w:rsidR="00C25C61" w:rsidRPr="00EE038F" w:rsidRDefault="00C25C61" w:rsidP="00EA12A1">
            <w:pPr>
              <w:jc w:val="center"/>
              <w:rPr>
                <w:rFonts w:ascii="Garamond" w:eastAsia="Times New Roman" w:hAnsi="Garamond"/>
                <w:color w:val="000000"/>
                <w:sz w:val="16"/>
                <w:szCs w:val="20"/>
              </w:rPr>
            </w:pPr>
            <w:r w:rsidRPr="00EE038F">
              <w:rPr>
                <w:rFonts w:ascii="Garamond" w:eastAsia="Times New Roman" w:hAnsi="Garamond"/>
                <w:b/>
                <w:bCs/>
                <w:color w:val="000000"/>
                <w:sz w:val="16"/>
                <w:szCs w:val="20"/>
              </w:rPr>
              <w:t>vlera</w:t>
            </w:r>
          </w:p>
        </w:tc>
        <w:tc>
          <w:tcPr>
            <w:tcW w:w="738" w:type="pct"/>
            <w:shd w:val="clear" w:color="auto" w:fill="D9D9D9" w:themeFill="background1" w:themeFillShade="D9"/>
            <w:vAlign w:val="center"/>
          </w:tcPr>
          <w:p w14:paraId="6DFB9EF1" w14:textId="77777777" w:rsidR="00C25C61" w:rsidRPr="00EE038F" w:rsidRDefault="00C25C61" w:rsidP="00EA12A1">
            <w:pPr>
              <w:jc w:val="center"/>
              <w:rPr>
                <w:rFonts w:ascii="Garamond" w:eastAsia="Times New Roman" w:hAnsi="Garamond"/>
                <w:color w:val="000000"/>
                <w:sz w:val="16"/>
                <w:szCs w:val="20"/>
              </w:rPr>
            </w:pPr>
            <w:r w:rsidRPr="00EE038F">
              <w:rPr>
                <w:rFonts w:ascii="Garamond" w:eastAsia="Times New Roman" w:hAnsi="Garamond"/>
                <w:b/>
                <w:bCs/>
                <w:color w:val="000000"/>
                <w:sz w:val="16"/>
                <w:szCs w:val="20"/>
              </w:rPr>
              <w:t>%</w:t>
            </w:r>
          </w:p>
        </w:tc>
      </w:tr>
      <w:tr w:rsidR="00C50585" w:rsidRPr="00EE038F" w14:paraId="50FAEA0A" w14:textId="77777777" w:rsidTr="00C25C61">
        <w:trPr>
          <w:trHeight w:val="20"/>
          <w:jc w:val="center"/>
        </w:trPr>
        <w:tc>
          <w:tcPr>
            <w:tcW w:w="1513" w:type="pct"/>
            <w:hideMark/>
          </w:tcPr>
          <w:p w14:paraId="3AFE96D4" w14:textId="77777777" w:rsidR="00C50585" w:rsidRPr="00EE038F" w:rsidRDefault="00C50585" w:rsidP="007C70E7">
            <w:pPr>
              <w:jc w:val="both"/>
              <w:rPr>
                <w:rFonts w:ascii="Garamond" w:eastAsia="Times New Roman" w:hAnsi="Garamond"/>
                <w:b/>
                <w:bCs/>
                <w:color w:val="000000"/>
                <w:sz w:val="16"/>
                <w:szCs w:val="20"/>
              </w:rPr>
            </w:pPr>
            <w:r w:rsidRPr="00EE038F">
              <w:rPr>
                <w:rFonts w:ascii="Garamond" w:eastAsia="Times New Roman" w:hAnsi="Garamond"/>
                <w:b/>
                <w:bCs/>
                <w:color w:val="000000"/>
                <w:sz w:val="16"/>
                <w:szCs w:val="20"/>
              </w:rPr>
              <w:t>TVSH-së neto imp</w:t>
            </w:r>
          </w:p>
        </w:tc>
        <w:tc>
          <w:tcPr>
            <w:tcW w:w="923" w:type="pct"/>
            <w:hideMark/>
          </w:tcPr>
          <w:p w14:paraId="53ED191B"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115,150</w:t>
            </w:r>
          </w:p>
        </w:tc>
        <w:tc>
          <w:tcPr>
            <w:tcW w:w="1254" w:type="pct"/>
            <w:hideMark/>
          </w:tcPr>
          <w:p w14:paraId="49E915B2"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116,272</w:t>
            </w:r>
          </w:p>
        </w:tc>
        <w:tc>
          <w:tcPr>
            <w:tcW w:w="572" w:type="pct"/>
            <w:hideMark/>
          </w:tcPr>
          <w:p w14:paraId="0DF2354B"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-1,122</w:t>
            </w:r>
          </w:p>
        </w:tc>
        <w:tc>
          <w:tcPr>
            <w:tcW w:w="738" w:type="pct"/>
            <w:hideMark/>
          </w:tcPr>
          <w:p w14:paraId="1FF339BE"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-1.0%</w:t>
            </w:r>
          </w:p>
        </w:tc>
      </w:tr>
      <w:tr w:rsidR="00C50585" w:rsidRPr="00EE038F" w14:paraId="3ED57323" w14:textId="77777777" w:rsidTr="00C25C61">
        <w:trPr>
          <w:trHeight w:val="20"/>
          <w:jc w:val="center"/>
        </w:trPr>
        <w:tc>
          <w:tcPr>
            <w:tcW w:w="1513" w:type="pct"/>
            <w:hideMark/>
          </w:tcPr>
          <w:p w14:paraId="44F16E6E" w14:textId="77777777" w:rsidR="00C50585" w:rsidRPr="00EE038F" w:rsidRDefault="00C50585" w:rsidP="007C70E7">
            <w:pPr>
              <w:jc w:val="both"/>
              <w:rPr>
                <w:rFonts w:ascii="Garamond" w:eastAsia="Times New Roman" w:hAnsi="Garamond"/>
                <w:b/>
                <w:bCs/>
                <w:color w:val="000000"/>
                <w:sz w:val="16"/>
                <w:szCs w:val="20"/>
              </w:rPr>
            </w:pPr>
            <w:r w:rsidRPr="00EE038F">
              <w:rPr>
                <w:rFonts w:ascii="Garamond" w:eastAsia="Times New Roman" w:hAnsi="Garamond"/>
                <w:b/>
                <w:bCs/>
                <w:color w:val="000000"/>
                <w:sz w:val="16"/>
                <w:szCs w:val="20"/>
              </w:rPr>
              <w:t>Akciza</w:t>
            </w:r>
          </w:p>
        </w:tc>
        <w:tc>
          <w:tcPr>
            <w:tcW w:w="923" w:type="pct"/>
            <w:hideMark/>
          </w:tcPr>
          <w:p w14:paraId="7D2641E8"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47,206</w:t>
            </w:r>
          </w:p>
        </w:tc>
        <w:tc>
          <w:tcPr>
            <w:tcW w:w="1254" w:type="pct"/>
            <w:hideMark/>
          </w:tcPr>
          <w:p w14:paraId="3FBB5A37"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46,960</w:t>
            </w:r>
          </w:p>
        </w:tc>
        <w:tc>
          <w:tcPr>
            <w:tcW w:w="572" w:type="pct"/>
            <w:hideMark/>
          </w:tcPr>
          <w:p w14:paraId="1180D06B"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246</w:t>
            </w:r>
          </w:p>
        </w:tc>
        <w:tc>
          <w:tcPr>
            <w:tcW w:w="738" w:type="pct"/>
            <w:hideMark/>
          </w:tcPr>
          <w:p w14:paraId="15C84395"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0.5%</w:t>
            </w:r>
          </w:p>
        </w:tc>
      </w:tr>
      <w:tr w:rsidR="00C50585" w:rsidRPr="00EE038F" w14:paraId="1243DFB5" w14:textId="77777777" w:rsidTr="00C25C61">
        <w:trPr>
          <w:trHeight w:val="20"/>
          <w:jc w:val="center"/>
        </w:trPr>
        <w:tc>
          <w:tcPr>
            <w:tcW w:w="1513" w:type="pct"/>
            <w:hideMark/>
          </w:tcPr>
          <w:p w14:paraId="1DAECE8C" w14:textId="77777777" w:rsidR="00C50585" w:rsidRPr="00EE038F" w:rsidRDefault="00C50585" w:rsidP="007C70E7">
            <w:pPr>
              <w:jc w:val="both"/>
              <w:rPr>
                <w:rFonts w:ascii="Garamond" w:eastAsia="Times New Roman" w:hAnsi="Garamond"/>
                <w:b/>
                <w:bCs/>
                <w:color w:val="000000"/>
                <w:sz w:val="16"/>
                <w:szCs w:val="20"/>
              </w:rPr>
            </w:pPr>
            <w:r w:rsidRPr="00EE038F">
              <w:rPr>
                <w:rFonts w:ascii="Garamond" w:eastAsia="Times New Roman" w:hAnsi="Garamond"/>
                <w:b/>
                <w:bCs/>
                <w:color w:val="000000"/>
                <w:sz w:val="16"/>
                <w:szCs w:val="20"/>
              </w:rPr>
              <w:lastRenderedPageBreak/>
              <w:t>Renta Minerare</w:t>
            </w:r>
          </w:p>
        </w:tc>
        <w:tc>
          <w:tcPr>
            <w:tcW w:w="923" w:type="pct"/>
            <w:hideMark/>
          </w:tcPr>
          <w:p w14:paraId="5636999D"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2,144</w:t>
            </w:r>
          </w:p>
        </w:tc>
        <w:tc>
          <w:tcPr>
            <w:tcW w:w="1254" w:type="pct"/>
            <w:hideMark/>
          </w:tcPr>
          <w:p w14:paraId="07B00430"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2,362</w:t>
            </w:r>
          </w:p>
        </w:tc>
        <w:tc>
          <w:tcPr>
            <w:tcW w:w="572" w:type="pct"/>
            <w:hideMark/>
          </w:tcPr>
          <w:p w14:paraId="069D6B59"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-218</w:t>
            </w:r>
          </w:p>
        </w:tc>
        <w:tc>
          <w:tcPr>
            <w:tcW w:w="738" w:type="pct"/>
            <w:hideMark/>
          </w:tcPr>
          <w:p w14:paraId="602BFADD"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-9.2%</w:t>
            </w:r>
          </w:p>
        </w:tc>
      </w:tr>
      <w:tr w:rsidR="00C50585" w:rsidRPr="00EE038F" w14:paraId="02A6D1BB" w14:textId="77777777" w:rsidTr="00C25C61">
        <w:trPr>
          <w:trHeight w:val="20"/>
          <w:jc w:val="center"/>
        </w:trPr>
        <w:tc>
          <w:tcPr>
            <w:tcW w:w="1513" w:type="pct"/>
            <w:hideMark/>
          </w:tcPr>
          <w:p w14:paraId="50E9DA0D" w14:textId="77777777" w:rsidR="00C50585" w:rsidRPr="00EE038F" w:rsidRDefault="00C50585" w:rsidP="007C70E7">
            <w:pPr>
              <w:jc w:val="both"/>
              <w:rPr>
                <w:rFonts w:ascii="Garamond" w:eastAsia="Times New Roman" w:hAnsi="Garamond"/>
                <w:b/>
                <w:bCs/>
                <w:color w:val="000000"/>
                <w:sz w:val="16"/>
                <w:szCs w:val="20"/>
              </w:rPr>
            </w:pPr>
            <w:r w:rsidRPr="00EE038F">
              <w:rPr>
                <w:rFonts w:ascii="Garamond" w:eastAsia="Times New Roman" w:hAnsi="Garamond"/>
                <w:b/>
                <w:bCs/>
                <w:color w:val="000000"/>
                <w:sz w:val="16"/>
                <w:szCs w:val="20"/>
              </w:rPr>
              <w:t>Taksa Doganore</w:t>
            </w:r>
          </w:p>
        </w:tc>
        <w:tc>
          <w:tcPr>
            <w:tcW w:w="923" w:type="pct"/>
            <w:hideMark/>
          </w:tcPr>
          <w:p w14:paraId="365F0083"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6,651</w:t>
            </w:r>
          </w:p>
        </w:tc>
        <w:tc>
          <w:tcPr>
            <w:tcW w:w="1254" w:type="pct"/>
            <w:hideMark/>
          </w:tcPr>
          <w:p w14:paraId="75A3689E"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6,618</w:t>
            </w:r>
          </w:p>
        </w:tc>
        <w:tc>
          <w:tcPr>
            <w:tcW w:w="572" w:type="pct"/>
            <w:hideMark/>
          </w:tcPr>
          <w:p w14:paraId="18F17D19"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33</w:t>
            </w:r>
          </w:p>
        </w:tc>
        <w:tc>
          <w:tcPr>
            <w:tcW w:w="738" w:type="pct"/>
            <w:hideMark/>
          </w:tcPr>
          <w:p w14:paraId="0358D9C3"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0.5%</w:t>
            </w:r>
          </w:p>
        </w:tc>
      </w:tr>
      <w:tr w:rsidR="00C50585" w:rsidRPr="00EE038F" w14:paraId="2587493C" w14:textId="77777777" w:rsidTr="00C25C61">
        <w:trPr>
          <w:trHeight w:val="20"/>
          <w:jc w:val="center"/>
        </w:trPr>
        <w:tc>
          <w:tcPr>
            <w:tcW w:w="1513" w:type="pct"/>
            <w:hideMark/>
          </w:tcPr>
          <w:p w14:paraId="54C895C6" w14:textId="77777777" w:rsidR="00C50585" w:rsidRPr="00EE038F" w:rsidRDefault="00C50585" w:rsidP="007C70E7">
            <w:pPr>
              <w:jc w:val="both"/>
              <w:rPr>
                <w:rFonts w:ascii="Garamond" w:eastAsia="Times New Roman" w:hAnsi="Garamond"/>
                <w:b/>
                <w:bCs/>
                <w:color w:val="000000"/>
                <w:sz w:val="16"/>
                <w:szCs w:val="20"/>
              </w:rPr>
            </w:pPr>
            <w:r w:rsidRPr="00EE038F">
              <w:rPr>
                <w:rFonts w:ascii="Garamond" w:eastAsia="Times New Roman" w:hAnsi="Garamond"/>
                <w:b/>
                <w:bCs/>
                <w:color w:val="000000"/>
                <w:sz w:val="16"/>
                <w:szCs w:val="20"/>
              </w:rPr>
              <w:t>Totali Dogana</w:t>
            </w:r>
          </w:p>
        </w:tc>
        <w:tc>
          <w:tcPr>
            <w:tcW w:w="923" w:type="pct"/>
            <w:hideMark/>
          </w:tcPr>
          <w:p w14:paraId="2E26B888" w14:textId="77777777" w:rsidR="00C50585" w:rsidRPr="00EE038F" w:rsidRDefault="00C50585" w:rsidP="00C25C61">
            <w:pPr>
              <w:jc w:val="right"/>
              <w:rPr>
                <w:rFonts w:ascii="Garamond" w:eastAsia="Times New Roman" w:hAnsi="Garamond"/>
                <w:b/>
                <w:bCs/>
                <w:color w:val="000000"/>
                <w:sz w:val="16"/>
                <w:szCs w:val="20"/>
              </w:rPr>
            </w:pPr>
            <w:r w:rsidRPr="00EE038F">
              <w:rPr>
                <w:rFonts w:ascii="Garamond" w:eastAsia="Times New Roman" w:hAnsi="Garamond"/>
                <w:b/>
                <w:bCs/>
                <w:color w:val="000000"/>
                <w:sz w:val="16"/>
                <w:szCs w:val="20"/>
              </w:rPr>
              <w:t>171,151</w:t>
            </w:r>
          </w:p>
        </w:tc>
        <w:tc>
          <w:tcPr>
            <w:tcW w:w="1254" w:type="pct"/>
            <w:hideMark/>
          </w:tcPr>
          <w:p w14:paraId="1E81FD98" w14:textId="77777777" w:rsidR="00C50585" w:rsidRPr="00EE038F" w:rsidRDefault="00C50585" w:rsidP="00C25C61">
            <w:pPr>
              <w:jc w:val="right"/>
              <w:rPr>
                <w:rFonts w:ascii="Garamond" w:eastAsia="Times New Roman" w:hAnsi="Garamond"/>
                <w:b/>
                <w:bCs/>
                <w:color w:val="000000"/>
                <w:sz w:val="16"/>
                <w:szCs w:val="20"/>
              </w:rPr>
            </w:pPr>
            <w:r w:rsidRPr="00EE038F">
              <w:rPr>
                <w:rFonts w:ascii="Garamond" w:eastAsia="Times New Roman" w:hAnsi="Garamond"/>
                <w:b/>
                <w:bCs/>
                <w:color w:val="000000"/>
                <w:sz w:val="16"/>
                <w:szCs w:val="20"/>
              </w:rPr>
              <w:t>172,212</w:t>
            </w:r>
          </w:p>
        </w:tc>
        <w:tc>
          <w:tcPr>
            <w:tcW w:w="572" w:type="pct"/>
            <w:hideMark/>
          </w:tcPr>
          <w:p w14:paraId="7BEA6EEE" w14:textId="77777777" w:rsidR="00C50585" w:rsidRPr="00EE038F" w:rsidRDefault="00C50585" w:rsidP="00C25C61">
            <w:pPr>
              <w:jc w:val="right"/>
              <w:rPr>
                <w:rFonts w:ascii="Garamond" w:eastAsia="Times New Roman" w:hAnsi="Garamond"/>
                <w:b/>
                <w:bCs/>
                <w:color w:val="000000"/>
                <w:sz w:val="16"/>
                <w:szCs w:val="20"/>
              </w:rPr>
            </w:pPr>
            <w:r w:rsidRPr="00EE038F">
              <w:rPr>
                <w:rFonts w:ascii="Garamond" w:eastAsia="Times New Roman" w:hAnsi="Garamond"/>
                <w:b/>
                <w:bCs/>
                <w:color w:val="000000"/>
                <w:sz w:val="16"/>
                <w:szCs w:val="20"/>
              </w:rPr>
              <w:t>-1,060</w:t>
            </w:r>
          </w:p>
        </w:tc>
        <w:tc>
          <w:tcPr>
            <w:tcW w:w="738" w:type="pct"/>
            <w:hideMark/>
          </w:tcPr>
          <w:p w14:paraId="6BAEA1EF" w14:textId="77777777" w:rsidR="00C50585" w:rsidRPr="00EE038F" w:rsidRDefault="00C50585" w:rsidP="00C25C61">
            <w:pPr>
              <w:jc w:val="right"/>
              <w:rPr>
                <w:rFonts w:ascii="Garamond" w:eastAsia="Times New Roman" w:hAnsi="Garamond"/>
                <w:color w:val="000000"/>
                <w:sz w:val="16"/>
                <w:szCs w:val="20"/>
              </w:rPr>
            </w:pPr>
            <w:r w:rsidRPr="00EE038F">
              <w:rPr>
                <w:rFonts w:ascii="Garamond" w:eastAsia="Times New Roman" w:hAnsi="Garamond"/>
                <w:color w:val="000000"/>
                <w:sz w:val="16"/>
                <w:szCs w:val="20"/>
              </w:rPr>
              <w:t>-0.6%</w:t>
            </w:r>
          </w:p>
        </w:tc>
      </w:tr>
    </w:tbl>
    <w:p w14:paraId="52113C91" w14:textId="77258C89" w:rsidR="00C50585" w:rsidRPr="00EE038F" w:rsidRDefault="00C50585" w:rsidP="00066DFC">
      <w:pPr>
        <w:spacing w:after="0" w:line="240" w:lineRule="auto"/>
        <w:jc w:val="center"/>
        <w:rPr>
          <w:rFonts w:ascii="Garamond" w:eastAsia="Arial Narrow" w:hAnsi="Garamond"/>
          <w:i/>
          <w:iCs/>
          <w:sz w:val="24"/>
          <w:szCs w:val="24"/>
        </w:rPr>
      </w:pPr>
      <w:r w:rsidRPr="00EE038F">
        <w:rPr>
          <w:rFonts w:ascii="Garamond" w:eastAsia="Arial Narrow" w:hAnsi="Garamond"/>
          <w:i/>
          <w:iCs/>
          <w:sz w:val="24"/>
          <w:szCs w:val="24"/>
        </w:rPr>
        <w:t>Burimi: Ministria e Financave (2024)</w:t>
      </w:r>
    </w:p>
    <w:p w14:paraId="7A4D623C" w14:textId="77777777" w:rsidR="003B68AC" w:rsidRPr="00EE038F" w:rsidRDefault="003B68AC" w:rsidP="00C50585">
      <w:pPr>
        <w:spacing w:after="0" w:line="240" w:lineRule="auto"/>
        <w:jc w:val="both"/>
        <w:rPr>
          <w:rFonts w:ascii="Garamond" w:hAnsi="Garamond"/>
          <w:i/>
        </w:rPr>
      </w:pPr>
    </w:p>
    <w:p w14:paraId="05BE96A8" w14:textId="77777777" w:rsidR="00C50585" w:rsidRPr="00EE038F" w:rsidRDefault="00C50585" w:rsidP="00473C92">
      <w:pPr>
        <w:pStyle w:val="TEKSTIIIIII"/>
      </w:pPr>
      <w:r w:rsidRPr="00EE038F">
        <w:rPr>
          <w:i/>
        </w:rPr>
        <w:t xml:space="preserve">Të ardhurat nga </w:t>
      </w:r>
      <w:r w:rsidRPr="00EE038F">
        <w:rPr>
          <w:b/>
          <w:i/>
        </w:rPr>
        <w:t>TVSH në import</w:t>
      </w:r>
      <w:r w:rsidRPr="00EE038F">
        <w:t xml:space="preserve"> për 9-mujorin rezultojnë 115 miliardë lekë, -1.1 miliardë lekë ose -1% më pak se plani fillestar i periudhës.</w:t>
      </w:r>
    </w:p>
    <w:p w14:paraId="7BA64C12" w14:textId="77777777" w:rsidR="00C50585" w:rsidRPr="00EE038F" w:rsidRDefault="00C50585" w:rsidP="00473C92">
      <w:pPr>
        <w:pStyle w:val="TEKSTIIIIII"/>
        <w:rPr>
          <w:color w:val="201F1E"/>
        </w:rPr>
      </w:pPr>
      <w:r w:rsidRPr="00EE038F">
        <w:rPr>
          <w:color w:val="201F1E"/>
        </w:rPr>
        <w:t xml:space="preserve">Efekt negativ kanë dhënë energjia elektrike me -1,3 miliardë lekë. </w:t>
      </w:r>
    </w:p>
    <w:p w14:paraId="35C152B7" w14:textId="706FEB94" w:rsidR="00C50585" w:rsidRPr="00EE038F" w:rsidRDefault="00C50585" w:rsidP="00473C92">
      <w:pPr>
        <w:pStyle w:val="TEKSTIIIIII"/>
        <w:rPr>
          <w:color w:val="201F1E"/>
        </w:rPr>
      </w:pPr>
      <w:r w:rsidRPr="00EE038F">
        <w:rPr>
          <w:color w:val="201F1E"/>
        </w:rPr>
        <w:t xml:space="preserve">Efekti i kursit të këmbimit e ka </w:t>
      </w:r>
      <w:r w:rsidR="00A11FA0" w:rsidRPr="00EE038F">
        <w:rPr>
          <w:color w:val="201F1E"/>
        </w:rPr>
        <w:t>zvogëluar</w:t>
      </w:r>
      <w:r w:rsidRPr="00EE038F">
        <w:rPr>
          <w:color w:val="201F1E"/>
        </w:rPr>
        <w:t xml:space="preserve"> </w:t>
      </w:r>
      <w:r w:rsidRPr="00EE038F">
        <w:rPr>
          <w:b/>
          <w:i/>
          <w:color w:val="201F1E"/>
        </w:rPr>
        <w:t>TVSH me -12,8 miliardë lekë</w:t>
      </w:r>
      <w:r w:rsidRPr="00EE038F">
        <w:rPr>
          <w:color w:val="201F1E"/>
        </w:rPr>
        <w:t xml:space="preserve">. </w:t>
      </w:r>
    </w:p>
    <w:p w14:paraId="548EF9D7" w14:textId="671E6BA6" w:rsidR="00C50585" w:rsidRPr="00EE038F" w:rsidRDefault="00C50585" w:rsidP="00473C92">
      <w:pPr>
        <w:pStyle w:val="TEKSTIIIIII"/>
      </w:pPr>
      <w:r w:rsidRPr="00EE038F">
        <w:rPr>
          <w:i/>
        </w:rPr>
        <w:t xml:space="preserve">Të ardhurat nga </w:t>
      </w:r>
      <w:r w:rsidRPr="00EE038F">
        <w:rPr>
          <w:b/>
          <w:i/>
        </w:rPr>
        <w:t>akciza</w:t>
      </w:r>
      <w:r w:rsidRPr="00EE038F">
        <w:t xml:space="preserve"> janë realizuar në masën 47.2 miliardë lekë, </w:t>
      </w:r>
      <w:r w:rsidRPr="00EE038F">
        <w:rPr>
          <w:b/>
          <w:bCs/>
        </w:rPr>
        <w:t>246 milionë lekë ose 0.5% më</w:t>
      </w:r>
      <w:r w:rsidRPr="00EE038F">
        <w:t xml:space="preserve"> shumë se plani fillestar i periudhës për vitin 2024. Të ardhurat janë ndikuar përgjithësisht nga rritja e importit të </w:t>
      </w:r>
      <w:r w:rsidR="00A11FA0" w:rsidRPr="00EE038F">
        <w:t>karburantit, cigareve dhe artikuj</w:t>
      </w:r>
      <w:r w:rsidR="00AC0302" w:rsidRPr="00EE038F">
        <w:t>ve</w:t>
      </w:r>
      <w:r w:rsidR="00A11FA0" w:rsidRPr="00EE038F">
        <w:t xml:space="preserve"> </w:t>
      </w:r>
      <w:r w:rsidR="00AC0302" w:rsidRPr="00EE038F">
        <w:t>të</w:t>
      </w:r>
      <w:r w:rsidRPr="00EE038F">
        <w:t xml:space="preserve"> tjerë. Duke q</w:t>
      </w:r>
      <w:r w:rsidR="00685922" w:rsidRPr="00EE038F">
        <w:t>e</w:t>
      </w:r>
      <w:r w:rsidRPr="00EE038F">
        <w:t xml:space="preserve">në se </w:t>
      </w:r>
      <w:r w:rsidR="00685922" w:rsidRPr="00EE038F">
        <w:t xml:space="preserve">akciza </w:t>
      </w:r>
      <w:r w:rsidRPr="00EE038F">
        <w:t>është taksë mbi sasinë është e pandikueshme drejtpërdrejt nga kursi i këmbimit, nga të dh</w:t>
      </w:r>
      <w:r w:rsidR="00685922" w:rsidRPr="00EE038F">
        <w:t>ë</w:t>
      </w:r>
      <w:r w:rsidRPr="00EE038F">
        <w:t xml:space="preserve">nat, artikujt e akcizës kanë performuar mirë, pavarësisht se taksat e tjera janë ndikuar nga kursi i këmbimit. </w:t>
      </w:r>
    </w:p>
    <w:p w14:paraId="0C139243" w14:textId="1E452B55" w:rsidR="00C50585" w:rsidRPr="00EE038F" w:rsidRDefault="00C50585" w:rsidP="00473C92">
      <w:pPr>
        <w:pStyle w:val="TEKSTIIIIII"/>
      </w:pPr>
      <w:r w:rsidRPr="00EE038F">
        <w:rPr>
          <w:i/>
        </w:rPr>
        <w:t xml:space="preserve">Të ardhurat nga </w:t>
      </w:r>
      <w:r w:rsidRPr="00EE038F">
        <w:rPr>
          <w:b/>
          <w:i/>
        </w:rPr>
        <w:t>Renta Minerare</w:t>
      </w:r>
      <w:r w:rsidR="00283807" w:rsidRPr="00EE038F">
        <w:rPr>
          <w:b/>
          <w:i/>
        </w:rPr>
        <w:t xml:space="preserve"> </w:t>
      </w:r>
      <w:r w:rsidRPr="00EE038F">
        <w:rPr>
          <w:b/>
          <w:i/>
        </w:rPr>
        <w:t>në eksport</w:t>
      </w:r>
      <w:r w:rsidRPr="00EE038F">
        <w:t xml:space="preserve"> janë realizuar në masën 2.1 miliardë lekë, -</w:t>
      </w:r>
      <w:r w:rsidRPr="00EE038F">
        <w:rPr>
          <w:b/>
          <w:bCs/>
        </w:rPr>
        <w:t>218 milionë lekë ose -9.2</w:t>
      </w:r>
      <w:r w:rsidR="002D0DDC" w:rsidRPr="00EE038F">
        <w:rPr>
          <w:b/>
          <w:bCs/>
        </w:rPr>
        <w:t xml:space="preserve">% </w:t>
      </w:r>
      <w:r w:rsidRPr="00EE038F">
        <w:rPr>
          <w:b/>
          <w:bCs/>
        </w:rPr>
        <w:t>më</w:t>
      </w:r>
      <w:r w:rsidRPr="00EE038F">
        <w:t xml:space="preserve"> pak se plani fillestar i periudhës për vitin 2024.</w:t>
      </w:r>
    </w:p>
    <w:p w14:paraId="65DED00E" w14:textId="77777777" w:rsidR="00C50585" w:rsidRPr="00EE038F" w:rsidRDefault="00C50585" w:rsidP="00473C92">
      <w:pPr>
        <w:pStyle w:val="TEKSTIIIIII"/>
      </w:pPr>
      <w:r w:rsidRPr="00EE038F">
        <w:t>Të ardhurat nga renta minerare për naftën bruto ka pësuar rënie si rezultat i uljes së sasisë së eksportit për këtë produkt prej -52,000 tonësh krahasuar me periudhën e një viti më parë.</w:t>
      </w:r>
    </w:p>
    <w:p w14:paraId="2FE0A060" w14:textId="26C907EB" w:rsidR="00C50585" w:rsidRPr="00EE038F" w:rsidRDefault="00C50585" w:rsidP="00473C92">
      <w:pPr>
        <w:pStyle w:val="TEKSTIIIIII"/>
      </w:pPr>
      <w:r w:rsidRPr="00EE038F">
        <w:rPr>
          <w:i/>
        </w:rPr>
        <w:t xml:space="preserve">Të ardhurat nga </w:t>
      </w:r>
      <w:r w:rsidRPr="00EE038F">
        <w:rPr>
          <w:b/>
          <w:i/>
        </w:rPr>
        <w:t>Taksa Doganore</w:t>
      </w:r>
      <w:r w:rsidRPr="00EE038F">
        <w:t xml:space="preserve"> është realizuar në masën 6.7 miliardë lekë, </w:t>
      </w:r>
      <w:r w:rsidRPr="00EE038F">
        <w:rPr>
          <w:b/>
          <w:bCs/>
        </w:rPr>
        <w:t>33 milionë lekë ose 0.5</w:t>
      </w:r>
      <w:r w:rsidR="002D0DDC" w:rsidRPr="00EE038F">
        <w:rPr>
          <w:b/>
          <w:bCs/>
        </w:rPr>
        <w:t xml:space="preserve">% </w:t>
      </w:r>
      <w:r w:rsidRPr="00EE038F">
        <w:t>më shumë se plani fillestar i periudhës për vitin 2024.</w:t>
      </w:r>
    </w:p>
    <w:p w14:paraId="57753CF1" w14:textId="2BD88E1C" w:rsidR="00C50585" w:rsidRPr="00EE038F" w:rsidRDefault="00C50585" w:rsidP="00473C92">
      <w:pPr>
        <w:pStyle w:val="TEKSTIIIIII"/>
      </w:pPr>
      <w:r w:rsidRPr="00EE038F">
        <w:rPr>
          <w:b/>
        </w:rPr>
        <w:t>Të ardhurat e mbledhura nga Drejtoria e Përgjithshme e Tatimeve</w:t>
      </w:r>
      <w:r w:rsidRPr="00EE038F">
        <w:t xml:space="preserve"> (pa përfshirë kontributet e sigurimeve shoqërore dhe shëndetësore) për periudhën </w:t>
      </w:r>
      <w:r w:rsidR="00EF1214" w:rsidRPr="00EE038F">
        <w:t xml:space="preserve">janar–shtator </w:t>
      </w:r>
      <w:r w:rsidRPr="00EE038F">
        <w:t xml:space="preserve">2024 janë 170.6 miliardë lekë, 9.4 miliardë lekë më shumë dhe me një realizim 105.8% të planit fillestar vjetor. </w:t>
      </w:r>
    </w:p>
    <w:p w14:paraId="47AFE0FD" w14:textId="77777777" w:rsidR="00C50585" w:rsidRPr="00EE038F" w:rsidRDefault="00C50585" w:rsidP="00473C92">
      <w:pPr>
        <w:pStyle w:val="TEKSTIIIIII"/>
      </w:pPr>
      <w:r w:rsidRPr="00EE038F">
        <w:t>Tabela e mëposhtme tregon të dhëna të detajuara mbi performancën tatimore.</w:t>
      </w:r>
    </w:p>
    <w:p w14:paraId="415711EB" w14:textId="77777777" w:rsidR="00C50585" w:rsidRPr="00EE038F" w:rsidRDefault="00C50585" w:rsidP="00473C92">
      <w:pPr>
        <w:pStyle w:val="TEKSTIIIIII"/>
      </w:pPr>
    </w:p>
    <w:p w14:paraId="44572D34" w14:textId="2DD09B7E" w:rsidR="00C50585" w:rsidRPr="00EE038F" w:rsidRDefault="00C50585" w:rsidP="00066DFC">
      <w:pPr>
        <w:spacing w:after="0" w:line="240" w:lineRule="auto"/>
        <w:jc w:val="center"/>
        <w:rPr>
          <w:rFonts w:ascii="Garamond" w:hAnsi="Garamond"/>
          <w:i/>
          <w:iCs/>
          <w:sz w:val="24"/>
          <w:szCs w:val="24"/>
        </w:rPr>
      </w:pPr>
      <w:r w:rsidRPr="00EE038F">
        <w:rPr>
          <w:rFonts w:ascii="Garamond" w:hAnsi="Garamond"/>
          <w:i/>
          <w:iCs/>
          <w:sz w:val="24"/>
          <w:szCs w:val="24"/>
        </w:rPr>
        <w:t>Tabela 4.2.4</w:t>
      </w:r>
      <w:r w:rsidR="00EF1214" w:rsidRPr="00EE038F">
        <w:rPr>
          <w:rFonts w:ascii="Garamond" w:hAnsi="Garamond"/>
          <w:i/>
          <w:iCs/>
          <w:sz w:val="24"/>
          <w:szCs w:val="24"/>
        </w:rPr>
        <w:t>:</w:t>
      </w:r>
      <w:r w:rsidRPr="00EE038F">
        <w:rPr>
          <w:rFonts w:ascii="Garamond" w:hAnsi="Garamond"/>
          <w:i/>
          <w:iCs/>
          <w:sz w:val="24"/>
          <w:szCs w:val="24"/>
        </w:rPr>
        <w:t xml:space="preserve"> </w:t>
      </w:r>
      <w:r w:rsidRPr="00EE038F">
        <w:rPr>
          <w:rStyle w:val="jlqj4b"/>
          <w:rFonts w:ascii="Garamond" w:hAnsi="Garamond"/>
          <w:i/>
          <w:iCs/>
          <w:sz w:val="24"/>
          <w:szCs w:val="24"/>
        </w:rPr>
        <w:t>Të ardhurat e mbledhura nga DPT</w:t>
      </w:r>
      <w:r w:rsidR="002061C2" w:rsidRPr="00EE038F">
        <w:rPr>
          <w:rStyle w:val="jlqj4b"/>
          <w:rFonts w:ascii="Garamond" w:hAnsi="Garamond"/>
          <w:i/>
          <w:iCs/>
          <w:sz w:val="24"/>
          <w:szCs w:val="24"/>
        </w:rPr>
        <w:t>,</w:t>
      </w:r>
      <w:r w:rsidRPr="00EE038F">
        <w:rPr>
          <w:rStyle w:val="jlqj4b"/>
          <w:rFonts w:ascii="Garamond" w:hAnsi="Garamond"/>
          <w:i/>
          <w:iCs/>
          <w:sz w:val="24"/>
          <w:szCs w:val="24"/>
        </w:rPr>
        <w:t xml:space="preserve"> në milionë lekë</w:t>
      </w:r>
    </w:p>
    <w:tbl>
      <w:tblPr>
        <w:tblW w:w="5000" w:type="pct"/>
        <w:jc w:val="center"/>
        <w:tblCellMar>
          <w:left w:w="0" w:type="dxa"/>
          <w:right w:w="0" w:type="dxa"/>
        </w:tblCellMar>
        <w:tblLook w:val="04A0" w:firstRow="1" w:lastRow="0" w:firstColumn="1" w:lastColumn="0" w:noHBand="0" w:noVBand="1"/>
      </w:tblPr>
      <w:tblGrid>
        <w:gridCol w:w="3118"/>
        <w:gridCol w:w="1423"/>
        <w:gridCol w:w="1423"/>
        <w:gridCol w:w="1423"/>
        <w:gridCol w:w="1633"/>
      </w:tblGrid>
      <w:tr w:rsidR="00C50585" w:rsidRPr="00EE038F" w14:paraId="7FD6E13B" w14:textId="77777777" w:rsidTr="005B420E">
        <w:trPr>
          <w:trHeight w:val="20"/>
          <w:jc w:val="center"/>
        </w:trPr>
        <w:tc>
          <w:tcPr>
            <w:tcW w:w="1728" w:type="pct"/>
            <w:vMerge w:val="restart"/>
            <w:tcBorders>
              <w:top w:val="single" w:sz="8" w:space="0" w:color="auto"/>
              <w:left w:val="nil"/>
              <w:bottom w:val="single" w:sz="8" w:space="0" w:color="000000"/>
              <w:right w:val="nil"/>
            </w:tcBorders>
            <w:shd w:val="clear" w:color="auto" w:fill="EDEDED"/>
            <w:tcMar>
              <w:top w:w="0" w:type="dxa"/>
              <w:left w:w="108" w:type="dxa"/>
              <w:bottom w:w="0" w:type="dxa"/>
              <w:right w:w="108" w:type="dxa"/>
            </w:tcMar>
            <w:vAlign w:val="center"/>
            <w:hideMark/>
          </w:tcPr>
          <w:p w14:paraId="5F6DECA5" w14:textId="1CEE3F2A" w:rsidR="00C50585" w:rsidRPr="00EE038F" w:rsidRDefault="005B420E" w:rsidP="00473C92">
            <w:pPr>
              <w:spacing w:after="0" w:line="240" w:lineRule="auto"/>
              <w:jc w:val="both"/>
              <w:rPr>
                <w:rFonts w:ascii="Garamond" w:hAnsi="Garamond"/>
                <w:b/>
                <w:bCs/>
                <w:color w:val="000000"/>
                <w:sz w:val="16"/>
                <w:szCs w:val="20"/>
              </w:rPr>
            </w:pPr>
            <w:r w:rsidRPr="00EE038F">
              <w:rPr>
                <w:rFonts w:ascii="Garamond" w:hAnsi="Garamond"/>
                <w:b/>
                <w:bCs/>
                <w:color w:val="000000"/>
                <w:sz w:val="16"/>
                <w:szCs w:val="20"/>
              </w:rPr>
              <w:t xml:space="preserve">Lloji </w:t>
            </w:r>
            <w:r w:rsidR="00C50585" w:rsidRPr="00EE038F">
              <w:rPr>
                <w:rFonts w:ascii="Garamond" w:hAnsi="Garamond"/>
                <w:b/>
                <w:bCs/>
                <w:color w:val="000000"/>
                <w:sz w:val="16"/>
                <w:szCs w:val="20"/>
              </w:rPr>
              <w:t>i taksës</w:t>
            </w:r>
          </w:p>
        </w:tc>
        <w:tc>
          <w:tcPr>
            <w:tcW w:w="789" w:type="pct"/>
            <w:vMerge w:val="restart"/>
            <w:tcBorders>
              <w:top w:val="single" w:sz="8" w:space="0" w:color="auto"/>
              <w:left w:val="nil"/>
              <w:bottom w:val="single" w:sz="8" w:space="0" w:color="000000"/>
              <w:right w:val="nil"/>
            </w:tcBorders>
            <w:shd w:val="clear" w:color="auto" w:fill="EDEDED"/>
            <w:tcMar>
              <w:top w:w="0" w:type="dxa"/>
              <w:left w:w="108" w:type="dxa"/>
              <w:bottom w:w="0" w:type="dxa"/>
              <w:right w:w="108" w:type="dxa"/>
            </w:tcMar>
            <w:vAlign w:val="center"/>
            <w:hideMark/>
          </w:tcPr>
          <w:p w14:paraId="171C5E18" w14:textId="77777777" w:rsidR="00C50585" w:rsidRPr="00EE038F" w:rsidRDefault="00C50585" w:rsidP="00473C92">
            <w:pPr>
              <w:spacing w:after="0" w:line="240" w:lineRule="auto"/>
              <w:jc w:val="both"/>
              <w:rPr>
                <w:rFonts w:ascii="Garamond" w:hAnsi="Garamond"/>
                <w:b/>
                <w:bCs/>
                <w:color w:val="000000"/>
                <w:sz w:val="16"/>
                <w:szCs w:val="20"/>
              </w:rPr>
            </w:pPr>
            <w:r w:rsidRPr="00EE038F">
              <w:rPr>
                <w:rFonts w:ascii="Garamond" w:hAnsi="Garamond"/>
                <w:b/>
                <w:bCs/>
                <w:color w:val="000000"/>
                <w:sz w:val="16"/>
                <w:szCs w:val="20"/>
              </w:rPr>
              <w:t>Fakt 9M 2024</w:t>
            </w:r>
          </w:p>
        </w:tc>
        <w:tc>
          <w:tcPr>
            <w:tcW w:w="789" w:type="pct"/>
            <w:vMerge w:val="restart"/>
            <w:tcBorders>
              <w:top w:val="single" w:sz="8" w:space="0" w:color="auto"/>
              <w:left w:val="nil"/>
              <w:bottom w:val="single" w:sz="8" w:space="0" w:color="000000"/>
              <w:right w:val="nil"/>
            </w:tcBorders>
            <w:shd w:val="clear" w:color="auto" w:fill="EDEDED"/>
            <w:tcMar>
              <w:top w:w="0" w:type="dxa"/>
              <w:left w:w="108" w:type="dxa"/>
              <w:bottom w:w="0" w:type="dxa"/>
              <w:right w:w="108" w:type="dxa"/>
            </w:tcMar>
            <w:vAlign w:val="center"/>
            <w:hideMark/>
          </w:tcPr>
          <w:p w14:paraId="4A1CB23C" w14:textId="77777777" w:rsidR="005B420E" w:rsidRPr="00EE038F" w:rsidRDefault="00C50585" w:rsidP="00473C92">
            <w:pPr>
              <w:spacing w:after="0" w:line="240" w:lineRule="auto"/>
              <w:jc w:val="both"/>
              <w:rPr>
                <w:rFonts w:ascii="Garamond" w:hAnsi="Garamond"/>
                <w:b/>
                <w:bCs/>
                <w:color w:val="000000"/>
                <w:sz w:val="16"/>
                <w:szCs w:val="20"/>
              </w:rPr>
            </w:pPr>
            <w:r w:rsidRPr="00EE038F">
              <w:rPr>
                <w:rFonts w:ascii="Garamond" w:hAnsi="Garamond"/>
                <w:b/>
                <w:bCs/>
                <w:color w:val="000000"/>
                <w:sz w:val="16"/>
                <w:szCs w:val="20"/>
              </w:rPr>
              <w:t xml:space="preserve">Plani </w:t>
            </w:r>
            <w:r w:rsidR="005B420E" w:rsidRPr="00EE038F">
              <w:rPr>
                <w:rFonts w:ascii="Garamond" w:hAnsi="Garamond"/>
                <w:b/>
                <w:bCs/>
                <w:color w:val="000000"/>
                <w:sz w:val="16"/>
                <w:szCs w:val="20"/>
              </w:rPr>
              <w:t xml:space="preserve">fillestar </w:t>
            </w:r>
          </w:p>
          <w:p w14:paraId="365284A1" w14:textId="7D58936D" w:rsidR="00C50585" w:rsidRPr="00EE038F" w:rsidRDefault="00C50585" w:rsidP="00473C92">
            <w:pPr>
              <w:spacing w:after="0" w:line="240" w:lineRule="auto"/>
              <w:jc w:val="both"/>
              <w:rPr>
                <w:rFonts w:ascii="Garamond" w:hAnsi="Garamond"/>
                <w:b/>
                <w:bCs/>
                <w:color w:val="000000"/>
                <w:sz w:val="16"/>
                <w:szCs w:val="20"/>
              </w:rPr>
            </w:pPr>
            <w:r w:rsidRPr="00EE038F">
              <w:rPr>
                <w:rFonts w:ascii="Garamond" w:hAnsi="Garamond"/>
                <w:b/>
                <w:bCs/>
                <w:color w:val="000000"/>
                <w:sz w:val="16"/>
                <w:szCs w:val="20"/>
              </w:rPr>
              <w:t>9M 2024</w:t>
            </w:r>
          </w:p>
        </w:tc>
        <w:tc>
          <w:tcPr>
            <w:tcW w:w="1695" w:type="pct"/>
            <w:gridSpan w:val="2"/>
            <w:tcBorders>
              <w:top w:val="single" w:sz="8" w:space="0" w:color="auto"/>
              <w:left w:val="nil"/>
              <w:bottom w:val="nil"/>
              <w:right w:val="nil"/>
            </w:tcBorders>
            <w:shd w:val="clear" w:color="auto" w:fill="EDEDED"/>
            <w:tcMar>
              <w:top w:w="0" w:type="dxa"/>
              <w:left w:w="108" w:type="dxa"/>
              <w:bottom w:w="0" w:type="dxa"/>
              <w:right w:w="108" w:type="dxa"/>
            </w:tcMar>
            <w:vAlign w:val="center"/>
            <w:hideMark/>
          </w:tcPr>
          <w:p w14:paraId="16B6DA06" w14:textId="77777777" w:rsidR="00C50585" w:rsidRPr="00EE038F" w:rsidRDefault="00C50585" w:rsidP="00473C92">
            <w:pPr>
              <w:spacing w:after="0" w:line="240" w:lineRule="auto"/>
              <w:jc w:val="both"/>
              <w:rPr>
                <w:rFonts w:ascii="Garamond" w:hAnsi="Garamond"/>
                <w:b/>
                <w:bCs/>
                <w:color w:val="000000"/>
                <w:sz w:val="16"/>
                <w:szCs w:val="20"/>
              </w:rPr>
            </w:pPr>
            <w:r w:rsidRPr="00EE038F">
              <w:rPr>
                <w:rFonts w:ascii="Garamond" w:hAnsi="Garamond"/>
                <w:b/>
                <w:bCs/>
                <w:color w:val="000000"/>
                <w:sz w:val="16"/>
                <w:szCs w:val="20"/>
              </w:rPr>
              <w:t xml:space="preserve">Diferenca </w:t>
            </w:r>
          </w:p>
        </w:tc>
      </w:tr>
      <w:tr w:rsidR="00C50585" w:rsidRPr="00EE038F" w14:paraId="70E02EE2" w14:textId="77777777" w:rsidTr="005B420E">
        <w:trPr>
          <w:trHeight w:val="20"/>
          <w:jc w:val="center"/>
        </w:trPr>
        <w:tc>
          <w:tcPr>
            <w:tcW w:w="1728" w:type="pct"/>
            <w:vMerge/>
            <w:tcBorders>
              <w:top w:val="single" w:sz="8" w:space="0" w:color="auto"/>
              <w:left w:val="nil"/>
              <w:bottom w:val="single" w:sz="8" w:space="0" w:color="000000"/>
              <w:right w:val="nil"/>
            </w:tcBorders>
            <w:vAlign w:val="center"/>
            <w:hideMark/>
          </w:tcPr>
          <w:p w14:paraId="718B9874" w14:textId="77777777" w:rsidR="00C50585" w:rsidRPr="00EE038F" w:rsidRDefault="00C50585" w:rsidP="00473C92">
            <w:pPr>
              <w:spacing w:after="0" w:line="240" w:lineRule="auto"/>
              <w:jc w:val="both"/>
              <w:rPr>
                <w:rFonts w:ascii="Garamond" w:eastAsiaTheme="minorHAnsi" w:hAnsi="Garamond"/>
                <w:b/>
                <w:bCs/>
                <w:color w:val="000000"/>
                <w:sz w:val="16"/>
                <w:szCs w:val="20"/>
              </w:rPr>
            </w:pPr>
          </w:p>
        </w:tc>
        <w:tc>
          <w:tcPr>
            <w:tcW w:w="789" w:type="pct"/>
            <w:vMerge/>
            <w:tcBorders>
              <w:top w:val="single" w:sz="8" w:space="0" w:color="auto"/>
              <w:left w:val="nil"/>
              <w:bottom w:val="single" w:sz="8" w:space="0" w:color="000000"/>
              <w:right w:val="nil"/>
            </w:tcBorders>
            <w:vAlign w:val="center"/>
            <w:hideMark/>
          </w:tcPr>
          <w:p w14:paraId="13649C72" w14:textId="77777777" w:rsidR="00C50585" w:rsidRPr="00EE038F" w:rsidRDefault="00C50585" w:rsidP="00473C92">
            <w:pPr>
              <w:spacing w:after="0" w:line="240" w:lineRule="auto"/>
              <w:jc w:val="both"/>
              <w:rPr>
                <w:rFonts w:ascii="Garamond" w:eastAsiaTheme="minorHAnsi" w:hAnsi="Garamond"/>
                <w:b/>
                <w:bCs/>
                <w:color w:val="000000"/>
                <w:sz w:val="16"/>
                <w:szCs w:val="20"/>
              </w:rPr>
            </w:pPr>
          </w:p>
        </w:tc>
        <w:tc>
          <w:tcPr>
            <w:tcW w:w="789" w:type="pct"/>
            <w:vMerge/>
            <w:tcBorders>
              <w:top w:val="single" w:sz="8" w:space="0" w:color="auto"/>
              <w:left w:val="nil"/>
              <w:bottom w:val="single" w:sz="8" w:space="0" w:color="000000"/>
              <w:right w:val="nil"/>
            </w:tcBorders>
            <w:vAlign w:val="center"/>
            <w:hideMark/>
          </w:tcPr>
          <w:p w14:paraId="15D27019" w14:textId="77777777" w:rsidR="00C50585" w:rsidRPr="00EE038F" w:rsidRDefault="00C50585" w:rsidP="00473C92">
            <w:pPr>
              <w:spacing w:after="0" w:line="240" w:lineRule="auto"/>
              <w:jc w:val="both"/>
              <w:rPr>
                <w:rFonts w:ascii="Garamond" w:eastAsiaTheme="minorHAnsi" w:hAnsi="Garamond"/>
                <w:b/>
                <w:bCs/>
                <w:color w:val="000000"/>
                <w:sz w:val="16"/>
                <w:szCs w:val="20"/>
              </w:rPr>
            </w:pPr>
          </w:p>
        </w:tc>
        <w:tc>
          <w:tcPr>
            <w:tcW w:w="1695" w:type="pct"/>
            <w:gridSpan w:val="2"/>
            <w:tcBorders>
              <w:top w:val="nil"/>
              <w:left w:val="nil"/>
              <w:bottom w:val="single" w:sz="8" w:space="0" w:color="auto"/>
              <w:right w:val="nil"/>
            </w:tcBorders>
            <w:shd w:val="clear" w:color="auto" w:fill="EDEDED"/>
            <w:tcMar>
              <w:top w:w="0" w:type="dxa"/>
              <w:left w:w="108" w:type="dxa"/>
              <w:bottom w:w="0" w:type="dxa"/>
              <w:right w:w="108" w:type="dxa"/>
            </w:tcMar>
            <w:vAlign w:val="center"/>
            <w:hideMark/>
          </w:tcPr>
          <w:p w14:paraId="452328C7" w14:textId="7AE7C3C3" w:rsidR="00C50585" w:rsidRPr="00EE038F" w:rsidRDefault="00C50585" w:rsidP="00473C92">
            <w:pPr>
              <w:spacing w:after="0" w:line="240" w:lineRule="auto"/>
              <w:jc w:val="both"/>
              <w:rPr>
                <w:rFonts w:ascii="Garamond" w:hAnsi="Garamond"/>
                <w:b/>
                <w:bCs/>
                <w:color w:val="000000"/>
                <w:sz w:val="16"/>
                <w:szCs w:val="20"/>
              </w:rPr>
            </w:pPr>
            <w:r w:rsidRPr="00EE038F">
              <w:rPr>
                <w:rFonts w:ascii="Garamond" w:hAnsi="Garamond"/>
                <w:b/>
                <w:bCs/>
                <w:color w:val="000000"/>
                <w:sz w:val="16"/>
                <w:szCs w:val="20"/>
              </w:rPr>
              <w:t>Fakt/</w:t>
            </w:r>
            <w:r w:rsidR="005B420E" w:rsidRPr="00EE038F">
              <w:rPr>
                <w:rFonts w:ascii="Garamond" w:hAnsi="Garamond"/>
                <w:b/>
                <w:bCs/>
                <w:color w:val="000000"/>
                <w:sz w:val="16"/>
                <w:szCs w:val="20"/>
              </w:rPr>
              <w:t xml:space="preserve">plan </w:t>
            </w:r>
            <w:r w:rsidRPr="00EE038F">
              <w:rPr>
                <w:rFonts w:ascii="Garamond" w:hAnsi="Garamond"/>
                <w:b/>
                <w:bCs/>
                <w:color w:val="000000"/>
                <w:sz w:val="16"/>
                <w:szCs w:val="20"/>
              </w:rPr>
              <w:t>Fillestar</w:t>
            </w:r>
            <w:r w:rsidR="00AD3D9C" w:rsidRPr="00EE038F">
              <w:rPr>
                <w:rFonts w:ascii="Garamond" w:hAnsi="Garamond"/>
                <w:b/>
                <w:bCs/>
                <w:color w:val="000000"/>
                <w:sz w:val="16"/>
                <w:szCs w:val="20"/>
              </w:rPr>
              <w:t xml:space="preserve"> </w:t>
            </w:r>
            <w:r w:rsidRPr="00EE038F">
              <w:rPr>
                <w:rFonts w:ascii="Garamond" w:hAnsi="Garamond"/>
                <w:b/>
                <w:bCs/>
                <w:color w:val="000000"/>
                <w:sz w:val="16"/>
                <w:szCs w:val="20"/>
              </w:rPr>
              <w:t>9M 2024</w:t>
            </w:r>
          </w:p>
        </w:tc>
      </w:tr>
      <w:tr w:rsidR="00C50585" w:rsidRPr="00EE038F" w14:paraId="621134C1" w14:textId="77777777" w:rsidTr="005B420E">
        <w:trPr>
          <w:trHeight w:val="20"/>
          <w:jc w:val="center"/>
        </w:trPr>
        <w:tc>
          <w:tcPr>
            <w:tcW w:w="1728" w:type="pct"/>
            <w:vMerge/>
            <w:tcBorders>
              <w:top w:val="single" w:sz="8" w:space="0" w:color="auto"/>
              <w:left w:val="nil"/>
              <w:bottom w:val="single" w:sz="8" w:space="0" w:color="000000"/>
              <w:right w:val="nil"/>
            </w:tcBorders>
            <w:vAlign w:val="center"/>
            <w:hideMark/>
          </w:tcPr>
          <w:p w14:paraId="63739713" w14:textId="77777777" w:rsidR="00C50585" w:rsidRPr="00EE038F" w:rsidRDefault="00C50585" w:rsidP="00473C92">
            <w:pPr>
              <w:spacing w:after="0" w:line="240" w:lineRule="auto"/>
              <w:jc w:val="both"/>
              <w:rPr>
                <w:rFonts w:ascii="Garamond" w:eastAsiaTheme="minorHAnsi" w:hAnsi="Garamond"/>
                <w:b/>
                <w:bCs/>
                <w:color w:val="000000"/>
                <w:sz w:val="16"/>
                <w:szCs w:val="20"/>
              </w:rPr>
            </w:pPr>
          </w:p>
        </w:tc>
        <w:tc>
          <w:tcPr>
            <w:tcW w:w="789" w:type="pct"/>
            <w:vMerge/>
            <w:tcBorders>
              <w:top w:val="single" w:sz="8" w:space="0" w:color="auto"/>
              <w:left w:val="nil"/>
              <w:bottom w:val="single" w:sz="8" w:space="0" w:color="000000"/>
              <w:right w:val="nil"/>
            </w:tcBorders>
            <w:vAlign w:val="center"/>
            <w:hideMark/>
          </w:tcPr>
          <w:p w14:paraId="6477A139" w14:textId="77777777" w:rsidR="00C50585" w:rsidRPr="00EE038F" w:rsidRDefault="00C50585" w:rsidP="00473C92">
            <w:pPr>
              <w:spacing w:after="0" w:line="240" w:lineRule="auto"/>
              <w:jc w:val="both"/>
              <w:rPr>
                <w:rFonts w:ascii="Garamond" w:eastAsiaTheme="minorHAnsi" w:hAnsi="Garamond"/>
                <w:b/>
                <w:bCs/>
                <w:color w:val="000000"/>
                <w:sz w:val="16"/>
                <w:szCs w:val="20"/>
              </w:rPr>
            </w:pPr>
          </w:p>
        </w:tc>
        <w:tc>
          <w:tcPr>
            <w:tcW w:w="789" w:type="pct"/>
            <w:vMerge/>
            <w:tcBorders>
              <w:top w:val="single" w:sz="8" w:space="0" w:color="auto"/>
              <w:left w:val="nil"/>
              <w:bottom w:val="single" w:sz="8" w:space="0" w:color="000000"/>
              <w:right w:val="nil"/>
            </w:tcBorders>
            <w:vAlign w:val="center"/>
            <w:hideMark/>
          </w:tcPr>
          <w:p w14:paraId="5C70E212" w14:textId="77777777" w:rsidR="00C50585" w:rsidRPr="00EE038F" w:rsidRDefault="00C50585" w:rsidP="00473C92">
            <w:pPr>
              <w:spacing w:after="0" w:line="240" w:lineRule="auto"/>
              <w:jc w:val="both"/>
              <w:rPr>
                <w:rFonts w:ascii="Garamond" w:eastAsiaTheme="minorHAnsi" w:hAnsi="Garamond"/>
                <w:b/>
                <w:bCs/>
                <w:color w:val="000000"/>
                <w:sz w:val="16"/>
                <w:szCs w:val="20"/>
              </w:rPr>
            </w:pPr>
          </w:p>
        </w:tc>
        <w:tc>
          <w:tcPr>
            <w:tcW w:w="789" w:type="pct"/>
            <w:tcBorders>
              <w:top w:val="nil"/>
              <w:left w:val="nil"/>
              <w:bottom w:val="single" w:sz="8" w:space="0" w:color="auto"/>
              <w:right w:val="nil"/>
            </w:tcBorders>
            <w:shd w:val="clear" w:color="auto" w:fill="EDEDED"/>
            <w:tcMar>
              <w:top w:w="0" w:type="dxa"/>
              <w:left w:w="108" w:type="dxa"/>
              <w:bottom w:w="0" w:type="dxa"/>
              <w:right w:w="108" w:type="dxa"/>
            </w:tcMar>
            <w:vAlign w:val="center"/>
            <w:hideMark/>
          </w:tcPr>
          <w:p w14:paraId="719DA8A0" w14:textId="77777777" w:rsidR="00C50585" w:rsidRPr="00EE038F" w:rsidRDefault="00C50585" w:rsidP="00473C92">
            <w:pPr>
              <w:spacing w:after="0" w:line="240" w:lineRule="auto"/>
              <w:jc w:val="both"/>
              <w:rPr>
                <w:rFonts w:ascii="Garamond" w:hAnsi="Garamond"/>
                <w:b/>
                <w:bCs/>
                <w:color w:val="000000"/>
                <w:sz w:val="16"/>
                <w:szCs w:val="20"/>
              </w:rPr>
            </w:pPr>
            <w:r w:rsidRPr="00EE038F">
              <w:rPr>
                <w:rFonts w:ascii="Garamond" w:hAnsi="Garamond"/>
                <w:b/>
                <w:bCs/>
                <w:color w:val="000000"/>
                <w:sz w:val="16"/>
                <w:szCs w:val="20"/>
              </w:rPr>
              <w:t>Në vlerë</w:t>
            </w:r>
          </w:p>
        </w:tc>
        <w:tc>
          <w:tcPr>
            <w:tcW w:w="906" w:type="pct"/>
            <w:tcBorders>
              <w:top w:val="nil"/>
              <w:left w:val="nil"/>
              <w:bottom w:val="single" w:sz="8" w:space="0" w:color="auto"/>
              <w:right w:val="nil"/>
            </w:tcBorders>
            <w:shd w:val="clear" w:color="auto" w:fill="EDEDED"/>
            <w:tcMar>
              <w:top w:w="0" w:type="dxa"/>
              <w:left w:w="108" w:type="dxa"/>
              <w:bottom w:w="0" w:type="dxa"/>
              <w:right w:w="108" w:type="dxa"/>
            </w:tcMar>
            <w:vAlign w:val="center"/>
            <w:hideMark/>
          </w:tcPr>
          <w:p w14:paraId="485AE508" w14:textId="77777777" w:rsidR="00C50585" w:rsidRPr="00EE038F" w:rsidRDefault="00C50585" w:rsidP="00473C92">
            <w:pPr>
              <w:spacing w:after="0" w:line="240" w:lineRule="auto"/>
              <w:jc w:val="both"/>
              <w:rPr>
                <w:rFonts w:ascii="Garamond" w:hAnsi="Garamond"/>
                <w:b/>
                <w:bCs/>
                <w:color w:val="000000"/>
                <w:sz w:val="16"/>
                <w:szCs w:val="20"/>
              </w:rPr>
            </w:pPr>
            <w:r w:rsidRPr="00EE038F">
              <w:rPr>
                <w:rFonts w:ascii="Garamond" w:hAnsi="Garamond"/>
                <w:b/>
                <w:bCs/>
                <w:color w:val="000000"/>
                <w:sz w:val="16"/>
                <w:szCs w:val="20"/>
              </w:rPr>
              <w:t>%</w:t>
            </w:r>
          </w:p>
        </w:tc>
      </w:tr>
      <w:tr w:rsidR="00C50585" w:rsidRPr="00EE038F" w14:paraId="582E2D5D" w14:textId="77777777" w:rsidTr="005B420E">
        <w:trPr>
          <w:trHeight w:val="20"/>
          <w:jc w:val="center"/>
        </w:trPr>
        <w:tc>
          <w:tcPr>
            <w:tcW w:w="1728" w:type="pct"/>
            <w:shd w:val="clear" w:color="auto" w:fill="FFFFFF"/>
            <w:tcMar>
              <w:top w:w="0" w:type="dxa"/>
              <w:left w:w="108" w:type="dxa"/>
              <w:bottom w:w="0" w:type="dxa"/>
              <w:right w:w="108" w:type="dxa"/>
            </w:tcMar>
            <w:vAlign w:val="center"/>
            <w:hideMark/>
          </w:tcPr>
          <w:p w14:paraId="4921A994" w14:textId="52B98B1F" w:rsidR="00C50585" w:rsidRPr="00EE038F" w:rsidRDefault="00C50585" w:rsidP="00473C92">
            <w:pPr>
              <w:spacing w:after="0" w:line="240" w:lineRule="auto"/>
              <w:jc w:val="both"/>
              <w:rPr>
                <w:rFonts w:ascii="Garamond" w:hAnsi="Garamond"/>
                <w:color w:val="000000"/>
                <w:sz w:val="16"/>
                <w:szCs w:val="20"/>
              </w:rPr>
            </w:pPr>
            <w:r w:rsidRPr="00EE038F">
              <w:rPr>
                <w:rFonts w:ascii="Garamond" w:hAnsi="Garamond"/>
                <w:color w:val="000000"/>
                <w:sz w:val="16"/>
                <w:szCs w:val="20"/>
              </w:rPr>
              <w:t xml:space="preserve">Totali i </w:t>
            </w:r>
            <w:r w:rsidR="005B420E" w:rsidRPr="00EE038F">
              <w:rPr>
                <w:rFonts w:ascii="Garamond" w:hAnsi="Garamond"/>
                <w:color w:val="000000"/>
                <w:sz w:val="16"/>
                <w:szCs w:val="20"/>
              </w:rPr>
              <w:t>TVSH</w:t>
            </w:r>
            <w:r w:rsidRPr="00EE038F">
              <w:rPr>
                <w:rFonts w:ascii="Garamond" w:hAnsi="Garamond"/>
                <w:color w:val="000000"/>
                <w:sz w:val="16"/>
                <w:szCs w:val="20"/>
              </w:rPr>
              <w:t xml:space="preserve">-së neto </w:t>
            </w:r>
          </w:p>
        </w:tc>
        <w:tc>
          <w:tcPr>
            <w:tcW w:w="789" w:type="pct"/>
            <w:shd w:val="clear" w:color="auto" w:fill="FFFFFF"/>
            <w:tcMar>
              <w:top w:w="0" w:type="dxa"/>
              <w:left w:w="108" w:type="dxa"/>
              <w:bottom w:w="0" w:type="dxa"/>
              <w:right w:w="108" w:type="dxa"/>
            </w:tcMar>
            <w:vAlign w:val="center"/>
            <w:hideMark/>
          </w:tcPr>
          <w:p w14:paraId="2B7367F6"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43,006</w:t>
            </w:r>
          </w:p>
        </w:tc>
        <w:tc>
          <w:tcPr>
            <w:tcW w:w="789" w:type="pct"/>
            <w:shd w:val="clear" w:color="auto" w:fill="FFFFFF"/>
            <w:tcMar>
              <w:top w:w="0" w:type="dxa"/>
              <w:left w:w="108" w:type="dxa"/>
              <w:bottom w:w="0" w:type="dxa"/>
              <w:right w:w="108" w:type="dxa"/>
            </w:tcMar>
            <w:vAlign w:val="center"/>
            <w:hideMark/>
          </w:tcPr>
          <w:p w14:paraId="05681001"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41,513</w:t>
            </w:r>
          </w:p>
        </w:tc>
        <w:tc>
          <w:tcPr>
            <w:tcW w:w="789" w:type="pct"/>
            <w:shd w:val="clear" w:color="auto" w:fill="FFFFFF"/>
            <w:tcMar>
              <w:top w:w="0" w:type="dxa"/>
              <w:left w:w="108" w:type="dxa"/>
              <w:bottom w:w="0" w:type="dxa"/>
              <w:right w:w="108" w:type="dxa"/>
            </w:tcMar>
            <w:vAlign w:val="center"/>
            <w:hideMark/>
          </w:tcPr>
          <w:p w14:paraId="043A9C5B"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1,493</w:t>
            </w:r>
          </w:p>
        </w:tc>
        <w:tc>
          <w:tcPr>
            <w:tcW w:w="906" w:type="pct"/>
            <w:shd w:val="clear" w:color="auto" w:fill="FFFFFF"/>
            <w:tcMar>
              <w:top w:w="0" w:type="dxa"/>
              <w:left w:w="108" w:type="dxa"/>
              <w:bottom w:w="0" w:type="dxa"/>
              <w:right w:w="108" w:type="dxa"/>
            </w:tcMar>
            <w:vAlign w:val="center"/>
            <w:hideMark/>
          </w:tcPr>
          <w:p w14:paraId="578D060E"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3.6%</w:t>
            </w:r>
          </w:p>
        </w:tc>
      </w:tr>
      <w:tr w:rsidR="00C50585" w:rsidRPr="00EE038F" w14:paraId="0CFC78FA" w14:textId="77777777" w:rsidTr="005B420E">
        <w:trPr>
          <w:trHeight w:val="20"/>
          <w:jc w:val="center"/>
        </w:trPr>
        <w:tc>
          <w:tcPr>
            <w:tcW w:w="1728" w:type="pct"/>
            <w:shd w:val="clear" w:color="auto" w:fill="FFFFFF"/>
            <w:tcMar>
              <w:top w:w="0" w:type="dxa"/>
              <w:left w:w="108" w:type="dxa"/>
              <w:bottom w:w="0" w:type="dxa"/>
              <w:right w:w="108" w:type="dxa"/>
            </w:tcMar>
            <w:vAlign w:val="center"/>
            <w:hideMark/>
          </w:tcPr>
          <w:p w14:paraId="7E8F204C" w14:textId="3178703E" w:rsidR="00C50585" w:rsidRPr="00EE038F" w:rsidRDefault="00C50585" w:rsidP="00473C92">
            <w:pPr>
              <w:spacing w:after="0" w:line="240" w:lineRule="auto"/>
              <w:jc w:val="both"/>
              <w:rPr>
                <w:rFonts w:ascii="Garamond" w:hAnsi="Garamond"/>
                <w:i/>
                <w:iCs/>
                <w:color w:val="000000"/>
                <w:sz w:val="16"/>
                <w:szCs w:val="20"/>
              </w:rPr>
            </w:pPr>
            <w:r w:rsidRPr="00EE038F">
              <w:rPr>
                <w:rFonts w:ascii="Garamond" w:hAnsi="Garamond"/>
                <w:i/>
                <w:iCs/>
                <w:color w:val="000000"/>
                <w:sz w:val="16"/>
                <w:szCs w:val="20"/>
              </w:rPr>
              <w:t xml:space="preserve">Rimbursimi i </w:t>
            </w:r>
            <w:r w:rsidR="005B420E" w:rsidRPr="00EE038F">
              <w:rPr>
                <w:rFonts w:ascii="Garamond" w:hAnsi="Garamond"/>
                <w:i/>
                <w:iCs/>
                <w:color w:val="000000"/>
                <w:sz w:val="16"/>
                <w:szCs w:val="20"/>
              </w:rPr>
              <w:t>TVSH</w:t>
            </w:r>
            <w:r w:rsidRPr="00EE038F">
              <w:rPr>
                <w:rFonts w:ascii="Garamond" w:hAnsi="Garamond"/>
                <w:i/>
                <w:iCs/>
                <w:color w:val="000000"/>
                <w:sz w:val="16"/>
                <w:szCs w:val="20"/>
              </w:rPr>
              <w:t>-së</w:t>
            </w:r>
          </w:p>
        </w:tc>
        <w:tc>
          <w:tcPr>
            <w:tcW w:w="789" w:type="pct"/>
            <w:shd w:val="clear" w:color="auto" w:fill="FFFFFF"/>
            <w:tcMar>
              <w:top w:w="0" w:type="dxa"/>
              <w:left w:w="108" w:type="dxa"/>
              <w:bottom w:w="0" w:type="dxa"/>
              <w:right w:w="108" w:type="dxa"/>
            </w:tcMar>
            <w:vAlign w:val="center"/>
            <w:hideMark/>
          </w:tcPr>
          <w:p w14:paraId="53D709CE"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19,094</w:t>
            </w:r>
          </w:p>
        </w:tc>
        <w:tc>
          <w:tcPr>
            <w:tcW w:w="789" w:type="pct"/>
            <w:shd w:val="clear" w:color="auto" w:fill="FFFFFF"/>
            <w:tcMar>
              <w:top w:w="0" w:type="dxa"/>
              <w:left w:w="108" w:type="dxa"/>
              <w:bottom w:w="0" w:type="dxa"/>
              <w:right w:w="108" w:type="dxa"/>
            </w:tcMar>
            <w:vAlign w:val="center"/>
            <w:hideMark/>
          </w:tcPr>
          <w:p w14:paraId="7BA009F6"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13,300</w:t>
            </w:r>
          </w:p>
        </w:tc>
        <w:tc>
          <w:tcPr>
            <w:tcW w:w="789" w:type="pct"/>
            <w:shd w:val="clear" w:color="auto" w:fill="FFFFFF"/>
            <w:tcMar>
              <w:top w:w="0" w:type="dxa"/>
              <w:left w:w="108" w:type="dxa"/>
              <w:bottom w:w="0" w:type="dxa"/>
              <w:right w:w="108" w:type="dxa"/>
            </w:tcMar>
            <w:vAlign w:val="center"/>
            <w:hideMark/>
          </w:tcPr>
          <w:p w14:paraId="45AB124F"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5,794</w:t>
            </w:r>
          </w:p>
        </w:tc>
        <w:tc>
          <w:tcPr>
            <w:tcW w:w="906" w:type="pct"/>
            <w:shd w:val="clear" w:color="auto" w:fill="FFFFFF"/>
            <w:tcMar>
              <w:top w:w="0" w:type="dxa"/>
              <w:left w:w="108" w:type="dxa"/>
              <w:bottom w:w="0" w:type="dxa"/>
              <w:right w:w="108" w:type="dxa"/>
            </w:tcMar>
            <w:vAlign w:val="center"/>
            <w:hideMark/>
          </w:tcPr>
          <w:p w14:paraId="4EEA48ED"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43.6%</w:t>
            </w:r>
          </w:p>
        </w:tc>
      </w:tr>
      <w:tr w:rsidR="00C50585" w:rsidRPr="00EE038F" w14:paraId="45F941F6" w14:textId="77777777" w:rsidTr="005B420E">
        <w:trPr>
          <w:trHeight w:val="20"/>
          <w:jc w:val="center"/>
        </w:trPr>
        <w:tc>
          <w:tcPr>
            <w:tcW w:w="1728" w:type="pct"/>
            <w:shd w:val="clear" w:color="auto" w:fill="FFFFFF"/>
            <w:tcMar>
              <w:top w:w="0" w:type="dxa"/>
              <w:left w:w="108" w:type="dxa"/>
              <w:bottom w:w="0" w:type="dxa"/>
              <w:right w:w="108" w:type="dxa"/>
            </w:tcMar>
            <w:vAlign w:val="center"/>
            <w:hideMark/>
          </w:tcPr>
          <w:p w14:paraId="4CB9D03B" w14:textId="77777777" w:rsidR="00C50585" w:rsidRPr="00EE038F" w:rsidRDefault="00C50585" w:rsidP="00473C92">
            <w:pPr>
              <w:spacing w:after="0" w:line="240" w:lineRule="auto"/>
              <w:jc w:val="both"/>
              <w:rPr>
                <w:rFonts w:ascii="Garamond" w:hAnsi="Garamond"/>
                <w:color w:val="000000"/>
                <w:sz w:val="16"/>
                <w:szCs w:val="20"/>
              </w:rPr>
            </w:pPr>
            <w:r w:rsidRPr="00EE038F">
              <w:rPr>
                <w:rFonts w:ascii="Garamond" w:hAnsi="Garamond"/>
                <w:color w:val="000000"/>
                <w:sz w:val="16"/>
                <w:szCs w:val="20"/>
              </w:rPr>
              <w:t>Tatimi mbi fitimin</w:t>
            </w:r>
          </w:p>
        </w:tc>
        <w:tc>
          <w:tcPr>
            <w:tcW w:w="789" w:type="pct"/>
            <w:shd w:val="clear" w:color="auto" w:fill="FFFFFF"/>
            <w:tcMar>
              <w:top w:w="0" w:type="dxa"/>
              <w:left w:w="108" w:type="dxa"/>
              <w:bottom w:w="0" w:type="dxa"/>
              <w:right w:w="108" w:type="dxa"/>
            </w:tcMar>
            <w:vAlign w:val="center"/>
            <w:hideMark/>
          </w:tcPr>
          <w:p w14:paraId="0F76573B"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43,364</w:t>
            </w:r>
          </w:p>
        </w:tc>
        <w:tc>
          <w:tcPr>
            <w:tcW w:w="789" w:type="pct"/>
            <w:shd w:val="clear" w:color="auto" w:fill="FFFFFF"/>
            <w:tcMar>
              <w:top w:w="0" w:type="dxa"/>
              <w:left w:w="108" w:type="dxa"/>
              <w:bottom w:w="0" w:type="dxa"/>
              <w:right w:w="108" w:type="dxa"/>
            </w:tcMar>
            <w:vAlign w:val="center"/>
            <w:hideMark/>
          </w:tcPr>
          <w:p w14:paraId="49FD2635"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39,210</w:t>
            </w:r>
          </w:p>
        </w:tc>
        <w:tc>
          <w:tcPr>
            <w:tcW w:w="789" w:type="pct"/>
            <w:shd w:val="clear" w:color="auto" w:fill="FFFFFF"/>
            <w:tcMar>
              <w:top w:w="0" w:type="dxa"/>
              <w:left w:w="108" w:type="dxa"/>
              <w:bottom w:w="0" w:type="dxa"/>
              <w:right w:w="108" w:type="dxa"/>
            </w:tcMar>
            <w:vAlign w:val="center"/>
            <w:hideMark/>
          </w:tcPr>
          <w:p w14:paraId="0FAFACCD"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4,154</w:t>
            </w:r>
          </w:p>
        </w:tc>
        <w:tc>
          <w:tcPr>
            <w:tcW w:w="906" w:type="pct"/>
            <w:shd w:val="clear" w:color="auto" w:fill="FFFFFF"/>
            <w:tcMar>
              <w:top w:w="0" w:type="dxa"/>
              <w:left w:w="108" w:type="dxa"/>
              <w:bottom w:w="0" w:type="dxa"/>
              <w:right w:w="108" w:type="dxa"/>
            </w:tcMar>
            <w:vAlign w:val="center"/>
            <w:hideMark/>
          </w:tcPr>
          <w:p w14:paraId="6184FD60"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10.6%</w:t>
            </w:r>
          </w:p>
        </w:tc>
      </w:tr>
      <w:tr w:rsidR="00C50585" w:rsidRPr="00EE038F" w14:paraId="1D6E616D" w14:textId="77777777" w:rsidTr="005B420E">
        <w:trPr>
          <w:trHeight w:val="20"/>
          <w:jc w:val="center"/>
        </w:trPr>
        <w:tc>
          <w:tcPr>
            <w:tcW w:w="1728" w:type="pct"/>
            <w:shd w:val="clear" w:color="auto" w:fill="FFFFFF"/>
            <w:tcMar>
              <w:top w:w="0" w:type="dxa"/>
              <w:left w:w="108" w:type="dxa"/>
              <w:bottom w:w="0" w:type="dxa"/>
              <w:right w:w="108" w:type="dxa"/>
            </w:tcMar>
            <w:vAlign w:val="center"/>
            <w:hideMark/>
          </w:tcPr>
          <w:p w14:paraId="06645E66" w14:textId="77777777" w:rsidR="00C50585" w:rsidRPr="00EE038F" w:rsidRDefault="00C50585" w:rsidP="00473C92">
            <w:pPr>
              <w:spacing w:after="0" w:line="240" w:lineRule="auto"/>
              <w:jc w:val="both"/>
              <w:rPr>
                <w:rFonts w:ascii="Garamond" w:hAnsi="Garamond"/>
                <w:color w:val="000000"/>
                <w:sz w:val="16"/>
                <w:szCs w:val="20"/>
              </w:rPr>
            </w:pPr>
            <w:r w:rsidRPr="00EE038F">
              <w:rPr>
                <w:rFonts w:ascii="Garamond" w:hAnsi="Garamond"/>
                <w:color w:val="000000"/>
                <w:sz w:val="16"/>
                <w:szCs w:val="20"/>
              </w:rPr>
              <w:t>Tatimi mbi të ardhurat personale</w:t>
            </w:r>
          </w:p>
        </w:tc>
        <w:tc>
          <w:tcPr>
            <w:tcW w:w="789" w:type="pct"/>
            <w:shd w:val="clear" w:color="auto" w:fill="FFFFFF"/>
            <w:tcMar>
              <w:top w:w="0" w:type="dxa"/>
              <w:left w:w="108" w:type="dxa"/>
              <w:bottom w:w="0" w:type="dxa"/>
              <w:right w:w="108" w:type="dxa"/>
            </w:tcMar>
            <w:vAlign w:val="center"/>
            <w:hideMark/>
          </w:tcPr>
          <w:p w14:paraId="53863556"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49,825</w:t>
            </w:r>
          </w:p>
        </w:tc>
        <w:tc>
          <w:tcPr>
            <w:tcW w:w="789" w:type="pct"/>
            <w:shd w:val="clear" w:color="auto" w:fill="FFFFFF"/>
            <w:tcMar>
              <w:top w:w="0" w:type="dxa"/>
              <w:left w:w="108" w:type="dxa"/>
              <w:bottom w:w="0" w:type="dxa"/>
              <w:right w:w="108" w:type="dxa"/>
            </w:tcMar>
            <w:vAlign w:val="center"/>
            <w:hideMark/>
          </w:tcPr>
          <w:p w14:paraId="5EB90C9E"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49,357</w:t>
            </w:r>
          </w:p>
        </w:tc>
        <w:tc>
          <w:tcPr>
            <w:tcW w:w="789" w:type="pct"/>
            <w:shd w:val="clear" w:color="auto" w:fill="FFFFFF"/>
            <w:tcMar>
              <w:top w:w="0" w:type="dxa"/>
              <w:left w:w="108" w:type="dxa"/>
              <w:bottom w:w="0" w:type="dxa"/>
              <w:right w:w="108" w:type="dxa"/>
            </w:tcMar>
            <w:vAlign w:val="center"/>
            <w:hideMark/>
          </w:tcPr>
          <w:p w14:paraId="7C25E435"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468</w:t>
            </w:r>
          </w:p>
        </w:tc>
        <w:tc>
          <w:tcPr>
            <w:tcW w:w="906" w:type="pct"/>
            <w:shd w:val="clear" w:color="auto" w:fill="FFFFFF"/>
            <w:tcMar>
              <w:top w:w="0" w:type="dxa"/>
              <w:left w:w="108" w:type="dxa"/>
              <w:bottom w:w="0" w:type="dxa"/>
              <w:right w:w="108" w:type="dxa"/>
            </w:tcMar>
            <w:vAlign w:val="center"/>
            <w:hideMark/>
          </w:tcPr>
          <w:p w14:paraId="54B0CB26"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0.9%</w:t>
            </w:r>
          </w:p>
        </w:tc>
      </w:tr>
      <w:tr w:rsidR="00C50585" w:rsidRPr="00EE038F" w14:paraId="149B9151" w14:textId="77777777" w:rsidTr="005B420E">
        <w:trPr>
          <w:trHeight w:val="20"/>
          <w:jc w:val="center"/>
        </w:trPr>
        <w:tc>
          <w:tcPr>
            <w:tcW w:w="1728" w:type="pct"/>
            <w:shd w:val="clear" w:color="auto" w:fill="FFFFFF"/>
            <w:tcMar>
              <w:top w:w="0" w:type="dxa"/>
              <w:left w:w="108" w:type="dxa"/>
              <w:bottom w:w="0" w:type="dxa"/>
              <w:right w:w="108" w:type="dxa"/>
            </w:tcMar>
            <w:vAlign w:val="center"/>
            <w:hideMark/>
          </w:tcPr>
          <w:p w14:paraId="2E9C464D" w14:textId="49FD4D8A" w:rsidR="00C50585" w:rsidRPr="00EE038F" w:rsidRDefault="00C50585" w:rsidP="00473C92">
            <w:pPr>
              <w:spacing w:after="0" w:line="240" w:lineRule="auto"/>
              <w:jc w:val="both"/>
              <w:rPr>
                <w:rFonts w:ascii="Garamond" w:hAnsi="Garamond"/>
                <w:color w:val="000000"/>
                <w:sz w:val="16"/>
                <w:szCs w:val="20"/>
              </w:rPr>
            </w:pPr>
            <w:r w:rsidRPr="00EE038F">
              <w:rPr>
                <w:rFonts w:ascii="Garamond" w:hAnsi="Garamond"/>
                <w:color w:val="000000"/>
                <w:sz w:val="16"/>
                <w:szCs w:val="20"/>
              </w:rPr>
              <w:t xml:space="preserve">Taksa </w:t>
            </w:r>
            <w:r w:rsidR="00DD723E" w:rsidRPr="00EE038F">
              <w:rPr>
                <w:rFonts w:ascii="Garamond" w:hAnsi="Garamond"/>
                <w:color w:val="000000"/>
                <w:sz w:val="16"/>
                <w:szCs w:val="20"/>
              </w:rPr>
              <w:t xml:space="preserve">kombëtare </w:t>
            </w:r>
          </w:p>
        </w:tc>
        <w:tc>
          <w:tcPr>
            <w:tcW w:w="789" w:type="pct"/>
            <w:shd w:val="clear" w:color="auto" w:fill="FFFFFF"/>
            <w:tcMar>
              <w:top w:w="0" w:type="dxa"/>
              <w:left w:w="108" w:type="dxa"/>
              <w:bottom w:w="0" w:type="dxa"/>
              <w:right w:w="108" w:type="dxa"/>
            </w:tcMar>
            <w:vAlign w:val="center"/>
            <w:hideMark/>
          </w:tcPr>
          <w:p w14:paraId="3C41B830"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34,440</w:t>
            </w:r>
          </w:p>
        </w:tc>
        <w:tc>
          <w:tcPr>
            <w:tcW w:w="789" w:type="pct"/>
            <w:shd w:val="clear" w:color="auto" w:fill="FFFFFF"/>
            <w:tcMar>
              <w:top w:w="0" w:type="dxa"/>
              <w:left w:w="108" w:type="dxa"/>
              <w:bottom w:w="0" w:type="dxa"/>
              <w:right w:w="108" w:type="dxa"/>
            </w:tcMar>
            <w:vAlign w:val="center"/>
            <w:hideMark/>
          </w:tcPr>
          <w:p w14:paraId="4043D677"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31,140</w:t>
            </w:r>
          </w:p>
        </w:tc>
        <w:tc>
          <w:tcPr>
            <w:tcW w:w="789" w:type="pct"/>
            <w:shd w:val="clear" w:color="auto" w:fill="FFFFFF"/>
            <w:tcMar>
              <w:top w:w="0" w:type="dxa"/>
              <w:left w:w="108" w:type="dxa"/>
              <w:bottom w:w="0" w:type="dxa"/>
              <w:right w:w="108" w:type="dxa"/>
            </w:tcMar>
            <w:vAlign w:val="center"/>
            <w:hideMark/>
          </w:tcPr>
          <w:p w14:paraId="05876295"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3,300</w:t>
            </w:r>
          </w:p>
        </w:tc>
        <w:tc>
          <w:tcPr>
            <w:tcW w:w="906" w:type="pct"/>
            <w:shd w:val="clear" w:color="auto" w:fill="FFFFFF"/>
            <w:tcMar>
              <w:top w:w="0" w:type="dxa"/>
              <w:left w:w="108" w:type="dxa"/>
              <w:bottom w:w="0" w:type="dxa"/>
              <w:right w:w="108" w:type="dxa"/>
            </w:tcMar>
            <w:vAlign w:val="center"/>
            <w:hideMark/>
          </w:tcPr>
          <w:p w14:paraId="35DDAF51"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10.6%</w:t>
            </w:r>
          </w:p>
        </w:tc>
      </w:tr>
      <w:tr w:rsidR="00C50585" w:rsidRPr="00EE038F" w14:paraId="72B1E10C" w14:textId="77777777" w:rsidTr="005B420E">
        <w:trPr>
          <w:trHeight w:val="20"/>
          <w:jc w:val="center"/>
        </w:trPr>
        <w:tc>
          <w:tcPr>
            <w:tcW w:w="1728" w:type="pct"/>
            <w:shd w:val="clear" w:color="auto" w:fill="EDEDED"/>
            <w:tcMar>
              <w:top w:w="0" w:type="dxa"/>
              <w:left w:w="108" w:type="dxa"/>
              <w:bottom w:w="0" w:type="dxa"/>
              <w:right w:w="108" w:type="dxa"/>
            </w:tcMar>
            <w:vAlign w:val="center"/>
            <w:hideMark/>
          </w:tcPr>
          <w:p w14:paraId="2F229091" w14:textId="77777777" w:rsidR="00C50585" w:rsidRPr="00EE038F" w:rsidRDefault="00C50585" w:rsidP="00473C92">
            <w:pPr>
              <w:spacing w:after="0" w:line="240" w:lineRule="auto"/>
              <w:jc w:val="both"/>
              <w:rPr>
                <w:rFonts w:ascii="Garamond" w:hAnsi="Garamond"/>
                <w:b/>
                <w:bCs/>
                <w:color w:val="000000"/>
                <w:sz w:val="16"/>
                <w:szCs w:val="20"/>
              </w:rPr>
            </w:pPr>
            <w:r w:rsidRPr="00EE038F">
              <w:rPr>
                <w:rFonts w:ascii="Garamond" w:hAnsi="Garamond"/>
                <w:b/>
                <w:bCs/>
                <w:color w:val="000000"/>
                <w:sz w:val="16"/>
                <w:szCs w:val="20"/>
              </w:rPr>
              <w:t xml:space="preserve">Totali pa kontribute </w:t>
            </w:r>
          </w:p>
        </w:tc>
        <w:tc>
          <w:tcPr>
            <w:tcW w:w="789" w:type="pct"/>
            <w:shd w:val="clear" w:color="auto" w:fill="F2F2F2"/>
            <w:tcMar>
              <w:top w:w="0" w:type="dxa"/>
              <w:left w:w="108" w:type="dxa"/>
              <w:bottom w:w="0" w:type="dxa"/>
              <w:right w:w="108" w:type="dxa"/>
            </w:tcMar>
            <w:vAlign w:val="center"/>
            <w:hideMark/>
          </w:tcPr>
          <w:p w14:paraId="5C10D0BB" w14:textId="77777777" w:rsidR="00C50585" w:rsidRPr="00EE038F" w:rsidRDefault="00C50585" w:rsidP="002B389E">
            <w:pPr>
              <w:spacing w:after="0" w:line="240" w:lineRule="auto"/>
              <w:jc w:val="right"/>
              <w:rPr>
                <w:rFonts w:ascii="Garamond" w:hAnsi="Garamond"/>
                <w:b/>
                <w:bCs/>
                <w:color w:val="000000"/>
                <w:sz w:val="16"/>
                <w:szCs w:val="20"/>
              </w:rPr>
            </w:pPr>
            <w:r w:rsidRPr="00EE038F">
              <w:rPr>
                <w:rFonts w:ascii="Garamond" w:hAnsi="Garamond"/>
                <w:b/>
                <w:bCs/>
                <w:color w:val="000000"/>
                <w:sz w:val="16"/>
                <w:szCs w:val="20"/>
              </w:rPr>
              <w:t>170,635</w:t>
            </w:r>
          </w:p>
        </w:tc>
        <w:tc>
          <w:tcPr>
            <w:tcW w:w="789" w:type="pct"/>
            <w:shd w:val="clear" w:color="auto" w:fill="F2F2F2"/>
            <w:tcMar>
              <w:top w:w="0" w:type="dxa"/>
              <w:left w:w="108" w:type="dxa"/>
              <w:bottom w:w="0" w:type="dxa"/>
              <w:right w:w="108" w:type="dxa"/>
            </w:tcMar>
            <w:vAlign w:val="center"/>
            <w:hideMark/>
          </w:tcPr>
          <w:p w14:paraId="0C248FC5" w14:textId="77777777" w:rsidR="00C50585" w:rsidRPr="00EE038F" w:rsidRDefault="00C50585" w:rsidP="002B389E">
            <w:pPr>
              <w:spacing w:after="0" w:line="240" w:lineRule="auto"/>
              <w:jc w:val="right"/>
              <w:rPr>
                <w:rFonts w:ascii="Garamond" w:hAnsi="Garamond"/>
                <w:b/>
                <w:bCs/>
                <w:color w:val="000000"/>
                <w:sz w:val="16"/>
                <w:szCs w:val="20"/>
              </w:rPr>
            </w:pPr>
            <w:r w:rsidRPr="00EE038F">
              <w:rPr>
                <w:rFonts w:ascii="Garamond" w:hAnsi="Garamond"/>
                <w:b/>
                <w:bCs/>
                <w:color w:val="000000"/>
                <w:sz w:val="16"/>
                <w:szCs w:val="20"/>
              </w:rPr>
              <w:t>161,220</w:t>
            </w:r>
          </w:p>
        </w:tc>
        <w:tc>
          <w:tcPr>
            <w:tcW w:w="789" w:type="pct"/>
            <w:shd w:val="clear" w:color="auto" w:fill="F2F2F2"/>
            <w:tcMar>
              <w:top w:w="0" w:type="dxa"/>
              <w:left w:w="108" w:type="dxa"/>
              <w:bottom w:w="0" w:type="dxa"/>
              <w:right w:w="108" w:type="dxa"/>
            </w:tcMar>
            <w:vAlign w:val="center"/>
            <w:hideMark/>
          </w:tcPr>
          <w:p w14:paraId="71AC3960" w14:textId="77777777" w:rsidR="00C50585" w:rsidRPr="00EE038F" w:rsidRDefault="00C50585" w:rsidP="002B389E">
            <w:pPr>
              <w:spacing w:after="0" w:line="240" w:lineRule="auto"/>
              <w:jc w:val="right"/>
              <w:rPr>
                <w:rFonts w:ascii="Garamond" w:hAnsi="Garamond"/>
                <w:b/>
                <w:bCs/>
                <w:color w:val="000000"/>
                <w:sz w:val="16"/>
                <w:szCs w:val="20"/>
              </w:rPr>
            </w:pPr>
            <w:r w:rsidRPr="00EE038F">
              <w:rPr>
                <w:rFonts w:ascii="Garamond" w:hAnsi="Garamond"/>
                <w:b/>
                <w:bCs/>
                <w:color w:val="000000"/>
                <w:sz w:val="16"/>
                <w:szCs w:val="20"/>
              </w:rPr>
              <w:t>9,415</w:t>
            </w:r>
          </w:p>
        </w:tc>
        <w:tc>
          <w:tcPr>
            <w:tcW w:w="906" w:type="pct"/>
            <w:shd w:val="clear" w:color="auto" w:fill="F2F2F2"/>
            <w:tcMar>
              <w:top w:w="0" w:type="dxa"/>
              <w:left w:w="108" w:type="dxa"/>
              <w:bottom w:w="0" w:type="dxa"/>
              <w:right w:w="108" w:type="dxa"/>
            </w:tcMar>
            <w:vAlign w:val="center"/>
            <w:hideMark/>
          </w:tcPr>
          <w:p w14:paraId="77221CA5" w14:textId="77777777" w:rsidR="00C50585" w:rsidRPr="00EE038F" w:rsidRDefault="00C50585" w:rsidP="002B389E">
            <w:pPr>
              <w:spacing w:after="0" w:line="240" w:lineRule="auto"/>
              <w:jc w:val="right"/>
              <w:rPr>
                <w:rFonts w:ascii="Garamond" w:hAnsi="Garamond"/>
                <w:b/>
                <w:bCs/>
                <w:color w:val="000000"/>
                <w:sz w:val="16"/>
                <w:szCs w:val="20"/>
              </w:rPr>
            </w:pPr>
            <w:r w:rsidRPr="00EE038F">
              <w:rPr>
                <w:rFonts w:ascii="Garamond" w:hAnsi="Garamond"/>
                <w:b/>
                <w:bCs/>
                <w:color w:val="000000"/>
                <w:sz w:val="16"/>
                <w:szCs w:val="20"/>
              </w:rPr>
              <w:t>5.8%</w:t>
            </w:r>
          </w:p>
        </w:tc>
      </w:tr>
      <w:tr w:rsidR="00C50585" w:rsidRPr="00EE038F" w14:paraId="14EDA1A2" w14:textId="77777777" w:rsidTr="005B420E">
        <w:trPr>
          <w:trHeight w:val="20"/>
          <w:jc w:val="center"/>
        </w:trPr>
        <w:tc>
          <w:tcPr>
            <w:tcW w:w="1728" w:type="pct"/>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14:paraId="2D1373FC" w14:textId="79F003D2" w:rsidR="00C50585" w:rsidRPr="00EE038F" w:rsidRDefault="00C50585" w:rsidP="00473C92">
            <w:pPr>
              <w:spacing w:after="0" w:line="240" w:lineRule="auto"/>
              <w:jc w:val="both"/>
              <w:rPr>
                <w:rFonts w:ascii="Garamond" w:hAnsi="Garamond"/>
                <w:color w:val="000000"/>
                <w:sz w:val="16"/>
                <w:szCs w:val="20"/>
              </w:rPr>
            </w:pPr>
            <w:r w:rsidRPr="00EE038F">
              <w:rPr>
                <w:rFonts w:ascii="Garamond" w:hAnsi="Garamond"/>
                <w:color w:val="000000"/>
                <w:sz w:val="16"/>
                <w:szCs w:val="20"/>
              </w:rPr>
              <w:t xml:space="preserve">Kontributet e </w:t>
            </w:r>
            <w:r w:rsidR="00DD723E" w:rsidRPr="00EE038F">
              <w:rPr>
                <w:rFonts w:ascii="Garamond" w:hAnsi="Garamond"/>
                <w:color w:val="000000"/>
                <w:sz w:val="16"/>
                <w:szCs w:val="20"/>
              </w:rPr>
              <w:t xml:space="preserve">sig. shoqërore dhe shëndetësore </w:t>
            </w:r>
            <w:r w:rsidRPr="00EE038F">
              <w:rPr>
                <w:rFonts w:ascii="Garamond" w:hAnsi="Garamond"/>
                <w:color w:val="000000"/>
                <w:sz w:val="16"/>
                <w:szCs w:val="20"/>
              </w:rPr>
              <w:t>nga DPT</w:t>
            </w:r>
            <w:r w:rsidR="00DD723E" w:rsidRPr="00EE038F">
              <w:rPr>
                <w:rFonts w:ascii="Garamond" w:hAnsi="Garamond"/>
                <w:color w:val="000000"/>
                <w:sz w:val="16"/>
                <w:szCs w:val="20"/>
              </w:rPr>
              <w:t>-ja</w:t>
            </w:r>
            <w:r w:rsidRPr="00EE038F">
              <w:rPr>
                <w:rFonts w:ascii="Garamond" w:hAnsi="Garamond"/>
                <w:color w:val="000000"/>
                <w:sz w:val="16"/>
                <w:szCs w:val="20"/>
              </w:rPr>
              <w:t xml:space="preserve"> </w:t>
            </w:r>
          </w:p>
        </w:tc>
        <w:tc>
          <w:tcPr>
            <w:tcW w:w="789" w:type="pct"/>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14:paraId="5E55504E"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114,422</w:t>
            </w:r>
          </w:p>
        </w:tc>
        <w:tc>
          <w:tcPr>
            <w:tcW w:w="789" w:type="pct"/>
            <w:tcBorders>
              <w:top w:val="nil"/>
              <w:left w:val="nil"/>
              <w:bottom w:val="single" w:sz="8" w:space="0" w:color="auto"/>
              <w:right w:val="nil"/>
            </w:tcBorders>
            <w:shd w:val="clear" w:color="auto" w:fill="FFFFFF"/>
            <w:tcMar>
              <w:top w:w="0" w:type="dxa"/>
              <w:left w:w="108" w:type="dxa"/>
              <w:bottom w:w="0" w:type="dxa"/>
              <w:right w:w="108" w:type="dxa"/>
            </w:tcMar>
            <w:vAlign w:val="center"/>
            <w:hideMark/>
          </w:tcPr>
          <w:p w14:paraId="09F69E4D"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111,986</w:t>
            </w:r>
          </w:p>
        </w:tc>
        <w:tc>
          <w:tcPr>
            <w:tcW w:w="789" w:type="pct"/>
            <w:shd w:val="clear" w:color="auto" w:fill="FFFFFF"/>
            <w:tcMar>
              <w:top w:w="0" w:type="dxa"/>
              <w:left w:w="108" w:type="dxa"/>
              <w:bottom w:w="0" w:type="dxa"/>
              <w:right w:w="108" w:type="dxa"/>
            </w:tcMar>
            <w:vAlign w:val="center"/>
            <w:hideMark/>
          </w:tcPr>
          <w:p w14:paraId="55239AE8"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2,436</w:t>
            </w:r>
          </w:p>
        </w:tc>
        <w:tc>
          <w:tcPr>
            <w:tcW w:w="906" w:type="pct"/>
            <w:shd w:val="clear" w:color="auto" w:fill="FFFFFF"/>
            <w:tcMar>
              <w:top w:w="0" w:type="dxa"/>
              <w:left w:w="108" w:type="dxa"/>
              <w:bottom w:w="0" w:type="dxa"/>
              <w:right w:w="108" w:type="dxa"/>
            </w:tcMar>
            <w:vAlign w:val="center"/>
            <w:hideMark/>
          </w:tcPr>
          <w:p w14:paraId="51FA9331" w14:textId="77777777" w:rsidR="00C50585" w:rsidRPr="00EE038F" w:rsidRDefault="00C50585" w:rsidP="002B389E">
            <w:pPr>
              <w:spacing w:after="0" w:line="240" w:lineRule="auto"/>
              <w:jc w:val="right"/>
              <w:rPr>
                <w:rFonts w:ascii="Garamond" w:hAnsi="Garamond"/>
                <w:color w:val="000000"/>
                <w:sz w:val="16"/>
                <w:szCs w:val="20"/>
              </w:rPr>
            </w:pPr>
            <w:r w:rsidRPr="00EE038F">
              <w:rPr>
                <w:rFonts w:ascii="Garamond" w:hAnsi="Garamond"/>
                <w:color w:val="000000"/>
                <w:sz w:val="16"/>
                <w:szCs w:val="20"/>
              </w:rPr>
              <w:t>2.2%</w:t>
            </w:r>
          </w:p>
        </w:tc>
      </w:tr>
      <w:tr w:rsidR="00C50585" w:rsidRPr="00EE038F" w14:paraId="638CFCE3" w14:textId="77777777" w:rsidTr="005B420E">
        <w:trPr>
          <w:trHeight w:val="20"/>
          <w:jc w:val="center"/>
        </w:trPr>
        <w:tc>
          <w:tcPr>
            <w:tcW w:w="1728" w:type="pct"/>
            <w:tcBorders>
              <w:top w:val="nil"/>
              <w:left w:val="nil"/>
              <w:bottom w:val="single" w:sz="8" w:space="0" w:color="auto"/>
              <w:right w:val="nil"/>
            </w:tcBorders>
            <w:shd w:val="clear" w:color="auto" w:fill="D9D9D9"/>
            <w:tcMar>
              <w:top w:w="0" w:type="dxa"/>
              <w:left w:w="108" w:type="dxa"/>
              <w:bottom w:w="0" w:type="dxa"/>
              <w:right w:w="108" w:type="dxa"/>
            </w:tcMar>
            <w:vAlign w:val="center"/>
            <w:hideMark/>
          </w:tcPr>
          <w:p w14:paraId="7B5E8DBA" w14:textId="27027370" w:rsidR="00C50585" w:rsidRPr="00EE038F" w:rsidRDefault="00C50585" w:rsidP="00473C92">
            <w:pPr>
              <w:spacing w:after="0" w:line="240" w:lineRule="auto"/>
              <w:jc w:val="both"/>
              <w:rPr>
                <w:rFonts w:ascii="Garamond" w:hAnsi="Garamond"/>
                <w:b/>
                <w:bCs/>
                <w:color w:val="000000"/>
                <w:sz w:val="16"/>
                <w:szCs w:val="20"/>
              </w:rPr>
            </w:pPr>
            <w:r w:rsidRPr="00EE038F">
              <w:rPr>
                <w:rFonts w:ascii="Garamond" w:hAnsi="Garamond"/>
                <w:b/>
                <w:bCs/>
                <w:color w:val="000000"/>
                <w:sz w:val="16"/>
                <w:szCs w:val="20"/>
              </w:rPr>
              <w:t xml:space="preserve">TOTAL </w:t>
            </w:r>
            <w:r w:rsidR="002B389E" w:rsidRPr="00EE038F">
              <w:rPr>
                <w:rFonts w:ascii="Garamond" w:hAnsi="Garamond"/>
                <w:b/>
                <w:bCs/>
                <w:color w:val="000000"/>
                <w:sz w:val="16"/>
                <w:szCs w:val="20"/>
              </w:rPr>
              <w:t xml:space="preserve">tatime + kontribute </w:t>
            </w:r>
          </w:p>
        </w:tc>
        <w:tc>
          <w:tcPr>
            <w:tcW w:w="789" w:type="pct"/>
            <w:tcBorders>
              <w:top w:val="nil"/>
              <w:left w:val="nil"/>
              <w:bottom w:val="single" w:sz="8" w:space="0" w:color="auto"/>
              <w:right w:val="nil"/>
            </w:tcBorders>
            <w:shd w:val="clear" w:color="auto" w:fill="D9D9D9"/>
            <w:tcMar>
              <w:top w:w="0" w:type="dxa"/>
              <w:left w:w="108" w:type="dxa"/>
              <w:bottom w:w="0" w:type="dxa"/>
              <w:right w:w="108" w:type="dxa"/>
            </w:tcMar>
            <w:vAlign w:val="center"/>
            <w:hideMark/>
          </w:tcPr>
          <w:p w14:paraId="75701C84" w14:textId="77777777" w:rsidR="00C50585" w:rsidRPr="00EE038F" w:rsidRDefault="00C50585" w:rsidP="002B389E">
            <w:pPr>
              <w:spacing w:after="0" w:line="240" w:lineRule="auto"/>
              <w:jc w:val="right"/>
              <w:rPr>
                <w:rFonts w:ascii="Garamond" w:hAnsi="Garamond"/>
                <w:b/>
                <w:bCs/>
                <w:color w:val="000000"/>
                <w:sz w:val="16"/>
                <w:szCs w:val="20"/>
              </w:rPr>
            </w:pPr>
            <w:r w:rsidRPr="00EE038F">
              <w:rPr>
                <w:rFonts w:ascii="Garamond" w:hAnsi="Garamond"/>
                <w:b/>
                <w:bCs/>
                <w:color w:val="000000"/>
                <w:sz w:val="16"/>
                <w:szCs w:val="20"/>
              </w:rPr>
              <w:t>285,057</w:t>
            </w:r>
          </w:p>
        </w:tc>
        <w:tc>
          <w:tcPr>
            <w:tcW w:w="789" w:type="pct"/>
            <w:tcBorders>
              <w:top w:val="nil"/>
              <w:left w:val="nil"/>
              <w:bottom w:val="single" w:sz="8" w:space="0" w:color="auto"/>
              <w:right w:val="nil"/>
            </w:tcBorders>
            <w:shd w:val="clear" w:color="auto" w:fill="D9D9D9"/>
            <w:tcMar>
              <w:top w:w="0" w:type="dxa"/>
              <w:left w:w="108" w:type="dxa"/>
              <w:bottom w:w="0" w:type="dxa"/>
              <w:right w:w="108" w:type="dxa"/>
            </w:tcMar>
            <w:vAlign w:val="center"/>
            <w:hideMark/>
          </w:tcPr>
          <w:p w14:paraId="6902EF35" w14:textId="77777777" w:rsidR="00C50585" w:rsidRPr="00EE038F" w:rsidRDefault="00C50585" w:rsidP="002B389E">
            <w:pPr>
              <w:spacing w:after="0" w:line="240" w:lineRule="auto"/>
              <w:jc w:val="right"/>
              <w:rPr>
                <w:rFonts w:ascii="Garamond" w:hAnsi="Garamond"/>
                <w:b/>
                <w:bCs/>
                <w:color w:val="000000"/>
                <w:sz w:val="16"/>
                <w:szCs w:val="20"/>
              </w:rPr>
            </w:pPr>
            <w:r w:rsidRPr="00EE038F">
              <w:rPr>
                <w:rFonts w:ascii="Garamond" w:hAnsi="Garamond"/>
                <w:b/>
                <w:bCs/>
                <w:color w:val="000000"/>
                <w:sz w:val="16"/>
                <w:szCs w:val="20"/>
              </w:rPr>
              <w:t>273,206</w:t>
            </w:r>
          </w:p>
        </w:tc>
        <w:tc>
          <w:tcPr>
            <w:tcW w:w="789" w:type="pct"/>
            <w:tcBorders>
              <w:top w:val="single" w:sz="8" w:space="0" w:color="auto"/>
              <w:left w:val="nil"/>
              <w:bottom w:val="single" w:sz="8" w:space="0" w:color="auto"/>
              <w:right w:val="nil"/>
            </w:tcBorders>
            <w:shd w:val="clear" w:color="auto" w:fill="D9D9D9"/>
            <w:tcMar>
              <w:top w:w="0" w:type="dxa"/>
              <w:left w:w="108" w:type="dxa"/>
              <w:bottom w:w="0" w:type="dxa"/>
              <w:right w:w="108" w:type="dxa"/>
            </w:tcMar>
            <w:vAlign w:val="center"/>
            <w:hideMark/>
          </w:tcPr>
          <w:p w14:paraId="309FBCD1" w14:textId="2BCEF64E" w:rsidR="00C50585" w:rsidRPr="00EE038F" w:rsidRDefault="00AD3D9C" w:rsidP="002B389E">
            <w:pPr>
              <w:spacing w:after="0" w:line="240" w:lineRule="auto"/>
              <w:jc w:val="right"/>
              <w:rPr>
                <w:rFonts w:ascii="Garamond" w:hAnsi="Garamond"/>
                <w:b/>
                <w:bCs/>
                <w:color w:val="000000"/>
                <w:sz w:val="16"/>
                <w:szCs w:val="20"/>
              </w:rPr>
            </w:pPr>
            <w:r w:rsidRPr="00EE038F">
              <w:rPr>
                <w:rFonts w:ascii="Garamond" w:hAnsi="Garamond"/>
                <w:b/>
                <w:bCs/>
                <w:color w:val="000000"/>
                <w:sz w:val="16"/>
                <w:szCs w:val="20"/>
              </w:rPr>
              <w:t xml:space="preserve"> </w:t>
            </w:r>
            <w:r w:rsidR="00C50585" w:rsidRPr="00EE038F">
              <w:rPr>
                <w:rFonts w:ascii="Garamond" w:hAnsi="Garamond"/>
                <w:b/>
                <w:bCs/>
                <w:color w:val="000000"/>
                <w:sz w:val="16"/>
                <w:szCs w:val="20"/>
              </w:rPr>
              <w:t xml:space="preserve">11,851 </w:t>
            </w:r>
          </w:p>
        </w:tc>
        <w:tc>
          <w:tcPr>
            <w:tcW w:w="906" w:type="pct"/>
            <w:tcBorders>
              <w:top w:val="single" w:sz="8" w:space="0" w:color="auto"/>
              <w:left w:val="nil"/>
              <w:bottom w:val="single" w:sz="8" w:space="0" w:color="auto"/>
              <w:right w:val="nil"/>
            </w:tcBorders>
            <w:shd w:val="clear" w:color="auto" w:fill="D9D9D9"/>
            <w:tcMar>
              <w:top w:w="0" w:type="dxa"/>
              <w:left w:w="108" w:type="dxa"/>
              <w:bottom w:w="0" w:type="dxa"/>
              <w:right w:w="108" w:type="dxa"/>
            </w:tcMar>
            <w:vAlign w:val="center"/>
            <w:hideMark/>
          </w:tcPr>
          <w:p w14:paraId="7B1B5B5D" w14:textId="77777777" w:rsidR="00C50585" w:rsidRPr="00EE038F" w:rsidRDefault="00C50585" w:rsidP="002B389E">
            <w:pPr>
              <w:spacing w:after="0" w:line="240" w:lineRule="auto"/>
              <w:jc w:val="right"/>
              <w:rPr>
                <w:rFonts w:ascii="Garamond" w:hAnsi="Garamond"/>
                <w:b/>
                <w:bCs/>
                <w:color w:val="000000"/>
                <w:sz w:val="16"/>
                <w:szCs w:val="20"/>
              </w:rPr>
            </w:pPr>
            <w:r w:rsidRPr="00EE038F">
              <w:rPr>
                <w:rFonts w:ascii="Garamond" w:hAnsi="Garamond"/>
                <w:b/>
                <w:bCs/>
                <w:color w:val="000000"/>
                <w:sz w:val="16"/>
                <w:szCs w:val="20"/>
              </w:rPr>
              <w:t>4.3%</w:t>
            </w:r>
          </w:p>
        </w:tc>
      </w:tr>
    </w:tbl>
    <w:p w14:paraId="32CE8547" w14:textId="5A30910A" w:rsidR="00C50585" w:rsidRPr="00EE038F" w:rsidRDefault="00C50585" w:rsidP="001708BD">
      <w:pPr>
        <w:spacing w:after="0" w:line="240" w:lineRule="auto"/>
        <w:jc w:val="center"/>
        <w:rPr>
          <w:rFonts w:ascii="Garamond" w:eastAsia="Arial Narrow" w:hAnsi="Garamond"/>
          <w:bCs/>
          <w:i/>
          <w:iCs/>
          <w:sz w:val="24"/>
          <w:szCs w:val="24"/>
        </w:rPr>
      </w:pPr>
      <w:r w:rsidRPr="00EE038F">
        <w:rPr>
          <w:rFonts w:ascii="Garamond" w:eastAsia="Arial Narrow" w:hAnsi="Garamond"/>
          <w:bCs/>
          <w:i/>
          <w:iCs/>
          <w:sz w:val="24"/>
          <w:szCs w:val="24"/>
        </w:rPr>
        <w:t>Burimi: Ministria e Financave (2024)</w:t>
      </w:r>
    </w:p>
    <w:p w14:paraId="143904FA" w14:textId="77777777" w:rsidR="001708BD" w:rsidRPr="00EE038F" w:rsidRDefault="001708BD" w:rsidP="001708BD">
      <w:pPr>
        <w:spacing w:after="0" w:line="240" w:lineRule="auto"/>
        <w:jc w:val="center"/>
        <w:rPr>
          <w:rFonts w:ascii="Garamond" w:eastAsia="Arial Narrow" w:hAnsi="Garamond"/>
          <w:bCs/>
          <w:i/>
          <w:iCs/>
          <w:sz w:val="24"/>
          <w:szCs w:val="24"/>
        </w:rPr>
      </w:pPr>
    </w:p>
    <w:p w14:paraId="37DBD574" w14:textId="48551DEC" w:rsidR="00C50585" w:rsidRPr="00EE038F" w:rsidRDefault="00C50585" w:rsidP="00473C92">
      <w:pPr>
        <w:pStyle w:val="TEKSTIIIIII"/>
        <w:rPr>
          <w:rFonts w:eastAsia="Arial Narrow"/>
          <w:bCs/>
          <w:iCs/>
        </w:rPr>
      </w:pPr>
      <w:r w:rsidRPr="00EE038F">
        <w:t>Faktorët kryesor</w:t>
      </w:r>
      <w:r w:rsidR="001D738B" w:rsidRPr="00EE038F">
        <w:t>ë</w:t>
      </w:r>
      <w:r w:rsidRPr="00EE038F">
        <w:t xml:space="preserve"> që kanë ndikuar në performacën pozitive t</w:t>
      </w:r>
      <w:r w:rsidR="00C91045">
        <w:t>ë</w:t>
      </w:r>
      <w:r w:rsidRPr="00EE038F">
        <w:t xml:space="preserve"> </w:t>
      </w:r>
      <w:r w:rsidR="008E230B" w:rsidRPr="00EE038F">
        <w:t>administratës tatimore</w:t>
      </w:r>
      <w:r w:rsidRPr="00EE038F">
        <w:t>.</w:t>
      </w:r>
    </w:p>
    <w:p w14:paraId="079882C2" w14:textId="560E84C7" w:rsidR="00C50585" w:rsidRPr="00EE038F" w:rsidRDefault="00473C92" w:rsidP="00473C92">
      <w:pPr>
        <w:pStyle w:val="TEKSTIIIIII"/>
      </w:pPr>
      <w:r w:rsidRPr="00EE038F">
        <w:t xml:space="preserve">- </w:t>
      </w:r>
      <w:r w:rsidR="00C50585" w:rsidRPr="00EE038F">
        <w:t xml:space="preserve">Niveli i lartë i rritjes së </w:t>
      </w:r>
      <w:r w:rsidR="00F81116" w:rsidRPr="00EE038F">
        <w:t>TVSH</w:t>
      </w:r>
      <w:r w:rsidR="00C50585" w:rsidRPr="00EE038F">
        <w:t xml:space="preserve">-së bruto të mbledhur brenda vendit, ku evidentohet sektori i tregtisë me rritje 30%, </w:t>
      </w:r>
      <w:bookmarkStart w:id="22" w:name="_Hlk173237030"/>
      <w:r w:rsidR="00C50585" w:rsidRPr="00EE038F">
        <w:t xml:space="preserve">sektori i transportit me rritje 34% si dhe </w:t>
      </w:r>
      <w:bookmarkEnd w:id="22"/>
      <w:r w:rsidR="00C50585" w:rsidRPr="00EE038F">
        <w:t>sektori i prodhimit me rritje 18%;</w:t>
      </w:r>
    </w:p>
    <w:p w14:paraId="00DD0820" w14:textId="77777777" w:rsidR="00C50585" w:rsidRPr="00EE038F" w:rsidRDefault="00473C92" w:rsidP="00473C92">
      <w:pPr>
        <w:pStyle w:val="TEKSTIIIIII"/>
      </w:pPr>
      <w:r w:rsidRPr="00EE038F">
        <w:t>-</w:t>
      </w:r>
      <w:r w:rsidR="00C50585" w:rsidRPr="00EE038F">
        <w:t>Vazhdon ecuria pozitive e rritjes tatimit mbi të ardhurat nga sektori publik (+22.5%) dhe privat (+14.9%), si rezultat i reformës së rritjes së pagave të administratës;</w:t>
      </w:r>
    </w:p>
    <w:p w14:paraId="3A8D5737" w14:textId="190730E1" w:rsidR="00C50585" w:rsidRPr="00EE038F" w:rsidRDefault="00473C92" w:rsidP="00473C92">
      <w:pPr>
        <w:pStyle w:val="TEKSTIIIIII"/>
      </w:pPr>
      <w:r w:rsidRPr="00EE038F">
        <w:t xml:space="preserve">- </w:t>
      </w:r>
      <w:r w:rsidR="00C50585" w:rsidRPr="00EE038F">
        <w:t>Rritja e të ardhurave nga interesat me 46.9% si rezultat i rritjes së interesave të BSH</w:t>
      </w:r>
      <w:r w:rsidR="003C0D11" w:rsidRPr="00EE038F">
        <w:t>-së</w:t>
      </w:r>
      <w:r w:rsidR="00C50585" w:rsidRPr="00EE038F">
        <w:t>;</w:t>
      </w:r>
    </w:p>
    <w:p w14:paraId="5B57BD89" w14:textId="1A33E803" w:rsidR="00C50585" w:rsidRPr="00EE038F" w:rsidRDefault="00473C92" w:rsidP="00473C92">
      <w:pPr>
        <w:pStyle w:val="TEKSTIIIIII"/>
        <w:rPr>
          <w:b/>
          <w:bCs/>
        </w:rPr>
      </w:pPr>
      <w:r w:rsidRPr="00EE038F">
        <w:t xml:space="preserve">- </w:t>
      </w:r>
      <w:r w:rsidR="00C50585" w:rsidRPr="00EE038F">
        <w:t>Rritje e të ardhurave nga shitja e pasurisë së paluajtshme me 8.8% si rezultat i aplikimit të çmimeve të referencës në periudhën 9</w:t>
      </w:r>
      <w:r w:rsidR="004A2DA4" w:rsidRPr="00EE038F">
        <w:t>-</w:t>
      </w:r>
      <w:r w:rsidR="00C50585" w:rsidRPr="00EE038F">
        <w:t>mujore;</w:t>
      </w:r>
    </w:p>
    <w:p w14:paraId="500F0CEE" w14:textId="5A1891B9" w:rsidR="00C50585" w:rsidRPr="00EE038F" w:rsidRDefault="00473C92" w:rsidP="00473C92">
      <w:pPr>
        <w:pStyle w:val="TEKSTIIIIII"/>
      </w:pPr>
      <w:r w:rsidRPr="00EE038F">
        <w:t xml:space="preserve">- </w:t>
      </w:r>
      <w:r w:rsidR="00C50585" w:rsidRPr="00EE038F">
        <w:t>Taksa nacionale, rezulton me rritje nga viti paraardhës kryesisht për zërat kryesorë</w:t>
      </w:r>
      <w:r w:rsidR="004A2DA4" w:rsidRPr="00EE038F">
        <w:t>,</w:t>
      </w:r>
      <w:r w:rsidR="00C50585" w:rsidRPr="00EE038F">
        <w:t xml:space="preserve"> si: taksa e qarkullimit me rritje 10%, taksa për automjetet e përdorura të transportit me rritje 12%</w:t>
      </w:r>
      <w:r w:rsidR="004A2DA4" w:rsidRPr="00EE038F">
        <w:t>,</w:t>
      </w:r>
      <w:r w:rsidR="00C50585" w:rsidRPr="00EE038F">
        <w:t xml:space="preserve"> si dhe taksa e karbonit me rritje 19%;</w:t>
      </w:r>
    </w:p>
    <w:p w14:paraId="6C6FF055" w14:textId="02BC5048" w:rsidR="00C50585" w:rsidRPr="00EE038F" w:rsidRDefault="00C50585" w:rsidP="00473C92">
      <w:pPr>
        <w:pStyle w:val="TEKSTIIIIII"/>
      </w:pPr>
      <w:r w:rsidRPr="00EE038F">
        <w:rPr>
          <w:i/>
        </w:rPr>
        <w:t xml:space="preserve">Të ardhurat nga </w:t>
      </w:r>
      <w:r w:rsidRPr="00EE038F">
        <w:rPr>
          <w:b/>
          <w:i/>
        </w:rPr>
        <w:t>TVSH e arkëtuar (neto)</w:t>
      </w:r>
      <w:r w:rsidRPr="00EE038F">
        <w:t xml:space="preserve">, u realizua në masën 43 miliardë lekë, 1.5 miliardë lekë ose 3.6% më shumë se plani fillestar i TVSH për 9-mujorin 2024. </w:t>
      </w:r>
    </w:p>
    <w:p w14:paraId="1D63DFF9" w14:textId="4DA4A053" w:rsidR="00C50585" w:rsidRPr="00EE038F" w:rsidRDefault="00C50585" w:rsidP="00473C92">
      <w:pPr>
        <w:pStyle w:val="TEKSTIIIIII"/>
      </w:pPr>
      <w:r w:rsidRPr="00EE038F">
        <w:t xml:space="preserve">Faktorët kryesorë që kanë ndikuar në rritjen e të ardhurave të </w:t>
      </w:r>
      <w:r w:rsidR="00225A40" w:rsidRPr="00EE038F">
        <w:t>TVSH</w:t>
      </w:r>
      <w:r w:rsidRPr="00EE038F">
        <w:t>-së brenda vendit krahasuar me të njëjtën periudhë të një viti më parë janë:</w:t>
      </w:r>
    </w:p>
    <w:p w14:paraId="1B9406EF" w14:textId="55B7DB25" w:rsidR="00C50585" w:rsidRPr="00EE038F" w:rsidRDefault="00473C92" w:rsidP="00473C92">
      <w:pPr>
        <w:pStyle w:val="TEKSTIIIIII"/>
        <w:rPr>
          <w:rStyle w:val="jlqj4b"/>
        </w:rPr>
      </w:pPr>
      <w:r w:rsidRPr="00EE038F">
        <w:rPr>
          <w:rStyle w:val="jlqj4b"/>
        </w:rPr>
        <w:t xml:space="preserve">- </w:t>
      </w:r>
      <w:r w:rsidR="00C50585" w:rsidRPr="00EE038F">
        <w:rPr>
          <w:rStyle w:val="jlqj4b"/>
        </w:rPr>
        <w:t>TVSH</w:t>
      </w:r>
      <w:r w:rsidR="00641F82" w:rsidRPr="00EE038F">
        <w:rPr>
          <w:rStyle w:val="jlqj4b"/>
        </w:rPr>
        <w:t xml:space="preserve">-ja </w:t>
      </w:r>
      <w:r w:rsidR="00C50585" w:rsidRPr="00EE038F">
        <w:rPr>
          <w:rStyle w:val="jlqj4b"/>
        </w:rPr>
        <w:t>e rritur si rezultat i miradminstrimit tatimor.</w:t>
      </w:r>
    </w:p>
    <w:p w14:paraId="18DAD080" w14:textId="77777777" w:rsidR="00C50585" w:rsidRPr="00EE038F" w:rsidRDefault="00473C92" w:rsidP="00473C92">
      <w:pPr>
        <w:pStyle w:val="TEKSTIIIIII"/>
        <w:rPr>
          <w:rFonts w:eastAsia="Calibri"/>
        </w:rPr>
      </w:pPr>
      <w:r w:rsidRPr="00EE038F">
        <w:rPr>
          <w:rFonts w:eastAsia="Calibri"/>
        </w:rPr>
        <w:lastRenderedPageBreak/>
        <w:t xml:space="preserve">- </w:t>
      </w:r>
      <w:r w:rsidR="00C50585" w:rsidRPr="00EE038F">
        <w:rPr>
          <w:rFonts w:eastAsia="Calibri"/>
        </w:rPr>
        <w:t>Rritja e konsumit nga rritja e pagave në administratën publike.</w:t>
      </w:r>
    </w:p>
    <w:p w14:paraId="1D7D7187" w14:textId="0C428778" w:rsidR="00C50585" w:rsidRPr="00EE038F" w:rsidRDefault="00C50585" w:rsidP="00473C92">
      <w:pPr>
        <w:pStyle w:val="TEKSTIIIIII"/>
        <w:rPr>
          <w:b/>
          <w:bCs/>
        </w:rPr>
      </w:pPr>
      <w:r w:rsidRPr="00EE038F">
        <w:t xml:space="preserve">Referuar të dhënave nga fiskalizimi, qarkullimi pa </w:t>
      </w:r>
      <w:r w:rsidR="006E0116" w:rsidRPr="00EE038F">
        <w:t xml:space="preserve">TVSH </w:t>
      </w:r>
      <w:r w:rsidRPr="00EE038F">
        <w:t xml:space="preserve">(pa autongarkesën dhe pa borxhin e keq) për </w:t>
      </w:r>
      <w:r w:rsidR="006E0116" w:rsidRPr="00EE038F">
        <w:t>periudhën</w:t>
      </w:r>
      <w:r w:rsidRPr="00EE038F">
        <w:t xml:space="preserve"> </w:t>
      </w:r>
      <w:r w:rsidR="006E0116" w:rsidRPr="00EE038F">
        <w:t xml:space="preserve">janar–shtator </w:t>
      </w:r>
      <w:r w:rsidRPr="00EE038F">
        <w:t>2023 ka q</w:t>
      </w:r>
      <w:r w:rsidR="006E0116" w:rsidRPr="00EE038F">
        <w:t>e</w:t>
      </w:r>
      <w:r w:rsidRPr="00EE038F">
        <w:t xml:space="preserve">në 2,545,871 milardë lekë dhe </w:t>
      </w:r>
      <w:r w:rsidR="00135681" w:rsidRPr="00EE038F">
        <w:t xml:space="preserve">janar–shtator </w:t>
      </w:r>
      <w:r w:rsidRPr="00EE038F">
        <w:t>2024 ka q</w:t>
      </w:r>
      <w:r w:rsidR="00C10FF0" w:rsidRPr="00EE038F">
        <w:t>e</w:t>
      </w:r>
      <w:r w:rsidRPr="00EE038F">
        <w:t xml:space="preserve">në 2,743,556 miliardë lekë </w:t>
      </w:r>
      <w:r w:rsidRPr="00EE038F">
        <w:rPr>
          <w:b/>
          <w:bCs/>
        </w:rPr>
        <w:t>pra 197.685 miliardë lekë më shumë</w:t>
      </w:r>
      <w:r w:rsidRPr="00EE038F">
        <w:t>.</w:t>
      </w:r>
    </w:p>
    <w:p w14:paraId="70791644" w14:textId="73FD3298" w:rsidR="00C50585" w:rsidRPr="00EE038F" w:rsidRDefault="00C50585" w:rsidP="00473C92">
      <w:pPr>
        <w:pStyle w:val="TEKSTIIIIII"/>
      </w:pPr>
      <w:r w:rsidRPr="00EE038F">
        <w:t xml:space="preserve">Të gjithë sektorët bazë të ekonomisë kanë rritje në qarkullim, e evidentuar kjo nga rritja e </w:t>
      </w:r>
      <w:r w:rsidR="00A54D67" w:rsidRPr="00EE038F">
        <w:t>TVSH</w:t>
      </w:r>
      <w:r w:rsidRPr="00EE038F">
        <w:t>-së bruto së deklaruar për 9</w:t>
      </w:r>
      <w:r w:rsidR="00A54D67" w:rsidRPr="00EE038F">
        <w:t>-</w:t>
      </w:r>
      <w:r w:rsidRPr="00EE038F">
        <w:t>mujorin.</w:t>
      </w:r>
    </w:p>
    <w:p w14:paraId="705820D1" w14:textId="77777777" w:rsidR="00C50585" w:rsidRPr="00EE038F" w:rsidRDefault="00C50585" w:rsidP="00473C92">
      <w:pPr>
        <w:pStyle w:val="TEKSTIIIIII"/>
      </w:pPr>
      <w:r w:rsidRPr="00EE038F">
        <w:t xml:space="preserve">TVSH bruto sipas sektorëve krahasuar me të njëjtën periudhë të një viti më parë janë: </w:t>
      </w:r>
    </w:p>
    <w:p w14:paraId="7FEFE456" w14:textId="3560D7F4" w:rsidR="00C50585" w:rsidRPr="00EE038F" w:rsidRDefault="00473C92" w:rsidP="00473C92">
      <w:pPr>
        <w:pStyle w:val="TEKSTIIIIII"/>
      </w:pPr>
      <w:r w:rsidRPr="00EE038F">
        <w:t xml:space="preserve">- </w:t>
      </w:r>
      <w:r w:rsidR="00C50585" w:rsidRPr="00EE038F">
        <w:t xml:space="preserve">Në sektorin e </w:t>
      </w:r>
      <w:r w:rsidR="00C50585" w:rsidRPr="001A4F56">
        <w:rPr>
          <w:u w:val="single"/>
        </w:rPr>
        <w:t>tregtisë</w:t>
      </w:r>
      <w:r w:rsidR="00C50585" w:rsidRPr="00EE038F">
        <w:t>, TVSH</w:t>
      </w:r>
      <w:r w:rsidR="00BF7ADD" w:rsidRPr="00EE038F">
        <w:t>-ja</w:t>
      </w:r>
      <w:r w:rsidR="00C50585" w:rsidRPr="00EE038F">
        <w:t xml:space="preserve"> bruto për periudhën </w:t>
      </w:r>
      <w:r w:rsidR="00BF7ADD" w:rsidRPr="00EE038F">
        <w:t xml:space="preserve">janar–shtator </w:t>
      </w:r>
      <w:r w:rsidR="00C50585" w:rsidRPr="00EE038F">
        <w:t xml:space="preserve">2024 është 19.7 miliardë lekë, me një rritje prej 30% ose 4.5 miliardë lekë më shumë se e njëjta periudhë e vitit 2023. </w:t>
      </w:r>
    </w:p>
    <w:p w14:paraId="3117C588" w14:textId="57E6F30C" w:rsidR="00C50585" w:rsidRPr="00EE038F" w:rsidRDefault="00473C92" w:rsidP="00473C92">
      <w:pPr>
        <w:pStyle w:val="TEKSTIIIIII"/>
      </w:pPr>
      <w:r w:rsidRPr="00EE038F">
        <w:t xml:space="preserve">- </w:t>
      </w:r>
      <w:r w:rsidR="00C50585" w:rsidRPr="00EE038F">
        <w:t xml:space="preserve">Në sektorin e </w:t>
      </w:r>
      <w:r w:rsidR="00C50585" w:rsidRPr="001A4F56">
        <w:rPr>
          <w:u w:val="single"/>
        </w:rPr>
        <w:t>shërbimeve</w:t>
      </w:r>
      <w:r w:rsidR="00C50585" w:rsidRPr="00EE038F">
        <w:t xml:space="preserve"> TVSH</w:t>
      </w:r>
      <w:r w:rsidR="00BF7ADD" w:rsidRPr="00EE038F">
        <w:t>-ja</w:t>
      </w:r>
      <w:r w:rsidR="00C50585" w:rsidRPr="00EE038F">
        <w:t xml:space="preserve"> bruto për periudhën </w:t>
      </w:r>
      <w:r w:rsidR="00BF7ADD" w:rsidRPr="00EE038F">
        <w:t xml:space="preserve">janar–shtator </w:t>
      </w:r>
      <w:r w:rsidR="00C50585" w:rsidRPr="00EE038F">
        <w:t xml:space="preserve">2024 është 17 miliardë lekë, me një rritje prej 18% ose 2.9 miliardë lekë më shumë se e njëjta periudhë e vitit 2023. </w:t>
      </w:r>
    </w:p>
    <w:p w14:paraId="7801C9D8" w14:textId="1183CB3B" w:rsidR="00C50585" w:rsidRPr="00EE038F" w:rsidRDefault="00473C92" w:rsidP="00473C92">
      <w:pPr>
        <w:pStyle w:val="TEKSTIIIIII"/>
      </w:pPr>
      <w:r w:rsidRPr="00EE038F">
        <w:t xml:space="preserve">- </w:t>
      </w:r>
      <w:r w:rsidR="00C50585" w:rsidRPr="00EE038F">
        <w:t xml:space="preserve">Në sektorin e </w:t>
      </w:r>
      <w:r w:rsidR="00C50585" w:rsidRPr="001A4F56">
        <w:rPr>
          <w:u w:val="single"/>
        </w:rPr>
        <w:t>prodhimi</w:t>
      </w:r>
      <w:r w:rsidR="00C50585" w:rsidRPr="00EE038F">
        <w:t xml:space="preserve">t TVSH bruto për periudhën </w:t>
      </w:r>
      <w:r w:rsidR="00BF7ADD" w:rsidRPr="00EE038F">
        <w:t xml:space="preserve">janar–shtator </w:t>
      </w:r>
      <w:r w:rsidR="00C50585" w:rsidRPr="00EE038F">
        <w:t xml:space="preserve">2024 është 12 miliardë lekë, me një rritje prej 18% ose 1.8 miliardë lekë më shumë se e njëjta periudhë e vitit 2023. </w:t>
      </w:r>
    </w:p>
    <w:p w14:paraId="77A962B2" w14:textId="224F1132" w:rsidR="00C50585" w:rsidRPr="00EE038F" w:rsidRDefault="00473C92" w:rsidP="00473C92">
      <w:pPr>
        <w:pStyle w:val="TEKSTIIIIII"/>
      </w:pPr>
      <w:r w:rsidRPr="00EE038F">
        <w:t xml:space="preserve">- </w:t>
      </w:r>
      <w:r w:rsidR="00C50585" w:rsidRPr="00EE038F">
        <w:t xml:space="preserve">Në sektorin e </w:t>
      </w:r>
      <w:r w:rsidR="00C50585" w:rsidRPr="001A4F56">
        <w:rPr>
          <w:u w:val="single"/>
        </w:rPr>
        <w:t xml:space="preserve">ndërtimit </w:t>
      </w:r>
      <w:r w:rsidR="00C50585" w:rsidRPr="00EE038F">
        <w:t xml:space="preserve">TVSH bruto për periudhën </w:t>
      </w:r>
      <w:r w:rsidR="00BF7ADD" w:rsidRPr="00EE038F">
        <w:t xml:space="preserve">janar–shtator </w:t>
      </w:r>
      <w:r w:rsidR="00C50585" w:rsidRPr="00EE038F">
        <w:t xml:space="preserve">2024 është 9.6 miliardë lekë, me një rritje prej 28% ose 2.1 miliardë lekë më shumë se e njëjta periudhë e vitit 2023. </w:t>
      </w:r>
    </w:p>
    <w:p w14:paraId="383C30FD" w14:textId="66EFA7F0" w:rsidR="00C50585" w:rsidRPr="00EE038F" w:rsidRDefault="00473C92" w:rsidP="00473C92">
      <w:pPr>
        <w:pStyle w:val="TEKSTIIIIII"/>
      </w:pPr>
      <w:r w:rsidRPr="00EE038F">
        <w:t xml:space="preserve">- </w:t>
      </w:r>
      <w:r w:rsidR="00C50585" w:rsidRPr="00EE038F">
        <w:t xml:space="preserve">Në sektorin e </w:t>
      </w:r>
      <w:r w:rsidR="00C50585" w:rsidRPr="001A4F56">
        <w:rPr>
          <w:u w:val="single"/>
        </w:rPr>
        <w:t>transportit</w:t>
      </w:r>
      <w:r w:rsidR="00C50585" w:rsidRPr="00EE038F">
        <w:t xml:space="preserve"> TVSH bruto për periudhën </w:t>
      </w:r>
      <w:r w:rsidR="00BF7ADD" w:rsidRPr="00EE038F">
        <w:t xml:space="preserve">janar–shtator </w:t>
      </w:r>
      <w:r w:rsidR="00C50585" w:rsidRPr="00EE038F">
        <w:t>2024 është</w:t>
      </w:r>
      <w:r w:rsidR="00AD3D9C" w:rsidRPr="00EE038F">
        <w:t xml:space="preserve"> </w:t>
      </w:r>
      <w:r w:rsidR="00C50585" w:rsidRPr="00EE038F">
        <w:t xml:space="preserve">1.6 miliardë lekë, me një rritje prej 34% ose 398 milionë lekë më shumë se e njëjta periudhë e vitit 2023. </w:t>
      </w:r>
    </w:p>
    <w:p w14:paraId="6ACE2EF9" w14:textId="77777777" w:rsidR="00C50585" w:rsidRPr="00EE038F" w:rsidRDefault="00C50585" w:rsidP="00473C92">
      <w:pPr>
        <w:pStyle w:val="TEKSTIIIIII"/>
        <w:rPr>
          <w:b/>
        </w:rPr>
      </w:pPr>
      <w:r w:rsidRPr="00EE038F">
        <w:rPr>
          <w:b/>
        </w:rPr>
        <w:t xml:space="preserve">Rimbursimet </w:t>
      </w:r>
    </w:p>
    <w:p w14:paraId="02ECFCC6" w14:textId="6AFEED41" w:rsidR="00C50585" w:rsidRPr="00EE038F" w:rsidRDefault="00C50585" w:rsidP="00473C92">
      <w:pPr>
        <w:pStyle w:val="TEKSTIIIIII"/>
      </w:pPr>
      <w:r w:rsidRPr="00EE038F">
        <w:t xml:space="preserve">Rimbursimet për periudhën 9-mujore 2024 janë 19.1 miliardë lekë, 5.8 miliardë lekë ose 43.6% më shumë se plani fillestar i periudhë për vitin 2024. Analizuar sipas muajve, rezulton se me përjashtim të muajit </w:t>
      </w:r>
      <w:r w:rsidR="00FB2D5D" w:rsidRPr="00EE038F">
        <w:t xml:space="preserve">prill </w:t>
      </w:r>
      <w:r w:rsidRPr="00EE038F">
        <w:t>ku shuma e rimbursuar ka q</w:t>
      </w:r>
      <w:r w:rsidR="00FB2D5D" w:rsidRPr="00EE038F">
        <w:t>e</w:t>
      </w:r>
      <w:r w:rsidRPr="00EE038F">
        <w:t>në në masën 4 miliardë lekë, muajt e tjerë kanë pasur pak a shumë të njëjtin trend.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0"/>
        <w:gridCol w:w="4480"/>
      </w:tblGrid>
      <w:tr w:rsidR="00473C92" w:rsidRPr="00EE038F" w14:paraId="363A8B08" w14:textId="77777777" w:rsidTr="00FB2D5D">
        <w:tc>
          <w:tcPr>
            <w:tcW w:w="4535" w:type="dxa"/>
            <w:vAlign w:val="center"/>
          </w:tcPr>
          <w:p w14:paraId="58A9E436" w14:textId="40854543" w:rsidR="00473C92" w:rsidRPr="00EE038F" w:rsidRDefault="00473C92" w:rsidP="00FB2D5D">
            <w:pPr>
              <w:jc w:val="center"/>
              <w:rPr>
                <w:rFonts w:ascii="Garamond" w:eastAsiaTheme="minorHAnsi" w:hAnsi="Garamond"/>
                <w:i/>
                <w:iCs/>
                <w:sz w:val="24"/>
                <w:szCs w:val="24"/>
              </w:rPr>
            </w:pPr>
            <w:r w:rsidRPr="00EE038F">
              <w:rPr>
                <w:rFonts w:ascii="Garamond" w:eastAsiaTheme="minorHAnsi" w:hAnsi="Garamond"/>
                <w:i/>
                <w:iCs/>
                <w:sz w:val="24"/>
                <w:szCs w:val="24"/>
              </w:rPr>
              <w:t>Grafiku 4.2.2: Ecuria e TVSH-së gjatë 9</w:t>
            </w:r>
            <w:r w:rsidR="00FB2D5D" w:rsidRPr="00EE038F">
              <w:rPr>
                <w:rFonts w:ascii="Garamond" w:eastAsiaTheme="minorHAnsi" w:hAnsi="Garamond"/>
                <w:i/>
                <w:iCs/>
                <w:sz w:val="24"/>
                <w:szCs w:val="24"/>
              </w:rPr>
              <w:t xml:space="preserve"> muajve</w:t>
            </w:r>
          </w:p>
        </w:tc>
        <w:tc>
          <w:tcPr>
            <w:tcW w:w="4475" w:type="dxa"/>
            <w:vAlign w:val="center"/>
          </w:tcPr>
          <w:p w14:paraId="08A4D2E0" w14:textId="2A85B69D" w:rsidR="00473C92" w:rsidRPr="00EE038F" w:rsidRDefault="00473C92" w:rsidP="00FB2D5D">
            <w:pPr>
              <w:jc w:val="center"/>
              <w:rPr>
                <w:rFonts w:ascii="Garamond" w:eastAsiaTheme="minorHAnsi" w:hAnsi="Garamond"/>
                <w:i/>
                <w:iCs/>
                <w:sz w:val="24"/>
                <w:szCs w:val="24"/>
              </w:rPr>
            </w:pPr>
            <w:r w:rsidRPr="00EE038F">
              <w:rPr>
                <w:rFonts w:ascii="Garamond" w:eastAsiaTheme="minorHAnsi" w:hAnsi="Garamond"/>
                <w:i/>
                <w:iCs/>
                <w:sz w:val="24"/>
                <w:szCs w:val="24"/>
              </w:rPr>
              <w:t>Grafiku 4.2.3: Rimbursimet e TVSH-së për periudhën 9</w:t>
            </w:r>
            <w:r w:rsidR="00FB2D5D" w:rsidRPr="00EE038F">
              <w:rPr>
                <w:rFonts w:ascii="Garamond" w:eastAsiaTheme="minorHAnsi" w:hAnsi="Garamond"/>
                <w:i/>
                <w:iCs/>
                <w:sz w:val="24"/>
                <w:szCs w:val="24"/>
              </w:rPr>
              <w:t>-</w:t>
            </w:r>
            <w:r w:rsidRPr="00EE038F">
              <w:rPr>
                <w:rFonts w:ascii="Garamond" w:eastAsiaTheme="minorHAnsi" w:hAnsi="Garamond"/>
                <w:i/>
                <w:iCs/>
                <w:sz w:val="24"/>
                <w:szCs w:val="24"/>
              </w:rPr>
              <w:t>mujore n</w:t>
            </w:r>
            <w:r w:rsidR="00993C20" w:rsidRPr="00EE038F">
              <w:rPr>
                <w:rFonts w:ascii="Garamond" w:eastAsiaTheme="minorHAnsi" w:hAnsi="Garamond"/>
                <w:i/>
                <w:iCs/>
                <w:sz w:val="24"/>
                <w:szCs w:val="24"/>
              </w:rPr>
              <w:t>ë</w:t>
            </w:r>
            <w:r w:rsidRPr="00EE038F">
              <w:rPr>
                <w:rFonts w:ascii="Garamond" w:eastAsiaTheme="minorHAnsi" w:hAnsi="Garamond"/>
                <w:i/>
                <w:iCs/>
                <w:sz w:val="24"/>
                <w:szCs w:val="24"/>
              </w:rPr>
              <w:t xml:space="preserve"> vite</w:t>
            </w:r>
          </w:p>
        </w:tc>
      </w:tr>
      <w:tr w:rsidR="00473C92" w:rsidRPr="00EE038F" w14:paraId="72665BAA" w14:textId="77777777" w:rsidTr="00473C92">
        <w:tc>
          <w:tcPr>
            <w:tcW w:w="4535" w:type="dxa"/>
          </w:tcPr>
          <w:p w14:paraId="7EF47976" w14:textId="77777777" w:rsidR="00473C92" w:rsidRPr="00EE038F" w:rsidRDefault="00473C92" w:rsidP="00C50585">
            <w:pPr>
              <w:jc w:val="both"/>
              <w:rPr>
                <w:rFonts w:ascii="Garamond" w:eastAsiaTheme="minorHAnsi" w:hAnsi="Garamond"/>
              </w:rPr>
            </w:pPr>
            <w:r w:rsidRPr="00EE038F">
              <w:rPr>
                <w:rFonts w:ascii="Garamond" w:eastAsiaTheme="minorHAnsi" w:hAnsi="Garamond"/>
                <w:noProof/>
                <w:lang w:eastAsia="en-GB"/>
              </w:rPr>
              <w:drawing>
                <wp:inline distT="0" distB="0" distL="0" distR="0" wp14:anchorId="237AA75C" wp14:editId="337333D0">
                  <wp:extent cx="2750515" cy="1682115"/>
                  <wp:effectExtent l="0" t="0" r="12065" b="13335"/>
                  <wp:docPr id="53" name="Chart 53">
                    <a:extLst xmlns:a="http://schemas.openxmlformats.org/drawingml/2006/main">
                      <a:ext uri="{FF2B5EF4-FFF2-40B4-BE49-F238E27FC236}">
                        <a16:creationId xmlns:a16="http://schemas.microsoft.com/office/drawing/2014/main" id="{10F047E5-6EAB-4A82-9D92-22388EA61D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c>
          <w:tcPr>
            <w:tcW w:w="4475" w:type="dxa"/>
          </w:tcPr>
          <w:p w14:paraId="03E48F9E" w14:textId="77777777" w:rsidR="00473C92" w:rsidRPr="00EE038F" w:rsidRDefault="00473C92" w:rsidP="00C50585">
            <w:pPr>
              <w:jc w:val="both"/>
              <w:rPr>
                <w:rFonts w:ascii="Garamond" w:eastAsiaTheme="minorHAnsi" w:hAnsi="Garamond"/>
              </w:rPr>
            </w:pPr>
            <w:r w:rsidRPr="00EE038F">
              <w:rPr>
                <w:rFonts w:ascii="Garamond" w:eastAsiaTheme="minorHAnsi" w:hAnsi="Garamond"/>
                <w:noProof/>
                <w:lang w:eastAsia="en-GB"/>
              </w:rPr>
              <w:drawing>
                <wp:inline distT="0" distB="0" distL="0" distR="0" wp14:anchorId="65977FA9" wp14:editId="00097314">
                  <wp:extent cx="2713939" cy="1682115"/>
                  <wp:effectExtent l="0" t="0" r="10795" b="13335"/>
                  <wp:docPr id="54" name="Chart 54">
                    <a:extLst xmlns:a="http://schemas.openxmlformats.org/drawingml/2006/main">
                      <a:ext uri="{FF2B5EF4-FFF2-40B4-BE49-F238E27FC236}">
                        <a16:creationId xmlns:a16="http://schemas.microsoft.com/office/drawing/2014/main" id="{E8ECF485-3109-421D-B832-7932A1DBD3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r>
    </w:tbl>
    <w:p w14:paraId="5BD77C98" w14:textId="2932B9ED" w:rsidR="00C50585" w:rsidRPr="00EE038F" w:rsidRDefault="00C50585" w:rsidP="00066DFC">
      <w:pPr>
        <w:spacing w:after="0" w:line="240" w:lineRule="auto"/>
        <w:jc w:val="center"/>
        <w:rPr>
          <w:rFonts w:ascii="Garamond" w:eastAsia="Times New Roman" w:hAnsi="Garamond"/>
          <w:i/>
          <w:iCs/>
          <w:sz w:val="24"/>
          <w:szCs w:val="24"/>
        </w:rPr>
      </w:pPr>
      <w:r w:rsidRPr="00EE038F">
        <w:rPr>
          <w:rFonts w:ascii="Garamond" w:eastAsia="Times New Roman" w:hAnsi="Garamond"/>
          <w:i/>
          <w:iCs/>
          <w:sz w:val="24"/>
          <w:szCs w:val="24"/>
        </w:rPr>
        <w:t>Burimi: Ministria e Financave (2024)</w:t>
      </w:r>
    </w:p>
    <w:p w14:paraId="74D3CC86" w14:textId="77777777" w:rsidR="00C50585" w:rsidRPr="00EE038F" w:rsidRDefault="00C50585" w:rsidP="00C50585">
      <w:pPr>
        <w:spacing w:after="0" w:line="240" w:lineRule="auto"/>
        <w:jc w:val="both"/>
        <w:rPr>
          <w:rFonts w:ascii="Garamond" w:eastAsia="Times New Roman" w:hAnsi="Garamond"/>
        </w:rPr>
      </w:pPr>
    </w:p>
    <w:p w14:paraId="7C5A33CD" w14:textId="77777777" w:rsidR="00C50585" w:rsidRPr="00EE038F" w:rsidRDefault="00C50585" w:rsidP="00473C92">
      <w:pPr>
        <w:pStyle w:val="TEKSTIIIIII"/>
      </w:pPr>
      <w:r w:rsidRPr="00EE038F">
        <w:t xml:space="preserve">Të ardhurat e mbledhura nga </w:t>
      </w:r>
      <w:r w:rsidRPr="00EE038F">
        <w:rPr>
          <w:b/>
          <w:i/>
        </w:rPr>
        <w:t>tatimi mbi fitimin</w:t>
      </w:r>
      <w:r w:rsidRPr="00EE038F">
        <w:t xml:space="preserve"> u realizuan në masën 43.4 miliardë lekë 4.2 miliardë lekë ose 10.6% më shumë se plani fillestar i 9-mujorit për tatimin mbi fitimin. </w:t>
      </w:r>
    </w:p>
    <w:p w14:paraId="2B823AE2" w14:textId="1883DC79" w:rsidR="00C50585" w:rsidRPr="00EE038F" w:rsidRDefault="00473C92" w:rsidP="00473C92">
      <w:pPr>
        <w:pStyle w:val="TEKSTIIIIII"/>
      </w:pPr>
      <w:r w:rsidRPr="000A61D9">
        <w:rPr>
          <w:b/>
        </w:rPr>
        <w:t xml:space="preserve">- </w:t>
      </w:r>
      <w:r w:rsidR="00C50585" w:rsidRPr="00EE038F">
        <w:t>Sipas sektorëve të ekonomisë, rritje në tatimin mbi fitimin kanë sektorë</w:t>
      </w:r>
      <w:r w:rsidR="00566E9D" w:rsidRPr="00EE038F">
        <w:t>t,</w:t>
      </w:r>
      <w:r w:rsidR="00C50585" w:rsidRPr="00EE038F">
        <w:t xml:space="preserve"> si:</w:t>
      </w:r>
    </w:p>
    <w:p w14:paraId="3E19A9DF" w14:textId="164C4D4B" w:rsidR="00C50585" w:rsidRPr="00EE038F" w:rsidRDefault="00473C92" w:rsidP="00473C92">
      <w:pPr>
        <w:pStyle w:val="TEKSTIIIIII"/>
      </w:pPr>
      <w:r w:rsidRPr="00EE038F">
        <w:t xml:space="preserve">- </w:t>
      </w:r>
      <w:r w:rsidR="00C50585" w:rsidRPr="00EE038F">
        <w:t xml:space="preserve">Sektori </w:t>
      </w:r>
      <w:r w:rsidR="000155A5" w:rsidRPr="00EE038F">
        <w:t>i</w:t>
      </w:r>
      <w:r w:rsidR="00C50585" w:rsidRPr="00EE038F">
        <w:t xml:space="preserve"> </w:t>
      </w:r>
      <w:r w:rsidR="000155A5" w:rsidRPr="00EE038F">
        <w:t xml:space="preserve">prodhimit </w:t>
      </w:r>
      <w:r w:rsidR="00C50585" w:rsidRPr="00EE038F">
        <w:t>me një rritje prej 17% më shumë se 9-mujori i vitit 2023;</w:t>
      </w:r>
    </w:p>
    <w:p w14:paraId="7996AB92" w14:textId="45854946" w:rsidR="00C50585" w:rsidRPr="00EE038F" w:rsidRDefault="00473C92" w:rsidP="00473C92">
      <w:pPr>
        <w:pStyle w:val="TEKSTIIIIII"/>
      </w:pPr>
      <w:r w:rsidRPr="00EE038F">
        <w:t xml:space="preserve">- </w:t>
      </w:r>
      <w:r w:rsidR="00C50585" w:rsidRPr="00EE038F">
        <w:t xml:space="preserve">Sektori i </w:t>
      </w:r>
      <w:r w:rsidR="006C6A13" w:rsidRPr="00EE038F">
        <w:t xml:space="preserve">ndërtimit </w:t>
      </w:r>
      <w:r w:rsidR="00C50585" w:rsidRPr="00EE038F">
        <w:t>me rritje 6% më shumë se 9-mujori i vitit 2023;</w:t>
      </w:r>
    </w:p>
    <w:p w14:paraId="2440FEE5" w14:textId="7C841BEA" w:rsidR="00473C92" w:rsidRPr="00EE038F" w:rsidRDefault="00473C92" w:rsidP="00473C92">
      <w:pPr>
        <w:pStyle w:val="TEKSTIIIIII"/>
      </w:pPr>
      <w:r w:rsidRPr="00EE038F">
        <w:t xml:space="preserve">- </w:t>
      </w:r>
      <w:r w:rsidR="00C50585" w:rsidRPr="00EE038F">
        <w:t xml:space="preserve">Sektori i </w:t>
      </w:r>
      <w:r w:rsidR="006C6A13" w:rsidRPr="00EE038F">
        <w:t xml:space="preserve">shërbimit </w:t>
      </w:r>
      <w:r w:rsidR="00C50585" w:rsidRPr="00EE038F">
        <w:t xml:space="preserve">me rritje 9%; </w:t>
      </w:r>
    </w:p>
    <w:p w14:paraId="6C7F5E98" w14:textId="04DB40B7" w:rsidR="00C50585" w:rsidRPr="00EE038F" w:rsidRDefault="00473C92" w:rsidP="00473C92">
      <w:pPr>
        <w:pStyle w:val="TEKSTIIIIII"/>
      </w:pPr>
      <w:r w:rsidRPr="00EE038F">
        <w:t xml:space="preserve">- </w:t>
      </w:r>
      <w:r w:rsidR="00C50585" w:rsidRPr="00EE038F">
        <w:t xml:space="preserve">Sektori i </w:t>
      </w:r>
      <w:r w:rsidR="006C6A13" w:rsidRPr="00EE038F">
        <w:t xml:space="preserve">transportit </w:t>
      </w:r>
      <w:r w:rsidR="00C50585" w:rsidRPr="00EE038F">
        <w:t>me rritje 22%.</w:t>
      </w:r>
    </w:p>
    <w:p w14:paraId="21A5730E" w14:textId="3F1C3509" w:rsidR="00C50585" w:rsidRPr="00EE038F" w:rsidRDefault="00711D63" w:rsidP="00711D63">
      <w:pPr>
        <w:pStyle w:val="TEKSTIIIIII"/>
        <w:ind w:left="284" w:firstLine="0"/>
      </w:pPr>
      <w:r w:rsidRPr="000A61D9">
        <w:rPr>
          <w:b/>
        </w:rPr>
        <w:t xml:space="preserve">- </w:t>
      </w:r>
      <w:r w:rsidR="00C50585" w:rsidRPr="00EE038F">
        <w:t>Sektori i ekonomisë, me ulje në të ardhura krahasuar me të njëjtën periudhe të vitit 2023 është:</w:t>
      </w:r>
    </w:p>
    <w:p w14:paraId="633B9EF3" w14:textId="780F150A" w:rsidR="00C50585" w:rsidRPr="00EE038F" w:rsidRDefault="00711D63" w:rsidP="00473C92">
      <w:pPr>
        <w:pStyle w:val="TEKSTIIIIII"/>
      </w:pPr>
      <w:r w:rsidRPr="00EE038F">
        <w:t xml:space="preserve">- </w:t>
      </w:r>
      <w:r w:rsidR="00C50585" w:rsidRPr="00EE038F">
        <w:t xml:space="preserve">Sektori i </w:t>
      </w:r>
      <w:r w:rsidRPr="00EE038F">
        <w:t xml:space="preserve">tregtisë </w:t>
      </w:r>
      <w:r w:rsidR="00C50585" w:rsidRPr="00EE038F">
        <w:t>me 2% më pak se 9-mujori i vitit 2023.</w:t>
      </w:r>
    </w:p>
    <w:p w14:paraId="4EB408B3" w14:textId="77777777" w:rsidR="00711D63" w:rsidRPr="00EE038F" w:rsidRDefault="00711D63" w:rsidP="00711D63">
      <w:pPr>
        <w:spacing w:after="0" w:line="240" w:lineRule="auto"/>
        <w:rPr>
          <w:rFonts w:ascii="Garamond" w:eastAsia="Times New Roman" w:hAnsi="Garamond"/>
        </w:rPr>
      </w:pPr>
      <w:bookmarkStart w:id="23" w:name="_Hlk186451844"/>
    </w:p>
    <w:p w14:paraId="0BB1FFAF" w14:textId="77777777" w:rsidR="00711D63" w:rsidRPr="00EE038F" w:rsidRDefault="00711D63" w:rsidP="00711D63">
      <w:pPr>
        <w:spacing w:after="0" w:line="240" w:lineRule="auto"/>
        <w:rPr>
          <w:rFonts w:ascii="Garamond" w:eastAsia="Times New Roman" w:hAnsi="Garamond"/>
        </w:rPr>
      </w:pPr>
    </w:p>
    <w:p w14:paraId="1DCB9852" w14:textId="176760A7" w:rsidR="00C50585" w:rsidRPr="00EE038F" w:rsidRDefault="00C50585" w:rsidP="00711D63">
      <w:pPr>
        <w:spacing w:after="0" w:line="240" w:lineRule="auto"/>
        <w:jc w:val="center"/>
        <w:rPr>
          <w:rStyle w:val="jlqj4b"/>
          <w:rFonts w:ascii="Garamond" w:hAnsi="Garamond"/>
          <w:i/>
          <w:iCs/>
          <w:sz w:val="24"/>
          <w:szCs w:val="24"/>
        </w:rPr>
      </w:pPr>
      <w:r w:rsidRPr="00EE038F">
        <w:rPr>
          <w:rFonts w:ascii="Garamond" w:eastAsia="Times New Roman" w:hAnsi="Garamond"/>
          <w:i/>
          <w:iCs/>
          <w:sz w:val="24"/>
          <w:szCs w:val="24"/>
        </w:rPr>
        <w:t xml:space="preserve">Grafiku 4.2.4: </w:t>
      </w:r>
      <w:r w:rsidRPr="00EE038F">
        <w:rPr>
          <w:rStyle w:val="jlqj4b"/>
          <w:rFonts w:ascii="Garamond" w:hAnsi="Garamond"/>
          <w:i/>
          <w:iCs/>
          <w:sz w:val="24"/>
          <w:szCs w:val="24"/>
        </w:rPr>
        <w:t>Ecuria e tatimit mbi fitimin ndër vite për një periudhë 9</w:t>
      </w:r>
      <w:r w:rsidR="006529C9" w:rsidRPr="00EE038F">
        <w:rPr>
          <w:rStyle w:val="jlqj4b"/>
          <w:rFonts w:ascii="Garamond" w:hAnsi="Garamond"/>
          <w:i/>
          <w:iCs/>
          <w:sz w:val="24"/>
          <w:szCs w:val="24"/>
        </w:rPr>
        <w:t>-</w:t>
      </w:r>
      <w:r w:rsidRPr="00EE038F">
        <w:rPr>
          <w:rStyle w:val="jlqj4b"/>
          <w:rFonts w:ascii="Garamond" w:hAnsi="Garamond"/>
          <w:i/>
          <w:iCs/>
          <w:sz w:val="24"/>
          <w:szCs w:val="24"/>
        </w:rPr>
        <w:t>mujore, në milionë lekë</w:t>
      </w:r>
    </w:p>
    <w:p w14:paraId="269F3C3C" w14:textId="77777777" w:rsidR="00C50585" w:rsidRPr="00EE038F" w:rsidRDefault="00C50585" w:rsidP="00C50585">
      <w:pPr>
        <w:spacing w:after="0" w:line="240" w:lineRule="auto"/>
        <w:jc w:val="both"/>
        <w:rPr>
          <w:rFonts w:ascii="Garamond" w:eastAsia="Times New Roman" w:hAnsi="Garamond"/>
        </w:rPr>
      </w:pPr>
      <w:r w:rsidRPr="00EE038F">
        <w:rPr>
          <w:rFonts w:ascii="Garamond" w:hAnsi="Garamond"/>
          <w:noProof/>
          <w:lang w:eastAsia="en-GB"/>
        </w:rPr>
        <w:lastRenderedPageBreak/>
        <w:drawing>
          <wp:inline distT="0" distB="0" distL="0" distR="0" wp14:anchorId="05908356" wp14:editId="140B2F25">
            <wp:extent cx="6143625" cy="2135505"/>
            <wp:effectExtent l="0" t="0" r="9525" b="17145"/>
            <wp:docPr id="1712570936" name="Chart 1712570936">
              <a:extLst xmlns:a="http://schemas.openxmlformats.org/drawingml/2006/main">
                <a:ext uri="{FF2B5EF4-FFF2-40B4-BE49-F238E27FC236}">
                  <a16:creationId xmlns:a16="http://schemas.microsoft.com/office/drawing/2014/main" id="{D2D923DD-946B-4D29-A8EB-D7A1D2DB77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bookmarkEnd w:id="23"/>
    <w:p w14:paraId="45D6A2D9" w14:textId="2D4197EB" w:rsidR="00C50585" w:rsidRPr="00EE038F" w:rsidRDefault="00C50585" w:rsidP="00066DFC">
      <w:pPr>
        <w:spacing w:after="0" w:line="240" w:lineRule="auto"/>
        <w:jc w:val="center"/>
        <w:rPr>
          <w:rFonts w:ascii="Garamond" w:hAnsi="Garamond"/>
          <w:i/>
          <w:iCs/>
          <w:sz w:val="24"/>
          <w:szCs w:val="24"/>
        </w:rPr>
      </w:pPr>
      <w:r w:rsidRPr="00EE038F">
        <w:rPr>
          <w:rFonts w:ascii="Garamond" w:hAnsi="Garamond"/>
          <w:i/>
          <w:iCs/>
          <w:sz w:val="24"/>
          <w:szCs w:val="24"/>
        </w:rPr>
        <w:t>Burimi: Ministria e Financave (2024)</w:t>
      </w:r>
    </w:p>
    <w:p w14:paraId="5632473E" w14:textId="77777777" w:rsidR="00C50585" w:rsidRPr="00EE038F" w:rsidRDefault="00C50585" w:rsidP="00C50585">
      <w:pPr>
        <w:pStyle w:val="ListParagraph"/>
        <w:spacing w:after="0" w:line="240" w:lineRule="auto"/>
        <w:ind w:left="0"/>
        <w:jc w:val="both"/>
        <w:rPr>
          <w:rFonts w:ascii="Garamond" w:hAnsi="Garamond" w:cs="Times New Roman"/>
          <w:i/>
          <w:iCs/>
          <w:sz w:val="24"/>
          <w:szCs w:val="24"/>
        </w:rPr>
      </w:pPr>
    </w:p>
    <w:p w14:paraId="61E406F7" w14:textId="77777777" w:rsidR="00C50585" w:rsidRPr="00EE038F" w:rsidRDefault="00C50585" w:rsidP="00473C92">
      <w:pPr>
        <w:pStyle w:val="TEKSTIIIIII"/>
        <w:rPr>
          <w:bCs/>
        </w:rPr>
      </w:pPr>
      <w:r w:rsidRPr="00EE038F">
        <w:rPr>
          <w:i/>
        </w:rPr>
        <w:t>Të ardhurat nga tatimi mbi të ardhurat personale</w:t>
      </w:r>
      <w:r w:rsidRPr="00EE038F">
        <w:t xml:space="preserve"> janë arkëtuar në vlerën 49.8 miliardë lekë, 468 </w:t>
      </w:r>
      <w:r w:rsidRPr="00EE038F">
        <w:rPr>
          <w:bCs/>
        </w:rPr>
        <w:t xml:space="preserve">milionë lekë ose 0.9% më shumë se plani fillestari i 9-mujorit 2024. </w:t>
      </w:r>
    </w:p>
    <w:p w14:paraId="03EC0BB9" w14:textId="6F8B9BAE" w:rsidR="00C50585" w:rsidRPr="00EE038F" w:rsidRDefault="00C50585" w:rsidP="00473C92">
      <w:pPr>
        <w:pStyle w:val="TEKSTIIIIII"/>
        <w:rPr>
          <w:bCs/>
          <w:iCs/>
        </w:rPr>
      </w:pPr>
      <w:r w:rsidRPr="00EE038F">
        <w:rPr>
          <w:bCs/>
          <w:iCs/>
        </w:rPr>
        <w:t xml:space="preserve">Ndikimin kryesor për </w:t>
      </w:r>
      <w:r w:rsidR="006529C9" w:rsidRPr="00EE038F">
        <w:rPr>
          <w:bCs/>
          <w:iCs/>
        </w:rPr>
        <w:t>periudhën janar–</w:t>
      </w:r>
      <w:r w:rsidR="006529C9" w:rsidRPr="00EE038F">
        <w:t>shtator</w:t>
      </w:r>
      <w:r w:rsidR="006529C9" w:rsidRPr="00EE038F">
        <w:rPr>
          <w:bCs/>
          <w:iCs/>
        </w:rPr>
        <w:t xml:space="preserve"> </w:t>
      </w:r>
      <w:r w:rsidRPr="00EE038F">
        <w:rPr>
          <w:bCs/>
          <w:iCs/>
        </w:rPr>
        <w:t>2024 në tatimin mbi të ardhurat personale e kanë zërat kryesor</w:t>
      </w:r>
      <w:r w:rsidR="00A05F68" w:rsidRPr="00EE038F">
        <w:rPr>
          <w:bCs/>
          <w:iCs/>
        </w:rPr>
        <w:t>ë,</w:t>
      </w:r>
      <w:r w:rsidRPr="00EE038F">
        <w:rPr>
          <w:bCs/>
          <w:iCs/>
        </w:rPr>
        <w:t xml:space="preserve"> si: </w:t>
      </w:r>
    </w:p>
    <w:p w14:paraId="118A7175" w14:textId="59BC22C3" w:rsidR="00C50585" w:rsidRPr="00EE038F" w:rsidRDefault="00473C92" w:rsidP="00473C92">
      <w:pPr>
        <w:pStyle w:val="TEKSTIIIIII"/>
      </w:pPr>
      <w:r w:rsidRPr="00EE038F">
        <w:t xml:space="preserve">- </w:t>
      </w:r>
      <w:r w:rsidR="00C50585" w:rsidRPr="00EE038F">
        <w:t xml:space="preserve">Të ardhurat nga </w:t>
      </w:r>
      <w:r w:rsidR="00C50585" w:rsidRPr="00A020F5">
        <w:rPr>
          <w:u w:val="single"/>
        </w:rPr>
        <w:t>tatimi mbi pagën në sektorin privat</w:t>
      </w:r>
      <w:r w:rsidR="00C50585" w:rsidRPr="00EE038F">
        <w:t xml:space="preserve"> u realizuan në shumën 18.2 miliardë lekë, me rritje +14.9% në krahasim me 9-mujorin 2023. Për muajin </w:t>
      </w:r>
      <w:r w:rsidR="00853B25" w:rsidRPr="00EE038F">
        <w:t xml:space="preserve">shtator </w:t>
      </w:r>
      <w:r w:rsidR="00C50585" w:rsidRPr="00EE038F">
        <w:t xml:space="preserve">2024 janë arkëtuar 510 milionë lekë më shumë tatim mbi pagën në sektorin publik në krahasim me </w:t>
      </w:r>
      <w:r w:rsidR="00366351" w:rsidRPr="00EE038F">
        <w:t xml:space="preserve">shtator </w:t>
      </w:r>
      <w:r w:rsidR="00C50585" w:rsidRPr="00EE038F">
        <w:t xml:space="preserve">2023. Ky është dhe efekti i rritjes së pagës në 1 </w:t>
      </w:r>
      <w:r w:rsidR="00366351" w:rsidRPr="00EE038F">
        <w:t xml:space="preserve">korrik </w:t>
      </w:r>
      <w:r w:rsidR="00C50585" w:rsidRPr="00EE038F">
        <w:t>2024</w:t>
      </w:r>
      <w:r w:rsidR="00B348F7" w:rsidRPr="00EE038F">
        <w:t>;</w:t>
      </w:r>
    </w:p>
    <w:p w14:paraId="072F404B" w14:textId="77777777" w:rsidR="00C50585" w:rsidRPr="00EE038F" w:rsidRDefault="00473C92" w:rsidP="00473C92">
      <w:pPr>
        <w:pStyle w:val="TEKSTIIIIII"/>
      </w:pPr>
      <w:r w:rsidRPr="00EE038F">
        <w:t xml:space="preserve">- </w:t>
      </w:r>
      <w:r w:rsidR="00C50585" w:rsidRPr="00EE038F">
        <w:t xml:space="preserve">Të ardhurat nga </w:t>
      </w:r>
      <w:r w:rsidR="00C50585" w:rsidRPr="00A020F5">
        <w:rPr>
          <w:u w:val="single"/>
        </w:rPr>
        <w:t>tatimi mbi pagën në sektorin publik</w:t>
      </w:r>
      <w:r w:rsidR="00C50585" w:rsidRPr="00EE038F">
        <w:t xml:space="preserve"> u realizuan në shumën 9.9 miliardë lekë, me rritje +22.3% në krahasim me 9-mujorin 2023, rritje e cila reflekton rritjen e pagave të ndërmarrë në mesin e vitit të kaluar;</w:t>
      </w:r>
    </w:p>
    <w:p w14:paraId="3AC225DC" w14:textId="77777777" w:rsidR="00C50585" w:rsidRPr="00EE038F" w:rsidRDefault="00473C92" w:rsidP="00473C92">
      <w:pPr>
        <w:pStyle w:val="TEKSTIIIIII"/>
      </w:pPr>
      <w:r w:rsidRPr="00EE038F">
        <w:t xml:space="preserve">- </w:t>
      </w:r>
      <w:r w:rsidR="00C50585" w:rsidRPr="00EE038F">
        <w:t xml:space="preserve">Të ardhurat nga </w:t>
      </w:r>
      <w:r w:rsidR="00C50585" w:rsidRPr="00A020F5">
        <w:rPr>
          <w:u w:val="single"/>
        </w:rPr>
        <w:t>interesat</w:t>
      </w:r>
      <w:r w:rsidR="00C50585" w:rsidRPr="00EE038F">
        <w:t xml:space="preserve"> në shumën 2.6 miliardë lekë, me rritje mbi 46.9% në krahasim me vitin e kaluar si rezultat i rritjes së normës së interesit;</w:t>
      </w:r>
    </w:p>
    <w:p w14:paraId="45332DA2" w14:textId="77777777" w:rsidR="00C50585" w:rsidRPr="00EE038F" w:rsidRDefault="00473C92" w:rsidP="00473C92">
      <w:pPr>
        <w:pStyle w:val="TEKSTIIIIII"/>
      </w:pPr>
      <w:r w:rsidRPr="00EE038F">
        <w:t xml:space="preserve">- </w:t>
      </w:r>
      <w:r w:rsidR="00C50585" w:rsidRPr="00EE038F">
        <w:t xml:space="preserve">Të ardhurat nga tatimi nga </w:t>
      </w:r>
      <w:r w:rsidR="00C50585" w:rsidRPr="00A020F5">
        <w:rPr>
          <w:u w:val="single"/>
        </w:rPr>
        <w:t>shitja e pasurisë së paluajtshme</w:t>
      </w:r>
      <w:r w:rsidR="00C50585" w:rsidRPr="00EE038F">
        <w:t xml:space="preserve"> u realizuan në shumën 4.2 miliardë lekë, me rritje + 8.8% si rezultat i aplikimit të çmimeve të referencës.</w:t>
      </w:r>
    </w:p>
    <w:p w14:paraId="576A68FB" w14:textId="6DABFE65" w:rsidR="00C50585" w:rsidRPr="00EE038F" w:rsidRDefault="00473C92" w:rsidP="00473C92">
      <w:pPr>
        <w:pStyle w:val="TEKSTIIIIII"/>
      </w:pPr>
      <w:r w:rsidRPr="00EE038F">
        <w:t xml:space="preserve">- </w:t>
      </w:r>
      <w:r w:rsidR="00C50585" w:rsidRPr="00EE038F">
        <w:t xml:space="preserve">Gjithashtu, krahasuar me 9-mujorin 2023, konstatohet rritje me 23.5% e të ardhurave nga tatimi mbi </w:t>
      </w:r>
      <w:r w:rsidR="00B348F7" w:rsidRPr="00A020F5">
        <w:rPr>
          <w:u w:val="single"/>
        </w:rPr>
        <w:t>deklaratën individuale vjetore</w:t>
      </w:r>
      <w:r w:rsidR="00B348F7" w:rsidRPr="00EE038F">
        <w:t xml:space="preserve">, </w:t>
      </w:r>
      <w:r w:rsidR="00C50585" w:rsidRPr="00EE038F">
        <w:t xml:space="preserve">si dhe rritje 15.6% e tatimit mbi </w:t>
      </w:r>
      <w:r w:rsidR="00C50585" w:rsidRPr="00A020F5">
        <w:rPr>
          <w:u w:val="single"/>
        </w:rPr>
        <w:t xml:space="preserve">të </w:t>
      </w:r>
      <w:r w:rsidR="00B348F7" w:rsidRPr="00A020F5">
        <w:rPr>
          <w:u w:val="single"/>
        </w:rPr>
        <w:t>drejtën e autorit</w:t>
      </w:r>
      <w:r w:rsidR="00B348F7" w:rsidRPr="00EE038F">
        <w:t xml:space="preserve"> </w:t>
      </w:r>
      <w:r w:rsidR="00C50585" w:rsidRPr="00EE038F">
        <w:t>në krahasim me 9-mujorin 2023;</w:t>
      </w:r>
    </w:p>
    <w:p w14:paraId="284A49D0" w14:textId="69E24D9F" w:rsidR="00C50585" w:rsidRPr="00EE038F" w:rsidRDefault="00C50585" w:rsidP="00473C92">
      <w:pPr>
        <w:pStyle w:val="TEKSTIIIIII"/>
      </w:pPr>
      <w:r w:rsidRPr="00EE038F">
        <w:t xml:space="preserve">Ndikim këtu ka edhe ndryshimi ligjor i afatit të pagesës së dividentit, ku në bazë të ligjit të vjetër dividenti duhej paguar brenda </w:t>
      </w:r>
      <w:r w:rsidR="00946BA4" w:rsidRPr="00EE038F">
        <w:t xml:space="preserve">gushtit </w:t>
      </w:r>
      <w:r w:rsidRPr="00EE038F">
        <w:t xml:space="preserve">të çdo viti, ndërsa me ligjin e ri, nuk është kusht më afati muaji </w:t>
      </w:r>
      <w:r w:rsidR="00946BA4" w:rsidRPr="00EE038F">
        <w:t>gusht</w:t>
      </w:r>
      <w:r w:rsidRPr="00EE038F">
        <w:t xml:space="preserve">. Në </w:t>
      </w:r>
      <w:r w:rsidR="00946BA4" w:rsidRPr="00EE038F">
        <w:t xml:space="preserve">shtator </w:t>
      </w:r>
      <w:r w:rsidRPr="00EE038F">
        <w:t xml:space="preserve">2023 janë paguar 5.1 miliardë lekë divident ndërsa në muajin </w:t>
      </w:r>
      <w:r w:rsidR="00946BA4" w:rsidRPr="00EE038F">
        <w:t xml:space="preserve">shtator </w:t>
      </w:r>
      <w:r w:rsidRPr="00EE038F">
        <w:t>2024 janë paguar 4.9 miliardë lekë divident.</w:t>
      </w:r>
    </w:p>
    <w:p w14:paraId="44FE883B" w14:textId="2318D5CF" w:rsidR="00C50585" w:rsidRPr="00EE038F" w:rsidRDefault="00C50585" w:rsidP="00473C92">
      <w:pPr>
        <w:pStyle w:val="TEKSTIIIIII"/>
      </w:pPr>
      <w:r w:rsidRPr="00EE038F">
        <w:t>Nga analiza e tatimit mbi të ardhurat personale sipas list</w:t>
      </w:r>
      <w:r w:rsidR="00946BA4" w:rsidRPr="00EE038F">
        <w:t>ë</w:t>
      </w:r>
      <w:r w:rsidRPr="00EE038F">
        <w:t>pagesave për 9-mujorin 2024 rezulton</w:t>
      </w:r>
      <w:r w:rsidRPr="00EE038F">
        <w:rPr>
          <w:bCs/>
          <w:iCs/>
        </w:rPr>
        <w:t>:</w:t>
      </w:r>
    </w:p>
    <w:p w14:paraId="73BD06D6" w14:textId="77777777" w:rsidR="00C50585" w:rsidRPr="00EE038F" w:rsidRDefault="00473C92" w:rsidP="00473C92">
      <w:pPr>
        <w:pStyle w:val="TEKSTIIIIII"/>
      </w:pPr>
      <w:r w:rsidRPr="00EE038F">
        <w:t xml:space="preserve">- </w:t>
      </w:r>
      <w:r w:rsidR="00C50585" w:rsidRPr="00EE038F">
        <w:t xml:space="preserve">Sektori </w:t>
      </w:r>
      <w:r w:rsidR="00C50585" w:rsidRPr="00EB7E58">
        <w:rPr>
          <w:u w:val="single"/>
        </w:rPr>
        <w:t>i shërbimit</w:t>
      </w:r>
      <w:r w:rsidR="00C50585" w:rsidRPr="00EE038F">
        <w:t xml:space="preserve"> me gjenerimin më të lartë në të ardhura për periudhën me vlerë 20.4 miliardë lekë për vitin 2024 ose sa 69% e totalit të arkëtuar.</w:t>
      </w:r>
    </w:p>
    <w:p w14:paraId="35BC43EB" w14:textId="0ACF346E" w:rsidR="00C50585" w:rsidRPr="00EE038F" w:rsidRDefault="00473C92" w:rsidP="00473C92">
      <w:pPr>
        <w:pStyle w:val="TEKSTIIIIII"/>
      </w:pPr>
      <w:r w:rsidRPr="00EE038F">
        <w:t xml:space="preserve">- </w:t>
      </w:r>
      <w:r w:rsidR="00C50585" w:rsidRPr="00EE038F">
        <w:t xml:space="preserve">Sektori </w:t>
      </w:r>
      <w:r w:rsidR="00C50585" w:rsidRPr="00DA4CFA">
        <w:rPr>
          <w:u w:val="single"/>
        </w:rPr>
        <w:t>i prodhimit</w:t>
      </w:r>
      <w:r w:rsidR="00C50585" w:rsidRPr="00EE038F">
        <w:t xml:space="preserve"> me të ardhura 3.7 miliardë lekë ose sa 13% e totalit të arkëtuar</w:t>
      </w:r>
      <w:r w:rsidR="00946BA4" w:rsidRPr="00EE038F">
        <w:t>;</w:t>
      </w:r>
    </w:p>
    <w:p w14:paraId="128651BC" w14:textId="09A919AD" w:rsidR="00C50585" w:rsidRPr="00EE038F" w:rsidRDefault="00473C92" w:rsidP="00473C92">
      <w:pPr>
        <w:pStyle w:val="TEKSTIIIIII"/>
      </w:pPr>
      <w:r w:rsidRPr="00EE038F">
        <w:t xml:space="preserve">- </w:t>
      </w:r>
      <w:r w:rsidR="00C50585" w:rsidRPr="00EE038F">
        <w:t xml:space="preserve">Sektori </w:t>
      </w:r>
      <w:r w:rsidR="00C50585" w:rsidRPr="00DA4CFA">
        <w:rPr>
          <w:u w:val="single"/>
        </w:rPr>
        <w:t>i tregtisë</w:t>
      </w:r>
      <w:r w:rsidR="00C50585" w:rsidRPr="00EE038F">
        <w:t xml:space="preserve"> me të ardhura 3.2 miliardë lekë ose sa 11% e totalit të arkëtuar</w:t>
      </w:r>
      <w:r w:rsidR="00946BA4" w:rsidRPr="00EE038F">
        <w:t>;</w:t>
      </w:r>
    </w:p>
    <w:p w14:paraId="45FA5816" w14:textId="492936AB" w:rsidR="00C50585" w:rsidRPr="00EE038F" w:rsidRDefault="00473C92" w:rsidP="00473C92">
      <w:pPr>
        <w:pStyle w:val="TEKSTIIIIII"/>
      </w:pPr>
      <w:r w:rsidRPr="00EE038F">
        <w:t xml:space="preserve">- </w:t>
      </w:r>
      <w:r w:rsidR="00C50585" w:rsidRPr="00EE038F">
        <w:t xml:space="preserve">Sektori </w:t>
      </w:r>
      <w:r w:rsidR="00C50585" w:rsidRPr="00DA4CFA">
        <w:rPr>
          <w:u w:val="single"/>
        </w:rPr>
        <w:t>i ndërtimit</w:t>
      </w:r>
      <w:r w:rsidR="00C50585" w:rsidRPr="00EE038F">
        <w:t xml:space="preserve"> me të ardhura 1.3 miliardë lekë ose sa 4.2% e totalit të arkëtuar</w:t>
      </w:r>
      <w:r w:rsidR="00946BA4" w:rsidRPr="00EE038F">
        <w:t>;</w:t>
      </w:r>
    </w:p>
    <w:p w14:paraId="30122613" w14:textId="77777777" w:rsidR="00C50585" w:rsidRPr="00EE038F" w:rsidRDefault="00473C92" w:rsidP="00473C92">
      <w:pPr>
        <w:pStyle w:val="TEKSTIIIIII"/>
      </w:pPr>
      <w:r w:rsidRPr="00EE038F">
        <w:t xml:space="preserve">- </w:t>
      </w:r>
      <w:r w:rsidR="00C50585" w:rsidRPr="00EE038F">
        <w:t xml:space="preserve">Sektori </w:t>
      </w:r>
      <w:r w:rsidR="00C50585" w:rsidRPr="00DA4CFA">
        <w:rPr>
          <w:u w:val="single"/>
        </w:rPr>
        <w:t>i transportit</w:t>
      </w:r>
      <w:r w:rsidR="00C50585" w:rsidRPr="00EE038F">
        <w:t xml:space="preserve"> me të ardhura 828 milionë lekë ose sa 2.9% e totalit të arkëtuar.</w:t>
      </w:r>
    </w:p>
    <w:p w14:paraId="51A5580D" w14:textId="77777777" w:rsidR="00946BA4" w:rsidRPr="00EE038F" w:rsidRDefault="00946BA4" w:rsidP="00946BA4">
      <w:pPr>
        <w:spacing w:after="0" w:line="240" w:lineRule="auto"/>
        <w:rPr>
          <w:rStyle w:val="rynqvb"/>
          <w:rFonts w:ascii="Garamond" w:hAnsi="Garamond" w:cs="Times New Roman"/>
          <w:sz w:val="24"/>
          <w:szCs w:val="24"/>
        </w:rPr>
      </w:pPr>
    </w:p>
    <w:p w14:paraId="754728FC" w14:textId="77777777" w:rsidR="00946BA4" w:rsidRPr="00EE038F" w:rsidRDefault="00946BA4" w:rsidP="00946BA4">
      <w:pPr>
        <w:spacing w:after="0" w:line="240" w:lineRule="auto"/>
        <w:rPr>
          <w:rFonts w:ascii="Garamond" w:eastAsia="Times New Roman" w:hAnsi="Garamond"/>
        </w:rPr>
      </w:pPr>
    </w:p>
    <w:p w14:paraId="77C83AF7" w14:textId="77777777" w:rsidR="00946BA4" w:rsidRPr="00EE038F" w:rsidRDefault="00946BA4" w:rsidP="00946BA4">
      <w:pPr>
        <w:spacing w:after="0" w:line="240" w:lineRule="auto"/>
        <w:rPr>
          <w:rFonts w:ascii="Garamond" w:eastAsia="Times New Roman" w:hAnsi="Garamond"/>
        </w:rPr>
      </w:pPr>
    </w:p>
    <w:p w14:paraId="0ABEC710" w14:textId="77777777" w:rsidR="00946BA4" w:rsidRPr="00EE038F" w:rsidRDefault="00946BA4" w:rsidP="00946BA4">
      <w:pPr>
        <w:spacing w:after="0" w:line="240" w:lineRule="auto"/>
        <w:rPr>
          <w:rFonts w:ascii="Garamond" w:eastAsia="Times New Roman" w:hAnsi="Garamond"/>
        </w:rPr>
      </w:pPr>
    </w:p>
    <w:p w14:paraId="720A3981" w14:textId="77777777" w:rsidR="00946BA4" w:rsidRPr="00EE038F" w:rsidRDefault="00946BA4" w:rsidP="00946BA4">
      <w:pPr>
        <w:spacing w:after="0" w:line="240" w:lineRule="auto"/>
        <w:rPr>
          <w:rFonts w:ascii="Garamond" w:eastAsia="Times New Roman" w:hAnsi="Garamond"/>
        </w:rPr>
      </w:pPr>
    </w:p>
    <w:p w14:paraId="5ED2E7FE" w14:textId="77777777" w:rsidR="00946BA4" w:rsidRPr="00EE038F" w:rsidRDefault="00946BA4" w:rsidP="00946BA4">
      <w:pPr>
        <w:spacing w:after="0" w:line="240" w:lineRule="auto"/>
        <w:rPr>
          <w:rFonts w:ascii="Garamond" w:eastAsia="Times New Roman" w:hAnsi="Garamond"/>
        </w:rPr>
      </w:pPr>
    </w:p>
    <w:p w14:paraId="10C6F929" w14:textId="77777777" w:rsidR="00946BA4" w:rsidRPr="00EE038F" w:rsidRDefault="00946BA4" w:rsidP="00946BA4">
      <w:pPr>
        <w:spacing w:after="0" w:line="240" w:lineRule="auto"/>
        <w:rPr>
          <w:rFonts w:ascii="Garamond" w:eastAsia="Times New Roman" w:hAnsi="Garamond"/>
        </w:rPr>
      </w:pPr>
    </w:p>
    <w:p w14:paraId="4140BA16" w14:textId="0001B1A6" w:rsidR="00C50585" w:rsidRPr="00EE038F" w:rsidRDefault="00C50585" w:rsidP="00946BA4">
      <w:pPr>
        <w:spacing w:after="0" w:line="240" w:lineRule="auto"/>
        <w:jc w:val="center"/>
        <w:rPr>
          <w:rFonts w:ascii="Garamond" w:eastAsiaTheme="minorHAnsi" w:hAnsi="Garamond"/>
          <w:i/>
          <w:iCs/>
          <w:sz w:val="24"/>
          <w:szCs w:val="24"/>
        </w:rPr>
      </w:pPr>
      <w:r w:rsidRPr="00EE038F">
        <w:rPr>
          <w:rFonts w:ascii="Garamond" w:eastAsia="Times New Roman" w:hAnsi="Garamond"/>
          <w:i/>
          <w:iCs/>
          <w:sz w:val="24"/>
          <w:szCs w:val="24"/>
        </w:rPr>
        <w:t xml:space="preserve">Grafiku 4.2.5: </w:t>
      </w:r>
      <w:r w:rsidRPr="00EE038F">
        <w:rPr>
          <w:rFonts w:ascii="Garamond" w:eastAsiaTheme="minorHAnsi" w:hAnsi="Garamond"/>
          <w:i/>
          <w:iCs/>
          <w:sz w:val="24"/>
          <w:szCs w:val="24"/>
        </w:rPr>
        <w:t xml:space="preserve">Të ardhurat nga </w:t>
      </w:r>
      <w:r w:rsidR="00946BA4" w:rsidRPr="00EE038F">
        <w:rPr>
          <w:rFonts w:ascii="Garamond" w:eastAsiaTheme="minorHAnsi" w:hAnsi="Garamond"/>
          <w:i/>
          <w:iCs/>
          <w:sz w:val="24"/>
          <w:szCs w:val="24"/>
        </w:rPr>
        <w:t xml:space="preserve">tatimi mbi të ardhurat personale </w:t>
      </w:r>
      <w:r w:rsidRPr="00EE038F">
        <w:rPr>
          <w:rFonts w:ascii="Garamond" w:eastAsiaTheme="minorHAnsi" w:hAnsi="Garamond"/>
          <w:i/>
          <w:iCs/>
          <w:sz w:val="24"/>
          <w:szCs w:val="24"/>
        </w:rPr>
        <w:t>gjatë viteve për periudhën 9-mujore</w:t>
      </w:r>
    </w:p>
    <w:p w14:paraId="6B2FAF10" w14:textId="77777777" w:rsidR="00C50585" w:rsidRPr="00EE038F" w:rsidRDefault="00C50585" w:rsidP="00C50585">
      <w:pPr>
        <w:widowControl w:val="0"/>
        <w:spacing w:after="0" w:line="240" w:lineRule="auto"/>
        <w:jc w:val="both"/>
        <w:rPr>
          <w:rFonts w:ascii="Garamond" w:eastAsiaTheme="minorHAnsi" w:hAnsi="Garamond"/>
        </w:rPr>
      </w:pPr>
      <w:r w:rsidRPr="00EE038F">
        <w:rPr>
          <w:rFonts w:ascii="Garamond" w:eastAsiaTheme="minorHAnsi" w:hAnsi="Garamond"/>
          <w:noProof/>
          <w:lang w:eastAsia="en-GB"/>
        </w:rPr>
        <w:lastRenderedPageBreak/>
        <w:drawing>
          <wp:inline distT="0" distB="0" distL="0" distR="0" wp14:anchorId="0C1C68B8" wp14:editId="38EA06B2">
            <wp:extent cx="5735117" cy="1792224"/>
            <wp:effectExtent l="0" t="0" r="18415" b="17780"/>
            <wp:docPr id="55" name="Chart 55">
              <a:extLst xmlns:a="http://schemas.openxmlformats.org/drawingml/2006/main">
                <a:ext uri="{FF2B5EF4-FFF2-40B4-BE49-F238E27FC236}">
                  <a16:creationId xmlns:a16="http://schemas.microsoft.com/office/drawing/2014/main" id="{AF134116-0F06-49F8-A07A-A4EC843731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F5BE72F" w14:textId="46790F02" w:rsidR="00C50585" w:rsidRPr="00EE038F" w:rsidRDefault="00C50585" w:rsidP="00066DFC">
      <w:pPr>
        <w:spacing w:after="0" w:line="240" w:lineRule="auto"/>
        <w:jc w:val="center"/>
        <w:rPr>
          <w:rFonts w:ascii="Garamond" w:eastAsia="Arial Narrow" w:hAnsi="Garamond"/>
          <w:i/>
          <w:iCs/>
          <w:sz w:val="24"/>
          <w:szCs w:val="24"/>
        </w:rPr>
      </w:pPr>
      <w:r w:rsidRPr="00EE038F">
        <w:rPr>
          <w:rFonts w:ascii="Garamond" w:eastAsia="Arial Narrow" w:hAnsi="Garamond"/>
          <w:i/>
          <w:iCs/>
          <w:sz w:val="24"/>
          <w:szCs w:val="24"/>
        </w:rPr>
        <w:t xml:space="preserve">Burimi: Ministria e </w:t>
      </w:r>
      <w:r w:rsidR="00066DFC" w:rsidRPr="00EE038F">
        <w:rPr>
          <w:rFonts w:ascii="Garamond" w:eastAsia="Arial Narrow" w:hAnsi="Garamond"/>
          <w:i/>
          <w:iCs/>
          <w:sz w:val="24"/>
          <w:szCs w:val="24"/>
        </w:rPr>
        <w:t>Financave</w:t>
      </w:r>
      <w:r w:rsidRPr="00EE038F">
        <w:rPr>
          <w:rFonts w:ascii="Garamond" w:eastAsia="Arial Narrow" w:hAnsi="Garamond"/>
          <w:i/>
          <w:iCs/>
          <w:sz w:val="24"/>
          <w:szCs w:val="24"/>
        </w:rPr>
        <w:t xml:space="preserve"> (2024)</w:t>
      </w:r>
    </w:p>
    <w:p w14:paraId="23C0BEFB" w14:textId="77777777" w:rsidR="00C50585" w:rsidRPr="00EE038F" w:rsidRDefault="00C50585" w:rsidP="00C50585">
      <w:pPr>
        <w:widowControl w:val="0"/>
        <w:spacing w:after="0" w:line="240" w:lineRule="auto"/>
        <w:jc w:val="both"/>
        <w:rPr>
          <w:rFonts w:ascii="Garamond" w:hAnsi="Garamond"/>
        </w:rPr>
      </w:pPr>
    </w:p>
    <w:p w14:paraId="346B72E9" w14:textId="6E0A01C1" w:rsidR="00C50585" w:rsidRPr="00EE038F" w:rsidRDefault="00C50585" w:rsidP="004A4C72">
      <w:pPr>
        <w:pStyle w:val="TEKSTIIIIII"/>
      </w:pPr>
      <w:r w:rsidRPr="00EE038F">
        <w:rPr>
          <w:i/>
        </w:rPr>
        <w:t>Të ardhurat nga</w:t>
      </w:r>
      <w:r w:rsidRPr="00EE038F">
        <w:rPr>
          <w:b/>
          <w:i/>
        </w:rPr>
        <w:t xml:space="preserve"> </w:t>
      </w:r>
      <w:r w:rsidR="003E4019" w:rsidRPr="00EE038F">
        <w:rPr>
          <w:b/>
          <w:i/>
        </w:rPr>
        <w:t xml:space="preserve">taksat </w:t>
      </w:r>
      <w:r w:rsidRPr="00EE038F">
        <w:rPr>
          <w:b/>
          <w:i/>
        </w:rPr>
        <w:t>nacionale</w:t>
      </w:r>
      <w:r w:rsidRPr="00EE038F">
        <w:t xml:space="preserve">, për periudhën 9-mujore 2024 u realizuan në masën 34.4 miliardë lekë, 3.3 miliardë lekë ose 10.6% më shumë se plani fillestar për 9-mujorin 2024. </w:t>
      </w:r>
    </w:p>
    <w:p w14:paraId="19241250" w14:textId="77777777" w:rsidR="00C50585" w:rsidRPr="00EE038F" w:rsidRDefault="00C50585" w:rsidP="004A4C72">
      <w:pPr>
        <w:pStyle w:val="TEKSTIIIIII"/>
      </w:pPr>
      <w:r w:rsidRPr="00EE038F">
        <w:t>Ndikim të rëndësishëm në arkëtimet nga taksat nacionale për 9-mujorin 2024 kanë rezultuar:</w:t>
      </w:r>
    </w:p>
    <w:p w14:paraId="17DF4D59" w14:textId="10F23B3B" w:rsidR="00C50585" w:rsidRPr="00EE038F" w:rsidRDefault="004A4C72" w:rsidP="004A4C72">
      <w:pPr>
        <w:pStyle w:val="TEKSTIIIIII"/>
      </w:pPr>
      <w:r w:rsidRPr="00EE038F">
        <w:t>-</w:t>
      </w:r>
      <w:r w:rsidR="003E4019" w:rsidRPr="00EE038F">
        <w:t xml:space="preserve"> </w:t>
      </w:r>
      <w:r w:rsidR="00C50585" w:rsidRPr="00EE038F">
        <w:t>Taksa e qarkullimit me të ardhura në masën 16.1 miliardë lekë me një rritje nga viti i kaluar me 1.4 miliardë lekë ose 9% më shumë se 9-mujori i vitit 2023, si rezultat i rritjes së sasive të karburantit.</w:t>
      </w:r>
    </w:p>
    <w:p w14:paraId="6CA71157" w14:textId="37D7127D" w:rsidR="00C50585" w:rsidRPr="00EE038F" w:rsidRDefault="004A4C72" w:rsidP="004A4C72">
      <w:pPr>
        <w:pStyle w:val="TEKSTIIIIII"/>
      </w:pPr>
      <w:r w:rsidRPr="00EE038F">
        <w:t>-</w:t>
      </w:r>
      <w:r w:rsidR="003E4019" w:rsidRPr="00EE038F">
        <w:t xml:space="preserve"> </w:t>
      </w:r>
      <w:r w:rsidR="00C50585" w:rsidRPr="00EE038F">
        <w:t>Të ardhurat nga taksa vjetore e mjeteve të përdorura të transportit u realizuan në shumën 5 miliardë lekë me një rritje nga viti i kaluar me 536 milionë lekë ose 12% më shumë se e njëjta periudhë e vitit 2023.</w:t>
      </w:r>
    </w:p>
    <w:p w14:paraId="605137C8" w14:textId="77777777" w:rsidR="00C50585" w:rsidRPr="00EE038F" w:rsidRDefault="004A4C72" w:rsidP="004A4C72">
      <w:pPr>
        <w:pStyle w:val="TEKSTIIIIII"/>
      </w:pPr>
      <w:r w:rsidRPr="00EE038F">
        <w:t>-</w:t>
      </w:r>
      <w:r w:rsidR="00C50585" w:rsidRPr="00EE038F">
        <w:t>Taksa e karbonit u realizuan në masë 2.2 miliardë lekë me një rritje nga viti i kaluar me 358 milionë lekë ose 19% më shumë se e njëjta periudhë e vitit 2023, si rezultat i rritjes së sasive të karburantit.</w:t>
      </w:r>
    </w:p>
    <w:p w14:paraId="26D5D331" w14:textId="40C94D74" w:rsidR="00C50585" w:rsidRPr="00EE038F" w:rsidRDefault="004A4C72" w:rsidP="004A4C72">
      <w:pPr>
        <w:pStyle w:val="TEKSTIIIIII"/>
      </w:pPr>
      <w:r w:rsidRPr="00EE038F">
        <w:t>-</w:t>
      </w:r>
      <w:r w:rsidR="00C50585" w:rsidRPr="00EE038F">
        <w:t xml:space="preserve"> Diferenca pozitive me </w:t>
      </w:r>
      <w:r w:rsidR="006F3D16" w:rsidRPr="00EE038F">
        <w:t>planin</w:t>
      </w:r>
      <w:r w:rsidR="00C50585" w:rsidRPr="00EE038F">
        <w:t xml:space="preserve"> fillestar vjen si rrjedhoj</w:t>
      </w:r>
      <w:r w:rsidR="006F3D16" w:rsidRPr="00EE038F">
        <w:t>ë</w:t>
      </w:r>
      <w:r w:rsidR="00C50585" w:rsidRPr="00EE038F">
        <w:t xml:space="preserve"> e ark</w:t>
      </w:r>
      <w:r w:rsidR="006F3D16" w:rsidRPr="00EE038F">
        <w:t>ë</w:t>
      </w:r>
      <w:r w:rsidR="00C50585" w:rsidRPr="00EE038F">
        <w:t xml:space="preserve">timit </w:t>
      </w:r>
      <w:r w:rsidR="00C50585" w:rsidRPr="00EE038F">
        <w:rPr>
          <w:i/>
          <w:iCs/>
        </w:rPr>
        <w:t>(one off)</w:t>
      </w:r>
      <w:r w:rsidR="00C50585" w:rsidRPr="00EE038F">
        <w:t xml:space="preserve"> në vlerën 2.7 miliardë lekë. </w:t>
      </w:r>
    </w:p>
    <w:p w14:paraId="7413C8FA" w14:textId="77777777" w:rsidR="004A4C72" w:rsidRPr="00EE038F" w:rsidRDefault="004A4C72" w:rsidP="00C50585">
      <w:pPr>
        <w:pStyle w:val="ListParagraph"/>
        <w:spacing w:after="0" w:line="240" w:lineRule="auto"/>
        <w:ind w:left="0"/>
        <w:jc w:val="both"/>
        <w:textAlignment w:val="baseline"/>
        <w:rPr>
          <w:rFonts w:ascii="Garamond" w:eastAsia="Times New Roman" w:hAnsi="Garamond" w:cs="Times New Roman"/>
          <w:sz w:val="24"/>
          <w:szCs w:val="24"/>
        </w:rPr>
      </w:pPr>
    </w:p>
    <w:p w14:paraId="36121848" w14:textId="3E99F4D6" w:rsidR="00C50585" w:rsidRPr="00EE038F" w:rsidRDefault="00C50585" w:rsidP="006F3D16">
      <w:pPr>
        <w:pStyle w:val="ListParagraph"/>
        <w:spacing w:after="0" w:line="240" w:lineRule="auto"/>
        <w:ind w:left="0"/>
        <w:jc w:val="center"/>
        <w:textAlignment w:val="baseline"/>
        <w:rPr>
          <w:rFonts w:ascii="Garamond" w:hAnsi="Garamond" w:cs="Times New Roman"/>
          <w:sz w:val="24"/>
          <w:szCs w:val="24"/>
        </w:rPr>
      </w:pPr>
      <w:r w:rsidRPr="00EE038F">
        <w:rPr>
          <w:rFonts w:ascii="Garamond" w:eastAsia="Times New Roman" w:hAnsi="Garamond" w:cs="Times New Roman"/>
          <w:i/>
          <w:iCs/>
          <w:sz w:val="24"/>
          <w:szCs w:val="24"/>
        </w:rPr>
        <w:t xml:space="preserve">Grafiku 4.2.6: </w:t>
      </w:r>
      <w:r w:rsidRPr="00EE038F">
        <w:rPr>
          <w:rFonts w:ascii="Garamond" w:eastAsiaTheme="minorHAnsi" w:hAnsi="Garamond" w:cs="Times New Roman"/>
          <w:i/>
          <w:iCs/>
          <w:sz w:val="24"/>
          <w:szCs w:val="24"/>
        </w:rPr>
        <w:t xml:space="preserve">Ecuria e </w:t>
      </w:r>
      <w:r w:rsidR="006F3D16" w:rsidRPr="00EE038F">
        <w:rPr>
          <w:rFonts w:ascii="Garamond" w:eastAsiaTheme="minorHAnsi" w:hAnsi="Garamond" w:cs="Times New Roman"/>
          <w:i/>
          <w:iCs/>
          <w:sz w:val="24"/>
          <w:szCs w:val="24"/>
        </w:rPr>
        <w:t xml:space="preserve">taksës kombëtare </w:t>
      </w:r>
      <w:r w:rsidRPr="00EE038F">
        <w:rPr>
          <w:rFonts w:ascii="Garamond" w:eastAsiaTheme="minorHAnsi" w:hAnsi="Garamond" w:cs="Times New Roman"/>
          <w:i/>
          <w:iCs/>
          <w:sz w:val="24"/>
          <w:szCs w:val="24"/>
        </w:rPr>
        <w:t xml:space="preserve">ndër vite për periudhën 9-mujore, </w:t>
      </w:r>
      <w:r w:rsidRPr="00EE038F">
        <w:rPr>
          <w:rFonts w:ascii="Garamond" w:eastAsia="Times New Roman" w:hAnsi="Garamond" w:cs="Times New Roman"/>
          <w:b/>
          <w:i/>
          <w:iCs/>
          <w:sz w:val="24"/>
          <w:szCs w:val="24"/>
        </w:rPr>
        <w:t>në milionë lekë</w:t>
      </w:r>
      <w:r w:rsidRPr="00EE038F">
        <w:rPr>
          <w:rFonts w:ascii="Garamond" w:eastAsiaTheme="minorHAnsi" w:hAnsi="Garamond" w:cs="Times New Roman"/>
          <w:noProof/>
          <w:sz w:val="24"/>
          <w:szCs w:val="24"/>
          <w:lang w:eastAsia="en-GB"/>
        </w:rPr>
        <w:drawing>
          <wp:inline distT="0" distB="0" distL="0" distR="0" wp14:anchorId="050FB6A0" wp14:editId="63341780">
            <wp:extent cx="5841242" cy="1931158"/>
            <wp:effectExtent l="0" t="0" r="7620" b="12065"/>
            <wp:docPr id="56" name="Chart 56">
              <a:extLst xmlns:a="http://schemas.openxmlformats.org/drawingml/2006/main">
                <a:ext uri="{FF2B5EF4-FFF2-40B4-BE49-F238E27FC236}">
                  <a16:creationId xmlns:a16="http://schemas.microsoft.com/office/drawing/2014/main" id="{A11DA183-90E6-41D7-95F8-3110BA7783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6F3A4690" w14:textId="68A1DC4D" w:rsidR="00C50585" w:rsidRPr="00EE038F" w:rsidRDefault="00C50585" w:rsidP="00066DFC">
      <w:pPr>
        <w:spacing w:after="0" w:line="240" w:lineRule="auto"/>
        <w:jc w:val="center"/>
        <w:rPr>
          <w:rFonts w:ascii="Garamond" w:eastAsia="Arial Narrow" w:hAnsi="Garamond"/>
          <w:i/>
          <w:iCs/>
          <w:sz w:val="24"/>
          <w:szCs w:val="24"/>
        </w:rPr>
      </w:pPr>
      <w:r w:rsidRPr="00EE038F">
        <w:rPr>
          <w:rFonts w:ascii="Garamond" w:eastAsia="Arial Narrow" w:hAnsi="Garamond"/>
          <w:i/>
          <w:iCs/>
          <w:sz w:val="24"/>
          <w:szCs w:val="24"/>
        </w:rPr>
        <w:t xml:space="preserve">Burimi: Ministria e </w:t>
      </w:r>
      <w:r w:rsidR="00066DFC" w:rsidRPr="00EE038F">
        <w:rPr>
          <w:rFonts w:ascii="Garamond" w:eastAsia="Arial Narrow" w:hAnsi="Garamond"/>
          <w:i/>
          <w:iCs/>
          <w:sz w:val="24"/>
          <w:szCs w:val="24"/>
        </w:rPr>
        <w:t>Financave</w:t>
      </w:r>
      <w:r w:rsidRPr="00EE038F">
        <w:rPr>
          <w:rFonts w:ascii="Garamond" w:eastAsia="Arial Narrow" w:hAnsi="Garamond"/>
          <w:i/>
          <w:iCs/>
          <w:sz w:val="24"/>
          <w:szCs w:val="24"/>
        </w:rPr>
        <w:t xml:space="preserve"> (2024)</w:t>
      </w:r>
    </w:p>
    <w:p w14:paraId="29B1FC4C" w14:textId="77777777" w:rsidR="004A4C72" w:rsidRPr="00EE038F" w:rsidRDefault="004A4C72" w:rsidP="00C50585">
      <w:pPr>
        <w:spacing w:after="0" w:line="240" w:lineRule="auto"/>
        <w:jc w:val="both"/>
        <w:rPr>
          <w:rFonts w:ascii="Garamond" w:hAnsi="Garamond"/>
          <w:b/>
        </w:rPr>
      </w:pPr>
    </w:p>
    <w:p w14:paraId="1605A4D7" w14:textId="60308B80"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b/>
          <w:bCs/>
          <w:sz w:val="24"/>
          <w:szCs w:val="24"/>
        </w:rPr>
        <w:t xml:space="preserve">Kontributet e </w:t>
      </w:r>
      <w:r w:rsidR="00E92457" w:rsidRPr="00EE038F">
        <w:rPr>
          <w:rFonts w:ascii="Garamond" w:hAnsi="Garamond" w:cs="Garamond"/>
          <w:b/>
          <w:bCs/>
          <w:sz w:val="24"/>
          <w:szCs w:val="24"/>
        </w:rPr>
        <w:t>sigurimeve shoqërore dhe shëndetësore</w:t>
      </w:r>
      <w:r w:rsidR="00E92457" w:rsidRPr="00EE038F">
        <w:rPr>
          <w:rFonts w:ascii="Garamond" w:hAnsi="Garamond" w:cs="Garamond"/>
          <w:sz w:val="24"/>
          <w:szCs w:val="24"/>
        </w:rPr>
        <w:t xml:space="preserve"> </w:t>
      </w:r>
      <w:r w:rsidRPr="00EE038F">
        <w:rPr>
          <w:rFonts w:ascii="Garamond" w:hAnsi="Garamond" w:cs="Garamond"/>
          <w:sz w:val="24"/>
          <w:szCs w:val="24"/>
        </w:rPr>
        <w:t xml:space="preserve">mblidhen nga </w:t>
      </w:r>
      <w:r w:rsidR="00E92457" w:rsidRPr="00EE038F">
        <w:rPr>
          <w:rFonts w:ascii="Garamond" w:hAnsi="Garamond" w:cs="Garamond"/>
          <w:sz w:val="24"/>
          <w:szCs w:val="24"/>
        </w:rPr>
        <w:t>administrata tatimore për të punë</w:t>
      </w:r>
      <w:r w:rsidRPr="00EE038F">
        <w:rPr>
          <w:rFonts w:ascii="Garamond" w:hAnsi="Garamond" w:cs="Garamond"/>
          <w:sz w:val="24"/>
          <w:szCs w:val="24"/>
        </w:rPr>
        <w:t xml:space="preserve">suarit, Instituti i Sigurimeve Shoqërore (ISSH) për derdhjen e kontributeve vullnetare nga fermerët dhe FSDKSH që paguajnë në mënyrë vullnetare. </w:t>
      </w:r>
    </w:p>
    <w:p w14:paraId="719187F8" w14:textId="0D73E486"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Për periudhën 9</w:t>
      </w:r>
      <w:r w:rsidR="003F6B10" w:rsidRPr="00EE038F">
        <w:rPr>
          <w:rFonts w:ascii="Garamond" w:hAnsi="Garamond" w:cs="Garamond"/>
          <w:sz w:val="24"/>
          <w:szCs w:val="24"/>
        </w:rPr>
        <w:t>-mujore</w:t>
      </w:r>
      <w:r w:rsidRPr="00EE038F">
        <w:rPr>
          <w:rFonts w:ascii="Garamond" w:hAnsi="Garamond" w:cs="Garamond"/>
          <w:sz w:val="24"/>
          <w:szCs w:val="24"/>
        </w:rPr>
        <w:t xml:space="preserve">, </w:t>
      </w:r>
      <w:r w:rsidR="003F6B10" w:rsidRPr="00EE038F">
        <w:rPr>
          <w:rFonts w:ascii="Garamond" w:hAnsi="Garamond" w:cs="Garamond"/>
          <w:sz w:val="24"/>
          <w:szCs w:val="24"/>
        </w:rPr>
        <w:t xml:space="preserve">janar–shtator </w:t>
      </w:r>
      <w:r w:rsidRPr="00EE038F">
        <w:rPr>
          <w:rFonts w:ascii="Garamond" w:hAnsi="Garamond" w:cs="Garamond"/>
          <w:sz w:val="24"/>
          <w:szCs w:val="24"/>
        </w:rPr>
        <w:t xml:space="preserve">2024, të ardhurat e mbledhura nga </w:t>
      </w:r>
      <w:r w:rsidRPr="00EE038F">
        <w:rPr>
          <w:rFonts w:ascii="Garamond" w:hAnsi="Garamond" w:cs="Garamond"/>
          <w:b/>
          <w:bCs/>
          <w:i/>
          <w:iCs/>
          <w:sz w:val="24"/>
          <w:szCs w:val="24"/>
        </w:rPr>
        <w:t>kontributet për sigurimet shoqërore dhe shëndetësore</w:t>
      </w:r>
      <w:r w:rsidRPr="00EE038F">
        <w:rPr>
          <w:rFonts w:ascii="Garamond" w:hAnsi="Garamond" w:cs="Garamond"/>
          <w:sz w:val="24"/>
          <w:szCs w:val="24"/>
        </w:rPr>
        <w:t xml:space="preserve">, u realizuan në masën </w:t>
      </w:r>
      <w:r w:rsidRPr="00EE038F">
        <w:rPr>
          <w:rFonts w:ascii="Garamond" w:hAnsi="Garamond" w:cs="Garamond"/>
          <w:b/>
          <w:bCs/>
          <w:sz w:val="24"/>
          <w:szCs w:val="24"/>
        </w:rPr>
        <w:t xml:space="preserve">118.3 </w:t>
      </w:r>
      <w:r w:rsidRPr="00EE038F">
        <w:rPr>
          <w:rFonts w:ascii="Garamond" w:hAnsi="Garamond" w:cs="Garamond"/>
          <w:sz w:val="24"/>
          <w:szCs w:val="24"/>
        </w:rPr>
        <w:t>miliardë lekë, 2.6 miliardë lekë ose 2.2% më shumë se plani fillestar për 9-mujorin 2024.</w:t>
      </w:r>
    </w:p>
    <w:p w14:paraId="771A3A50" w14:textId="77777777"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Administrata tatimore mbledh 97% të totalit të të ardhurave nga kontributet. Rritja e të ardhurave në kontributet e sigurimeve mbështetet në:</w:t>
      </w:r>
    </w:p>
    <w:p w14:paraId="443C0DC4" w14:textId="30F2BD58" w:rsidR="004A4C72" w:rsidRPr="00EE038F" w:rsidRDefault="004A4C72" w:rsidP="004A4C72">
      <w:pPr>
        <w:pStyle w:val="ListParagraph"/>
        <w:spacing w:after="0" w:line="240" w:lineRule="auto"/>
        <w:ind w:left="0" w:firstLine="284"/>
        <w:jc w:val="both"/>
        <w:rPr>
          <w:rFonts w:ascii="Garamond" w:hAnsi="Garamond" w:cs="Garamond"/>
          <w:sz w:val="24"/>
          <w:szCs w:val="24"/>
        </w:rPr>
      </w:pPr>
      <w:r w:rsidRPr="00EE038F">
        <w:rPr>
          <w:rFonts w:ascii="Garamond" w:hAnsi="Garamond" w:cs="Wingdings"/>
          <w:sz w:val="24"/>
          <w:szCs w:val="24"/>
        </w:rPr>
        <w:lastRenderedPageBreak/>
        <w:t xml:space="preserve">- </w:t>
      </w:r>
      <w:r w:rsidRPr="00EE038F">
        <w:rPr>
          <w:rFonts w:ascii="Garamond" w:hAnsi="Garamond" w:cs="Garamond"/>
          <w:sz w:val="24"/>
          <w:szCs w:val="24"/>
        </w:rPr>
        <w:t>Rritjen e pagave në administratën publike e shoqëruar kjo dhe me rritjen e pagave në sektorin privat</w:t>
      </w:r>
      <w:r w:rsidR="00377784" w:rsidRPr="00EE038F">
        <w:rPr>
          <w:rFonts w:ascii="Garamond" w:hAnsi="Garamond" w:cs="Garamond"/>
          <w:sz w:val="24"/>
          <w:szCs w:val="24"/>
        </w:rPr>
        <w:t>.</w:t>
      </w:r>
    </w:p>
    <w:p w14:paraId="4EE8F809" w14:textId="77777777"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 xml:space="preserve">Sektorët me pjesën më të madhe në të ardhurat nga kontributet që mbledh administrata tatimore janë: </w:t>
      </w:r>
    </w:p>
    <w:p w14:paraId="5A805752" w14:textId="77777777" w:rsidR="004A4C72" w:rsidRPr="00EE038F" w:rsidRDefault="004A4C72" w:rsidP="004A4C72">
      <w:pPr>
        <w:pStyle w:val="ListParagraph"/>
        <w:spacing w:after="0" w:line="240" w:lineRule="auto"/>
        <w:ind w:left="0" w:firstLine="284"/>
        <w:jc w:val="both"/>
        <w:rPr>
          <w:rFonts w:ascii="Garamond" w:hAnsi="Garamond" w:cs="Garamond"/>
          <w:sz w:val="24"/>
          <w:szCs w:val="24"/>
        </w:rPr>
      </w:pPr>
      <w:r w:rsidRPr="00EE038F">
        <w:rPr>
          <w:rFonts w:ascii="Garamond" w:hAnsi="Garamond" w:cs="Symbol"/>
          <w:sz w:val="24"/>
          <w:szCs w:val="24"/>
        </w:rPr>
        <w:t xml:space="preserve">- </w:t>
      </w:r>
      <w:r w:rsidRPr="00EE038F">
        <w:rPr>
          <w:rFonts w:ascii="Garamond" w:hAnsi="Garamond" w:cs="Garamond"/>
          <w:sz w:val="24"/>
          <w:szCs w:val="24"/>
        </w:rPr>
        <w:t>sektori i shërbimeve me 59.8% të arkëtuar ndaj totalit për 9-mujorin e vitit 2024;</w:t>
      </w:r>
    </w:p>
    <w:p w14:paraId="08A2CDC4" w14:textId="77777777" w:rsidR="004A4C72" w:rsidRPr="00EE038F" w:rsidRDefault="004A4C72" w:rsidP="004A4C72">
      <w:pPr>
        <w:pStyle w:val="ListParagraph"/>
        <w:spacing w:after="0" w:line="240" w:lineRule="auto"/>
        <w:ind w:left="0" w:firstLine="284"/>
        <w:jc w:val="both"/>
        <w:rPr>
          <w:rFonts w:ascii="Garamond" w:hAnsi="Garamond" w:cs="Garamond"/>
          <w:sz w:val="24"/>
          <w:szCs w:val="24"/>
        </w:rPr>
      </w:pPr>
      <w:r w:rsidRPr="00EE038F">
        <w:rPr>
          <w:rFonts w:ascii="Garamond" w:hAnsi="Garamond" w:cs="Symbol"/>
          <w:sz w:val="24"/>
          <w:szCs w:val="24"/>
        </w:rPr>
        <w:t xml:space="preserve">- </w:t>
      </w:r>
      <w:r w:rsidRPr="00EE038F">
        <w:rPr>
          <w:rFonts w:ascii="Garamond" w:hAnsi="Garamond" w:cs="Garamond"/>
          <w:sz w:val="24"/>
          <w:szCs w:val="24"/>
        </w:rPr>
        <w:t xml:space="preserve">sektori i tregtisë me 15.5% të arkëtuar ndaj totalit për 9-mujorin e vitit 2024; </w:t>
      </w:r>
    </w:p>
    <w:p w14:paraId="68BC9E09" w14:textId="7BDA0673" w:rsidR="004A4C72" w:rsidRPr="00EE038F" w:rsidRDefault="004A4C72" w:rsidP="004A4C72">
      <w:pPr>
        <w:pStyle w:val="ListParagraph"/>
        <w:spacing w:after="0" w:line="240" w:lineRule="auto"/>
        <w:ind w:left="0" w:firstLine="284"/>
        <w:jc w:val="both"/>
        <w:rPr>
          <w:rFonts w:ascii="Garamond" w:hAnsi="Garamond" w:cs="Garamond"/>
          <w:sz w:val="24"/>
          <w:szCs w:val="24"/>
        </w:rPr>
      </w:pPr>
      <w:r w:rsidRPr="00EE038F">
        <w:rPr>
          <w:rFonts w:ascii="Garamond" w:hAnsi="Garamond" w:cs="Symbol"/>
          <w:sz w:val="24"/>
          <w:szCs w:val="24"/>
        </w:rPr>
        <w:t xml:space="preserve">- </w:t>
      </w:r>
      <w:r w:rsidRPr="00EE038F">
        <w:rPr>
          <w:rFonts w:ascii="Garamond" w:hAnsi="Garamond" w:cs="Garamond"/>
          <w:sz w:val="24"/>
          <w:szCs w:val="24"/>
        </w:rPr>
        <w:t>sektori i prodhimit 15.2% të totalit për periudhën 9-mujore për vitin 2024.</w:t>
      </w:r>
      <w:r w:rsidR="00AD3D9C" w:rsidRPr="00EE038F">
        <w:rPr>
          <w:rFonts w:ascii="Garamond" w:hAnsi="Garamond" w:cs="Garamond"/>
          <w:sz w:val="24"/>
          <w:szCs w:val="24"/>
        </w:rPr>
        <w:t xml:space="preserve"> </w:t>
      </w:r>
    </w:p>
    <w:p w14:paraId="2707A433" w14:textId="2B9F016C" w:rsidR="004A4C72" w:rsidRPr="00EE038F" w:rsidRDefault="004A4C72" w:rsidP="004A4C72">
      <w:pPr>
        <w:spacing w:after="0" w:line="240" w:lineRule="auto"/>
        <w:ind w:firstLine="284"/>
        <w:jc w:val="both"/>
        <w:rPr>
          <w:rFonts w:ascii="Garamond" w:hAnsi="Garamond" w:cs="Garamond"/>
          <w:b/>
          <w:bCs/>
          <w:i/>
          <w:iCs/>
          <w:color w:val="0D0D0D"/>
          <w:sz w:val="24"/>
          <w:szCs w:val="24"/>
        </w:rPr>
      </w:pPr>
      <w:r w:rsidRPr="00EE038F">
        <w:rPr>
          <w:rFonts w:ascii="Garamond" w:hAnsi="Garamond" w:cs="Garamond"/>
          <w:b/>
          <w:bCs/>
          <w:i/>
          <w:iCs/>
          <w:color w:val="0D0D0D"/>
          <w:sz w:val="24"/>
          <w:szCs w:val="24"/>
        </w:rPr>
        <w:t xml:space="preserve">Ecuria e treguesve kryesorë të shpenzimeve buxhetore për periudhën </w:t>
      </w:r>
      <w:r w:rsidR="00377784" w:rsidRPr="00EE038F">
        <w:rPr>
          <w:rFonts w:ascii="Garamond" w:hAnsi="Garamond" w:cs="Garamond"/>
          <w:b/>
          <w:bCs/>
          <w:i/>
          <w:iCs/>
          <w:color w:val="0D0D0D"/>
          <w:sz w:val="24"/>
          <w:szCs w:val="24"/>
        </w:rPr>
        <w:t xml:space="preserve">janar–shtator </w:t>
      </w:r>
      <w:r w:rsidRPr="00EE038F">
        <w:rPr>
          <w:rFonts w:ascii="Garamond" w:hAnsi="Garamond" w:cs="Garamond"/>
          <w:b/>
          <w:bCs/>
          <w:i/>
          <w:iCs/>
          <w:color w:val="0D0D0D"/>
          <w:sz w:val="24"/>
          <w:szCs w:val="24"/>
        </w:rPr>
        <w:t>2024</w:t>
      </w:r>
    </w:p>
    <w:p w14:paraId="6B3305B4" w14:textId="237BC64D"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i/>
          <w:iCs/>
          <w:color w:val="0D0D0D"/>
          <w:sz w:val="24"/>
          <w:szCs w:val="24"/>
        </w:rPr>
        <w:t xml:space="preserve">Shpenzimet e përgjithshme publike, </w:t>
      </w:r>
      <w:r w:rsidRPr="00EE038F">
        <w:rPr>
          <w:rFonts w:ascii="Garamond" w:hAnsi="Garamond" w:cs="Garamond"/>
          <w:color w:val="0D0D0D"/>
          <w:sz w:val="24"/>
          <w:szCs w:val="24"/>
        </w:rPr>
        <w:t xml:space="preserve">për periudhën nëntë mujore të vitit 2024, arritën në rreth 425.6 miliardë lekë, me një realizim në masën 95.2 </w:t>
      </w:r>
      <w:r w:rsidR="00FD6514" w:rsidRPr="00EE038F">
        <w:rPr>
          <w:rFonts w:ascii="Garamond" w:hAnsi="Garamond" w:cs="Garamond"/>
          <w:color w:val="0D0D0D"/>
          <w:sz w:val="24"/>
          <w:szCs w:val="24"/>
        </w:rPr>
        <w:t>për qind</w:t>
      </w:r>
      <w:r w:rsidRPr="00EE038F">
        <w:rPr>
          <w:rFonts w:ascii="Garamond" w:hAnsi="Garamond" w:cs="Garamond"/>
          <w:color w:val="0D0D0D"/>
          <w:sz w:val="24"/>
          <w:szCs w:val="24"/>
        </w:rPr>
        <w:t xml:space="preserve"> të planit të periudhës, ndërsa krahasuar me të njëjtën periudhë të vitit 2023 ky zë ka rezultuar 7.9 </w:t>
      </w:r>
      <w:r w:rsidR="00FD6514" w:rsidRPr="00EE038F">
        <w:rPr>
          <w:rFonts w:ascii="Garamond" w:hAnsi="Garamond" w:cs="Garamond"/>
          <w:color w:val="0D0D0D"/>
          <w:sz w:val="24"/>
          <w:szCs w:val="24"/>
        </w:rPr>
        <w:t>për qind</w:t>
      </w:r>
      <w:r w:rsidRPr="00EE038F">
        <w:rPr>
          <w:rFonts w:ascii="Garamond" w:hAnsi="Garamond" w:cs="Garamond"/>
          <w:color w:val="0D0D0D"/>
          <w:sz w:val="24"/>
          <w:szCs w:val="24"/>
        </w:rPr>
        <w:t xml:space="preserve"> më i lartë ose rreth 33.7 miliardë lekë më shumë. </w:t>
      </w:r>
      <w:r w:rsidRPr="00EE038F">
        <w:rPr>
          <w:rFonts w:ascii="Garamond" w:hAnsi="Garamond" w:cs="Garamond"/>
          <w:i/>
          <w:iCs/>
          <w:color w:val="0D0D0D"/>
          <w:sz w:val="24"/>
          <w:szCs w:val="24"/>
        </w:rPr>
        <w:t>Në terma vjetorë</w:t>
      </w:r>
      <w:r w:rsidRPr="00EE038F">
        <w:rPr>
          <w:rFonts w:ascii="Garamond" w:hAnsi="Garamond" w:cs="Garamond"/>
          <w:color w:val="0D0D0D"/>
          <w:sz w:val="24"/>
          <w:szCs w:val="24"/>
        </w:rPr>
        <w:t>, shpenzimet e përgjithshme për periudhën 9</w:t>
      </w:r>
      <w:r w:rsidR="0093248C" w:rsidRPr="00EE038F">
        <w:rPr>
          <w:rFonts w:ascii="Garamond" w:hAnsi="Garamond" w:cs="Garamond"/>
          <w:color w:val="0D0D0D"/>
          <w:sz w:val="24"/>
          <w:szCs w:val="24"/>
        </w:rPr>
        <w:t>-</w:t>
      </w:r>
      <w:r w:rsidRPr="00EE038F">
        <w:rPr>
          <w:rFonts w:ascii="Garamond" w:hAnsi="Garamond" w:cs="Garamond"/>
          <w:color w:val="0D0D0D"/>
          <w:sz w:val="24"/>
          <w:szCs w:val="24"/>
        </w:rPr>
        <w:t xml:space="preserve">mujore të vitit 2024 u realizuan në masën 62.2 </w:t>
      </w:r>
      <w:r w:rsidR="00FD6514" w:rsidRPr="00EE038F">
        <w:rPr>
          <w:rFonts w:ascii="Garamond" w:hAnsi="Garamond" w:cs="Garamond"/>
          <w:color w:val="0D0D0D"/>
          <w:sz w:val="24"/>
          <w:szCs w:val="24"/>
        </w:rPr>
        <w:t>për qind</w:t>
      </w:r>
      <w:r w:rsidRPr="00EE038F">
        <w:rPr>
          <w:rFonts w:ascii="Garamond" w:hAnsi="Garamond" w:cs="Garamond"/>
          <w:color w:val="0D0D0D"/>
          <w:sz w:val="24"/>
          <w:szCs w:val="24"/>
        </w:rPr>
        <w:t xml:space="preserve"> të planit vjetor.</w:t>
      </w:r>
      <w:r w:rsidRPr="00EE038F">
        <w:rPr>
          <w:rFonts w:ascii="Garamond" w:hAnsi="Garamond" w:cs="Garamond"/>
          <w:sz w:val="24"/>
          <w:szCs w:val="24"/>
        </w:rPr>
        <w:t xml:space="preserve"> </w:t>
      </w:r>
    </w:p>
    <w:p w14:paraId="1F6EA7AE" w14:textId="05359D50"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i/>
          <w:iCs/>
          <w:color w:val="0D0D0D"/>
          <w:sz w:val="24"/>
          <w:szCs w:val="24"/>
        </w:rPr>
        <w:t>Shpenzimet ko</w:t>
      </w:r>
      <w:r w:rsidR="009B00B9" w:rsidRPr="00EE038F">
        <w:rPr>
          <w:rFonts w:ascii="Garamond" w:hAnsi="Garamond" w:cs="Garamond"/>
          <w:i/>
          <w:iCs/>
          <w:color w:val="0D0D0D"/>
          <w:sz w:val="24"/>
          <w:szCs w:val="24"/>
        </w:rPr>
        <w:t>r</w:t>
      </w:r>
      <w:r w:rsidRPr="00EE038F">
        <w:rPr>
          <w:rFonts w:ascii="Garamond" w:hAnsi="Garamond" w:cs="Garamond"/>
          <w:i/>
          <w:iCs/>
          <w:color w:val="0D0D0D"/>
          <w:sz w:val="24"/>
          <w:szCs w:val="24"/>
        </w:rPr>
        <w:t>rente,</w:t>
      </w:r>
      <w:r w:rsidRPr="00EE038F">
        <w:rPr>
          <w:rFonts w:ascii="Garamond" w:hAnsi="Garamond" w:cs="Garamond"/>
          <w:sz w:val="24"/>
          <w:szCs w:val="24"/>
        </w:rPr>
        <w:t xml:space="preserve"> </w:t>
      </w:r>
      <w:r w:rsidRPr="00EE038F">
        <w:rPr>
          <w:rFonts w:ascii="Garamond" w:hAnsi="Garamond" w:cs="Garamond"/>
          <w:color w:val="0D0D0D"/>
          <w:sz w:val="24"/>
          <w:szCs w:val="24"/>
        </w:rPr>
        <w:t>për periudhën 9</w:t>
      </w:r>
      <w:r w:rsidR="009B00B9" w:rsidRPr="00EE038F">
        <w:rPr>
          <w:rFonts w:ascii="Garamond" w:hAnsi="Garamond" w:cs="Garamond"/>
          <w:color w:val="0D0D0D"/>
          <w:sz w:val="24"/>
          <w:szCs w:val="24"/>
        </w:rPr>
        <w:t>-</w:t>
      </w:r>
      <w:r w:rsidRPr="00EE038F">
        <w:rPr>
          <w:rFonts w:ascii="Garamond" w:hAnsi="Garamond" w:cs="Garamond"/>
          <w:color w:val="0D0D0D"/>
          <w:sz w:val="24"/>
          <w:szCs w:val="24"/>
        </w:rPr>
        <w:t xml:space="preserve">mujore të vitit 2024, rezultuan në rreth 411.2 miliardë lekë ose 97.3 </w:t>
      </w:r>
      <w:r w:rsidR="00FD6514" w:rsidRPr="00EE038F">
        <w:rPr>
          <w:rFonts w:ascii="Garamond" w:hAnsi="Garamond" w:cs="Garamond"/>
          <w:color w:val="0D0D0D"/>
          <w:sz w:val="24"/>
          <w:szCs w:val="24"/>
        </w:rPr>
        <w:t>për qind</w:t>
      </w:r>
      <w:r w:rsidRPr="00EE038F">
        <w:rPr>
          <w:rFonts w:ascii="Garamond" w:hAnsi="Garamond" w:cs="Garamond"/>
          <w:color w:val="0D0D0D"/>
          <w:sz w:val="24"/>
          <w:szCs w:val="24"/>
        </w:rPr>
        <w:t xml:space="preserve"> të planit të periudhës. Krahasuar me të njëjtën periudhë të një viti më parë ky zë ka rezultuar 8.4 </w:t>
      </w:r>
      <w:r w:rsidR="00FD6514" w:rsidRPr="00EE038F">
        <w:rPr>
          <w:rFonts w:ascii="Garamond" w:hAnsi="Garamond" w:cs="Garamond"/>
          <w:color w:val="0D0D0D"/>
          <w:sz w:val="24"/>
          <w:szCs w:val="24"/>
        </w:rPr>
        <w:t>për qind</w:t>
      </w:r>
      <w:r w:rsidRPr="00EE038F">
        <w:rPr>
          <w:rFonts w:ascii="Garamond" w:hAnsi="Garamond" w:cs="Garamond"/>
          <w:color w:val="0D0D0D"/>
          <w:sz w:val="24"/>
          <w:szCs w:val="24"/>
        </w:rPr>
        <w:t xml:space="preserve"> më i lartë ose rreth 31.8 miliardë lekë më shumë.</w:t>
      </w:r>
      <w:r w:rsidRPr="00EE038F">
        <w:rPr>
          <w:rFonts w:ascii="Garamond" w:hAnsi="Garamond" w:cs="Garamond"/>
          <w:sz w:val="24"/>
          <w:szCs w:val="24"/>
        </w:rPr>
        <w:t xml:space="preserve"> </w:t>
      </w:r>
      <w:r w:rsidRPr="00EE038F">
        <w:rPr>
          <w:rFonts w:ascii="Garamond" w:hAnsi="Garamond" w:cs="Garamond"/>
          <w:i/>
          <w:iCs/>
          <w:color w:val="0D0D0D"/>
          <w:sz w:val="24"/>
          <w:szCs w:val="24"/>
        </w:rPr>
        <w:t xml:space="preserve">Në terma vjetorë, </w:t>
      </w:r>
      <w:r w:rsidRPr="00EE038F">
        <w:rPr>
          <w:rFonts w:ascii="Garamond" w:hAnsi="Garamond" w:cs="Garamond"/>
          <w:color w:val="0D0D0D"/>
          <w:sz w:val="24"/>
          <w:szCs w:val="24"/>
        </w:rPr>
        <w:t>shpenzimet ko</w:t>
      </w:r>
      <w:r w:rsidR="009B00B9" w:rsidRPr="00EE038F">
        <w:rPr>
          <w:rFonts w:ascii="Garamond" w:hAnsi="Garamond" w:cs="Garamond"/>
          <w:color w:val="0D0D0D"/>
          <w:sz w:val="24"/>
          <w:szCs w:val="24"/>
        </w:rPr>
        <w:t>r</w:t>
      </w:r>
      <w:r w:rsidRPr="00EE038F">
        <w:rPr>
          <w:rFonts w:ascii="Garamond" w:hAnsi="Garamond" w:cs="Garamond"/>
          <w:color w:val="0D0D0D"/>
          <w:sz w:val="24"/>
          <w:szCs w:val="24"/>
        </w:rPr>
        <w:t>rente për periudhën 9</w:t>
      </w:r>
      <w:r w:rsidR="00602FCC" w:rsidRPr="00EE038F">
        <w:rPr>
          <w:rFonts w:ascii="Garamond" w:hAnsi="Garamond" w:cs="Garamond"/>
          <w:color w:val="0D0D0D"/>
          <w:sz w:val="24"/>
          <w:szCs w:val="24"/>
        </w:rPr>
        <w:t>-</w:t>
      </w:r>
      <w:r w:rsidRPr="00EE038F">
        <w:rPr>
          <w:rFonts w:ascii="Garamond" w:hAnsi="Garamond" w:cs="Garamond"/>
          <w:color w:val="0D0D0D"/>
          <w:sz w:val="24"/>
          <w:szCs w:val="24"/>
        </w:rPr>
        <w:t xml:space="preserve">mujore të vitit 2024 janë realizuar në masën 67.9 </w:t>
      </w:r>
      <w:r w:rsidR="00FD6514" w:rsidRPr="00EE038F">
        <w:rPr>
          <w:rFonts w:ascii="Garamond" w:hAnsi="Garamond" w:cs="Garamond"/>
          <w:color w:val="0D0D0D"/>
          <w:sz w:val="24"/>
          <w:szCs w:val="24"/>
        </w:rPr>
        <w:t>për qind</w:t>
      </w:r>
      <w:r w:rsidRPr="00EE038F">
        <w:rPr>
          <w:rFonts w:ascii="Garamond" w:hAnsi="Garamond" w:cs="Garamond"/>
          <w:color w:val="0D0D0D"/>
          <w:sz w:val="24"/>
          <w:szCs w:val="24"/>
        </w:rPr>
        <w:t xml:space="preserve"> të planit vjetor.</w:t>
      </w:r>
      <w:r w:rsidRPr="00EE038F">
        <w:rPr>
          <w:rFonts w:ascii="Garamond" w:hAnsi="Garamond" w:cs="Garamond"/>
          <w:sz w:val="24"/>
          <w:szCs w:val="24"/>
        </w:rPr>
        <w:t xml:space="preserve"> </w:t>
      </w:r>
    </w:p>
    <w:p w14:paraId="7323773B" w14:textId="7C53E422" w:rsidR="004A4C72" w:rsidRPr="00EE038F" w:rsidRDefault="004A4C72" w:rsidP="004A4C72">
      <w:pPr>
        <w:spacing w:after="0" w:line="240" w:lineRule="auto"/>
        <w:ind w:firstLine="284"/>
        <w:jc w:val="both"/>
        <w:rPr>
          <w:rFonts w:ascii="Garamond" w:hAnsi="Garamond" w:cs="Garamond"/>
          <w:color w:val="0D0D0D"/>
          <w:sz w:val="24"/>
          <w:szCs w:val="24"/>
        </w:rPr>
      </w:pPr>
      <w:r w:rsidRPr="00EE038F">
        <w:rPr>
          <w:rFonts w:ascii="Garamond" w:hAnsi="Garamond" w:cs="Garamond"/>
          <w:color w:val="0D0D0D"/>
          <w:sz w:val="24"/>
          <w:szCs w:val="24"/>
        </w:rPr>
        <w:t>Zërat kryesorë që ndikuan në nivelin e realizimit të shpenzimeve kor</w:t>
      </w:r>
      <w:r w:rsidR="000E32BC" w:rsidRPr="00EE038F">
        <w:rPr>
          <w:rFonts w:ascii="Garamond" w:hAnsi="Garamond" w:cs="Garamond"/>
          <w:color w:val="0D0D0D"/>
          <w:sz w:val="24"/>
          <w:szCs w:val="24"/>
        </w:rPr>
        <w:t>r</w:t>
      </w:r>
      <w:r w:rsidRPr="00EE038F">
        <w:rPr>
          <w:rFonts w:ascii="Garamond" w:hAnsi="Garamond" w:cs="Garamond"/>
          <w:color w:val="0D0D0D"/>
          <w:sz w:val="24"/>
          <w:szCs w:val="24"/>
        </w:rPr>
        <w:t>ente kundrejt planit 9</w:t>
      </w:r>
      <w:r w:rsidR="00AF5DEC" w:rsidRPr="00EE038F">
        <w:rPr>
          <w:rFonts w:ascii="Garamond" w:hAnsi="Garamond" w:cs="Garamond"/>
          <w:color w:val="0D0D0D"/>
          <w:sz w:val="24"/>
          <w:szCs w:val="24"/>
        </w:rPr>
        <w:t>-</w:t>
      </w:r>
      <w:r w:rsidRPr="00EE038F">
        <w:rPr>
          <w:rFonts w:ascii="Garamond" w:hAnsi="Garamond" w:cs="Garamond"/>
          <w:color w:val="0D0D0D"/>
          <w:sz w:val="24"/>
          <w:szCs w:val="24"/>
        </w:rPr>
        <w:t xml:space="preserve">mujor janë përkatësisht: </w:t>
      </w:r>
    </w:p>
    <w:p w14:paraId="32A1F50A" w14:textId="013D844D" w:rsidR="004A4C72" w:rsidRPr="00EE038F" w:rsidRDefault="004A4C72"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 xml:space="preserve">- </w:t>
      </w:r>
      <w:r w:rsidR="00E10777" w:rsidRPr="00EE038F">
        <w:rPr>
          <w:rFonts w:ascii="Garamond" w:hAnsi="Garamond" w:cs="Garamond"/>
          <w:i/>
          <w:iCs/>
          <w:color w:val="0D0D0D"/>
          <w:sz w:val="24"/>
          <w:szCs w:val="24"/>
        </w:rPr>
        <w:t xml:space="preserve">Shpenzimet </w:t>
      </w:r>
      <w:r w:rsidRPr="00EE038F">
        <w:rPr>
          <w:rFonts w:ascii="Garamond" w:hAnsi="Garamond" w:cs="Garamond"/>
          <w:i/>
          <w:iCs/>
          <w:color w:val="0D0D0D"/>
          <w:sz w:val="24"/>
          <w:szCs w:val="24"/>
        </w:rPr>
        <w:t xml:space="preserve">e tjera sociale: 99.5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të periudhës dhe 66.3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vjetor</w:t>
      </w:r>
      <w:r w:rsidR="00E10777" w:rsidRPr="00EE038F">
        <w:rPr>
          <w:rFonts w:ascii="Garamond" w:hAnsi="Garamond" w:cs="Garamond"/>
          <w:i/>
          <w:iCs/>
          <w:color w:val="0D0D0D"/>
          <w:sz w:val="24"/>
          <w:szCs w:val="24"/>
        </w:rPr>
        <w:t>;</w:t>
      </w:r>
    </w:p>
    <w:p w14:paraId="0A425BF9" w14:textId="69BB3178" w:rsidR="004A4C72" w:rsidRPr="00EE038F" w:rsidRDefault="004A4C72"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 xml:space="preserve">- </w:t>
      </w:r>
      <w:r w:rsidR="00E10777" w:rsidRPr="00EE038F">
        <w:rPr>
          <w:rFonts w:ascii="Garamond" w:hAnsi="Garamond" w:cs="Garamond"/>
          <w:i/>
          <w:iCs/>
          <w:color w:val="0D0D0D"/>
          <w:sz w:val="24"/>
          <w:szCs w:val="24"/>
        </w:rPr>
        <w:t xml:space="preserve">Shpenzimet </w:t>
      </w:r>
      <w:r w:rsidRPr="00EE038F">
        <w:rPr>
          <w:rFonts w:ascii="Garamond" w:hAnsi="Garamond" w:cs="Garamond"/>
          <w:i/>
          <w:iCs/>
          <w:color w:val="0D0D0D"/>
          <w:sz w:val="24"/>
          <w:szCs w:val="24"/>
        </w:rPr>
        <w:t xml:space="preserve">e interesit: 99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të periudhës dhe 67.6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vjetor</w:t>
      </w:r>
      <w:r w:rsidR="00E10777" w:rsidRPr="00EE038F">
        <w:rPr>
          <w:rFonts w:ascii="Garamond" w:hAnsi="Garamond" w:cs="Garamond"/>
          <w:i/>
          <w:iCs/>
          <w:color w:val="0D0D0D"/>
          <w:sz w:val="24"/>
          <w:szCs w:val="24"/>
        </w:rPr>
        <w:t>;</w:t>
      </w:r>
    </w:p>
    <w:p w14:paraId="2ECF230B" w14:textId="516F82F0" w:rsidR="004A4C72" w:rsidRPr="00EE038F" w:rsidRDefault="004A4C72"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 xml:space="preserve">- </w:t>
      </w:r>
      <w:r w:rsidR="00E10777" w:rsidRPr="00EE038F">
        <w:rPr>
          <w:rFonts w:ascii="Garamond" w:hAnsi="Garamond" w:cs="Garamond"/>
          <w:i/>
          <w:iCs/>
          <w:color w:val="0D0D0D"/>
          <w:sz w:val="24"/>
          <w:szCs w:val="24"/>
        </w:rPr>
        <w:t xml:space="preserve">Shpenzimet </w:t>
      </w:r>
      <w:r w:rsidRPr="00EE038F">
        <w:rPr>
          <w:rFonts w:ascii="Garamond" w:hAnsi="Garamond" w:cs="Garamond"/>
          <w:i/>
          <w:iCs/>
          <w:color w:val="0D0D0D"/>
          <w:sz w:val="24"/>
          <w:szCs w:val="24"/>
        </w:rPr>
        <w:t xml:space="preserve">për fondet sociale: 98.7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të periudhës dhe 69.9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vjetor</w:t>
      </w:r>
      <w:r w:rsidR="00E10777" w:rsidRPr="00EE038F">
        <w:rPr>
          <w:rFonts w:ascii="Garamond" w:hAnsi="Garamond" w:cs="Garamond"/>
          <w:i/>
          <w:iCs/>
          <w:color w:val="0D0D0D"/>
          <w:sz w:val="24"/>
          <w:szCs w:val="24"/>
        </w:rPr>
        <w:t>;</w:t>
      </w:r>
    </w:p>
    <w:p w14:paraId="5B8030B1" w14:textId="012F066E"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i/>
          <w:iCs/>
          <w:sz w:val="24"/>
          <w:szCs w:val="24"/>
        </w:rPr>
        <w:t xml:space="preserve">- </w:t>
      </w:r>
      <w:r w:rsidR="00E10777" w:rsidRPr="00EE038F">
        <w:rPr>
          <w:rFonts w:ascii="Garamond" w:hAnsi="Garamond" w:cs="Garamond"/>
          <w:i/>
          <w:iCs/>
          <w:sz w:val="24"/>
          <w:szCs w:val="24"/>
        </w:rPr>
        <w:t xml:space="preserve">Shpenzimet </w:t>
      </w:r>
      <w:r w:rsidRPr="00EE038F">
        <w:rPr>
          <w:rFonts w:ascii="Garamond" w:hAnsi="Garamond" w:cs="Garamond"/>
          <w:i/>
          <w:iCs/>
          <w:sz w:val="24"/>
          <w:szCs w:val="24"/>
        </w:rPr>
        <w:t xml:space="preserve">e </w:t>
      </w:r>
      <w:r w:rsidR="00AF5DEC" w:rsidRPr="00EE038F">
        <w:rPr>
          <w:rFonts w:ascii="Garamond" w:hAnsi="Garamond" w:cs="Garamond"/>
          <w:i/>
          <w:iCs/>
          <w:sz w:val="24"/>
          <w:szCs w:val="24"/>
        </w:rPr>
        <w:t>personelit</w:t>
      </w:r>
      <w:r w:rsidRPr="00EE038F">
        <w:rPr>
          <w:rFonts w:ascii="Garamond" w:hAnsi="Garamond" w:cs="Garamond"/>
          <w:i/>
          <w:iCs/>
          <w:sz w:val="24"/>
          <w:szCs w:val="24"/>
        </w:rPr>
        <w:t>,</w:t>
      </w:r>
      <w:r w:rsidRPr="00EE038F">
        <w:rPr>
          <w:rFonts w:ascii="Garamond" w:hAnsi="Garamond" w:cs="Garamond"/>
          <w:sz w:val="24"/>
          <w:szCs w:val="24"/>
        </w:rPr>
        <w:t xml:space="preserve"> për periudhën 9</w:t>
      </w:r>
      <w:r w:rsidR="00E10777" w:rsidRPr="00EE038F">
        <w:rPr>
          <w:rFonts w:ascii="Garamond" w:hAnsi="Garamond" w:cs="Garamond"/>
          <w:sz w:val="24"/>
          <w:szCs w:val="24"/>
        </w:rPr>
        <w:t>-</w:t>
      </w:r>
      <w:r w:rsidRPr="00EE038F">
        <w:rPr>
          <w:rFonts w:ascii="Garamond" w:hAnsi="Garamond" w:cs="Garamond"/>
          <w:sz w:val="24"/>
          <w:szCs w:val="24"/>
        </w:rPr>
        <w:t xml:space="preserve">mujore të vitit 2024, përfaqësuan 19.7 </w:t>
      </w:r>
      <w:r w:rsidR="00FD6514" w:rsidRPr="00EE038F">
        <w:rPr>
          <w:rFonts w:ascii="Garamond" w:hAnsi="Garamond" w:cs="Garamond"/>
          <w:sz w:val="24"/>
          <w:szCs w:val="24"/>
        </w:rPr>
        <w:t>për qind</w:t>
      </w:r>
      <w:r w:rsidRPr="00EE038F">
        <w:rPr>
          <w:rFonts w:ascii="Garamond" w:hAnsi="Garamond" w:cs="Garamond"/>
          <w:sz w:val="24"/>
          <w:szCs w:val="24"/>
        </w:rPr>
        <w:t xml:space="preserve"> të totalit të shpenzimeve kor</w:t>
      </w:r>
      <w:r w:rsidR="00E10777" w:rsidRPr="00EE038F">
        <w:rPr>
          <w:rFonts w:ascii="Garamond" w:hAnsi="Garamond" w:cs="Garamond"/>
          <w:sz w:val="24"/>
          <w:szCs w:val="24"/>
        </w:rPr>
        <w:t>r</w:t>
      </w:r>
      <w:r w:rsidRPr="00EE038F">
        <w:rPr>
          <w:rFonts w:ascii="Garamond" w:hAnsi="Garamond" w:cs="Garamond"/>
          <w:sz w:val="24"/>
          <w:szCs w:val="24"/>
        </w:rPr>
        <w:t>ente. Niveli i shpenzimeve faktike të personelit prej rreth 81.2 miliardë lekë, realizon nivelin e parashikuar për këtë zë në planin e periudhës 9</w:t>
      </w:r>
      <w:r w:rsidR="00E10777" w:rsidRPr="00EE038F">
        <w:rPr>
          <w:rFonts w:ascii="Garamond" w:hAnsi="Garamond" w:cs="Garamond"/>
          <w:sz w:val="24"/>
          <w:szCs w:val="24"/>
        </w:rPr>
        <w:t>-</w:t>
      </w:r>
      <w:r w:rsidRPr="00EE038F">
        <w:rPr>
          <w:rFonts w:ascii="Garamond" w:hAnsi="Garamond" w:cs="Garamond"/>
          <w:sz w:val="24"/>
          <w:szCs w:val="24"/>
        </w:rPr>
        <w:t xml:space="preserve">mujore, në masën 97.2 </w:t>
      </w:r>
      <w:r w:rsidR="00FD6514" w:rsidRPr="00EE038F">
        <w:rPr>
          <w:rFonts w:ascii="Garamond" w:hAnsi="Garamond" w:cs="Garamond"/>
          <w:sz w:val="24"/>
          <w:szCs w:val="24"/>
        </w:rPr>
        <w:t>për qind</w:t>
      </w:r>
      <w:r w:rsidRPr="00EE038F">
        <w:rPr>
          <w:rFonts w:ascii="Garamond" w:hAnsi="Garamond" w:cs="Garamond"/>
          <w:sz w:val="24"/>
          <w:szCs w:val="24"/>
        </w:rPr>
        <w:t xml:space="preserve">. Krahasuar me të njëjtën periudhë të vitit 2023, ky zë është 12.1 </w:t>
      </w:r>
      <w:r w:rsidR="00FD6514" w:rsidRPr="00EE038F">
        <w:rPr>
          <w:rFonts w:ascii="Garamond" w:hAnsi="Garamond" w:cs="Garamond"/>
          <w:sz w:val="24"/>
          <w:szCs w:val="24"/>
        </w:rPr>
        <w:t>për qind</w:t>
      </w:r>
      <w:r w:rsidRPr="00EE038F">
        <w:rPr>
          <w:rFonts w:ascii="Garamond" w:hAnsi="Garamond" w:cs="Garamond"/>
          <w:sz w:val="24"/>
          <w:szCs w:val="24"/>
        </w:rPr>
        <w:t xml:space="preserve"> më i lartë ose rreth 8.8 miliardë lekë më shumë. Në terma vjetorë, shpenzimet e personelit rezultojnë 67.7 </w:t>
      </w:r>
      <w:r w:rsidR="00FD6514" w:rsidRPr="00EE038F">
        <w:rPr>
          <w:rFonts w:ascii="Garamond" w:hAnsi="Garamond" w:cs="Garamond"/>
          <w:sz w:val="24"/>
          <w:szCs w:val="24"/>
        </w:rPr>
        <w:t>për qind</w:t>
      </w:r>
      <w:r w:rsidRPr="00EE038F">
        <w:rPr>
          <w:rFonts w:ascii="Garamond" w:hAnsi="Garamond" w:cs="Garamond"/>
          <w:sz w:val="24"/>
          <w:szCs w:val="24"/>
        </w:rPr>
        <w:t xml:space="preserve"> të planit vjetor.</w:t>
      </w:r>
    </w:p>
    <w:p w14:paraId="5FD8CC04" w14:textId="1BF2DC6B" w:rsidR="004A4C72" w:rsidRPr="00EE038F" w:rsidRDefault="004A4C72"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 xml:space="preserve">- </w:t>
      </w:r>
      <w:r w:rsidRPr="00EE038F">
        <w:rPr>
          <w:rFonts w:ascii="Garamond" w:hAnsi="Garamond" w:cs="Garamond"/>
          <w:i/>
          <w:iCs/>
          <w:color w:val="0D0D0D"/>
          <w:sz w:val="24"/>
          <w:szCs w:val="24"/>
        </w:rPr>
        <w:t xml:space="preserve">Shpenzimet për </w:t>
      </w:r>
      <w:r w:rsidR="00E10777" w:rsidRPr="00EE038F">
        <w:rPr>
          <w:rFonts w:ascii="Garamond" w:hAnsi="Garamond" w:cs="Garamond"/>
          <w:i/>
          <w:iCs/>
          <w:color w:val="0D0D0D"/>
          <w:sz w:val="24"/>
          <w:szCs w:val="24"/>
        </w:rPr>
        <w:t xml:space="preserve">paga </w:t>
      </w:r>
      <w:r w:rsidRPr="00EE038F">
        <w:rPr>
          <w:rFonts w:ascii="Garamond" w:hAnsi="Garamond" w:cs="Garamond"/>
          <w:i/>
          <w:iCs/>
          <w:color w:val="0D0D0D"/>
          <w:sz w:val="24"/>
          <w:szCs w:val="24"/>
        </w:rPr>
        <w:t>për periudhën 9</w:t>
      </w:r>
      <w:r w:rsidR="00F53077" w:rsidRPr="00EE038F">
        <w:rPr>
          <w:rFonts w:ascii="Garamond" w:hAnsi="Garamond" w:cs="Garamond"/>
          <w:i/>
          <w:iCs/>
          <w:color w:val="0D0D0D"/>
          <w:sz w:val="24"/>
          <w:szCs w:val="24"/>
        </w:rPr>
        <w:t>-</w:t>
      </w:r>
      <w:r w:rsidRPr="00EE038F">
        <w:rPr>
          <w:rFonts w:ascii="Garamond" w:hAnsi="Garamond" w:cs="Garamond"/>
          <w:i/>
          <w:iCs/>
          <w:color w:val="0D0D0D"/>
          <w:sz w:val="24"/>
          <w:szCs w:val="24"/>
        </w:rPr>
        <w:t xml:space="preserve">mujore të vitit 2024 u realizuan në masën rreth 69.4 miliardë lekë ose 100.7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të periudhës. Krahasuar me të njëjtën periudhë të vitit 2023</w:t>
      </w:r>
      <w:r w:rsidR="00E20846" w:rsidRPr="00EE038F">
        <w:rPr>
          <w:rFonts w:ascii="Garamond" w:hAnsi="Garamond" w:cs="Garamond"/>
          <w:i/>
          <w:iCs/>
          <w:color w:val="0D0D0D"/>
          <w:sz w:val="24"/>
          <w:szCs w:val="24"/>
        </w:rPr>
        <w:t>,</w:t>
      </w:r>
      <w:r w:rsidRPr="00EE038F">
        <w:rPr>
          <w:rFonts w:ascii="Garamond" w:hAnsi="Garamond" w:cs="Garamond"/>
          <w:i/>
          <w:iCs/>
          <w:color w:val="0D0D0D"/>
          <w:sz w:val="24"/>
          <w:szCs w:val="24"/>
        </w:rPr>
        <w:t xml:space="preserve"> ky zë rezulton 12.4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më i lartë ose rreth 7.7 miliardë lekë më shumë. Në terma vjetorë, shpenzimet për paga rezultojnë 75.2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vjetor.</w:t>
      </w:r>
    </w:p>
    <w:p w14:paraId="1B17ADDE" w14:textId="22B66ED7" w:rsidR="004A4C72" w:rsidRPr="00EE038F" w:rsidRDefault="004A4C72"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 xml:space="preserve">- </w:t>
      </w:r>
      <w:r w:rsidRPr="00EE038F">
        <w:rPr>
          <w:rFonts w:ascii="Garamond" w:hAnsi="Garamond" w:cs="Garamond"/>
          <w:i/>
          <w:iCs/>
          <w:color w:val="0D0D0D"/>
          <w:sz w:val="24"/>
          <w:szCs w:val="24"/>
        </w:rPr>
        <w:t xml:space="preserve">Shpenzimet për sigurime shoqërore rezultuan në masën rreth 11.2 miliardë lekë ose rreth 100.5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të periudhës. Krahasuar me të njëjtën periudhë të vitit 2023, shpenzimet për sigurime shoqërore rezultojnë 11.7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më të larta ose rreth 1.2 miliardë lekë më shumë. Në terma vjetorë, shpenzimet për sigurime shoqërore rezultojnë rreth 73.6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vjetor.</w:t>
      </w:r>
    </w:p>
    <w:p w14:paraId="7675CD26" w14:textId="0165B728"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i/>
          <w:iCs/>
          <w:sz w:val="24"/>
          <w:szCs w:val="24"/>
        </w:rPr>
        <w:t xml:space="preserve">Shpenzimet për </w:t>
      </w:r>
      <w:r w:rsidR="00E20846" w:rsidRPr="00EE038F">
        <w:rPr>
          <w:rFonts w:ascii="Garamond" w:hAnsi="Garamond" w:cs="Garamond"/>
          <w:i/>
          <w:iCs/>
          <w:sz w:val="24"/>
          <w:szCs w:val="24"/>
        </w:rPr>
        <w:t>interesa</w:t>
      </w:r>
      <w:r w:rsidRPr="00EE038F">
        <w:rPr>
          <w:rFonts w:ascii="Garamond" w:hAnsi="Garamond" w:cs="Garamond"/>
          <w:i/>
          <w:iCs/>
          <w:sz w:val="24"/>
          <w:szCs w:val="24"/>
        </w:rPr>
        <w:t>,</w:t>
      </w:r>
      <w:r w:rsidRPr="00EE038F">
        <w:rPr>
          <w:rFonts w:ascii="Garamond" w:hAnsi="Garamond" w:cs="Garamond"/>
          <w:sz w:val="24"/>
          <w:szCs w:val="24"/>
        </w:rPr>
        <w:t xml:space="preserve"> për periudhën 9</w:t>
      </w:r>
      <w:r w:rsidR="00A8087B" w:rsidRPr="00EE038F">
        <w:rPr>
          <w:rFonts w:ascii="Garamond" w:hAnsi="Garamond" w:cs="Garamond"/>
          <w:sz w:val="24"/>
          <w:szCs w:val="24"/>
        </w:rPr>
        <w:t>-</w:t>
      </w:r>
      <w:r w:rsidRPr="00EE038F">
        <w:rPr>
          <w:rFonts w:ascii="Garamond" w:hAnsi="Garamond" w:cs="Garamond"/>
          <w:sz w:val="24"/>
          <w:szCs w:val="24"/>
        </w:rPr>
        <w:t xml:space="preserve">mujore të vitit 2024, kanë përfaqësuar 10.9 </w:t>
      </w:r>
      <w:r w:rsidR="00FD6514" w:rsidRPr="00EE038F">
        <w:rPr>
          <w:rFonts w:ascii="Garamond" w:hAnsi="Garamond" w:cs="Garamond"/>
          <w:sz w:val="24"/>
          <w:szCs w:val="24"/>
        </w:rPr>
        <w:t>për qind</w:t>
      </w:r>
      <w:r w:rsidRPr="00EE038F">
        <w:rPr>
          <w:rFonts w:ascii="Garamond" w:hAnsi="Garamond" w:cs="Garamond"/>
          <w:sz w:val="24"/>
          <w:szCs w:val="24"/>
        </w:rPr>
        <w:t xml:space="preserve"> të shpenzimeve kor</w:t>
      </w:r>
      <w:r w:rsidR="00A8087B" w:rsidRPr="00EE038F">
        <w:rPr>
          <w:rFonts w:ascii="Garamond" w:hAnsi="Garamond" w:cs="Garamond"/>
          <w:sz w:val="24"/>
          <w:szCs w:val="24"/>
        </w:rPr>
        <w:t>r</w:t>
      </w:r>
      <w:r w:rsidRPr="00EE038F">
        <w:rPr>
          <w:rFonts w:ascii="Garamond" w:hAnsi="Garamond" w:cs="Garamond"/>
          <w:sz w:val="24"/>
          <w:szCs w:val="24"/>
        </w:rPr>
        <w:t xml:space="preserve">ente. Niveli faktik i tyre prej rreth 44.7 miliardë lekë ka rezultuar në masën 99 </w:t>
      </w:r>
      <w:r w:rsidR="00FD6514" w:rsidRPr="00EE038F">
        <w:rPr>
          <w:rFonts w:ascii="Garamond" w:hAnsi="Garamond" w:cs="Garamond"/>
          <w:sz w:val="24"/>
          <w:szCs w:val="24"/>
        </w:rPr>
        <w:t>për qind</w:t>
      </w:r>
      <w:r w:rsidRPr="00EE038F">
        <w:rPr>
          <w:rFonts w:ascii="Garamond" w:hAnsi="Garamond" w:cs="Garamond"/>
          <w:sz w:val="24"/>
          <w:szCs w:val="24"/>
        </w:rPr>
        <w:t xml:space="preserve"> të planit të periudhës. Krahasuar me të njëjtën periudhë të vitit 2023, ky zë ka rezultuar 28.7 </w:t>
      </w:r>
      <w:r w:rsidR="00FD6514" w:rsidRPr="00EE038F">
        <w:rPr>
          <w:rFonts w:ascii="Garamond" w:hAnsi="Garamond" w:cs="Garamond"/>
          <w:sz w:val="24"/>
          <w:szCs w:val="24"/>
        </w:rPr>
        <w:t>për qind</w:t>
      </w:r>
      <w:r w:rsidRPr="00EE038F">
        <w:rPr>
          <w:rFonts w:ascii="Garamond" w:hAnsi="Garamond" w:cs="Garamond"/>
          <w:sz w:val="24"/>
          <w:szCs w:val="24"/>
        </w:rPr>
        <w:t xml:space="preserve"> më i lartë ose rreth 10 miliardë lekë më shumë. Në terma vjetorë, shpenzimet për interesa rezultojnë 67.6 </w:t>
      </w:r>
      <w:r w:rsidR="00FD6514" w:rsidRPr="00EE038F">
        <w:rPr>
          <w:rFonts w:ascii="Garamond" w:hAnsi="Garamond" w:cs="Garamond"/>
          <w:sz w:val="24"/>
          <w:szCs w:val="24"/>
        </w:rPr>
        <w:t>për qind</w:t>
      </w:r>
      <w:r w:rsidRPr="00EE038F">
        <w:rPr>
          <w:rFonts w:ascii="Garamond" w:hAnsi="Garamond" w:cs="Garamond"/>
          <w:sz w:val="24"/>
          <w:szCs w:val="24"/>
        </w:rPr>
        <w:t xml:space="preserve"> të planit vjetor. </w:t>
      </w:r>
    </w:p>
    <w:p w14:paraId="204C3127" w14:textId="339F21CD"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i/>
          <w:iCs/>
          <w:sz w:val="24"/>
          <w:szCs w:val="24"/>
        </w:rPr>
        <w:t xml:space="preserve">Shpenzimet </w:t>
      </w:r>
      <w:r w:rsidR="00A8087B" w:rsidRPr="00EE038F">
        <w:rPr>
          <w:rFonts w:ascii="Garamond" w:hAnsi="Garamond" w:cs="Garamond"/>
          <w:i/>
          <w:iCs/>
          <w:sz w:val="24"/>
          <w:szCs w:val="24"/>
        </w:rPr>
        <w:t>operative dhe mirëmbajtje</w:t>
      </w:r>
      <w:r w:rsidR="005867D2" w:rsidRPr="00EE038F">
        <w:rPr>
          <w:rFonts w:ascii="Garamond" w:hAnsi="Garamond" w:cs="Garamond"/>
          <w:i/>
          <w:iCs/>
          <w:sz w:val="24"/>
          <w:szCs w:val="24"/>
        </w:rPr>
        <w:t>,</w:t>
      </w:r>
      <w:r w:rsidRPr="00EE038F">
        <w:rPr>
          <w:rFonts w:ascii="Garamond" w:hAnsi="Garamond" w:cs="Garamond"/>
          <w:sz w:val="24"/>
          <w:szCs w:val="24"/>
        </w:rPr>
        <w:t xml:space="preserve"> për periudhën 9</w:t>
      </w:r>
      <w:r w:rsidR="005867D2" w:rsidRPr="00EE038F">
        <w:rPr>
          <w:rFonts w:ascii="Garamond" w:hAnsi="Garamond" w:cs="Garamond"/>
          <w:sz w:val="24"/>
          <w:szCs w:val="24"/>
        </w:rPr>
        <w:t>-</w:t>
      </w:r>
      <w:r w:rsidRPr="00EE038F">
        <w:rPr>
          <w:rFonts w:ascii="Garamond" w:hAnsi="Garamond" w:cs="Garamond"/>
          <w:sz w:val="24"/>
          <w:szCs w:val="24"/>
        </w:rPr>
        <w:t xml:space="preserve">mujore të vitit 2024, kanë shënuar një realizim në masën rreth 41.5 miliardë lekë ose 93.5 </w:t>
      </w:r>
      <w:r w:rsidR="00FD6514" w:rsidRPr="00EE038F">
        <w:rPr>
          <w:rFonts w:ascii="Garamond" w:hAnsi="Garamond" w:cs="Garamond"/>
          <w:sz w:val="24"/>
          <w:szCs w:val="24"/>
        </w:rPr>
        <w:t>për qind</w:t>
      </w:r>
      <w:r w:rsidRPr="00EE038F">
        <w:rPr>
          <w:rFonts w:ascii="Garamond" w:hAnsi="Garamond" w:cs="Garamond"/>
          <w:sz w:val="24"/>
          <w:szCs w:val="24"/>
        </w:rPr>
        <w:t xml:space="preserve"> të planit të periudhës. Niveli faktik i tyre ka rezultuar në masën 61.9 </w:t>
      </w:r>
      <w:r w:rsidR="00FD6514" w:rsidRPr="00EE038F">
        <w:rPr>
          <w:rFonts w:ascii="Garamond" w:hAnsi="Garamond" w:cs="Garamond"/>
          <w:sz w:val="24"/>
          <w:szCs w:val="24"/>
        </w:rPr>
        <w:t>për qind</w:t>
      </w:r>
      <w:r w:rsidRPr="00EE038F">
        <w:rPr>
          <w:rFonts w:ascii="Garamond" w:hAnsi="Garamond" w:cs="Garamond"/>
          <w:sz w:val="24"/>
          <w:szCs w:val="24"/>
        </w:rPr>
        <w:t xml:space="preserve"> të planit vjetor. Krahasuar me të njëjtën periudhë të vitit 2023, ky zë ka rezultuar 2.3 </w:t>
      </w:r>
      <w:r w:rsidR="00FD6514" w:rsidRPr="00EE038F">
        <w:rPr>
          <w:rFonts w:ascii="Garamond" w:hAnsi="Garamond" w:cs="Garamond"/>
          <w:sz w:val="24"/>
          <w:szCs w:val="24"/>
        </w:rPr>
        <w:t>për qind</w:t>
      </w:r>
      <w:r w:rsidRPr="00EE038F">
        <w:rPr>
          <w:rFonts w:ascii="Garamond" w:hAnsi="Garamond" w:cs="Garamond"/>
          <w:sz w:val="24"/>
          <w:szCs w:val="24"/>
        </w:rPr>
        <w:t xml:space="preserve"> më i ulët, ose rreth 960 milionë lekë më pak.</w:t>
      </w:r>
      <w:r w:rsidR="00AD3D9C" w:rsidRPr="00EE038F">
        <w:rPr>
          <w:rFonts w:ascii="Garamond" w:hAnsi="Garamond" w:cs="Garamond"/>
          <w:sz w:val="24"/>
          <w:szCs w:val="24"/>
        </w:rPr>
        <w:t xml:space="preserve"> </w:t>
      </w:r>
    </w:p>
    <w:p w14:paraId="260672DF" w14:textId="1B682B7B"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i/>
          <w:iCs/>
          <w:sz w:val="24"/>
          <w:szCs w:val="24"/>
        </w:rPr>
        <w:t xml:space="preserve">Shpenzimet për </w:t>
      </w:r>
      <w:r w:rsidR="00DC4A22" w:rsidRPr="00EE038F">
        <w:rPr>
          <w:rFonts w:ascii="Garamond" w:hAnsi="Garamond" w:cs="Garamond"/>
          <w:i/>
          <w:iCs/>
          <w:sz w:val="24"/>
          <w:szCs w:val="24"/>
        </w:rPr>
        <w:t>subvencione</w:t>
      </w:r>
      <w:r w:rsidRPr="00EE038F">
        <w:rPr>
          <w:rFonts w:ascii="Garamond" w:hAnsi="Garamond" w:cs="Garamond"/>
          <w:i/>
          <w:iCs/>
          <w:sz w:val="24"/>
          <w:szCs w:val="24"/>
        </w:rPr>
        <w:t>,</w:t>
      </w:r>
      <w:r w:rsidRPr="00EE038F">
        <w:rPr>
          <w:rFonts w:ascii="Garamond" w:hAnsi="Garamond" w:cs="Garamond"/>
          <w:sz w:val="24"/>
          <w:szCs w:val="24"/>
        </w:rPr>
        <w:t xml:space="preserve"> për periudhën 9</w:t>
      </w:r>
      <w:r w:rsidR="00DC4A22" w:rsidRPr="00EE038F">
        <w:rPr>
          <w:rFonts w:ascii="Garamond" w:hAnsi="Garamond" w:cs="Garamond"/>
          <w:sz w:val="24"/>
          <w:szCs w:val="24"/>
        </w:rPr>
        <w:t>-</w:t>
      </w:r>
      <w:r w:rsidRPr="00EE038F">
        <w:rPr>
          <w:rFonts w:ascii="Garamond" w:hAnsi="Garamond" w:cs="Garamond"/>
          <w:sz w:val="24"/>
          <w:szCs w:val="24"/>
        </w:rPr>
        <w:t xml:space="preserve">mujore të vitit 2024, arritën nivelin rreth 915 milionë lekë, me një realizim në masën 90.3 </w:t>
      </w:r>
      <w:r w:rsidR="00FD6514" w:rsidRPr="00EE038F">
        <w:rPr>
          <w:rFonts w:ascii="Garamond" w:hAnsi="Garamond" w:cs="Garamond"/>
          <w:sz w:val="24"/>
          <w:szCs w:val="24"/>
        </w:rPr>
        <w:t>për qind</w:t>
      </w:r>
      <w:r w:rsidRPr="00EE038F">
        <w:rPr>
          <w:rFonts w:ascii="Garamond" w:hAnsi="Garamond" w:cs="Garamond"/>
          <w:sz w:val="24"/>
          <w:szCs w:val="24"/>
        </w:rPr>
        <w:t xml:space="preserve"> të planit të periudhës dhe 49.4 </w:t>
      </w:r>
      <w:r w:rsidR="00FD6514" w:rsidRPr="00EE038F">
        <w:rPr>
          <w:rFonts w:ascii="Garamond" w:hAnsi="Garamond" w:cs="Garamond"/>
          <w:sz w:val="24"/>
          <w:szCs w:val="24"/>
        </w:rPr>
        <w:t>për qind</w:t>
      </w:r>
      <w:r w:rsidRPr="00EE038F">
        <w:rPr>
          <w:rFonts w:ascii="Garamond" w:hAnsi="Garamond" w:cs="Garamond"/>
          <w:sz w:val="24"/>
          <w:szCs w:val="24"/>
        </w:rPr>
        <w:t xml:space="preserve"> të planit vjetor. Ndërkohë që, kundrejt </w:t>
      </w:r>
      <w:r w:rsidR="007A2253" w:rsidRPr="00EE038F">
        <w:rPr>
          <w:rFonts w:ascii="Garamond" w:hAnsi="Garamond" w:cs="Garamond"/>
          <w:sz w:val="24"/>
          <w:szCs w:val="24"/>
        </w:rPr>
        <w:t>s</w:t>
      </w:r>
      <w:r w:rsidRPr="00EE038F">
        <w:rPr>
          <w:rFonts w:ascii="Garamond" w:hAnsi="Garamond" w:cs="Garamond"/>
          <w:sz w:val="24"/>
          <w:szCs w:val="24"/>
        </w:rPr>
        <w:t>ë njëjtës periudhë të vitit 2023</w:t>
      </w:r>
      <w:r w:rsidR="007A2253" w:rsidRPr="00EE038F">
        <w:rPr>
          <w:rFonts w:ascii="Garamond" w:hAnsi="Garamond" w:cs="Garamond"/>
          <w:sz w:val="24"/>
          <w:szCs w:val="24"/>
        </w:rPr>
        <w:t>,</w:t>
      </w:r>
      <w:r w:rsidRPr="00EE038F">
        <w:rPr>
          <w:rFonts w:ascii="Garamond" w:hAnsi="Garamond" w:cs="Garamond"/>
          <w:sz w:val="24"/>
          <w:szCs w:val="24"/>
        </w:rPr>
        <w:t xml:space="preserve"> shpenzimet për subvencione rezultojnë 18.7 </w:t>
      </w:r>
      <w:r w:rsidR="00FD6514" w:rsidRPr="00EE038F">
        <w:rPr>
          <w:rFonts w:ascii="Garamond" w:hAnsi="Garamond" w:cs="Garamond"/>
          <w:sz w:val="24"/>
          <w:szCs w:val="24"/>
        </w:rPr>
        <w:t>për qind</w:t>
      </w:r>
      <w:r w:rsidRPr="00EE038F">
        <w:rPr>
          <w:rFonts w:ascii="Garamond" w:hAnsi="Garamond" w:cs="Garamond"/>
          <w:sz w:val="24"/>
          <w:szCs w:val="24"/>
        </w:rPr>
        <w:t xml:space="preserve"> më të ulëta ose 211 milionë lekë më pak.</w:t>
      </w:r>
    </w:p>
    <w:p w14:paraId="60719659" w14:textId="32B25B02"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i/>
          <w:iCs/>
          <w:sz w:val="24"/>
          <w:szCs w:val="24"/>
        </w:rPr>
        <w:lastRenderedPageBreak/>
        <w:t xml:space="preserve">Shpenzimet për </w:t>
      </w:r>
      <w:r w:rsidR="006949F4" w:rsidRPr="00EE038F">
        <w:rPr>
          <w:rFonts w:ascii="Garamond" w:hAnsi="Garamond" w:cs="Garamond"/>
          <w:i/>
          <w:iCs/>
          <w:sz w:val="24"/>
          <w:szCs w:val="24"/>
        </w:rPr>
        <w:t>fondet spec</w:t>
      </w:r>
      <w:r w:rsidRPr="00EE038F">
        <w:rPr>
          <w:rFonts w:ascii="Garamond" w:hAnsi="Garamond" w:cs="Garamond"/>
          <w:i/>
          <w:iCs/>
          <w:sz w:val="24"/>
          <w:szCs w:val="24"/>
        </w:rPr>
        <w:t>iale</w:t>
      </w:r>
      <w:r w:rsidRPr="00EE038F">
        <w:rPr>
          <w:rFonts w:ascii="Garamond" w:hAnsi="Garamond" w:cs="Garamond"/>
          <w:sz w:val="24"/>
          <w:szCs w:val="24"/>
        </w:rPr>
        <w:t xml:space="preserve"> për periudhën 9</w:t>
      </w:r>
      <w:r w:rsidR="006949F4" w:rsidRPr="00EE038F">
        <w:rPr>
          <w:rFonts w:ascii="Garamond" w:hAnsi="Garamond" w:cs="Garamond"/>
          <w:sz w:val="24"/>
          <w:szCs w:val="24"/>
        </w:rPr>
        <w:t>-</w:t>
      </w:r>
      <w:r w:rsidRPr="00EE038F">
        <w:rPr>
          <w:rFonts w:ascii="Garamond" w:hAnsi="Garamond" w:cs="Garamond"/>
          <w:sz w:val="24"/>
          <w:szCs w:val="24"/>
        </w:rPr>
        <w:t xml:space="preserve">mujore të vitit 2024 rezultuan në nivelin rreth 173.9 miliardë lekë, me një realizim prej 98.7 </w:t>
      </w:r>
      <w:r w:rsidR="00FD6514" w:rsidRPr="00EE038F">
        <w:rPr>
          <w:rFonts w:ascii="Garamond" w:hAnsi="Garamond" w:cs="Garamond"/>
          <w:sz w:val="24"/>
          <w:szCs w:val="24"/>
        </w:rPr>
        <w:t>për qind</w:t>
      </w:r>
      <w:r w:rsidRPr="00EE038F">
        <w:rPr>
          <w:rFonts w:ascii="Garamond" w:hAnsi="Garamond" w:cs="Garamond"/>
          <w:sz w:val="24"/>
          <w:szCs w:val="24"/>
        </w:rPr>
        <w:t xml:space="preserve"> kundrejt planit të periudhës ose 69.9 </w:t>
      </w:r>
      <w:r w:rsidR="00FD6514" w:rsidRPr="00EE038F">
        <w:rPr>
          <w:rFonts w:ascii="Garamond" w:hAnsi="Garamond" w:cs="Garamond"/>
          <w:sz w:val="24"/>
          <w:szCs w:val="24"/>
        </w:rPr>
        <w:t>për qind</w:t>
      </w:r>
      <w:r w:rsidRPr="00EE038F">
        <w:rPr>
          <w:rFonts w:ascii="Garamond" w:hAnsi="Garamond" w:cs="Garamond"/>
          <w:sz w:val="24"/>
          <w:szCs w:val="24"/>
        </w:rPr>
        <w:t xml:space="preserve"> të planit vjetor. Përkatësisht:</w:t>
      </w:r>
    </w:p>
    <w:p w14:paraId="00A1BD29" w14:textId="689C2890" w:rsidR="004A4C72" w:rsidRPr="00EE038F" w:rsidRDefault="004A4C72"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 xml:space="preserve">- </w:t>
      </w:r>
      <w:r w:rsidRPr="00EE038F">
        <w:rPr>
          <w:rFonts w:ascii="Garamond" w:hAnsi="Garamond" w:cs="Garamond"/>
          <w:i/>
          <w:iCs/>
          <w:color w:val="0D0D0D"/>
          <w:sz w:val="24"/>
          <w:szCs w:val="24"/>
        </w:rPr>
        <w:t xml:space="preserve">Shpenzimet për </w:t>
      </w:r>
      <w:r w:rsidR="00A1128B" w:rsidRPr="00EE038F">
        <w:rPr>
          <w:rFonts w:ascii="Garamond" w:hAnsi="Garamond" w:cs="Garamond"/>
          <w:i/>
          <w:iCs/>
          <w:color w:val="0D0D0D"/>
          <w:sz w:val="24"/>
          <w:szCs w:val="24"/>
        </w:rPr>
        <w:t xml:space="preserve">sigurime shoqërore </w:t>
      </w:r>
      <w:r w:rsidRPr="00EE038F">
        <w:rPr>
          <w:rFonts w:ascii="Garamond" w:hAnsi="Garamond" w:cs="Garamond"/>
          <w:i/>
          <w:iCs/>
          <w:color w:val="0D0D0D"/>
          <w:sz w:val="24"/>
          <w:szCs w:val="24"/>
        </w:rPr>
        <w:t xml:space="preserve">u realizuan në masën rreth 131.9 miliardë lekë, me një realizim në masën 99.1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të periudhës ose 74.1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e planit vjetor</w:t>
      </w:r>
      <w:r w:rsidR="00A1128B" w:rsidRPr="00EE038F">
        <w:rPr>
          <w:rFonts w:ascii="Garamond" w:hAnsi="Garamond" w:cs="Garamond"/>
          <w:i/>
          <w:iCs/>
          <w:color w:val="0D0D0D"/>
          <w:sz w:val="24"/>
          <w:szCs w:val="24"/>
        </w:rPr>
        <w:t>;</w:t>
      </w:r>
    </w:p>
    <w:p w14:paraId="57E285CA" w14:textId="5917304D" w:rsidR="004A4C72" w:rsidRPr="00EE038F" w:rsidRDefault="004A4C72"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 xml:space="preserve">- </w:t>
      </w:r>
      <w:r w:rsidRPr="00EE038F">
        <w:rPr>
          <w:rFonts w:ascii="Garamond" w:hAnsi="Garamond" w:cs="Garamond"/>
          <w:i/>
          <w:iCs/>
          <w:color w:val="0D0D0D"/>
          <w:sz w:val="24"/>
          <w:szCs w:val="24"/>
        </w:rPr>
        <w:t xml:space="preserve">Shpenzimet për sigurime shëndetësore u realizuan në masën rreth 41.5 miliardë lekë, me një realizim në masën 99.4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të periudhës ose 71.4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e planit vjetor</w:t>
      </w:r>
      <w:r w:rsidR="00A1128B" w:rsidRPr="00EE038F">
        <w:rPr>
          <w:rFonts w:ascii="Garamond" w:hAnsi="Garamond" w:cs="Garamond"/>
          <w:i/>
          <w:iCs/>
          <w:color w:val="0D0D0D"/>
          <w:sz w:val="24"/>
          <w:szCs w:val="24"/>
        </w:rPr>
        <w:t>;</w:t>
      </w:r>
    </w:p>
    <w:p w14:paraId="2833838E" w14:textId="6AAB131B" w:rsidR="004A4C72" w:rsidRPr="00EE038F" w:rsidRDefault="004A4C72"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 xml:space="preserve">- </w:t>
      </w:r>
      <w:r w:rsidRPr="00EE038F">
        <w:rPr>
          <w:rFonts w:ascii="Garamond" w:hAnsi="Garamond" w:cs="Garamond"/>
          <w:i/>
          <w:iCs/>
          <w:color w:val="0D0D0D"/>
          <w:sz w:val="24"/>
          <w:szCs w:val="24"/>
        </w:rPr>
        <w:t xml:space="preserve">Shpenzimet për kompensimin e pronarëve u realizuan në masën rreth 599 milionë lekë, me një realizim në masën 39.6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të periudhës ose rreth 12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e planit vjetor.</w:t>
      </w:r>
    </w:p>
    <w:p w14:paraId="5B4AB67A" w14:textId="75E28743"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 xml:space="preserve">Kundrejt </w:t>
      </w:r>
      <w:r w:rsidR="00A1128B" w:rsidRPr="00EE038F">
        <w:rPr>
          <w:rFonts w:ascii="Garamond" w:hAnsi="Garamond" w:cs="Garamond"/>
          <w:sz w:val="24"/>
          <w:szCs w:val="24"/>
        </w:rPr>
        <w:t>s</w:t>
      </w:r>
      <w:r w:rsidRPr="00EE038F">
        <w:rPr>
          <w:rFonts w:ascii="Garamond" w:hAnsi="Garamond" w:cs="Garamond"/>
          <w:sz w:val="24"/>
          <w:szCs w:val="24"/>
        </w:rPr>
        <w:t>ë njëjtës periudhë të vitit 2023, shpenzimet për sigurime shoqërore rezultuan rreth 9.6 miliardë lekë më të larta, shpenzimet për sigurime shëndetësore 3.4 miliardë lekë më të larta dhe shpenzimet për kompensimin e pronarëve 421 milionë lekë më të ulëta.</w:t>
      </w:r>
    </w:p>
    <w:p w14:paraId="5C4742A1" w14:textId="42B4EBE3"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i/>
          <w:iCs/>
          <w:sz w:val="24"/>
          <w:szCs w:val="24"/>
        </w:rPr>
        <w:t xml:space="preserve">Shpenzimet e tjera sociale, </w:t>
      </w:r>
      <w:r w:rsidRPr="00EE038F">
        <w:rPr>
          <w:rFonts w:ascii="Garamond" w:hAnsi="Garamond" w:cs="Garamond"/>
          <w:sz w:val="24"/>
          <w:szCs w:val="24"/>
        </w:rPr>
        <w:t>për periudhën 9</w:t>
      </w:r>
      <w:r w:rsidR="00884E2A" w:rsidRPr="00EE038F">
        <w:rPr>
          <w:rFonts w:ascii="Garamond" w:hAnsi="Garamond" w:cs="Garamond"/>
          <w:sz w:val="24"/>
          <w:szCs w:val="24"/>
        </w:rPr>
        <w:t>-</w:t>
      </w:r>
      <w:r w:rsidRPr="00EE038F">
        <w:rPr>
          <w:rFonts w:ascii="Garamond" w:hAnsi="Garamond" w:cs="Garamond"/>
          <w:sz w:val="24"/>
          <w:szCs w:val="24"/>
        </w:rPr>
        <w:t xml:space="preserve">mujore të vitit 2024 rezultuan në nivelin rreth 20.2 miliardë lekë, me një realizim prej 99.5 </w:t>
      </w:r>
      <w:r w:rsidR="00FD6514" w:rsidRPr="00EE038F">
        <w:rPr>
          <w:rFonts w:ascii="Garamond" w:hAnsi="Garamond" w:cs="Garamond"/>
          <w:sz w:val="24"/>
          <w:szCs w:val="24"/>
        </w:rPr>
        <w:t>për qind</w:t>
      </w:r>
      <w:r w:rsidRPr="00EE038F">
        <w:rPr>
          <w:rFonts w:ascii="Garamond" w:hAnsi="Garamond" w:cs="Garamond"/>
          <w:sz w:val="24"/>
          <w:szCs w:val="24"/>
        </w:rPr>
        <w:t xml:space="preserve"> kundrejt planit të periudhës ose 66.3 </w:t>
      </w:r>
      <w:r w:rsidR="00FD6514" w:rsidRPr="00EE038F">
        <w:rPr>
          <w:rFonts w:ascii="Garamond" w:hAnsi="Garamond" w:cs="Garamond"/>
          <w:sz w:val="24"/>
          <w:szCs w:val="24"/>
        </w:rPr>
        <w:t>për qind</w:t>
      </w:r>
      <w:r w:rsidRPr="00EE038F">
        <w:rPr>
          <w:rFonts w:ascii="Garamond" w:hAnsi="Garamond" w:cs="Garamond"/>
          <w:sz w:val="24"/>
          <w:szCs w:val="24"/>
        </w:rPr>
        <w:t xml:space="preserve"> të planit vjetor. Përkatësisht:</w:t>
      </w:r>
    </w:p>
    <w:p w14:paraId="34D4124D" w14:textId="23F20F15" w:rsidR="004A4C72" w:rsidRPr="00EE038F" w:rsidRDefault="004A4C72"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 xml:space="preserve">- </w:t>
      </w:r>
      <w:r w:rsidRPr="00EE038F">
        <w:rPr>
          <w:rFonts w:ascii="Garamond" w:hAnsi="Garamond" w:cs="Garamond"/>
          <w:i/>
          <w:iCs/>
          <w:color w:val="0D0D0D"/>
          <w:sz w:val="24"/>
          <w:szCs w:val="24"/>
        </w:rPr>
        <w:t xml:space="preserve">Shpenzimet për </w:t>
      </w:r>
      <w:r w:rsidR="002E1450" w:rsidRPr="00EE038F">
        <w:rPr>
          <w:rFonts w:ascii="Garamond" w:hAnsi="Garamond" w:cs="Garamond"/>
          <w:i/>
          <w:iCs/>
          <w:color w:val="0D0D0D"/>
          <w:sz w:val="24"/>
          <w:szCs w:val="24"/>
        </w:rPr>
        <w:t xml:space="preserve">papunësinë </w:t>
      </w:r>
      <w:r w:rsidRPr="00EE038F">
        <w:rPr>
          <w:rFonts w:ascii="Garamond" w:hAnsi="Garamond" w:cs="Garamond"/>
          <w:i/>
          <w:iCs/>
          <w:color w:val="0D0D0D"/>
          <w:sz w:val="24"/>
          <w:szCs w:val="24"/>
        </w:rPr>
        <w:t>për periudhën 9</w:t>
      </w:r>
      <w:r w:rsidR="002E1450" w:rsidRPr="00EE038F">
        <w:rPr>
          <w:rFonts w:ascii="Garamond" w:hAnsi="Garamond" w:cs="Garamond"/>
          <w:i/>
          <w:iCs/>
          <w:color w:val="0D0D0D"/>
          <w:sz w:val="24"/>
          <w:szCs w:val="24"/>
        </w:rPr>
        <w:t>-</w:t>
      </w:r>
      <w:r w:rsidRPr="00EE038F">
        <w:rPr>
          <w:rFonts w:ascii="Garamond" w:hAnsi="Garamond" w:cs="Garamond"/>
          <w:i/>
          <w:iCs/>
          <w:color w:val="0D0D0D"/>
          <w:sz w:val="24"/>
          <w:szCs w:val="24"/>
        </w:rPr>
        <w:t xml:space="preserve">mujore të vitit 2024 janë realizuar në masën 644 milionë lekë ose 103.3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e planit të periudhës dhe 80.4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e planit vjetor. Kundrejt </w:t>
      </w:r>
      <w:r w:rsidR="002E1450" w:rsidRPr="00EE038F">
        <w:rPr>
          <w:rFonts w:ascii="Garamond" w:hAnsi="Garamond" w:cs="Garamond"/>
          <w:i/>
          <w:iCs/>
          <w:color w:val="0D0D0D"/>
          <w:sz w:val="24"/>
          <w:szCs w:val="24"/>
        </w:rPr>
        <w:t>s</w:t>
      </w:r>
      <w:r w:rsidRPr="00EE038F">
        <w:rPr>
          <w:rFonts w:ascii="Garamond" w:hAnsi="Garamond" w:cs="Garamond"/>
          <w:i/>
          <w:iCs/>
          <w:color w:val="0D0D0D"/>
          <w:sz w:val="24"/>
          <w:szCs w:val="24"/>
        </w:rPr>
        <w:t>ë njëjtës periudhë të vitit 2023</w:t>
      </w:r>
      <w:r w:rsidR="00F84502" w:rsidRPr="00EE038F">
        <w:rPr>
          <w:rFonts w:ascii="Garamond" w:hAnsi="Garamond" w:cs="Garamond"/>
          <w:i/>
          <w:iCs/>
          <w:color w:val="0D0D0D"/>
          <w:sz w:val="24"/>
          <w:szCs w:val="24"/>
        </w:rPr>
        <w:t>,</w:t>
      </w:r>
      <w:r w:rsidRPr="00EE038F">
        <w:rPr>
          <w:rFonts w:ascii="Garamond" w:hAnsi="Garamond" w:cs="Garamond"/>
          <w:i/>
          <w:iCs/>
          <w:color w:val="0D0D0D"/>
          <w:sz w:val="24"/>
          <w:szCs w:val="24"/>
        </w:rPr>
        <w:t xml:space="preserve"> shpenzimet për këtë zë rezultojnë me një rritje në masën 1.2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ose 8 milionë lekë më shumë.</w:t>
      </w:r>
    </w:p>
    <w:p w14:paraId="46CED875" w14:textId="24108E6C" w:rsidR="004A4C72" w:rsidRPr="00EE038F" w:rsidRDefault="004A4C72"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 xml:space="preserve">- </w:t>
      </w:r>
      <w:r w:rsidRPr="00EE038F">
        <w:rPr>
          <w:rFonts w:ascii="Garamond" w:hAnsi="Garamond" w:cs="Garamond"/>
          <w:i/>
          <w:iCs/>
          <w:color w:val="0D0D0D"/>
          <w:sz w:val="24"/>
          <w:szCs w:val="24"/>
        </w:rPr>
        <w:t xml:space="preserve">Shpenzimet për </w:t>
      </w:r>
      <w:r w:rsidR="00F71DDC" w:rsidRPr="00EE038F">
        <w:rPr>
          <w:rFonts w:ascii="Garamond" w:hAnsi="Garamond" w:cs="Garamond"/>
          <w:i/>
          <w:iCs/>
          <w:color w:val="0D0D0D"/>
          <w:sz w:val="24"/>
          <w:szCs w:val="24"/>
        </w:rPr>
        <w:t xml:space="preserve">ndihmën ekonomike dhe pagesën e paaftësisë </w:t>
      </w:r>
      <w:r w:rsidRPr="00EE038F">
        <w:rPr>
          <w:rFonts w:ascii="Garamond" w:hAnsi="Garamond" w:cs="Garamond"/>
          <w:i/>
          <w:iCs/>
          <w:color w:val="0D0D0D"/>
          <w:sz w:val="24"/>
          <w:szCs w:val="24"/>
        </w:rPr>
        <w:t>(PAK) për periudhën 9</w:t>
      </w:r>
      <w:r w:rsidR="00F71DDC" w:rsidRPr="00EE038F">
        <w:rPr>
          <w:rFonts w:ascii="Garamond" w:hAnsi="Garamond" w:cs="Garamond"/>
          <w:i/>
          <w:iCs/>
          <w:color w:val="0D0D0D"/>
          <w:sz w:val="24"/>
          <w:szCs w:val="24"/>
        </w:rPr>
        <w:t>-</w:t>
      </w:r>
      <w:r w:rsidRPr="00EE038F">
        <w:rPr>
          <w:rFonts w:ascii="Garamond" w:hAnsi="Garamond" w:cs="Garamond"/>
          <w:i/>
          <w:iCs/>
          <w:color w:val="0D0D0D"/>
          <w:sz w:val="24"/>
          <w:szCs w:val="24"/>
        </w:rPr>
        <w:t xml:space="preserve">mujore të vitit 2024 u realizuan në masën rreth 17.4 miliardë lekë duke rezultuar 99.5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e planit të periudhës. Në raport me planin vjetor ato janë realizuar në masën 66.4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tij. Kundrejt </w:t>
      </w:r>
      <w:r w:rsidR="00F71DDC" w:rsidRPr="00EE038F">
        <w:rPr>
          <w:rFonts w:ascii="Garamond" w:hAnsi="Garamond" w:cs="Garamond"/>
          <w:i/>
          <w:iCs/>
          <w:color w:val="0D0D0D"/>
          <w:sz w:val="24"/>
          <w:szCs w:val="24"/>
        </w:rPr>
        <w:t>s</w:t>
      </w:r>
      <w:r w:rsidRPr="00EE038F">
        <w:rPr>
          <w:rFonts w:ascii="Garamond" w:hAnsi="Garamond" w:cs="Garamond"/>
          <w:i/>
          <w:iCs/>
          <w:color w:val="0D0D0D"/>
          <w:sz w:val="24"/>
          <w:szCs w:val="24"/>
        </w:rPr>
        <w:t xml:space="preserve">ë njëjtës periudhë të vitit 2023 shpenzimet për këtë zë rezultojnë me një rënie në masën 1.8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ose 319 milionë lekë më pak.</w:t>
      </w:r>
    </w:p>
    <w:p w14:paraId="0852DB19" w14:textId="5D88B369" w:rsidR="004A4C72" w:rsidRPr="00EE038F" w:rsidRDefault="004A4C72"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 xml:space="preserve">- </w:t>
      </w:r>
      <w:r w:rsidRPr="00EE038F">
        <w:rPr>
          <w:rFonts w:ascii="Garamond" w:hAnsi="Garamond" w:cs="Garamond"/>
          <w:i/>
          <w:iCs/>
          <w:color w:val="0D0D0D"/>
          <w:sz w:val="24"/>
          <w:szCs w:val="24"/>
        </w:rPr>
        <w:t>Shpenzimet për kompensimin e ish-të përndjekurve politik</w:t>
      </w:r>
      <w:r w:rsidR="00F71DDC" w:rsidRPr="00EE038F">
        <w:rPr>
          <w:rFonts w:ascii="Garamond" w:hAnsi="Garamond" w:cs="Garamond"/>
          <w:i/>
          <w:iCs/>
          <w:color w:val="0D0D0D"/>
          <w:sz w:val="24"/>
          <w:szCs w:val="24"/>
        </w:rPr>
        <w:t>ë</w:t>
      </w:r>
      <w:r w:rsidRPr="00EE038F">
        <w:rPr>
          <w:rFonts w:ascii="Garamond" w:hAnsi="Garamond" w:cs="Garamond"/>
          <w:i/>
          <w:iCs/>
          <w:color w:val="0D0D0D"/>
          <w:sz w:val="24"/>
          <w:szCs w:val="24"/>
        </w:rPr>
        <w:t>, për periudhën 9</w:t>
      </w:r>
      <w:r w:rsidR="00F71DDC" w:rsidRPr="00EE038F">
        <w:rPr>
          <w:rFonts w:ascii="Garamond" w:hAnsi="Garamond" w:cs="Garamond"/>
          <w:i/>
          <w:iCs/>
          <w:color w:val="0D0D0D"/>
          <w:sz w:val="24"/>
          <w:szCs w:val="24"/>
        </w:rPr>
        <w:t>-</w:t>
      </w:r>
      <w:r w:rsidRPr="00EE038F">
        <w:rPr>
          <w:rFonts w:ascii="Garamond" w:hAnsi="Garamond" w:cs="Garamond"/>
          <w:i/>
          <w:iCs/>
          <w:color w:val="0D0D0D"/>
          <w:sz w:val="24"/>
          <w:szCs w:val="24"/>
        </w:rPr>
        <w:t>mujore të vitit 2024 u realizuan në masën 703 milionë lekë</w:t>
      </w:r>
      <w:r w:rsidR="00503D6A" w:rsidRPr="00EE038F">
        <w:rPr>
          <w:rFonts w:ascii="Garamond" w:hAnsi="Garamond" w:cs="Garamond"/>
          <w:i/>
          <w:iCs/>
          <w:color w:val="0D0D0D"/>
          <w:sz w:val="24"/>
          <w:szCs w:val="24"/>
        </w:rPr>
        <w:t>,</w:t>
      </w:r>
      <w:r w:rsidRPr="00EE038F">
        <w:rPr>
          <w:rFonts w:ascii="Garamond" w:hAnsi="Garamond" w:cs="Garamond"/>
          <w:i/>
          <w:iCs/>
          <w:color w:val="0D0D0D"/>
          <w:sz w:val="24"/>
          <w:szCs w:val="24"/>
        </w:rPr>
        <w:t xml:space="preserve"> duke rezultuar 83.5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e planit të periudhës ose 58.6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e planit vjetor. Kundrejt </w:t>
      </w:r>
      <w:r w:rsidR="00503D6A" w:rsidRPr="00EE038F">
        <w:rPr>
          <w:rFonts w:ascii="Garamond" w:hAnsi="Garamond" w:cs="Garamond"/>
          <w:i/>
          <w:iCs/>
          <w:color w:val="0D0D0D"/>
          <w:sz w:val="24"/>
          <w:szCs w:val="24"/>
        </w:rPr>
        <w:t>s</w:t>
      </w:r>
      <w:r w:rsidRPr="00EE038F">
        <w:rPr>
          <w:rFonts w:ascii="Garamond" w:hAnsi="Garamond" w:cs="Garamond"/>
          <w:i/>
          <w:iCs/>
          <w:color w:val="0D0D0D"/>
          <w:sz w:val="24"/>
          <w:szCs w:val="24"/>
        </w:rPr>
        <w:t>ë njëjtës periudhë të vitit 2023</w:t>
      </w:r>
      <w:r w:rsidR="00EB5CA8" w:rsidRPr="00EE038F">
        <w:rPr>
          <w:rFonts w:ascii="Garamond" w:hAnsi="Garamond" w:cs="Garamond"/>
          <w:i/>
          <w:iCs/>
          <w:color w:val="0D0D0D"/>
          <w:sz w:val="24"/>
          <w:szCs w:val="24"/>
        </w:rPr>
        <w:t>,</w:t>
      </w:r>
      <w:r w:rsidRPr="00EE038F">
        <w:rPr>
          <w:rFonts w:ascii="Garamond" w:hAnsi="Garamond" w:cs="Garamond"/>
          <w:i/>
          <w:iCs/>
          <w:color w:val="0D0D0D"/>
          <w:sz w:val="24"/>
          <w:szCs w:val="24"/>
        </w:rPr>
        <w:t xml:space="preserve"> shpenzimet për këtë zë rezultojnë me një rënie prej 16.5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ose 139 milionë lekë më pak.</w:t>
      </w:r>
    </w:p>
    <w:p w14:paraId="6DABF258" w14:textId="1BAFCC3B" w:rsidR="004A4C72" w:rsidRPr="00EE038F" w:rsidRDefault="004A4C72"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 xml:space="preserve">- </w:t>
      </w:r>
      <w:r w:rsidRPr="00EE038F">
        <w:rPr>
          <w:rFonts w:ascii="Garamond" w:hAnsi="Garamond" w:cs="Garamond"/>
          <w:i/>
          <w:iCs/>
          <w:color w:val="0D0D0D"/>
          <w:sz w:val="24"/>
          <w:szCs w:val="24"/>
        </w:rPr>
        <w:t>Shpenzimet për bonusin e lindjeve për periudhën 9</w:t>
      </w:r>
      <w:r w:rsidR="00EB5CA8" w:rsidRPr="00EE038F">
        <w:rPr>
          <w:rFonts w:ascii="Garamond" w:hAnsi="Garamond" w:cs="Garamond"/>
          <w:i/>
          <w:iCs/>
          <w:color w:val="0D0D0D"/>
          <w:sz w:val="24"/>
          <w:szCs w:val="24"/>
        </w:rPr>
        <w:t>-</w:t>
      </w:r>
      <w:r w:rsidRPr="00EE038F">
        <w:rPr>
          <w:rFonts w:ascii="Garamond" w:hAnsi="Garamond" w:cs="Garamond"/>
          <w:i/>
          <w:iCs/>
          <w:color w:val="0D0D0D"/>
          <w:sz w:val="24"/>
          <w:szCs w:val="24"/>
        </w:rPr>
        <w:t>mujore të vitit 2024 u realizuan në masën 1.4 miliardë lekë</w:t>
      </w:r>
      <w:r w:rsidR="00EB5CA8" w:rsidRPr="00EE038F">
        <w:rPr>
          <w:rFonts w:ascii="Garamond" w:hAnsi="Garamond" w:cs="Garamond"/>
          <w:i/>
          <w:iCs/>
          <w:color w:val="0D0D0D"/>
          <w:sz w:val="24"/>
          <w:szCs w:val="24"/>
        </w:rPr>
        <w:t>,</w:t>
      </w:r>
      <w:r w:rsidRPr="00EE038F">
        <w:rPr>
          <w:rFonts w:ascii="Garamond" w:hAnsi="Garamond" w:cs="Garamond"/>
          <w:i/>
          <w:iCs/>
          <w:color w:val="0D0D0D"/>
          <w:sz w:val="24"/>
          <w:szCs w:val="24"/>
        </w:rPr>
        <w:t xml:space="preserve"> duke rezultuar 107.7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e planit të periudhës ose 63.6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e planit vjetor me ndryshime. Kundrejt </w:t>
      </w:r>
      <w:r w:rsidR="00EB5CA8" w:rsidRPr="00EE038F">
        <w:rPr>
          <w:rFonts w:ascii="Garamond" w:hAnsi="Garamond" w:cs="Garamond"/>
          <w:i/>
          <w:iCs/>
          <w:color w:val="0D0D0D"/>
          <w:sz w:val="24"/>
          <w:szCs w:val="24"/>
        </w:rPr>
        <w:t>s</w:t>
      </w:r>
      <w:r w:rsidRPr="00EE038F">
        <w:rPr>
          <w:rFonts w:ascii="Garamond" w:hAnsi="Garamond" w:cs="Garamond"/>
          <w:i/>
          <w:iCs/>
          <w:color w:val="0D0D0D"/>
          <w:sz w:val="24"/>
          <w:szCs w:val="24"/>
        </w:rPr>
        <w:t xml:space="preserve">ë njëjtës periudhë të vitit 2023 shpenzimet për këtë zë rezultojnë me një rënie në masën 41.7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ose 1 miliard lekë më pak.</w:t>
      </w:r>
    </w:p>
    <w:p w14:paraId="787D16DF" w14:textId="68CDB06C"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i/>
          <w:iCs/>
          <w:sz w:val="24"/>
          <w:szCs w:val="24"/>
        </w:rPr>
        <w:t xml:space="preserve">Shpenzimet për </w:t>
      </w:r>
      <w:r w:rsidR="005C45EC" w:rsidRPr="00EE038F">
        <w:rPr>
          <w:rFonts w:ascii="Garamond" w:hAnsi="Garamond" w:cs="Garamond"/>
          <w:i/>
          <w:iCs/>
          <w:sz w:val="24"/>
          <w:szCs w:val="24"/>
        </w:rPr>
        <w:t>pushtetin vendor</w:t>
      </w:r>
      <w:r w:rsidRPr="00EE038F">
        <w:rPr>
          <w:rFonts w:ascii="Garamond" w:hAnsi="Garamond" w:cs="Garamond"/>
          <w:sz w:val="24"/>
          <w:szCs w:val="24"/>
        </w:rPr>
        <w:t>, për periudhën 9</w:t>
      </w:r>
      <w:r w:rsidR="005C45EC" w:rsidRPr="00EE038F">
        <w:rPr>
          <w:rFonts w:ascii="Garamond" w:hAnsi="Garamond" w:cs="Garamond"/>
          <w:sz w:val="24"/>
          <w:szCs w:val="24"/>
        </w:rPr>
        <w:t>-</w:t>
      </w:r>
      <w:r w:rsidRPr="00EE038F">
        <w:rPr>
          <w:rFonts w:ascii="Garamond" w:hAnsi="Garamond" w:cs="Garamond"/>
          <w:sz w:val="24"/>
          <w:szCs w:val="24"/>
        </w:rPr>
        <w:t>mujore të vitit 2024, kanë arritur në masën rreth 48.8 miliardë lekë</w:t>
      </w:r>
      <w:r w:rsidR="005C45EC" w:rsidRPr="00EE038F">
        <w:rPr>
          <w:rFonts w:ascii="Garamond" w:hAnsi="Garamond" w:cs="Garamond"/>
          <w:sz w:val="24"/>
          <w:szCs w:val="24"/>
        </w:rPr>
        <w:t>,</w:t>
      </w:r>
      <w:r w:rsidRPr="00EE038F">
        <w:rPr>
          <w:rFonts w:ascii="Garamond" w:hAnsi="Garamond" w:cs="Garamond"/>
          <w:sz w:val="24"/>
          <w:szCs w:val="24"/>
        </w:rPr>
        <w:t xml:space="preserve"> duke përbërë 11.9 </w:t>
      </w:r>
      <w:r w:rsidR="00FD6514" w:rsidRPr="00EE038F">
        <w:rPr>
          <w:rFonts w:ascii="Garamond" w:hAnsi="Garamond" w:cs="Garamond"/>
          <w:sz w:val="24"/>
          <w:szCs w:val="24"/>
        </w:rPr>
        <w:t>për qind</w:t>
      </w:r>
      <w:r w:rsidRPr="00EE038F">
        <w:rPr>
          <w:rFonts w:ascii="Garamond" w:hAnsi="Garamond" w:cs="Garamond"/>
          <w:sz w:val="24"/>
          <w:szCs w:val="24"/>
        </w:rPr>
        <w:t xml:space="preserve"> të shpenzimeve ko</w:t>
      </w:r>
      <w:r w:rsidR="00605E55" w:rsidRPr="00EE038F">
        <w:rPr>
          <w:rFonts w:ascii="Garamond" w:hAnsi="Garamond" w:cs="Garamond"/>
          <w:sz w:val="24"/>
          <w:szCs w:val="24"/>
        </w:rPr>
        <w:t>r</w:t>
      </w:r>
      <w:r w:rsidRPr="00EE038F">
        <w:rPr>
          <w:rFonts w:ascii="Garamond" w:hAnsi="Garamond" w:cs="Garamond"/>
          <w:sz w:val="24"/>
          <w:szCs w:val="24"/>
        </w:rPr>
        <w:t xml:space="preserve">rente. Këto shpenzime janë realizuar në masën 94 </w:t>
      </w:r>
      <w:r w:rsidR="00FD6514" w:rsidRPr="00EE038F">
        <w:rPr>
          <w:rFonts w:ascii="Garamond" w:hAnsi="Garamond" w:cs="Garamond"/>
          <w:sz w:val="24"/>
          <w:szCs w:val="24"/>
        </w:rPr>
        <w:t>për qind</w:t>
      </w:r>
      <w:r w:rsidRPr="00EE038F">
        <w:rPr>
          <w:rFonts w:ascii="Garamond" w:hAnsi="Garamond" w:cs="Garamond"/>
          <w:sz w:val="24"/>
          <w:szCs w:val="24"/>
        </w:rPr>
        <w:t xml:space="preserve"> të planit të periudhës ose 68.5 </w:t>
      </w:r>
      <w:r w:rsidR="00FD6514" w:rsidRPr="00EE038F">
        <w:rPr>
          <w:rFonts w:ascii="Garamond" w:hAnsi="Garamond" w:cs="Garamond"/>
          <w:sz w:val="24"/>
          <w:szCs w:val="24"/>
        </w:rPr>
        <w:t>për qind</w:t>
      </w:r>
      <w:r w:rsidRPr="00EE038F">
        <w:rPr>
          <w:rFonts w:ascii="Garamond" w:hAnsi="Garamond" w:cs="Garamond"/>
          <w:sz w:val="24"/>
          <w:szCs w:val="24"/>
        </w:rPr>
        <w:t xml:space="preserve"> të planit vjetor. Kundrejt </w:t>
      </w:r>
      <w:r w:rsidR="00300ACC" w:rsidRPr="00EE038F">
        <w:rPr>
          <w:rFonts w:ascii="Garamond" w:hAnsi="Garamond" w:cs="Garamond"/>
          <w:sz w:val="24"/>
          <w:szCs w:val="24"/>
        </w:rPr>
        <w:t>s</w:t>
      </w:r>
      <w:r w:rsidRPr="00EE038F">
        <w:rPr>
          <w:rFonts w:ascii="Garamond" w:hAnsi="Garamond" w:cs="Garamond"/>
          <w:sz w:val="24"/>
          <w:szCs w:val="24"/>
        </w:rPr>
        <w:t xml:space="preserve">ë njëjtës periudhë të vitit 2023 ky nivel rezulton 6.8 </w:t>
      </w:r>
      <w:r w:rsidR="00FD6514" w:rsidRPr="00EE038F">
        <w:rPr>
          <w:rFonts w:ascii="Garamond" w:hAnsi="Garamond" w:cs="Garamond"/>
          <w:sz w:val="24"/>
          <w:szCs w:val="24"/>
        </w:rPr>
        <w:t>për qind</w:t>
      </w:r>
      <w:r w:rsidRPr="00EE038F">
        <w:rPr>
          <w:rFonts w:ascii="Garamond" w:hAnsi="Garamond" w:cs="Garamond"/>
          <w:sz w:val="24"/>
          <w:szCs w:val="24"/>
        </w:rPr>
        <w:t xml:space="preserve"> më i lartë ose rreth 3.1 miliardë lekë më shumë.</w:t>
      </w:r>
    </w:p>
    <w:p w14:paraId="71E3616B" w14:textId="39D10F05"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i/>
          <w:iCs/>
          <w:sz w:val="24"/>
          <w:szCs w:val="24"/>
        </w:rPr>
        <w:t>Shpenzimet kapitale,</w:t>
      </w:r>
      <w:r w:rsidRPr="00EE038F">
        <w:rPr>
          <w:rFonts w:ascii="Garamond" w:hAnsi="Garamond" w:cs="Garamond"/>
          <w:sz w:val="24"/>
          <w:szCs w:val="24"/>
        </w:rPr>
        <w:t xml:space="preserve"> për periudhën 9</w:t>
      </w:r>
      <w:r w:rsidR="00300ACC" w:rsidRPr="00EE038F">
        <w:rPr>
          <w:rFonts w:ascii="Garamond" w:hAnsi="Garamond" w:cs="Garamond"/>
          <w:sz w:val="24"/>
          <w:szCs w:val="24"/>
        </w:rPr>
        <w:t>-</w:t>
      </w:r>
      <w:r w:rsidRPr="00EE038F">
        <w:rPr>
          <w:rFonts w:ascii="Garamond" w:hAnsi="Garamond" w:cs="Garamond"/>
          <w:sz w:val="24"/>
          <w:szCs w:val="24"/>
        </w:rPr>
        <w:t xml:space="preserve">mujore të vitit 2024 kanë një realizim në masën rreth 48.3 miliardë lekë ose 81.6 </w:t>
      </w:r>
      <w:r w:rsidR="00FD6514" w:rsidRPr="00EE038F">
        <w:rPr>
          <w:rFonts w:ascii="Garamond" w:hAnsi="Garamond" w:cs="Garamond"/>
          <w:sz w:val="24"/>
          <w:szCs w:val="24"/>
        </w:rPr>
        <w:t>për qind</w:t>
      </w:r>
      <w:r w:rsidRPr="00EE038F">
        <w:rPr>
          <w:rFonts w:ascii="Garamond" w:hAnsi="Garamond" w:cs="Garamond"/>
          <w:sz w:val="24"/>
          <w:szCs w:val="24"/>
        </w:rPr>
        <w:t xml:space="preserve"> në raport me fondet e planifikuara për këtë periudhë. Krahasuar me të njëjtën periudhë të vitit 2023, ky zë rezulton 4.2 </w:t>
      </w:r>
      <w:r w:rsidR="00FD6514" w:rsidRPr="00EE038F">
        <w:rPr>
          <w:rFonts w:ascii="Garamond" w:hAnsi="Garamond" w:cs="Garamond"/>
          <w:sz w:val="24"/>
          <w:szCs w:val="24"/>
        </w:rPr>
        <w:t>për qind</w:t>
      </w:r>
      <w:r w:rsidRPr="00EE038F">
        <w:rPr>
          <w:rFonts w:ascii="Garamond" w:hAnsi="Garamond" w:cs="Garamond"/>
          <w:sz w:val="24"/>
          <w:szCs w:val="24"/>
        </w:rPr>
        <w:t xml:space="preserve"> më i lartë ose rreth 1.9 miliardë lekë më shumë. Konkretisht:</w:t>
      </w:r>
    </w:p>
    <w:p w14:paraId="3B1D422E" w14:textId="1B5C17E4" w:rsidR="004A4C72" w:rsidRPr="00EE038F" w:rsidRDefault="004A4C72"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 xml:space="preserve">- </w:t>
      </w:r>
      <w:r w:rsidRPr="00EE038F">
        <w:rPr>
          <w:rFonts w:ascii="Garamond" w:hAnsi="Garamond" w:cs="Garamond"/>
          <w:i/>
          <w:iCs/>
          <w:color w:val="0D0D0D"/>
          <w:sz w:val="24"/>
          <w:szCs w:val="24"/>
        </w:rPr>
        <w:t>Financimi i brendshëm për periudhën 9</w:t>
      </w:r>
      <w:r w:rsidR="00A64608" w:rsidRPr="00EE038F">
        <w:rPr>
          <w:rFonts w:ascii="Garamond" w:hAnsi="Garamond" w:cs="Garamond"/>
          <w:i/>
          <w:iCs/>
          <w:color w:val="0D0D0D"/>
          <w:sz w:val="24"/>
          <w:szCs w:val="24"/>
        </w:rPr>
        <w:t>-</w:t>
      </w:r>
      <w:r w:rsidRPr="00EE038F">
        <w:rPr>
          <w:rFonts w:ascii="Garamond" w:hAnsi="Garamond" w:cs="Garamond"/>
          <w:i/>
          <w:iCs/>
          <w:color w:val="0D0D0D"/>
          <w:sz w:val="24"/>
          <w:szCs w:val="24"/>
        </w:rPr>
        <w:t xml:space="preserve">mujore të vitit 2024 është realizuar në masën rreth 31.7 miliardë lekë ose 85.6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të periudhës. Krahasuar me </w:t>
      </w:r>
      <w:r w:rsidR="00A64608" w:rsidRPr="00EE038F">
        <w:rPr>
          <w:rFonts w:ascii="Garamond" w:hAnsi="Garamond" w:cs="Garamond"/>
          <w:i/>
          <w:iCs/>
          <w:color w:val="0D0D0D"/>
          <w:sz w:val="24"/>
          <w:szCs w:val="24"/>
        </w:rPr>
        <w:t>s</w:t>
      </w:r>
      <w:r w:rsidRPr="00EE038F">
        <w:rPr>
          <w:rFonts w:ascii="Garamond" w:hAnsi="Garamond" w:cs="Garamond"/>
          <w:i/>
          <w:iCs/>
          <w:color w:val="0D0D0D"/>
          <w:sz w:val="24"/>
          <w:szCs w:val="24"/>
        </w:rPr>
        <w:t xml:space="preserve">ë njëjtën periudhë të vitit 2023, ky zë rezulton 3.8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më i ulët ose rreth 1.3 miliardë lekë më pak</w:t>
      </w:r>
      <w:r w:rsidR="003A6F03" w:rsidRPr="00EE038F">
        <w:rPr>
          <w:rFonts w:ascii="Garamond" w:hAnsi="Garamond" w:cs="Garamond"/>
          <w:i/>
          <w:iCs/>
          <w:color w:val="0D0D0D"/>
          <w:sz w:val="24"/>
          <w:szCs w:val="24"/>
        </w:rPr>
        <w:t>;</w:t>
      </w:r>
    </w:p>
    <w:p w14:paraId="6C809F5F" w14:textId="16052157" w:rsidR="004A4C72" w:rsidRPr="00EE038F" w:rsidRDefault="004A4C72"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 xml:space="preserve">- </w:t>
      </w:r>
      <w:r w:rsidRPr="00EE038F">
        <w:rPr>
          <w:rFonts w:ascii="Garamond" w:hAnsi="Garamond" w:cs="Garamond"/>
          <w:i/>
          <w:iCs/>
          <w:color w:val="0D0D0D"/>
          <w:sz w:val="24"/>
          <w:szCs w:val="24"/>
        </w:rPr>
        <w:t xml:space="preserve">Investimet nga të ardhurat e arsimit të lartë janë realizuar në masën 589 milionë lekë ose 109.3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të periudhës. Krahasuar me të njëjtën periudhë të vitit 2023, ky zë rezulton 45.8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më i lartë ose 185 milionë lekë më shumë</w:t>
      </w:r>
      <w:r w:rsidR="003A6F03" w:rsidRPr="00EE038F">
        <w:rPr>
          <w:rFonts w:ascii="Garamond" w:hAnsi="Garamond" w:cs="Garamond"/>
          <w:i/>
          <w:iCs/>
          <w:color w:val="0D0D0D"/>
          <w:sz w:val="24"/>
          <w:szCs w:val="24"/>
        </w:rPr>
        <w:t>;</w:t>
      </w:r>
    </w:p>
    <w:p w14:paraId="1D6EF65A" w14:textId="4FBD0365" w:rsidR="004A4C72" w:rsidRPr="00EE038F" w:rsidRDefault="004A4C72"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 xml:space="preserve">- </w:t>
      </w:r>
      <w:r w:rsidRPr="00EE038F">
        <w:rPr>
          <w:rFonts w:ascii="Garamond" w:hAnsi="Garamond" w:cs="Garamond"/>
          <w:i/>
          <w:iCs/>
          <w:color w:val="0D0D0D"/>
          <w:sz w:val="24"/>
          <w:szCs w:val="24"/>
        </w:rPr>
        <w:t xml:space="preserve">Financimi i huaj ka shënuar një realizim prej rreth 11 miliardë lekë ose 68.7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të planit të periudhës. Krahasuar me të njëjtën periudhë të vitit 2023, ky zë rezulton 38.6 </w:t>
      </w:r>
      <w:r w:rsidR="00FD6514" w:rsidRPr="00EE038F">
        <w:rPr>
          <w:rFonts w:ascii="Garamond" w:hAnsi="Garamond" w:cs="Garamond"/>
          <w:i/>
          <w:iCs/>
          <w:color w:val="0D0D0D"/>
          <w:sz w:val="24"/>
          <w:szCs w:val="24"/>
        </w:rPr>
        <w:t>për qind</w:t>
      </w:r>
      <w:r w:rsidRPr="00EE038F">
        <w:rPr>
          <w:rFonts w:ascii="Garamond" w:hAnsi="Garamond" w:cs="Garamond"/>
          <w:i/>
          <w:iCs/>
          <w:color w:val="0D0D0D"/>
          <w:sz w:val="24"/>
          <w:szCs w:val="24"/>
        </w:rPr>
        <w:t xml:space="preserve"> më i lartë ose rreth 3.1 miliardë lekë më pak.</w:t>
      </w:r>
    </w:p>
    <w:p w14:paraId="44ED9178" w14:textId="22AB19AD"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i/>
          <w:iCs/>
          <w:sz w:val="24"/>
          <w:szCs w:val="24"/>
        </w:rPr>
        <w:t xml:space="preserve">Në terma vjetorë, </w:t>
      </w:r>
      <w:r w:rsidRPr="00EE038F">
        <w:rPr>
          <w:rFonts w:ascii="Garamond" w:hAnsi="Garamond" w:cs="Garamond"/>
          <w:sz w:val="24"/>
          <w:szCs w:val="24"/>
        </w:rPr>
        <w:t>për periudhën 9</w:t>
      </w:r>
      <w:r w:rsidR="00AB2979" w:rsidRPr="00EE038F">
        <w:rPr>
          <w:rFonts w:ascii="Garamond" w:hAnsi="Garamond" w:cs="Garamond"/>
          <w:sz w:val="24"/>
          <w:szCs w:val="24"/>
        </w:rPr>
        <w:t>-</w:t>
      </w:r>
      <w:r w:rsidRPr="00EE038F">
        <w:rPr>
          <w:rFonts w:ascii="Garamond" w:hAnsi="Garamond" w:cs="Garamond"/>
          <w:sz w:val="24"/>
          <w:szCs w:val="24"/>
        </w:rPr>
        <w:t xml:space="preserve">mujore të vitit 2024 është konstatuar një realizim i përgjithshëm i shpenzimeve kapitale në masën 36.8 </w:t>
      </w:r>
      <w:r w:rsidR="00FD6514" w:rsidRPr="00EE038F">
        <w:rPr>
          <w:rFonts w:ascii="Garamond" w:hAnsi="Garamond" w:cs="Garamond"/>
          <w:sz w:val="24"/>
          <w:szCs w:val="24"/>
        </w:rPr>
        <w:t>për qind</w:t>
      </w:r>
      <w:r w:rsidRPr="00EE038F">
        <w:rPr>
          <w:rFonts w:ascii="Garamond" w:hAnsi="Garamond" w:cs="Garamond"/>
          <w:sz w:val="24"/>
          <w:szCs w:val="24"/>
        </w:rPr>
        <w:t xml:space="preserve"> të planit vjetor. Konkretisht:</w:t>
      </w:r>
    </w:p>
    <w:p w14:paraId="68F279F7" w14:textId="0555B193" w:rsidR="004A4C72" w:rsidRPr="00EE038F" w:rsidRDefault="00727F6C"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w:t>
      </w:r>
      <w:r w:rsidR="004A4C72" w:rsidRPr="00EE038F">
        <w:rPr>
          <w:rFonts w:ascii="Garamond" w:hAnsi="Garamond" w:cs="Symbol"/>
          <w:color w:val="0D0D0D"/>
          <w:sz w:val="24"/>
          <w:szCs w:val="24"/>
        </w:rPr>
        <w:t xml:space="preserve"> </w:t>
      </w:r>
      <w:r w:rsidR="004A4C72" w:rsidRPr="00EE038F">
        <w:rPr>
          <w:rFonts w:ascii="Garamond" w:hAnsi="Garamond" w:cs="Garamond"/>
          <w:i/>
          <w:iCs/>
          <w:color w:val="0D0D0D"/>
          <w:sz w:val="24"/>
          <w:szCs w:val="24"/>
        </w:rPr>
        <w:t xml:space="preserve">Financimi i brendshëm është realizuar në masën 41.1 </w:t>
      </w:r>
      <w:r w:rsidR="00FD6514" w:rsidRPr="00EE038F">
        <w:rPr>
          <w:rFonts w:ascii="Garamond" w:hAnsi="Garamond" w:cs="Garamond"/>
          <w:i/>
          <w:iCs/>
          <w:color w:val="0D0D0D"/>
          <w:sz w:val="24"/>
          <w:szCs w:val="24"/>
        </w:rPr>
        <w:t>për qind</w:t>
      </w:r>
      <w:r w:rsidR="004A4C72" w:rsidRPr="00EE038F">
        <w:rPr>
          <w:rFonts w:ascii="Garamond" w:hAnsi="Garamond" w:cs="Garamond"/>
          <w:i/>
          <w:iCs/>
          <w:color w:val="0D0D0D"/>
          <w:sz w:val="24"/>
          <w:szCs w:val="24"/>
        </w:rPr>
        <w:t xml:space="preserve"> të planit vjetor. </w:t>
      </w:r>
    </w:p>
    <w:p w14:paraId="393DDC9C" w14:textId="22292B3B" w:rsidR="004A4C72" w:rsidRPr="00EE038F" w:rsidRDefault="00727F6C"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lastRenderedPageBreak/>
        <w:t>-</w:t>
      </w:r>
      <w:r w:rsidR="004A4C72" w:rsidRPr="00EE038F">
        <w:rPr>
          <w:rFonts w:ascii="Garamond" w:hAnsi="Garamond" w:cs="Symbol"/>
          <w:color w:val="0D0D0D"/>
          <w:sz w:val="24"/>
          <w:szCs w:val="24"/>
        </w:rPr>
        <w:t xml:space="preserve"> </w:t>
      </w:r>
      <w:r w:rsidR="004A4C72" w:rsidRPr="00EE038F">
        <w:rPr>
          <w:rFonts w:ascii="Garamond" w:hAnsi="Garamond" w:cs="Garamond"/>
          <w:i/>
          <w:iCs/>
          <w:color w:val="0D0D0D"/>
          <w:sz w:val="24"/>
          <w:szCs w:val="24"/>
        </w:rPr>
        <w:t xml:space="preserve">Investimet nga të ardhurat e arsimit të lartë janë realizuar në masën 58.9 </w:t>
      </w:r>
      <w:r w:rsidR="00FD6514" w:rsidRPr="00EE038F">
        <w:rPr>
          <w:rFonts w:ascii="Garamond" w:hAnsi="Garamond" w:cs="Garamond"/>
          <w:i/>
          <w:iCs/>
          <w:color w:val="0D0D0D"/>
          <w:sz w:val="24"/>
          <w:szCs w:val="24"/>
        </w:rPr>
        <w:t>për qind</w:t>
      </w:r>
      <w:r w:rsidR="004A4C72" w:rsidRPr="00EE038F">
        <w:rPr>
          <w:rFonts w:ascii="Garamond" w:hAnsi="Garamond" w:cs="Garamond"/>
          <w:i/>
          <w:iCs/>
          <w:color w:val="0D0D0D"/>
          <w:sz w:val="24"/>
          <w:szCs w:val="24"/>
        </w:rPr>
        <w:t xml:space="preserve"> të planit vjetor. </w:t>
      </w:r>
    </w:p>
    <w:p w14:paraId="15452B62" w14:textId="72A46963" w:rsidR="004A4C72" w:rsidRPr="00EE038F" w:rsidRDefault="00727F6C" w:rsidP="004A4C72">
      <w:pPr>
        <w:spacing w:after="0" w:line="240" w:lineRule="auto"/>
        <w:ind w:firstLine="284"/>
        <w:jc w:val="both"/>
        <w:rPr>
          <w:rFonts w:ascii="Garamond" w:hAnsi="Garamond" w:cs="Garamond"/>
          <w:i/>
          <w:iCs/>
          <w:color w:val="0D0D0D"/>
          <w:sz w:val="24"/>
          <w:szCs w:val="24"/>
        </w:rPr>
      </w:pPr>
      <w:r w:rsidRPr="00EE038F">
        <w:rPr>
          <w:rFonts w:ascii="Garamond" w:hAnsi="Garamond" w:cs="Symbol"/>
          <w:color w:val="0D0D0D"/>
          <w:sz w:val="24"/>
          <w:szCs w:val="24"/>
        </w:rPr>
        <w:t>-</w:t>
      </w:r>
      <w:r w:rsidR="004A4C72" w:rsidRPr="00EE038F">
        <w:rPr>
          <w:rFonts w:ascii="Garamond" w:hAnsi="Garamond" w:cs="Symbol"/>
          <w:color w:val="0D0D0D"/>
          <w:sz w:val="24"/>
          <w:szCs w:val="24"/>
        </w:rPr>
        <w:t xml:space="preserve"> </w:t>
      </w:r>
      <w:r w:rsidR="004A4C72" w:rsidRPr="00EE038F">
        <w:rPr>
          <w:rFonts w:ascii="Garamond" w:hAnsi="Garamond" w:cs="Garamond"/>
          <w:i/>
          <w:iCs/>
          <w:color w:val="0D0D0D"/>
          <w:sz w:val="24"/>
          <w:szCs w:val="24"/>
        </w:rPr>
        <w:t xml:space="preserve">Financimi i huaj është realizuar në masën 23.5 </w:t>
      </w:r>
      <w:r w:rsidR="00FD6514" w:rsidRPr="00EE038F">
        <w:rPr>
          <w:rFonts w:ascii="Garamond" w:hAnsi="Garamond" w:cs="Garamond"/>
          <w:i/>
          <w:iCs/>
          <w:color w:val="0D0D0D"/>
          <w:sz w:val="24"/>
          <w:szCs w:val="24"/>
        </w:rPr>
        <w:t>për qind</w:t>
      </w:r>
      <w:r w:rsidR="004A4C72" w:rsidRPr="00EE038F">
        <w:rPr>
          <w:rFonts w:ascii="Garamond" w:hAnsi="Garamond" w:cs="Garamond"/>
          <w:i/>
          <w:iCs/>
          <w:color w:val="0D0D0D"/>
          <w:sz w:val="24"/>
          <w:szCs w:val="24"/>
        </w:rPr>
        <w:t xml:space="preserve"> të planit vjetor. </w:t>
      </w:r>
    </w:p>
    <w:p w14:paraId="199E18DC" w14:textId="3EA365C4"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i/>
          <w:iCs/>
          <w:sz w:val="24"/>
          <w:szCs w:val="24"/>
        </w:rPr>
        <w:t>Fondi i rindërtimit</w:t>
      </w:r>
      <w:r w:rsidRPr="00EE038F">
        <w:rPr>
          <w:rFonts w:ascii="Garamond" w:hAnsi="Garamond" w:cs="Garamond"/>
          <w:sz w:val="24"/>
          <w:szCs w:val="24"/>
        </w:rPr>
        <w:t xml:space="preserve"> për periudhën 9</w:t>
      </w:r>
      <w:r w:rsidR="004F68C6" w:rsidRPr="00EE038F">
        <w:rPr>
          <w:rFonts w:ascii="Garamond" w:hAnsi="Garamond" w:cs="Garamond"/>
          <w:sz w:val="24"/>
          <w:szCs w:val="24"/>
        </w:rPr>
        <w:t>-</w:t>
      </w:r>
      <w:r w:rsidRPr="00EE038F">
        <w:rPr>
          <w:rFonts w:ascii="Garamond" w:hAnsi="Garamond" w:cs="Garamond"/>
          <w:sz w:val="24"/>
          <w:szCs w:val="24"/>
        </w:rPr>
        <w:t xml:space="preserve">mujore të vitit 2024 është realizuar në masën rreth 5 miliardë lekë, duke rezultuar 88.5 </w:t>
      </w:r>
      <w:r w:rsidR="00FD6514" w:rsidRPr="00EE038F">
        <w:rPr>
          <w:rFonts w:ascii="Garamond" w:hAnsi="Garamond" w:cs="Garamond"/>
          <w:sz w:val="24"/>
          <w:szCs w:val="24"/>
        </w:rPr>
        <w:t>për qind</w:t>
      </w:r>
      <w:r w:rsidRPr="00EE038F">
        <w:rPr>
          <w:rFonts w:ascii="Garamond" w:hAnsi="Garamond" w:cs="Garamond"/>
          <w:sz w:val="24"/>
          <w:szCs w:val="24"/>
        </w:rPr>
        <w:t xml:space="preserve"> e planit të periudhës dhe 71.1 </w:t>
      </w:r>
      <w:r w:rsidR="00FD6514" w:rsidRPr="00EE038F">
        <w:rPr>
          <w:rFonts w:ascii="Garamond" w:hAnsi="Garamond" w:cs="Garamond"/>
          <w:sz w:val="24"/>
          <w:szCs w:val="24"/>
        </w:rPr>
        <w:t>për qind</w:t>
      </w:r>
      <w:r w:rsidRPr="00EE038F">
        <w:rPr>
          <w:rFonts w:ascii="Garamond" w:hAnsi="Garamond" w:cs="Garamond"/>
          <w:sz w:val="24"/>
          <w:szCs w:val="24"/>
        </w:rPr>
        <w:t xml:space="preserve"> e planit vjetor 2024. Kundrejt </w:t>
      </w:r>
      <w:r w:rsidR="004F68C6" w:rsidRPr="00EE038F">
        <w:rPr>
          <w:rFonts w:ascii="Garamond" w:hAnsi="Garamond" w:cs="Garamond"/>
          <w:sz w:val="24"/>
          <w:szCs w:val="24"/>
        </w:rPr>
        <w:t>s</w:t>
      </w:r>
      <w:r w:rsidRPr="00EE038F">
        <w:rPr>
          <w:rFonts w:ascii="Garamond" w:hAnsi="Garamond" w:cs="Garamond"/>
          <w:sz w:val="24"/>
          <w:szCs w:val="24"/>
        </w:rPr>
        <w:t xml:space="preserve">ë njëjtës periudhë të vitit 2023 ky nivel rezulton 0.7 </w:t>
      </w:r>
      <w:r w:rsidR="00FD6514" w:rsidRPr="00EE038F">
        <w:rPr>
          <w:rFonts w:ascii="Garamond" w:hAnsi="Garamond" w:cs="Garamond"/>
          <w:sz w:val="24"/>
          <w:szCs w:val="24"/>
        </w:rPr>
        <w:t>për qind</w:t>
      </w:r>
      <w:r w:rsidRPr="00EE038F">
        <w:rPr>
          <w:rFonts w:ascii="Garamond" w:hAnsi="Garamond" w:cs="Garamond"/>
          <w:sz w:val="24"/>
          <w:szCs w:val="24"/>
        </w:rPr>
        <w:t xml:space="preserve"> më i ulët ose rreth 33 milionë lekë më pak.</w:t>
      </w:r>
    </w:p>
    <w:p w14:paraId="612C639F" w14:textId="6A48E78F"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i/>
          <w:iCs/>
          <w:sz w:val="24"/>
          <w:szCs w:val="24"/>
        </w:rPr>
        <w:t>Niveli i suficitit</w:t>
      </w:r>
      <w:r w:rsidRPr="00EE038F">
        <w:rPr>
          <w:rFonts w:ascii="Garamond" w:hAnsi="Garamond" w:cs="Garamond"/>
          <w:sz w:val="24"/>
          <w:szCs w:val="24"/>
        </w:rPr>
        <w:t xml:space="preserve"> për periudhën 9</w:t>
      </w:r>
      <w:r w:rsidR="004F68C6" w:rsidRPr="00EE038F">
        <w:rPr>
          <w:rFonts w:ascii="Garamond" w:hAnsi="Garamond" w:cs="Garamond"/>
          <w:sz w:val="24"/>
          <w:szCs w:val="24"/>
        </w:rPr>
        <w:t>-</w:t>
      </w:r>
      <w:r w:rsidRPr="00EE038F">
        <w:rPr>
          <w:rFonts w:ascii="Garamond" w:hAnsi="Garamond" w:cs="Garamond"/>
          <w:sz w:val="24"/>
          <w:szCs w:val="24"/>
        </w:rPr>
        <w:t xml:space="preserve">mujore të vitit 2024 rezultoi në rreth 68.8 miliardë lekë nga rreth 47.7 miliardë lekë suficit i planifikuar për këtë periudhë. Krahasuar me të njëjtën periudhë të një viti më parë, niveli i suficitit ka rezultuar rreth 34 </w:t>
      </w:r>
      <w:r w:rsidR="00FD6514" w:rsidRPr="00EE038F">
        <w:rPr>
          <w:rFonts w:ascii="Garamond" w:hAnsi="Garamond" w:cs="Garamond"/>
          <w:sz w:val="24"/>
          <w:szCs w:val="24"/>
        </w:rPr>
        <w:t>për qind</w:t>
      </w:r>
      <w:r w:rsidRPr="00EE038F">
        <w:rPr>
          <w:rFonts w:ascii="Garamond" w:hAnsi="Garamond" w:cs="Garamond"/>
          <w:sz w:val="24"/>
          <w:szCs w:val="24"/>
        </w:rPr>
        <w:t xml:space="preserve"> më i lartë ose 17.5 miliardë lekë më shumë.</w:t>
      </w:r>
    </w:p>
    <w:p w14:paraId="7EF6B156" w14:textId="2ADB03D2" w:rsidR="004A4C72" w:rsidRPr="00EE038F" w:rsidRDefault="00727F6C" w:rsidP="004A4C72">
      <w:pPr>
        <w:pStyle w:val="Heading2"/>
        <w:keepNext w:val="0"/>
        <w:keepLines w:val="0"/>
        <w:spacing w:before="0" w:line="240" w:lineRule="auto"/>
        <w:ind w:firstLine="284"/>
        <w:jc w:val="both"/>
        <w:rPr>
          <w:rFonts w:ascii="Garamond" w:hAnsi="Garamond" w:cs="Garamond"/>
          <w:b/>
          <w:bCs/>
          <w:color w:val="0D0D0D"/>
          <w:sz w:val="24"/>
          <w:szCs w:val="24"/>
        </w:rPr>
      </w:pPr>
      <w:r w:rsidRPr="00EE038F">
        <w:rPr>
          <w:rFonts w:ascii="Garamond" w:hAnsi="Garamond" w:cs="Garamond"/>
          <w:b/>
          <w:bCs/>
          <w:color w:val="0D0D0D"/>
          <w:sz w:val="24"/>
          <w:szCs w:val="24"/>
        </w:rPr>
        <w:t>4.3</w:t>
      </w:r>
      <w:r w:rsidR="00AD3D9C" w:rsidRPr="00EE038F">
        <w:rPr>
          <w:rFonts w:ascii="Garamond" w:hAnsi="Garamond" w:cs="Garamond"/>
          <w:b/>
          <w:bCs/>
          <w:color w:val="0D0D0D"/>
          <w:sz w:val="24"/>
          <w:szCs w:val="24"/>
        </w:rPr>
        <w:t xml:space="preserve"> </w:t>
      </w:r>
      <w:r w:rsidR="004A4C72" w:rsidRPr="00EE038F">
        <w:rPr>
          <w:rFonts w:ascii="Garamond" w:hAnsi="Garamond" w:cs="Garamond"/>
          <w:b/>
          <w:bCs/>
          <w:color w:val="0D0D0D"/>
          <w:sz w:val="24"/>
          <w:szCs w:val="24"/>
        </w:rPr>
        <w:t>Planet buxhetore për vitin e dorëzimit të ERP</w:t>
      </w:r>
      <w:r w:rsidR="000606C2" w:rsidRPr="00EE038F">
        <w:rPr>
          <w:rFonts w:ascii="Garamond" w:hAnsi="Garamond" w:cs="Garamond"/>
          <w:b/>
          <w:bCs/>
          <w:color w:val="0D0D0D"/>
          <w:sz w:val="24"/>
          <w:szCs w:val="24"/>
        </w:rPr>
        <w:t>-së</w:t>
      </w:r>
      <w:r w:rsidR="004A4C72" w:rsidRPr="00EE038F">
        <w:rPr>
          <w:rFonts w:ascii="Garamond" w:hAnsi="Garamond" w:cs="Garamond"/>
          <w:b/>
          <w:bCs/>
          <w:color w:val="0D0D0D"/>
          <w:sz w:val="24"/>
          <w:szCs w:val="24"/>
        </w:rPr>
        <w:t xml:space="preserve"> </w:t>
      </w:r>
    </w:p>
    <w:p w14:paraId="58FE23A1" w14:textId="051975F6"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Programimi i të ardhurave të buxhetit për vitin 2025 mbështet objektivat e Ministrisë së Financave për rritjen e të ardhurave, dhe kryesisht atyre që gjenerohen nga sistemi tatimor, me qëllim mbështetjen e shpenzimeve publike për arsimin, shëndetësinë, mbrojtjen sociale, rritjen e pagave e pensioneve, investimeve në infrastrukturë, bujqësi, energji dhe drejtime të tjera të cilat gjenerojnë zhvillim dhe të ardhura. Njëkohësisht, programimi i drejtë i të ardhurave synon të mbështesë planifikimin e niveleve të duhura të defi</w:t>
      </w:r>
      <w:r w:rsidR="003E02BD" w:rsidRPr="00EE038F">
        <w:rPr>
          <w:rFonts w:ascii="Garamond" w:hAnsi="Garamond" w:cs="Garamond"/>
          <w:sz w:val="24"/>
          <w:szCs w:val="24"/>
        </w:rPr>
        <w:t>c</w:t>
      </w:r>
      <w:r w:rsidRPr="00EE038F">
        <w:rPr>
          <w:rFonts w:ascii="Garamond" w:hAnsi="Garamond" w:cs="Garamond"/>
          <w:sz w:val="24"/>
          <w:szCs w:val="24"/>
        </w:rPr>
        <w:t>itit buxhetor, atij primar, si dhe mbajtjen nën kontroll dhe reduktimin gradual të borxhit publik.</w:t>
      </w:r>
    </w:p>
    <w:p w14:paraId="28A9CD34" w14:textId="6329A966"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Ky program bazohet në përmirësimin e politikave tatimore dhe administrimit fiskal, duke zgjeruar bazën e tatimit dhe minimizuar informalitetin në ekonominë e vendit. Programi i të ardhurave merr në konsideratë</w:t>
      </w:r>
      <w:r w:rsidR="002D0DDC" w:rsidRPr="00EE038F">
        <w:rPr>
          <w:rFonts w:ascii="Garamond" w:hAnsi="Garamond" w:cs="Garamond"/>
          <w:sz w:val="24"/>
          <w:szCs w:val="24"/>
        </w:rPr>
        <w:t>,</w:t>
      </w:r>
      <w:r w:rsidRPr="00EE038F">
        <w:rPr>
          <w:rFonts w:ascii="Garamond" w:hAnsi="Garamond" w:cs="Garamond"/>
          <w:sz w:val="24"/>
          <w:szCs w:val="24"/>
        </w:rPr>
        <w:t xml:space="preserve"> gjithashtu</w:t>
      </w:r>
      <w:r w:rsidR="002D0DDC" w:rsidRPr="00EE038F">
        <w:rPr>
          <w:rFonts w:ascii="Garamond" w:hAnsi="Garamond" w:cs="Garamond"/>
          <w:sz w:val="24"/>
          <w:szCs w:val="24"/>
        </w:rPr>
        <w:t>,</w:t>
      </w:r>
      <w:r w:rsidRPr="00EE038F">
        <w:rPr>
          <w:rFonts w:ascii="Garamond" w:hAnsi="Garamond" w:cs="Garamond"/>
          <w:sz w:val="24"/>
          <w:szCs w:val="24"/>
        </w:rPr>
        <w:t xml:space="preserve"> faktorët që mund të impaktojnë zhvillimet ekonomike në vitin 2025 përfshirë edhe risqet e mundshme që mund të shfaqen (inflacioni, kursi i këmbimit të monedhave dhe ndikimi i tyre mbi importet dhe eksportet, çmimet, investimet, energjia elektrike etj.). Në programimin e të ardhurave nga tatimet dhe doganat dhe Kontributet e Sigurimeve shoqërore dhe shëndetësore për vitin 2025, janë marrë në konsideratë faktorët kryesorë me ndikim në buxhet, përfshirë efektin e pritshëm të rritjes ekonomike dhe indeksit të çmimeve mbi këto të ardhura, politikat e reja fiskale</w:t>
      </w:r>
      <w:r w:rsidR="002D0DDC" w:rsidRPr="00EE038F">
        <w:rPr>
          <w:rFonts w:ascii="Garamond" w:hAnsi="Garamond" w:cs="Garamond"/>
          <w:sz w:val="24"/>
          <w:szCs w:val="24"/>
        </w:rPr>
        <w:t>,</w:t>
      </w:r>
      <w:r w:rsidRPr="00EE038F">
        <w:rPr>
          <w:rFonts w:ascii="Garamond" w:hAnsi="Garamond" w:cs="Garamond"/>
          <w:sz w:val="24"/>
          <w:szCs w:val="24"/>
        </w:rPr>
        <w:t xml:space="preserve"> si dhe efektet e përmirësimit të administrimit tatimor e doganor, përfshirë luftën ndaj informalitetit, me qëllim rritjen e nivelit të pajtimit vullnetar të tatimpaguesve me ligjin.</w:t>
      </w:r>
    </w:p>
    <w:p w14:paraId="15320515" w14:textId="77777777" w:rsidR="004A4C72" w:rsidRPr="00EE038F" w:rsidRDefault="004A4C72" w:rsidP="004A4C72">
      <w:pPr>
        <w:spacing w:after="0" w:line="240" w:lineRule="auto"/>
        <w:ind w:firstLine="284"/>
        <w:jc w:val="both"/>
        <w:rPr>
          <w:rFonts w:ascii="Garamond" w:hAnsi="Garamond" w:cs="Garamond"/>
          <w:b/>
          <w:bCs/>
          <w:sz w:val="24"/>
          <w:szCs w:val="24"/>
        </w:rPr>
      </w:pPr>
      <w:r w:rsidRPr="00EE038F">
        <w:rPr>
          <w:rFonts w:ascii="Garamond" w:hAnsi="Garamond" w:cs="Garamond"/>
          <w:b/>
          <w:bCs/>
          <w:sz w:val="24"/>
          <w:szCs w:val="24"/>
        </w:rPr>
        <w:t>Parashikimi i të ardhurave sipas zërave për vitin 2025</w:t>
      </w:r>
    </w:p>
    <w:p w14:paraId="3AF9AB27" w14:textId="1E4990D4"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Të ardhurat nga tatimet dhe doganat për vitin 2025 janë parashikuar në shumën</w:t>
      </w:r>
      <w:r w:rsidR="00AD3D9C" w:rsidRPr="00EE038F">
        <w:rPr>
          <w:rFonts w:ascii="Garamond" w:hAnsi="Garamond" w:cs="Garamond"/>
          <w:sz w:val="24"/>
          <w:szCs w:val="24"/>
        </w:rPr>
        <w:t xml:space="preserve"> </w:t>
      </w:r>
      <w:r w:rsidRPr="00EE038F">
        <w:rPr>
          <w:rFonts w:ascii="Garamond" w:hAnsi="Garamond" w:cs="Garamond"/>
          <w:b/>
          <w:bCs/>
          <w:sz w:val="24"/>
          <w:szCs w:val="24"/>
        </w:rPr>
        <w:t>501.6 miliardë lekë me një rritje prej rreth 42.35 miliardë lekë</w:t>
      </w:r>
      <w:r w:rsidRPr="00EE038F">
        <w:rPr>
          <w:rFonts w:ascii="Garamond" w:hAnsi="Garamond" w:cs="Garamond"/>
          <w:sz w:val="24"/>
          <w:szCs w:val="24"/>
        </w:rPr>
        <w:t xml:space="preserve"> më shumë se viti 2024 ose 9.2% më shumë. Për vitin 2025 këto të ardhura arrijnë në 19.1</w:t>
      </w:r>
      <w:r w:rsidR="002D0DDC" w:rsidRPr="00EE038F">
        <w:rPr>
          <w:rFonts w:ascii="Garamond" w:hAnsi="Garamond" w:cs="Garamond"/>
          <w:sz w:val="24"/>
          <w:szCs w:val="24"/>
        </w:rPr>
        <w:t xml:space="preserve">% </w:t>
      </w:r>
      <w:r w:rsidRPr="00EE038F">
        <w:rPr>
          <w:rFonts w:ascii="Garamond" w:hAnsi="Garamond" w:cs="Garamond"/>
          <w:sz w:val="24"/>
          <w:szCs w:val="24"/>
        </w:rPr>
        <w:t>të PBB-së</w:t>
      </w:r>
      <w:r w:rsidR="00AD3D9C" w:rsidRPr="00EE038F">
        <w:rPr>
          <w:rFonts w:ascii="Garamond" w:hAnsi="Garamond" w:cs="Garamond"/>
          <w:sz w:val="24"/>
          <w:szCs w:val="24"/>
        </w:rPr>
        <w:t xml:space="preserve"> </w:t>
      </w:r>
      <w:r w:rsidRPr="00EE038F">
        <w:rPr>
          <w:rFonts w:ascii="Garamond" w:hAnsi="Garamond" w:cs="Garamond"/>
          <w:sz w:val="24"/>
          <w:szCs w:val="24"/>
        </w:rPr>
        <w:t>ose 0.7% e PPB-së më shumë se 2024.</w:t>
      </w:r>
    </w:p>
    <w:p w14:paraId="1727DDAC" w14:textId="2CD23832"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Tre janë faktorët që janë</w:t>
      </w:r>
      <w:r w:rsidR="00AD3D9C" w:rsidRPr="00EE038F">
        <w:rPr>
          <w:rFonts w:ascii="Garamond" w:hAnsi="Garamond" w:cs="Garamond"/>
          <w:sz w:val="24"/>
          <w:szCs w:val="24"/>
        </w:rPr>
        <w:t xml:space="preserve"> </w:t>
      </w:r>
      <w:r w:rsidRPr="00EE038F">
        <w:rPr>
          <w:rFonts w:ascii="Garamond" w:hAnsi="Garamond" w:cs="Garamond"/>
          <w:sz w:val="24"/>
          <w:szCs w:val="24"/>
        </w:rPr>
        <w:t>marrë në konsideratë, të cilët ndikojnë në rritjen e të ardhurave për vitin 2025 përfshijnë:</w:t>
      </w:r>
    </w:p>
    <w:p w14:paraId="6F6FD58A" w14:textId="39617851"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 xml:space="preserve">1. Kuadri makroekonomik për vitin 2025 ku është parashikuar </w:t>
      </w:r>
      <w:r w:rsidRPr="00EE038F">
        <w:rPr>
          <w:rFonts w:ascii="Garamond" w:hAnsi="Garamond" w:cs="Garamond"/>
          <w:b/>
          <w:bCs/>
          <w:sz w:val="24"/>
          <w:szCs w:val="24"/>
        </w:rPr>
        <w:t xml:space="preserve">rritja e </w:t>
      </w:r>
      <w:r w:rsidR="002D0DDC" w:rsidRPr="00EE038F">
        <w:rPr>
          <w:rFonts w:ascii="Garamond" w:hAnsi="Garamond" w:cs="Garamond"/>
          <w:b/>
          <w:bCs/>
          <w:sz w:val="24"/>
          <w:szCs w:val="24"/>
        </w:rPr>
        <w:t>prodhimit të brendshëm bruto p</w:t>
      </w:r>
      <w:r w:rsidRPr="00EE038F">
        <w:rPr>
          <w:rFonts w:ascii="Garamond" w:hAnsi="Garamond" w:cs="Garamond"/>
          <w:b/>
          <w:bCs/>
          <w:sz w:val="24"/>
          <w:szCs w:val="24"/>
        </w:rPr>
        <w:t>rej 3.9%, dhe indeksi i çmimeve 3%</w:t>
      </w:r>
      <w:r w:rsidR="002D0DDC" w:rsidRPr="00EE038F">
        <w:rPr>
          <w:rFonts w:ascii="Garamond" w:hAnsi="Garamond" w:cs="Garamond"/>
          <w:b/>
          <w:bCs/>
          <w:sz w:val="24"/>
          <w:szCs w:val="24"/>
        </w:rPr>
        <w:t>.</w:t>
      </w:r>
      <w:r w:rsidRPr="00EE038F">
        <w:rPr>
          <w:rFonts w:ascii="Garamond" w:hAnsi="Garamond" w:cs="Garamond"/>
          <w:b/>
          <w:bCs/>
          <w:sz w:val="24"/>
          <w:szCs w:val="24"/>
        </w:rPr>
        <w:t xml:space="preserve"> Për efekt të programimit të tyre përdoret 70% e rritjes në programimin e të ardhurave.</w:t>
      </w:r>
      <w:r w:rsidRPr="00EE038F">
        <w:rPr>
          <w:rFonts w:ascii="Garamond" w:hAnsi="Garamond" w:cs="Garamond"/>
          <w:sz w:val="24"/>
          <w:szCs w:val="24"/>
        </w:rPr>
        <w:t xml:space="preserve"> Këta tregues janë analizuar të kenë efekte në mënyrë të integruar me faktorë të tjerë për çdo taksë në veçanti, të ndërlidhur me të dhënat historike dhe projeksionet e çmimeve në tregjeve ndërkombëtare te taksat </w:t>
      </w:r>
      <w:r w:rsidRPr="00EE038F">
        <w:rPr>
          <w:rFonts w:ascii="Garamond" w:hAnsi="Garamond" w:cs="Garamond"/>
          <w:i/>
          <w:iCs/>
          <w:sz w:val="24"/>
          <w:szCs w:val="24"/>
        </w:rPr>
        <w:t>ad-valorem</w:t>
      </w:r>
      <w:r w:rsidRPr="00EE038F">
        <w:rPr>
          <w:rFonts w:ascii="Garamond" w:hAnsi="Garamond" w:cs="Garamond"/>
          <w:sz w:val="24"/>
          <w:szCs w:val="24"/>
        </w:rPr>
        <w:t xml:space="preserve"> si </w:t>
      </w:r>
      <w:r w:rsidR="003E50EB" w:rsidRPr="00EE038F">
        <w:rPr>
          <w:rFonts w:ascii="Garamond" w:hAnsi="Garamond" w:cs="Garamond"/>
          <w:sz w:val="24"/>
          <w:szCs w:val="24"/>
        </w:rPr>
        <w:t>tatimi mbi vlerën e shtuar, renta minerare dhe taksa doganore</w:t>
      </w:r>
      <w:r w:rsidRPr="00EE038F">
        <w:rPr>
          <w:rFonts w:ascii="Garamond" w:hAnsi="Garamond" w:cs="Garamond"/>
          <w:sz w:val="24"/>
          <w:szCs w:val="24"/>
        </w:rPr>
        <w:t xml:space="preserve">. </w:t>
      </w:r>
    </w:p>
    <w:p w14:paraId="306008F8" w14:textId="4472B8D9"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 xml:space="preserve">2. Të ardhurat që do </w:t>
      </w:r>
      <w:r w:rsidR="004764A7" w:rsidRPr="00EE038F">
        <w:rPr>
          <w:rFonts w:ascii="Garamond" w:hAnsi="Garamond" w:cs="Garamond"/>
          <w:sz w:val="24"/>
          <w:szCs w:val="24"/>
        </w:rPr>
        <w:t xml:space="preserve">të </w:t>
      </w:r>
      <w:r w:rsidRPr="00EE038F">
        <w:rPr>
          <w:rFonts w:ascii="Garamond" w:hAnsi="Garamond" w:cs="Garamond"/>
          <w:sz w:val="24"/>
          <w:szCs w:val="24"/>
        </w:rPr>
        <w:t xml:space="preserve">gjenerohen në formën e të </w:t>
      </w:r>
      <w:r w:rsidRPr="00EE038F">
        <w:rPr>
          <w:rFonts w:ascii="Garamond" w:hAnsi="Garamond" w:cs="Garamond"/>
          <w:b/>
          <w:bCs/>
          <w:sz w:val="24"/>
          <w:szCs w:val="24"/>
        </w:rPr>
        <w:t xml:space="preserve">ardhurave nga tatimi mbi pagën dhe kontributet </w:t>
      </w:r>
      <w:r w:rsidRPr="00EE038F">
        <w:rPr>
          <w:rFonts w:ascii="Garamond" w:hAnsi="Garamond" w:cs="Garamond"/>
          <w:sz w:val="24"/>
          <w:szCs w:val="24"/>
        </w:rPr>
        <w:t xml:space="preserve">si rezultat i zbatimit nga qeveria të reformës në fushën e pagave në 1 </w:t>
      </w:r>
      <w:r w:rsidR="004764A7" w:rsidRPr="00EE038F">
        <w:rPr>
          <w:rFonts w:ascii="Garamond" w:hAnsi="Garamond" w:cs="Garamond"/>
          <w:sz w:val="24"/>
          <w:szCs w:val="24"/>
        </w:rPr>
        <w:t xml:space="preserve">korrik </w:t>
      </w:r>
      <w:r w:rsidRPr="00EE038F">
        <w:rPr>
          <w:rFonts w:ascii="Garamond" w:hAnsi="Garamond" w:cs="Garamond"/>
          <w:sz w:val="24"/>
          <w:szCs w:val="24"/>
        </w:rPr>
        <w:t xml:space="preserve">2024 dhe që do </w:t>
      </w:r>
      <w:r w:rsidR="004764A7" w:rsidRPr="00EE038F">
        <w:rPr>
          <w:rFonts w:ascii="Garamond" w:hAnsi="Garamond" w:cs="Garamond"/>
          <w:sz w:val="24"/>
          <w:szCs w:val="24"/>
        </w:rPr>
        <w:t xml:space="preserve">të </w:t>
      </w:r>
      <w:r w:rsidRPr="00EE038F">
        <w:rPr>
          <w:rFonts w:ascii="Garamond" w:hAnsi="Garamond" w:cs="Garamond"/>
          <w:sz w:val="24"/>
          <w:szCs w:val="24"/>
        </w:rPr>
        <w:t xml:space="preserve">ketë efekt në muajt e parë të vitit 2025 si dhe </w:t>
      </w:r>
      <w:r w:rsidRPr="00EE038F">
        <w:rPr>
          <w:rFonts w:ascii="Garamond" w:hAnsi="Garamond" w:cs="Garamond"/>
          <w:b/>
          <w:bCs/>
          <w:sz w:val="24"/>
          <w:szCs w:val="24"/>
        </w:rPr>
        <w:t xml:space="preserve">efekti i politikave të mëparshme tatimore. </w:t>
      </w:r>
    </w:p>
    <w:p w14:paraId="6F44D30E" w14:textId="2D1D7E37"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 xml:space="preserve">3. Të ardhurat e projektuara që do </w:t>
      </w:r>
      <w:r w:rsidR="00282B97" w:rsidRPr="00EE038F">
        <w:rPr>
          <w:rFonts w:ascii="Garamond" w:hAnsi="Garamond" w:cs="Garamond"/>
          <w:sz w:val="24"/>
          <w:szCs w:val="24"/>
        </w:rPr>
        <w:t xml:space="preserve">të </w:t>
      </w:r>
      <w:r w:rsidRPr="00EE038F">
        <w:rPr>
          <w:rFonts w:ascii="Garamond" w:hAnsi="Garamond" w:cs="Garamond"/>
          <w:sz w:val="24"/>
          <w:szCs w:val="24"/>
        </w:rPr>
        <w:t xml:space="preserve">gjenerohen nga përmirësimi në administrimin e tatimeve, taksave dhe detyrimeve të kontributeve, </w:t>
      </w:r>
      <w:r w:rsidRPr="00EE038F">
        <w:rPr>
          <w:rFonts w:ascii="Garamond" w:hAnsi="Garamond" w:cs="Garamond"/>
          <w:b/>
          <w:bCs/>
          <w:sz w:val="24"/>
          <w:szCs w:val="24"/>
        </w:rPr>
        <w:t xml:space="preserve">hapa të cilat janë parashikuar edhe në kuadër të zbatimit të </w:t>
      </w:r>
      <w:r w:rsidR="00695C3E">
        <w:rPr>
          <w:rFonts w:ascii="Garamond" w:hAnsi="Garamond" w:cs="Garamond"/>
          <w:b/>
          <w:bCs/>
          <w:sz w:val="24"/>
          <w:szCs w:val="24"/>
        </w:rPr>
        <w:t>“</w:t>
      </w:r>
      <w:r w:rsidR="00FA7378" w:rsidRPr="00EE038F">
        <w:rPr>
          <w:rFonts w:ascii="Garamond" w:hAnsi="Garamond" w:cs="Garamond"/>
          <w:b/>
          <w:bCs/>
          <w:sz w:val="24"/>
          <w:szCs w:val="24"/>
        </w:rPr>
        <w:t xml:space="preserve">Strategjisë </w:t>
      </w:r>
      <w:r w:rsidR="00695C3E" w:rsidRPr="00EE038F">
        <w:rPr>
          <w:rFonts w:ascii="Garamond" w:hAnsi="Garamond" w:cs="Garamond"/>
          <w:b/>
          <w:bCs/>
          <w:sz w:val="24"/>
          <w:szCs w:val="24"/>
        </w:rPr>
        <w:t xml:space="preserve">afatmesme të të ardhurave </w:t>
      </w:r>
      <w:r w:rsidRPr="00EE038F">
        <w:rPr>
          <w:rFonts w:ascii="Garamond" w:hAnsi="Garamond" w:cs="Garamond"/>
          <w:b/>
          <w:bCs/>
          <w:sz w:val="24"/>
          <w:szCs w:val="24"/>
        </w:rPr>
        <w:t>2024</w:t>
      </w:r>
      <w:r w:rsidR="00FA7378" w:rsidRPr="00EE038F">
        <w:rPr>
          <w:rFonts w:ascii="Garamond" w:hAnsi="Garamond" w:cs="Garamond"/>
          <w:b/>
          <w:bCs/>
          <w:sz w:val="24"/>
          <w:szCs w:val="24"/>
        </w:rPr>
        <w:t>–</w:t>
      </w:r>
      <w:r w:rsidRPr="00EE038F">
        <w:rPr>
          <w:rFonts w:ascii="Garamond" w:hAnsi="Garamond" w:cs="Garamond"/>
          <w:b/>
          <w:bCs/>
          <w:sz w:val="24"/>
          <w:szCs w:val="24"/>
        </w:rPr>
        <w:t>2027</w:t>
      </w:r>
      <w:r w:rsidR="00695C3E">
        <w:rPr>
          <w:rFonts w:ascii="Garamond" w:hAnsi="Garamond" w:cs="Garamond"/>
          <w:b/>
          <w:bCs/>
          <w:sz w:val="24"/>
          <w:szCs w:val="24"/>
        </w:rPr>
        <w:t>”</w:t>
      </w:r>
      <w:r w:rsidR="00810AF7" w:rsidRPr="00695C3E">
        <w:rPr>
          <w:rFonts w:ascii="Garamond" w:hAnsi="Garamond" w:cs="Garamond"/>
          <w:sz w:val="24"/>
          <w:szCs w:val="24"/>
        </w:rPr>
        <w:t>,</w:t>
      </w:r>
      <w:r w:rsidRPr="00EE038F">
        <w:rPr>
          <w:rFonts w:ascii="Garamond" w:hAnsi="Garamond" w:cs="Garamond"/>
          <w:sz w:val="24"/>
          <w:szCs w:val="24"/>
        </w:rPr>
        <w:t xml:space="preserve"> si dhe faktorë të tjerë pozitivë.</w:t>
      </w:r>
    </w:p>
    <w:p w14:paraId="3E61AC6F" w14:textId="373376D2"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Bazuar në projeksionet tona, efektet në të ardhura te tatimet dhe doganat dhe kontributet</w:t>
      </w:r>
      <w:r w:rsidR="00AD3D9C" w:rsidRPr="00EE038F">
        <w:rPr>
          <w:rFonts w:ascii="Garamond" w:hAnsi="Garamond" w:cs="Garamond"/>
          <w:sz w:val="24"/>
          <w:szCs w:val="24"/>
        </w:rPr>
        <w:t xml:space="preserve"> </w:t>
      </w:r>
      <w:r w:rsidRPr="00EE038F">
        <w:rPr>
          <w:rFonts w:ascii="Garamond" w:hAnsi="Garamond" w:cs="Garamond"/>
          <w:sz w:val="24"/>
          <w:szCs w:val="24"/>
        </w:rPr>
        <w:t>nga këta faktorë janë</w:t>
      </w:r>
      <w:r w:rsidR="000370FF" w:rsidRPr="00EE038F">
        <w:rPr>
          <w:rFonts w:ascii="Garamond" w:hAnsi="Garamond" w:cs="Garamond"/>
          <w:sz w:val="24"/>
          <w:szCs w:val="24"/>
        </w:rPr>
        <w:t>,</w:t>
      </w:r>
      <w:r w:rsidRPr="00EE038F">
        <w:rPr>
          <w:rFonts w:ascii="Garamond" w:hAnsi="Garamond" w:cs="Garamond"/>
          <w:sz w:val="24"/>
          <w:szCs w:val="24"/>
        </w:rPr>
        <w:t xml:space="preserve"> si më poshtë:</w:t>
      </w:r>
    </w:p>
    <w:p w14:paraId="4420EAFA" w14:textId="6EEE475F" w:rsidR="004A4C72" w:rsidRPr="00EE038F" w:rsidRDefault="00727F6C" w:rsidP="00727F6C">
      <w:pPr>
        <w:pStyle w:val="TEKSTIIIIII"/>
      </w:pPr>
      <w:r w:rsidRPr="00EE038F">
        <w:rPr>
          <w:rFonts w:cs="Symbol"/>
        </w:rPr>
        <w:t>-</w:t>
      </w:r>
      <w:r w:rsidR="004A4C72" w:rsidRPr="00EE038F">
        <w:rPr>
          <w:rFonts w:cs="Symbol"/>
        </w:rPr>
        <w:t xml:space="preserve"> </w:t>
      </w:r>
      <w:r w:rsidR="004A4C72" w:rsidRPr="008C1015">
        <w:rPr>
          <w:u w:val="single"/>
        </w:rPr>
        <w:t>14.9 miliardë lekë parashikohet</w:t>
      </w:r>
      <w:r w:rsidR="004A4C72" w:rsidRPr="00EE038F">
        <w:t xml:space="preserve"> që të jetë rritja nga rritja ekonomike</w:t>
      </w:r>
      <w:r w:rsidR="000370FF" w:rsidRPr="00EE038F">
        <w:t>;</w:t>
      </w:r>
    </w:p>
    <w:p w14:paraId="3DE34BB1" w14:textId="7A36B781" w:rsidR="004A4C72" w:rsidRPr="00EE038F" w:rsidRDefault="00727F6C" w:rsidP="00727F6C">
      <w:pPr>
        <w:pStyle w:val="TEKSTIIIIII"/>
      </w:pPr>
      <w:r w:rsidRPr="00EE038F">
        <w:rPr>
          <w:rFonts w:cs="Symbol"/>
        </w:rPr>
        <w:t>-</w:t>
      </w:r>
      <w:r w:rsidR="004A4C72" w:rsidRPr="00EE038F">
        <w:rPr>
          <w:rFonts w:cs="Symbol"/>
        </w:rPr>
        <w:t xml:space="preserve"> </w:t>
      </w:r>
      <w:r w:rsidR="004A4C72" w:rsidRPr="008C1015">
        <w:rPr>
          <w:u w:val="single"/>
        </w:rPr>
        <w:t>5.4 miliardë lekë</w:t>
      </w:r>
      <w:r w:rsidR="004A4C72" w:rsidRPr="00EE038F">
        <w:t xml:space="preserve"> nga inflacioni</w:t>
      </w:r>
      <w:r w:rsidR="000370FF" w:rsidRPr="00EE038F">
        <w:t>;</w:t>
      </w:r>
      <w:r w:rsidR="004A4C72" w:rsidRPr="00EE038F">
        <w:t xml:space="preserve"> </w:t>
      </w:r>
    </w:p>
    <w:p w14:paraId="53DB9B18" w14:textId="0DDE74A2" w:rsidR="004A4C72" w:rsidRPr="00EE038F" w:rsidRDefault="00727F6C" w:rsidP="00727F6C">
      <w:pPr>
        <w:pStyle w:val="TEKSTIIIIII"/>
      </w:pPr>
      <w:r w:rsidRPr="00EE038F">
        <w:rPr>
          <w:rFonts w:cs="Symbol"/>
        </w:rPr>
        <w:lastRenderedPageBreak/>
        <w:t>-</w:t>
      </w:r>
      <w:r w:rsidR="004A4C72" w:rsidRPr="00EE038F">
        <w:rPr>
          <w:rFonts w:cs="Symbol"/>
        </w:rPr>
        <w:t xml:space="preserve"> </w:t>
      </w:r>
      <w:r w:rsidR="004A4C72" w:rsidRPr="00EE038F">
        <w:t xml:space="preserve">15.2 miliardë lekë nga përmirësimi në administrimin e tatimeve dhe taksave duke përfshirë dhe masat e </w:t>
      </w:r>
      <w:r w:rsidR="0062320F" w:rsidRPr="00E534C6">
        <w:t>draftstrategjisë afatmesme</w:t>
      </w:r>
      <w:r w:rsidR="0062320F" w:rsidRPr="00EE038F">
        <w:t xml:space="preserve"> të të ardhurave</w:t>
      </w:r>
      <w:r w:rsidR="00617BB5" w:rsidRPr="00EE038F">
        <w:t>;</w:t>
      </w:r>
    </w:p>
    <w:p w14:paraId="2AD9C0BC" w14:textId="51D7891D" w:rsidR="004A4C72" w:rsidRPr="00EE038F" w:rsidRDefault="00727F6C" w:rsidP="00727F6C">
      <w:pPr>
        <w:pStyle w:val="TEKSTIIIIII"/>
      </w:pPr>
      <w:r w:rsidRPr="00EE038F">
        <w:rPr>
          <w:rFonts w:cs="Symbol"/>
        </w:rPr>
        <w:t>-</w:t>
      </w:r>
      <w:r w:rsidR="004A4C72" w:rsidRPr="00EE038F">
        <w:rPr>
          <w:rFonts w:cs="Symbol"/>
        </w:rPr>
        <w:t xml:space="preserve"> </w:t>
      </w:r>
      <w:r w:rsidR="004A4C72" w:rsidRPr="00EE038F">
        <w:t>9.15 miliardë lekë nga efektet e politikave fiskale të ndërmarra vitet e mëparshme, efektet e politikave buxhetore në fushën e pagave</w:t>
      </w:r>
      <w:r w:rsidR="003C7BF8" w:rsidRPr="00EE038F">
        <w:t>;</w:t>
      </w:r>
      <w:r w:rsidR="004A4C72" w:rsidRPr="00EE038F">
        <w:t xml:space="preserve"> </w:t>
      </w:r>
    </w:p>
    <w:p w14:paraId="7EC3BE0A" w14:textId="41AB1465" w:rsidR="004A4C72" w:rsidRPr="00EE038F" w:rsidRDefault="00727F6C" w:rsidP="00727F6C">
      <w:pPr>
        <w:pStyle w:val="TEKSTIIIIII"/>
      </w:pPr>
      <w:r w:rsidRPr="00EE038F">
        <w:rPr>
          <w:rFonts w:cs="Symbol"/>
        </w:rPr>
        <w:t>-</w:t>
      </w:r>
      <w:r w:rsidR="004A4C72" w:rsidRPr="00EE038F">
        <w:rPr>
          <w:rFonts w:cs="Symbol"/>
        </w:rPr>
        <w:t xml:space="preserve"> </w:t>
      </w:r>
      <w:r w:rsidR="004A4C72" w:rsidRPr="00EE038F">
        <w:t>10,8 miliardë lekë nga masat e tjera fiskale</w:t>
      </w:r>
      <w:r w:rsidR="003C7BF8" w:rsidRPr="00EE038F">
        <w:t>,</w:t>
      </w:r>
      <w:r w:rsidR="00AD3D9C" w:rsidRPr="00EE038F">
        <w:t xml:space="preserve"> </w:t>
      </w:r>
      <w:r w:rsidR="004A4C72" w:rsidRPr="00EE038F">
        <w:t>të tilla si: rritja e importeve të tatueshme jashtë vendeve të BE</w:t>
      </w:r>
      <w:r w:rsidR="003C7BF8" w:rsidRPr="00EE038F">
        <w:t>-së</w:t>
      </w:r>
      <w:r w:rsidR="004A4C72" w:rsidRPr="00EE038F">
        <w:t xml:space="preserve">, rritje e numrit të punëmarrësve dhe rritje e pagës mesatare, apo të ardhura shtesë nga fiskalizimi. </w:t>
      </w:r>
    </w:p>
    <w:p w14:paraId="365E8C5B" w14:textId="77777777" w:rsidR="004A4C72" w:rsidRPr="00EE038F" w:rsidRDefault="004A4C72" w:rsidP="00727F6C">
      <w:pPr>
        <w:pStyle w:val="TEKSTIIIIII"/>
      </w:pPr>
      <w:r w:rsidRPr="00EE038F">
        <w:t>Për vitin 2025 nuk është hartuar një paketë e re fiskale, e cila do të gjenerojë të ardhura shtesë për buxhetin e vitit 2025.</w:t>
      </w:r>
    </w:p>
    <w:p w14:paraId="643B4950" w14:textId="44E50DE5" w:rsidR="004A4C72" w:rsidRPr="00EE038F" w:rsidRDefault="004A4C72" w:rsidP="004A4C72">
      <w:pPr>
        <w:spacing w:after="0" w:line="240" w:lineRule="auto"/>
        <w:ind w:firstLine="284"/>
        <w:jc w:val="both"/>
        <w:rPr>
          <w:rFonts w:ascii="Garamond" w:hAnsi="Garamond" w:cs="Garamond"/>
          <w:b/>
          <w:bCs/>
          <w:sz w:val="24"/>
          <w:szCs w:val="24"/>
        </w:rPr>
      </w:pPr>
      <w:r w:rsidRPr="00EE038F">
        <w:rPr>
          <w:rFonts w:ascii="Garamond" w:hAnsi="Garamond" w:cs="Garamond"/>
          <w:b/>
          <w:bCs/>
          <w:sz w:val="24"/>
          <w:szCs w:val="24"/>
        </w:rPr>
        <w:t>Ndërkohë</w:t>
      </w:r>
      <w:r w:rsidR="00BA7574" w:rsidRPr="00EE038F">
        <w:rPr>
          <w:rFonts w:ascii="Garamond" w:hAnsi="Garamond" w:cs="Garamond"/>
          <w:b/>
          <w:bCs/>
          <w:sz w:val="24"/>
          <w:szCs w:val="24"/>
        </w:rPr>
        <w:t>,</w:t>
      </w:r>
      <w:r w:rsidRPr="00EE038F">
        <w:rPr>
          <w:rFonts w:ascii="Garamond" w:hAnsi="Garamond" w:cs="Garamond"/>
          <w:b/>
          <w:bCs/>
          <w:sz w:val="24"/>
          <w:szCs w:val="24"/>
        </w:rPr>
        <w:t xml:space="preserve"> për herë të parë burimi kryesor i rritjes së të ardhurave vjen nga miradministrimi, ulja e informaliteti dhe jo masa të politikës fiskale.</w:t>
      </w:r>
    </w:p>
    <w:p w14:paraId="51785C20" w14:textId="77777777"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Lidhur me detajimin e rritjes së të ardhurave sipas taksave:</w:t>
      </w:r>
    </w:p>
    <w:p w14:paraId="11731E34" w14:textId="3D613814"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b/>
          <w:bCs/>
          <w:sz w:val="24"/>
          <w:szCs w:val="24"/>
        </w:rPr>
        <w:t>Të ardhurat nga tatimi mbi vlerën e shtuar</w:t>
      </w:r>
      <w:r w:rsidR="00CD282B" w:rsidRPr="00EE038F">
        <w:rPr>
          <w:rFonts w:ascii="Garamond" w:hAnsi="Garamond" w:cs="Garamond"/>
          <w:b/>
          <w:bCs/>
          <w:sz w:val="24"/>
          <w:szCs w:val="24"/>
        </w:rPr>
        <w:t xml:space="preserve"> </w:t>
      </w:r>
      <w:r w:rsidRPr="00EE038F">
        <w:rPr>
          <w:rFonts w:ascii="Garamond" w:hAnsi="Garamond" w:cs="Garamond"/>
          <w:b/>
          <w:bCs/>
          <w:sz w:val="24"/>
          <w:szCs w:val="24"/>
        </w:rPr>
        <w:t xml:space="preserve">(që përfshin </w:t>
      </w:r>
      <w:r w:rsidR="00CD282B" w:rsidRPr="00EE038F">
        <w:rPr>
          <w:rFonts w:ascii="Garamond" w:hAnsi="Garamond" w:cs="Garamond"/>
          <w:b/>
          <w:bCs/>
          <w:sz w:val="24"/>
          <w:szCs w:val="24"/>
        </w:rPr>
        <w:t xml:space="preserve">TVSH </w:t>
      </w:r>
      <w:r w:rsidRPr="00EE038F">
        <w:rPr>
          <w:rFonts w:ascii="Garamond" w:hAnsi="Garamond" w:cs="Garamond"/>
          <w:b/>
          <w:bCs/>
          <w:sz w:val="24"/>
          <w:szCs w:val="24"/>
        </w:rPr>
        <w:t>në import dhe brenda vendit)</w:t>
      </w:r>
      <w:r w:rsidRPr="00EE038F">
        <w:rPr>
          <w:rFonts w:ascii="Garamond" w:hAnsi="Garamond" w:cs="Garamond"/>
          <w:b/>
          <w:bCs/>
          <w:i/>
          <w:iCs/>
          <w:sz w:val="24"/>
          <w:szCs w:val="24"/>
        </w:rPr>
        <w:t xml:space="preserve"> </w:t>
      </w:r>
      <w:r w:rsidRPr="00EE038F">
        <w:rPr>
          <w:rFonts w:ascii="Garamond" w:hAnsi="Garamond" w:cs="Garamond"/>
          <w:sz w:val="24"/>
          <w:szCs w:val="24"/>
        </w:rPr>
        <w:t>parashikohet të jetë rreth 237 miliardë lekë, ose 22,978 milionë lekë</w:t>
      </w:r>
      <w:r w:rsidR="00AD3D9C" w:rsidRPr="00EE038F">
        <w:rPr>
          <w:rFonts w:ascii="Garamond" w:hAnsi="Garamond" w:cs="Garamond"/>
          <w:sz w:val="24"/>
          <w:szCs w:val="24"/>
        </w:rPr>
        <w:t xml:space="preserve"> </w:t>
      </w:r>
      <w:r w:rsidRPr="00EE038F">
        <w:rPr>
          <w:rFonts w:ascii="Garamond" w:hAnsi="Garamond" w:cs="Garamond"/>
          <w:sz w:val="24"/>
          <w:szCs w:val="24"/>
        </w:rPr>
        <w:t>ose 10.7% më shumë se viti 2024. Burimi i rritjes së këtyre të ardhurave shtesë janë:</w:t>
      </w:r>
    </w:p>
    <w:p w14:paraId="085A7DEC" w14:textId="7143866B" w:rsidR="004A4C72" w:rsidRPr="00EE038F" w:rsidRDefault="00727F6C" w:rsidP="004A4C72">
      <w:pPr>
        <w:pStyle w:val="ListParagraph"/>
        <w:spacing w:after="0" w:line="240" w:lineRule="auto"/>
        <w:ind w:left="0"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Rritja nga treguesit makroekonomikë</w:t>
      </w:r>
      <w:r w:rsidR="00AD3D9C" w:rsidRPr="00EE038F">
        <w:rPr>
          <w:rFonts w:ascii="Garamond" w:hAnsi="Garamond" w:cs="Garamond"/>
          <w:sz w:val="24"/>
          <w:szCs w:val="24"/>
        </w:rPr>
        <w:t xml:space="preserve"> </w:t>
      </w:r>
      <w:r w:rsidR="004A4C72" w:rsidRPr="00EE038F">
        <w:rPr>
          <w:rFonts w:ascii="Garamond" w:hAnsi="Garamond" w:cs="Garamond"/>
          <w:sz w:val="24"/>
          <w:szCs w:val="24"/>
        </w:rPr>
        <w:t>vlerësuar me 10,3 miliardë lekë;</w:t>
      </w:r>
    </w:p>
    <w:p w14:paraId="129D6FB9" w14:textId="2BF31867" w:rsidR="004A4C72" w:rsidRPr="00EE038F" w:rsidRDefault="00727F6C" w:rsidP="004A4C72">
      <w:pPr>
        <w:pStyle w:val="ListParagraph"/>
        <w:spacing w:after="0" w:line="240" w:lineRule="auto"/>
        <w:ind w:left="0"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 xml:space="preserve">Rritja nga miradministrimi në kuadër të zbatimit të </w:t>
      </w:r>
      <w:r w:rsidR="00E534C6" w:rsidRPr="00EE038F">
        <w:rPr>
          <w:rFonts w:ascii="Garamond" w:hAnsi="Garamond" w:cs="Garamond"/>
          <w:sz w:val="24"/>
          <w:szCs w:val="24"/>
        </w:rPr>
        <w:t xml:space="preserve">strategjisë </w:t>
      </w:r>
      <w:r w:rsidR="004A4C72" w:rsidRPr="00EE038F">
        <w:rPr>
          <w:rFonts w:ascii="Garamond" w:hAnsi="Garamond" w:cs="Garamond"/>
          <w:sz w:val="24"/>
          <w:szCs w:val="24"/>
        </w:rPr>
        <w:t xml:space="preserve">me masat e </w:t>
      </w:r>
      <w:r w:rsidR="00AB18CF" w:rsidRPr="00EE038F">
        <w:rPr>
          <w:rFonts w:ascii="Garamond" w:hAnsi="Garamond" w:cs="Garamond"/>
          <w:sz w:val="24"/>
          <w:szCs w:val="24"/>
        </w:rPr>
        <w:t>caktuara</w:t>
      </w:r>
      <w:r w:rsidR="004A4C72" w:rsidRPr="00EE038F">
        <w:rPr>
          <w:rFonts w:ascii="Garamond" w:hAnsi="Garamond" w:cs="Garamond"/>
          <w:sz w:val="24"/>
          <w:szCs w:val="24"/>
        </w:rPr>
        <w:t xml:space="preserve"> për 2025, vlerësuar me 6,88 miliardë lekë;</w:t>
      </w:r>
    </w:p>
    <w:p w14:paraId="3CD3CD65" w14:textId="47C0C0A1" w:rsidR="004A4C72" w:rsidRPr="00EE038F" w:rsidRDefault="00727F6C" w:rsidP="004A4C72">
      <w:pPr>
        <w:pStyle w:val="ListParagraph"/>
        <w:spacing w:after="0" w:line="240" w:lineRule="auto"/>
        <w:ind w:left="0"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 xml:space="preserve">Rritja e importeve të </w:t>
      </w:r>
      <w:r w:rsidR="004C544B" w:rsidRPr="00EE038F">
        <w:rPr>
          <w:rFonts w:ascii="Garamond" w:hAnsi="Garamond" w:cs="Garamond"/>
          <w:sz w:val="24"/>
          <w:szCs w:val="24"/>
        </w:rPr>
        <w:t>TVSH</w:t>
      </w:r>
      <w:r w:rsidR="004A4C72" w:rsidRPr="00EE038F">
        <w:rPr>
          <w:rFonts w:ascii="Garamond" w:hAnsi="Garamond" w:cs="Garamond"/>
          <w:sz w:val="24"/>
          <w:szCs w:val="24"/>
        </w:rPr>
        <w:t>, rritja e pajtueshmërisë vlerësuar me rreth 5.76 miliardë lekë</w:t>
      </w:r>
      <w:r w:rsidR="004C544B" w:rsidRPr="00EE038F">
        <w:rPr>
          <w:rFonts w:ascii="Garamond" w:hAnsi="Garamond" w:cs="Garamond"/>
          <w:sz w:val="24"/>
          <w:szCs w:val="24"/>
        </w:rPr>
        <w:t>.</w:t>
      </w:r>
    </w:p>
    <w:p w14:paraId="247B7695" w14:textId="7F14298B"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Fokusi për rritjen e pajtueshmërisë me TVSH</w:t>
      </w:r>
      <w:r w:rsidR="004C544B" w:rsidRPr="00EE038F">
        <w:rPr>
          <w:rFonts w:ascii="Garamond" w:hAnsi="Garamond" w:cs="Garamond"/>
          <w:sz w:val="24"/>
          <w:szCs w:val="24"/>
        </w:rPr>
        <w:t>-në</w:t>
      </w:r>
      <w:r w:rsidRPr="00EE038F">
        <w:rPr>
          <w:rFonts w:ascii="Garamond" w:hAnsi="Garamond" w:cs="Garamond"/>
          <w:sz w:val="24"/>
          <w:szCs w:val="24"/>
        </w:rPr>
        <w:t xml:space="preserve"> do të jenë sektorë të tillë</w:t>
      </w:r>
      <w:r w:rsidR="006E3ED1" w:rsidRPr="00EE038F">
        <w:rPr>
          <w:rFonts w:ascii="Garamond" w:hAnsi="Garamond" w:cs="Garamond"/>
          <w:sz w:val="24"/>
          <w:szCs w:val="24"/>
        </w:rPr>
        <w:t>,</w:t>
      </w:r>
      <w:r w:rsidRPr="00EE038F">
        <w:rPr>
          <w:rFonts w:ascii="Garamond" w:hAnsi="Garamond" w:cs="Garamond"/>
          <w:sz w:val="24"/>
          <w:szCs w:val="24"/>
        </w:rPr>
        <w:t xml:space="preserve"> si</w:t>
      </w:r>
      <w:r w:rsidR="006E3ED1" w:rsidRPr="00EE038F">
        <w:rPr>
          <w:rFonts w:ascii="Garamond" w:hAnsi="Garamond" w:cs="Garamond"/>
          <w:sz w:val="24"/>
          <w:szCs w:val="24"/>
        </w:rPr>
        <w:t>:</w:t>
      </w:r>
      <w:r w:rsidRPr="00EE038F">
        <w:rPr>
          <w:rFonts w:ascii="Garamond" w:hAnsi="Garamond" w:cs="Garamond"/>
          <w:sz w:val="24"/>
          <w:szCs w:val="24"/>
        </w:rPr>
        <w:t xml:space="preserve"> ndërtimi, turizmi, tregtia elektronike</w:t>
      </w:r>
      <w:r w:rsidR="006E3ED1" w:rsidRPr="00EE038F">
        <w:rPr>
          <w:rFonts w:ascii="Garamond" w:hAnsi="Garamond" w:cs="Garamond"/>
          <w:sz w:val="24"/>
          <w:szCs w:val="24"/>
        </w:rPr>
        <w:t>,</w:t>
      </w:r>
      <w:r w:rsidRPr="00EE038F">
        <w:rPr>
          <w:rFonts w:ascii="Garamond" w:hAnsi="Garamond" w:cs="Garamond"/>
          <w:sz w:val="24"/>
          <w:szCs w:val="24"/>
        </w:rPr>
        <w:t xml:space="preserve"> si dhe gjithë sektorët e tjerë ekonomikë. </w:t>
      </w:r>
    </w:p>
    <w:p w14:paraId="2F80F245" w14:textId="021B7150"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b/>
          <w:bCs/>
          <w:sz w:val="24"/>
          <w:szCs w:val="24"/>
        </w:rPr>
        <w:t>Të ardhurat nga tatimi mbi fitimin korporativ</w:t>
      </w:r>
      <w:r w:rsidRPr="00EE038F">
        <w:rPr>
          <w:rFonts w:ascii="Garamond" w:hAnsi="Garamond" w:cs="Garamond"/>
          <w:sz w:val="24"/>
          <w:szCs w:val="24"/>
        </w:rPr>
        <w:t xml:space="preserve"> programohen të jenë +6 miliardë lekë ose +10.1%</w:t>
      </w:r>
      <w:r w:rsidR="00AD3D9C" w:rsidRPr="00EE038F">
        <w:rPr>
          <w:rFonts w:ascii="Garamond" w:hAnsi="Garamond" w:cs="Garamond"/>
          <w:sz w:val="24"/>
          <w:szCs w:val="24"/>
        </w:rPr>
        <w:t xml:space="preserve"> </w:t>
      </w:r>
      <w:r w:rsidRPr="00EE038F">
        <w:rPr>
          <w:rFonts w:ascii="Garamond" w:hAnsi="Garamond" w:cs="Garamond"/>
          <w:sz w:val="24"/>
          <w:szCs w:val="24"/>
        </w:rPr>
        <w:t xml:space="preserve">më shumë krahasuar me vitin 2024. </w:t>
      </w:r>
    </w:p>
    <w:p w14:paraId="00DB0721" w14:textId="77777777"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Parashikimi i tatimit mbi fitimin korporativ për vitin 2025 bazohet në:</w:t>
      </w:r>
    </w:p>
    <w:p w14:paraId="6DAD2A18" w14:textId="054CC82E" w:rsidR="004A4C72" w:rsidRPr="00EE038F" w:rsidRDefault="00727F6C" w:rsidP="004A4C72">
      <w:pPr>
        <w:pStyle w:val="ListParagraph"/>
        <w:spacing w:after="0" w:line="240" w:lineRule="auto"/>
        <w:ind w:left="0"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 xml:space="preserve">rritjen e të ardhurave nga </w:t>
      </w:r>
      <w:r w:rsidR="006E3ED1" w:rsidRPr="00EE038F">
        <w:rPr>
          <w:rFonts w:ascii="Garamond" w:hAnsi="Garamond" w:cs="Garamond"/>
          <w:sz w:val="24"/>
          <w:szCs w:val="24"/>
        </w:rPr>
        <w:t>miradministrim</w:t>
      </w:r>
      <w:r w:rsidR="004A4C72" w:rsidRPr="00EE038F">
        <w:rPr>
          <w:rFonts w:ascii="Garamond" w:hAnsi="Garamond" w:cs="Garamond"/>
          <w:sz w:val="24"/>
          <w:szCs w:val="24"/>
        </w:rPr>
        <w:t>i dhe të ardhura shtesë nga draft</w:t>
      </w:r>
      <w:r w:rsidR="00CF2FCC" w:rsidRPr="00EE038F">
        <w:rPr>
          <w:rFonts w:ascii="Garamond" w:hAnsi="Garamond" w:cs="Garamond"/>
          <w:sz w:val="24"/>
          <w:szCs w:val="24"/>
        </w:rPr>
        <w:t>s</w:t>
      </w:r>
      <w:r w:rsidR="004A4C72" w:rsidRPr="00EE038F">
        <w:rPr>
          <w:rFonts w:ascii="Garamond" w:hAnsi="Garamond" w:cs="Garamond"/>
          <w:sz w:val="24"/>
          <w:szCs w:val="24"/>
        </w:rPr>
        <w:t xml:space="preserve">trategjia </w:t>
      </w:r>
      <w:r w:rsidR="00FD7D25" w:rsidRPr="00EE038F">
        <w:rPr>
          <w:rFonts w:ascii="Garamond" w:hAnsi="Garamond" w:cs="Garamond"/>
          <w:sz w:val="24"/>
          <w:szCs w:val="24"/>
        </w:rPr>
        <w:t xml:space="preserve">afatmesme </w:t>
      </w:r>
      <w:r w:rsidR="004A4C72" w:rsidRPr="00EE038F">
        <w:rPr>
          <w:rFonts w:ascii="Garamond" w:hAnsi="Garamond" w:cs="Garamond"/>
          <w:sz w:val="24"/>
          <w:szCs w:val="24"/>
        </w:rPr>
        <w:t xml:space="preserve">e të </w:t>
      </w:r>
      <w:r w:rsidR="009204FA" w:rsidRPr="00EE038F">
        <w:rPr>
          <w:rFonts w:ascii="Garamond" w:hAnsi="Garamond" w:cs="Garamond"/>
          <w:sz w:val="24"/>
          <w:szCs w:val="24"/>
        </w:rPr>
        <w:t xml:space="preserve">ardhurave </w:t>
      </w:r>
      <w:r w:rsidR="004A4C72" w:rsidRPr="00EE038F">
        <w:rPr>
          <w:rFonts w:ascii="Garamond" w:hAnsi="Garamond" w:cs="Garamond"/>
          <w:sz w:val="24"/>
          <w:szCs w:val="24"/>
        </w:rPr>
        <w:t xml:space="preserve">për vitin 2025. </w:t>
      </w:r>
    </w:p>
    <w:p w14:paraId="2734C1E6" w14:textId="11682FA7" w:rsidR="004A4C72" w:rsidRPr="00EE038F" w:rsidRDefault="00727F6C" w:rsidP="004A4C72">
      <w:pPr>
        <w:pStyle w:val="ListParagraph"/>
        <w:spacing w:after="0" w:line="240" w:lineRule="auto"/>
        <w:ind w:left="0"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Fokusi për 2025 do të jetë forcimi i</w:t>
      </w:r>
      <w:r w:rsidR="00AD3D9C" w:rsidRPr="00EE038F">
        <w:rPr>
          <w:rFonts w:ascii="Garamond" w:hAnsi="Garamond" w:cs="Garamond"/>
          <w:sz w:val="24"/>
          <w:szCs w:val="24"/>
        </w:rPr>
        <w:t xml:space="preserve"> </w:t>
      </w:r>
      <w:r w:rsidR="004A4C72" w:rsidRPr="00EE038F">
        <w:rPr>
          <w:rFonts w:ascii="Garamond" w:hAnsi="Garamond" w:cs="Garamond"/>
          <w:sz w:val="24"/>
          <w:szCs w:val="24"/>
        </w:rPr>
        <w:t>kontrollit të deklaratave, bazuar në kriteret e riskut dhe krijimi i sistemeve që dekurajojnë ose bllokojnë shmangiet tatimore</w:t>
      </w:r>
      <w:r w:rsidR="00424D80" w:rsidRPr="00EE038F">
        <w:rPr>
          <w:rFonts w:ascii="Garamond" w:hAnsi="Garamond" w:cs="Garamond"/>
          <w:sz w:val="24"/>
          <w:szCs w:val="24"/>
        </w:rPr>
        <w:t>,</w:t>
      </w:r>
      <w:r w:rsidR="004A4C72" w:rsidRPr="00EE038F">
        <w:rPr>
          <w:rFonts w:ascii="Garamond" w:hAnsi="Garamond" w:cs="Garamond"/>
          <w:sz w:val="24"/>
          <w:szCs w:val="24"/>
        </w:rPr>
        <w:t xml:space="preserve"> të tilla si</w:t>
      </w:r>
      <w:r w:rsidR="00424D80" w:rsidRPr="00EE038F">
        <w:rPr>
          <w:rFonts w:ascii="Garamond" w:hAnsi="Garamond" w:cs="Garamond"/>
          <w:sz w:val="24"/>
          <w:szCs w:val="24"/>
        </w:rPr>
        <w:t>:</w:t>
      </w:r>
      <w:r w:rsidR="00AD3D9C" w:rsidRPr="00EE038F">
        <w:rPr>
          <w:rFonts w:ascii="Garamond" w:hAnsi="Garamond" w:cs="Garamond"/>
          <w:sz w:val="24"/>
          <w:szCs w:val="24"/>
        </w:rPr>
        <w:t xml:space="preserve"> </w:t>
      </w:r>
      <w:r w:rsidR="004A4C72" w:rsidRPr="00EE038F">
        <w:rPr>
          <w:rFonts w:ascii="Garamond" w:hAnsi="Garamond" w:cs="Garamond"/>
          <w:sz w:val="24"/>
          <w:szCs w:val="24"/>
        </w:rPr>
        <w:t>parambushja e deklaratave.</w:t>
      </w:r>
    </w:p>
    <w:p w14:paraId="2DFF5837" w14:textId="64F8C32D"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b/>
          <w:bCs/>
          <w:sz w:val="24"/>
          <w:szCs w:val="24"/>
        </w:rPr>
        <w:t>Të ardhurat nga akciza</w:t>
      </w:r>
      <w:r w:rsidRPr="00EE038F">
        <w:rPr>
          <w:rFonts w:ascii="Garamond" w:hAnsi="Garamond" w:cs="Garamond"/>
          <w:sz w:val="24"/>
          <w:szCs w:val="24"/>
        </w:rPr>
        <w:t xml:space="preserve"> programohen 67,620</w:t>
      </w:r>
      <w:r w:rsidR="00424D80" w:rsidRPr="00EE038F">
        <w:rPr>
          <w:rFonts w:ascii="Garamond" w:hAnsi="Garamond" w:cs="Garamond"/>
          <w:sz w:val="24"/>
          <w:szCs w:val="24"/>
        </w:rPr>
        <w:t xml:space="preserve"> </w:t>
      </w:r>
      <w:r w:rsidRPr="00EE038F">
        <w:rPr>
          <w:rFonts w:ascii="Garamond" w:hAnsi="Garamond" w:cs="Garamond"/>
          <w:sz w:val="24"/>
          <w:szCs w:val="24"/>
        </w:rPr>
        <w:t>milionë lekë, + 3.2 miliardë lekë ose +5% më shumë se viti</w:t>
      </w:r>
      <w:r w:rsidR="00AD3D9C" w:rsidRPr="00EE038F">
        <w:rPr>
          <w:rFonts w:ascii="Garamond" w:hAnsi="Garamond" w:cs="Garamond"/>
          <w:sz w:val="24"/>
          <w:szCs w:val="24"/>
        </w:rPr>
        <w:t xml:space="preserve"> </w:t>
      </w:r>
      <w:r w:rsidRPr="00EE038F">
        <w:rPr>
          <w:rFonts w:ascii="Garamond" w:hAnsi="Garamond" w:cs="Garamond"/>
          <w:sz w:val="24"/>
          <w:szCs w:val="24"/>
        </w:rPr>
        <w:t xml:space="preserve">2024. Faktorët kryesorë në parashikimin e të ardhurave nga akciza lidhen me: </w:t>
      </w:r>
    </w:p>
    <w:p w14:paraId="37E810A5" w14:textId="01A7DC9F" w:rsidR="004A4C72" w:rsidRPr="00EE038F" w:rsidRDefault="00727F6C" w:rsidP="004A4C72">
      <w:pPr>
        <w:spacing w:after="0" w:line="240" w:lineRule="auto"/>
        <w:ind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Zbatimi i kalendarit të rritjes</w:t>
      </w:r>
      <w:r w:rsidR="00AD3D9C" w:rsidRPr="00EE038F">
        <w:rPr>
          <w:rFonts w:ascii="Garamond" w:hAnsi="Garamond" w:cs="Garamond"/>
          <w:sz w:val="24"/>
          <w:szCs w:val="24"/>
        </w:rPr>
        <w:t xml:space="preserve"> </w:t>
      </w:r>
      <w:r w:rsidR="004A4C72" w:rsidRPr="00EE038F">
        <w:rPr>
          <w:rFonts w:ascii="Garamond" w:hAnsi="Garamond" w:cs="Garamond"/>
          <w:sz w:val="24"/>
          <w:szCs w:val="24"/>
        </w:rPr>
        <w:t>së niveleve të akcizës për duhanet, ku për vitin për vitin 2025 do të jenë rreth 0.8 miliardë lekë më shumë;</w:t>
      </w:r>
    </w:p>
    <w:p w14:paraId="5CD35B89" w14:textId="3874C151" w:rsidR="004A4C72" w:rsidRPr="00EE038F" w:rsidRDefault="00727F6C" w:rsidP="004A4C72">
      <w:pPr>
        <w:spacing w:after="0" w:line="240" w:lineRule="auto"/>
        <w:ind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Rritjen e të ardhurave nga akciza që gjeneron rritja ekonomike shtesë; rritjen e sasive të importit dhe konsumi i mallrave</w:t>
      </w:r>
      <w:r w:rsidR="0026678C" w:rsidRPr="00EE038F">
        <w:rPr>
          <w:rFonts w:ascii="Garamond" w:hAnsi="Garamond" w:cs="Garamond"/>
          <w:sz w:val="24"/>
          <w:szCs w:val="24"/>
        </w:rPr>
        <w:t>,</w:t>
      </w:r>
      <w:r w:rsidR="004A4C72" w:rsidRPr="00EE038F">
        <w:rPr>
          <w:rFonts w:ascii="Garamond" w:hAnsi="Garamond" w:cs="Garamond"/>
          <w:sz w:val="24"/>
          <w:szCs w:val="24"/>
        </w:rPr>
        <w:t xml:space="preserve"> si</w:t>
      </w:r>
      <w:r w:rsidR="0026678C" w:rsidRPr="00EE038F">
        <w:rPr>
          <w:rFonts w:ascii="Garamond" w:hAnsi="Garamond" w:cs="Garamond"/>
          <w:sz w:val="24"/>
          <w:szCs w:val="24"/>
        </w:rPr>
        <w:t>:</w:t>
      </w:r>
      <w:r w:rsidR="004A4C72" w:rsidRPr="00EE038F">
        <w:rPr>
          <w:rFonts w:ascii="Garamond" w:hAnsi="Garamond" w:cs="Garamond"/>
          <w:sz w:val="24"/>
          <w:szCs w:val="24"/>
        </w:rPr>
        <w:t xml:space="preserve"> karburante, cigare, pije alkoolike, verë, birrë etj</w:t>
      </w:r>
      <w:r w:rsidR="0026678C" w:rsidRPr="00EE038F">
        <w:rPr>
          <w:rFonts w:ascii="Garamond" w:hAnsi="Garamond" w:cs="Garamond"/>
          <w:sz w:val="24"/>
          <w:szCs w:val="24"/>
        </w:rPr>
        <w:t>.</w:t>
      </w:r>
      <w:r w:rsidR="004A4C72" w:rsidRPr="00EE038F">
        <w:rPr>
          <w:rFonts w:ascii="Garamond" w:hAnsi="Garamond" w:cs="Garamond"/>
          <w:sz w:val="24"/>
          <w:szCs w:val="24"/>
        </w:rPr>
        <w:t>, vlerësuar me</w:t>
      </w:r>
      <w:r w:rsidR="00AD3D9C" w:rsidRPr="00EE038F">
        <w:rPr>
          <w:rFonts w:ascii="Garamond" w:hAnsi="Garamond" w:cs="Garamond"/>
          <w:sz w:val="24"/>
          <w:szCs w:val="24"/>
        </w:rPr>
        <w:t xml:space="preserve"> </w:t>
      </w:r>
      <w:r w:rsidR="004A4C72" w:rsidRPr="00EE038F">
        <w:rPr>
          <w:rFonts w:ascii="Garamond" w:hAnsi="Garamond" w:cs="Garamond"/>
          <w:sz w:val="24"/>
          <w:szCs w:val="24"/>
        </w:rPr>
        <w:t>plus 1,75 miliardë lekë</w:t>
      </w:r>
      <w:r w:rsidR="00185212">
        <w:rPr>
          <w:rFonts w:ascii="Garamond" w:hAnsi="Garamond" w:cs="Garamond"/>
          <w:sz w:val="24"/>
          <w:szCs w:val="24"/>
        </w:rPr>
        <w:t>.</w:t>
      </w:r>
    </w:p>
    <w:p w14:paraId="336B8F8E" w14:textId="13DAA37C"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b/>
          <w:bCs/>
          <w:sz w:val="24"/>
          <w:szCs w:val="24"/>
        </w:rPr>
        <w:t xml:space="preserve">Të ardhurat nga tatimi mbi të </w:t>
      </w:r>
      <w:r w:rsidR="0026678C" w:rsidRPr="00EE038F">
        <w:rPr>
          <w:rFonts w:ascii="Garamond" w:hAnsi="Garamond" w:cs="Garamond"/>
          <w:b/>
          <w:bCs/>
          <w:sz w:val="24"/>
          <w:szCs w:val="24"/>
        </w:rPr>
        <w:t xml:space="preserve">ardhurat personale </w:t>
      </w:r>
      <w:r w:rsidRPr="00EE038F">
        <w:rPr>
          <w:rFonts w:ascii="Garamond" w:hAnsi="Garamond" w:cs="Garamond"/>
          <w:sz w:val="24"/>
          <w:szCs w:val="24"/>
        </w:rPr>
        <w:t>parashikohen 70,705 milionë lekë, me rritje prej +6.3 miliardë lekë ose +9.7</w:t>
      </w:r>
      <w:r w:rsidR="002D0DDC" w:rsidRPr="00EE038F">
        <w:rPr>
          <w:rFonts w:ascii="Garamond" w:hAnsi="Garamond" w:cs="Garamond"/>
          <w:sz w:val="24"/>
          <w:szCs w:val="24"/>
        </w:rPr>
        <w:t xml:space="preserve">% </w:t>
      </w:r>
      <w:r w:rsidRPr="00EE038F">
        <w:rPr>
          <w:rFonts w:ascii="Garamond" w:hAnsi="Garamond" w:cs="Garamond"/>
          <w:sz w:val="24"/>
          <w:szCs w:val="24"/>
        </w:rPr>
        <w:t>më shumë se viti 2024.</w:t>
      </w:r>
    </w:p>
    <w:p w14:paraId="406F0CEF" w14:textId="17808418"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Këto të ardhura shtesë do të vijnë nga</w:t>
      </w:r>
      <w:r w:rsidR="006E3ED1" w:rsidRPr="00EE038F">
        <w:rPr>
          <w:rFonts w:ascii="Garamond" w:hAnsi="Garamond" w:cs="Garamond"/>
          <w:sz w:val="24"/>
          <w:szCs w:val="24"/>
        </w:rPr>
        <w:t>:</w:t>
      </w:r>
      <w:r w:rsidRPr="00EE038F">
        <w:rPr>
          <w:rFonts w:ascii="Garamond" w:hAnsi="Garamond" w:cs="Garamond"/>
          <w:sz w:val="24"/>
          <w:szCs w:val="24"/>
        </w:rPr>
        <w:t xml:space="preserve"> </w:t>
      </w:r>
    </w:p>
    <w:p w14:paraId="7F4FF833" w14:textId="77777777" w:rsidR="004A4C72" w:rsidRPr="00EE038F" w:rsidRDefault="00727F6C" w:rsidP="004A4C72">
      <w:pPr>
        <w:pStyle w:val="ListParagraph"/>
        <w:spacing w:after="0" w:line="240" w:lineRule="auto"/>
        <w:ind w:left="0"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rritja ekonomike vlerësuar në shumën 1,75 miliardë lekë;</w:t>
      </w:r>
    </w:p>
    <w:p w14:paraId="39F1B264" w14:textId="2E90D9F4" w:rsidR="00727F6C" w:rsidRPr="00EE038F" w:rsidRDefault="00727F6C" w:rsidP="00727F6C">
      <w:pPr>
        <w:pStyle w:val="ListParagraph"/>
        <w:spacing w:after="0" w:line="240" w:lineRule="auto"/>
        <w:ind w:left="0"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 xml:space="preserve">efektet e reformës së pagave në sektorin shtetëror që filloi në 1 </w:t>
      </w:r>
      <w:r w:rsidR="00CA617E" w:rsidRPr="00EE038F">
        <w:rPr>
          <w:rFonts w:ascii="Garamond" w:hAnsi="Garamond" w:cs="Garamond"/>
          <w:sz w:val="24"/>
          <w:szCs w:val="24"/>
        </w:rPr>
        <w:t xml:space="preserve">korrik </w:t>
      </w:r>
      <w:r w:rsidR="004A4C72" w:rsidRPr="00EE038F">
        <w:rPr>
          <w:rFonts w:ascii="Garamond" w:hAnsi="Garamond" w:cs="Garamond"/>
          <w:sz w:val="24"/>
          <w:szCs w:val="24"/>
        </w:rPr>
        <w:t>2024, rritja e të cilave do</w:t>
      </w:r>
      <w:r w:rsidR="00CA617E" w:rsidRPr="00EE038F">
        <w:rPr>
          <w:rFonts w:ascii="Garamond" w:hAnsi="Garamond" w:cs="Garamond"/>
          <w:sz w:val="24"/>
          <w:szCs w:val="24"/>
        </w:rPr>
        <w:t xml:space="preserve"> të </w:t>
      </w:r>
      <w:r w:rsidR="004A4C72" w:rsidRPr="00EE038F">
        <w:rPr>
          <w:rFonts w:ascii="Garamond" w:hAnsi="Garamond" w:cs="Garamond"/>
          <w:sz w:val="24"/>
          <w:szCs w:val="24"/>
        </w:rPr>
        <w:t xml:space="preserve">gjenerojë të ardhura shtesë nga tatimi mbi pagat për 7 muajt e parë të vitit 2025, vlerësuar në masën 2 miliardë lekë shtesë, </w:t>
      </w:r>
    </w:p>
    <w:p w14:paraId="08557588" w14:textId="77777777" w:rsidR="004A4C72" w:rsidRPr="00EE038F" w:rsidRDefault="00727F6C" w:rsidP="00727F6C">
      <w:pPr>
        <w:pStyle w:val="ListParagraph"/>
        <w:spacing w:after="0" w:line="240" w:lineRule="auto"/>
        <w:ind w:left="0"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 xml:space="preserve">rritja e numrit të punëmarrësve dhe pagës mesatare në sektorin privat, vlerësuar në rreth 1.66 miliardë lekë, si dhe </w:t>
      </w:r>
    </w:p>
    <w:p w14:paraId="518A95A8" w14:textId="772E0511" w:rsidR="004A4C72" w:rsidRPr="00EE038F" w:rsidRDefault="00727F6C" w:rsidP="004A4C72">
      <w:pPr>
        <w:pStyle w:val="ListParagraph"/>
        <w:spacing w:after="0" w:line="240" w:lineRule="auto"/>
        <w:ind w:left="0"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 xml:space="preserve">rritja e të ardhurave nga </w:t>
      </w:r>
      <w:r w:rsidR="006E3ED1" w:rsidRPr="00EE038F">
        <w:rPr>
          <w:rFonts w:ascii="Garamond" w:hAnsi="Garamond" w:cs="Garamond"/>
          <w:sz w:val="24"/>
          <w:szCs w:val="24"/>
        </w:rPr>
        <w:t>miradministrim</w:t>
      </w:r>
      <w:r w:rsidR="004A4C72" w:rsidRPr="00EE038F">
        <w:rPr>
          <w:rFonts w:ascii="Garamond" w:hAnsi="Garamond" w:cs="Garamond"/>
          <w:sz w:val="24"/>
          <w:szCs w:val="24"/>
        </w:rPr>
        <w:t xml:space="preserve">i nga zbatimi i masave nën </w:t>
      </w:r>
      <w:r w:rsidR="00337333" w:rsidRPr="00EE038F">
        <w:rPr>
          <w:rFonts w:ascii="Garamond" w:hAnsi="Garamond" w:cs="Garamond"/>
          <w:sz w:val="24"/>
          <w:szCs w:val="24"/>
        </w:rPr>
        <w:t>draftstrategji</w:t>
      </w:r>
      <w:r w:rsidR="004A4C72" w:rsidRPr="00EE038F">
        <w:rPr>
          <w:rFonts w:ascii="Garamond" w:hAnsi="Garamond" w:cs="Garamond"/>
          <w:sz w:val="24"/>
          <w:szCs w:val="24"/>
        </w:rPr>
        <w:t xml:space="preserve">në për vitin 2025, vlerësuar në masën 1,3 miliardë lekë. </w:t>
      </w:r>
    </w:p>
    <w:p w14:paraId="4C9C3129" w14:textId="342FABE3"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 xml:space="preserve">Fokusi do </w:t>
      </w:r>
      <w:r w:rsidR="000C3D5A" w:rsidRPr="00EE038F">
        <w:rPr>
          <w:rFonts w:ascii="Garamond" w:hAnsi="Garamond" w:cs="Garamond"/>
          <w:sz w:val="24"/>
          <w:szCs w:val="24"/>
        </w:rPr>
        <w:t xml:space="preserve">të </w:t>
      </w:r>
      <w:r w:rsidRPr="00EE038F">
        <w:rPr>
          <w:rFonts w:ascii="Garamond" w:hAnsi="Garamond" w:cs="Garamond"/>
          <w:sz w:val="24"/>
          <w:szCs w:val="24"/>
        </w:rPr>
        <w:t>jetë në rritjen e deklarimit të pagës reale të 3.4</w:t>
      </w:r>
      <w:r w:rsidR="002D0DDC" w:rsidRPr="00EE038F">
        <w:rPr>
          <w:rFonts w:ascii="Garamond" w:hAnsi="Garamond" w:cs="Garamond"/>
          <w:sz w:val="24"/>
          <w:szCs w:val="24"/>
        </w:rPr>
        <w:t xml:space="preserve">% </w:t>
      </w:r>
      <w:r w:rsidRPr="00EE038F">
        <w:rPr>
          <w:rFonts w:ascii="Garamond" w:hAnsi="Garamond" w:cs="Garamond"/>
          <w:sz w:val="24"/>
          <w:szCs w:val="24"/>
        </w:rPr>
        <w:t>(25 mijë )</w:t>
      </w:r>
      <w:r w:rsidR="00AD3D9C" w:rsidRPr="00EE038F">
        <w:rPr>
          <w:rFonts w:ascii="Garamond" w:hAnsi="Garamond" w:cs="Garamond"/>
          <w:sz w:val="24"/>
          <w:szCs w:val="24"/>
        </w:rPr>
        <w:t xml:space="preserve"> </w:t>
      </w:r>
      <w:r w:rsidRPr="00EE038F">
        <w:rPr>
          <w:rFonts w:ascii="Garamond" w:hAnsi="Garamond" w:cs="Garamond"/>
          <w:sz w:val="24"/>
          <w:szCs w:val="24"/>
        </w:rPr>
        <w:t>punonjësve në shkallë vendi, në rritjen</w:t>
      </w:r>
      <w:r w:rsidR="00AD3D9C" w:rsidRPr="00EE038F">
        <w:rPr>
          <w:rFonts w:ascii="Garamond" w:hAnsi="Garamond" w:cs="Garamond"/>
          <w:sz w:val="24"/>
          <w:szCs w:val="24"/>
        </w:rPr>
        <w:t xml:space="preserve"> </w:t>
      </w:r>
      <w:r w:rsidRPr="00EE038F">
        <w:rPr>
          <w:rFonts w:ascii="Garamond" w:hAnsi="Garamond" w:cs="Garamond"/>
          <w:sz w:val="24"/>
          <w:szCs w:val="24"/>
        </w:rPr>
        <w:t xml:space="preserve">e numrit të punësuarve në skemën e kontribuesve, hartimi i një </w:t>
      </w:r>
      <w:r w:rsidR="003B5565" w:rsidRPr="00EE038F">
        <w:rPr>
          <w:rFonts w:ascii="Garamond" w:hAnsi="Garamond" w:cs="Garamond"/>
          <w:sz w:val="24"/>
          <w:szCs w:val="24"/>
        </w:rPr>
        <w:t xml:space="preserve">plani sektorial </w:t>
      </w:r>
      <w:r w:rsidRPr="00EE038F">
        <w:rPr>
          <w:rFonts w:ascii="Garamond" w:hAnsi="Garamond" w:cs="Garamond"/>
          <w:sz w:val="24"/>
          <w:szCs w:val="24"/>
        </w:rPr>
        <w:t>për identifikimin e punës së padeklaruar, zhvillimi i një fushate të gjerë ndërgjegjësimi mbi përfitimet e punës së deklaruar etj.</w:t>
      </w:r>
    </w:p>
    <w:p w14:paraId="1F16D7A6" w14:textId="00BD1F03"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b/>
          <w:bCs/>
          <w:sz w:val="24"/>
          <w:szCs w:val="24"/>
        </w:rPr>
        <w:lastRenderedPageBreak/>
        <w:t xml:space="preserve">Të ardhurat nga taksa </w:t>
      </w:r>
      <w:r w:rsidR="000B31A5" w:rsidRPr="00EE038F">
        <w:rPr>
          <w:rFonts w:ascii="Garamond" w:hAnsi="Garamond" w:cs="Garamond"/>
          <w:b/>
          <w:bCs/>
          <w:sz w:val="24"/>
          <w:szCs w:val="24"/>
        </w:rPr>
        <w:t xml:space="preserve">nacionale </w:t>
      </w:r>
      <w:r w:rsidRPr="00EE038F">
        <w:rPr>
          <w:rFonts w:ascii="Garamond" w:hAnsi="Garamond" w:cs="Garamond"/>
          <w:b/>
          <w:bCs/>
          <w:sz w:val="24"/>
          <w:szCs w:val="24"/>
        </w:rPr>
        <w:t>dhe të tjera</w:t>
      </w:r>
      <w:r w:rsidRPr="00EE038F">
        <w:rPr>
          <w:rFonts w:ascii="Garamond" w:hAnsi="Garamond" w:cs="Garamond"/>
          <w:sz w:val="24"/>
          <w:szCs w:val="24"/>
        </w:rPr>
        <w:t xml:space="preserve"> programohen në nivelin 49,6 miliardë lekë,</w:t>
      </w:r>
      <w:r w:rsidR="00AD3D9C" w:rsidRPr="00EE038F">
        <w:rPr>
          <w:rFonts w:ascii="Garamond" w:hAnsi="Garamond" w:cs="Garamond"/>
          <w:sz w:val="24"/>
          <w:szCs w:val="24"/>
        </w:rPr>
        <w:t xml:space="preserve"> </w:t>
      </w:r>
      <w:r w:rsidRPr="00EE038F">
        <w:rPr>
          <w:rFonts w:ascii="Garamond" w:hAnsi="Garamond" w:cs="Garamond"/>
          <w:sz w:val="24"/>
          <w:szCs w:val="24"/>
        </w:rPr>
        <w:t>+4.4% ose +2.1 miliardë lekë më shumë se i pritshmi 2024, efekte që pritet të vijnë nga rritja ekonomike në tërësi.</w:t>
      </w:r>
    </w:p>
    <w:p w14:paraId="4A5BC868" w14:textId="77777777" w:rsidR="004A4C72" w:rsidRPr="00EE038F" w:rsidRDefault="004A4C72" w:rsidP="004A4C72">
      <w:pPr>
        <w:spacing w:after="0" w:line="240" w:lineRule="auto"/>
        <w:ind w:firstLine="284"/>
        <w:jc w:val="both"/>
        <w:rPr>
          <w:rFonts w:ascii="Garamond" w:hAnsi="Garamond" w:cs="Garamond"/>
          <w:b/>
          <w:bCs/>
          <w:sz w:val="24"/>
          <w:szCs w:val="24"/>
        </w:rPr>
      </w:pPr>
      <w:r w:rsidRPr="00EE038F">
        <w:rPr>
          <w:rFonts w:ascii="Garamond" w:hAnsi="Garamond" w:cs="Garamond"/>
          <w:sz w:val="24"/>
          <w:szCs w:val="24"/>
        </w:rPr>
        <w:t xml:space="preserve">Nën këtë zë përfshihet edhe renta minerale. </w:t>
      </w:r>
      <w:r w:rsidRPr="00EE038F">
        <w:rPr>
          <w:rFonts w:ascii="Garamond" w:hAnsi="Garamond" w:cs="Garamond"/>
          <w:b/>
          <w:bCs/>
          <w:sz w:val="24"/>
          <w:szCs w:val="24"/>
        </w:rPr>
        <w:t>Renta minerale e naftës bruto</w:t>
      </w:r>
      <w:r w:rsidRPr="00EE038F">
        <w:rPr>
          <w:rFonts w:ascii="Garamond" w:hAnsi="Garamond" w:cs="Garamond"/>
          <w:sz w:val="24"/>
          <w:szCs w:val="24"/>
        </w:rPr>
        <w:t xml:space="preserve"> e vitit 2025 vlerësohet afërsisht sa realizimi i vitit 2024, me një rritje prej vetëm 26 milionësh për </w:t>
      </w:r>
      <w:r w:rsidRPr="00EE038F">
        <w:rPr>
          <w:rFonts w:ascii="Garamond" w:hAnsi="Garamond" w:cs="Garamond"/>
          <w:b/>
          <w:bCs/>
          <w:sz w:val="24"/>
          <w:szCs w:val="24"/>
        </w:rPr>
        <w:t>arsye se jemi në të njëjta kushte të rënies së çmimeve ndërkombëtare.</w:t>
      </w:r>
    </w:p>
    <w:p w14:paraId="3E241419" w14:textId="77777777"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b/>
          <w:bCs/>
          <w:sz w:val="24"/>
          <w:szCs w:val="24"/>
        </w:rPr>
        <w:t>Të ardhurat nga taksa doganore</w:t>
      </w:r>
      <w:r w:rsidRPr="00EE038F">
        <w:rPr>
          <w:rFonts w:ascii="Garamond" w:hAnsi="Garamond" w:cs="Garamond"/>
          <w:sz w:val="24"/>
          <w:szCs w:val="24"/>
        </w:rPr>
        <w:t xml:space="preserve"> në vitin 2025 programohet 11,078 milionë lekë, me rritje +1.75 miliardë lekë ose 18.8% më shumë se i pritshmi për vitin 2024. </w:t>
      </w:r>
    </w:p>
    <w:p w14:paraId="0923E684" w14:textId="231CCE40"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 xml:space="preserve">Taksa </w:t>
      </w:r>
      <w:r w:rsidR="00C50D62" w:rsidRPr="00EE038F">
        <w:rPr>
          <w:rFonts w:ascii="Garamond" w:hAnsi="Garamond" w:cs="Garamond"/>
          <w:sz w:val="24"/>
          <w:szCs w:val="24"/>
        </w:rPr>
        <w:t xml:space="preserve">doganore </w:t>
      </w:r>
      <w:r w:rsidRPr="00EE038F">
        <w:rPr>
          <w:rFonts w:ascii="Garamond" w:hAnsi="Garamond" w:cs="Garamond"/>
          <w:sz w:val="24"/>
          <w:szCs w:val="24"/>
        </w:rPr>
        <w:t xml:space="preserve">është një taksë që nga viti në vit për arsye të politikave tregtare duhet të vijë në ulje. Realizimi i kësaj takse për vitin 2025 do të jetë me rritje nga viti i kaluar, duke qenë se është rritur importi i mallrave jashtë </w:t>
      </w:r>
      <w:r w:rsidR="001D2DBD" w:rsidRPr="00EE038F">
        <w:rPr>
          <w:rFonts w:ascii="Garamond" w:hAnsi="Garamond" w:cs="Garamond"/>
          <w:sz w:val="24"/>
          <w:szCs w:val="24"/>
        </w:rPr>
        <w:t>Komunitetit Evropian</w:t>
      </w:r>
      <w:r w:rsidRPr="00EE038F">
        <w:rPr>
          <w:rFonts w:ascii="Garamond" w:hAnsi="Garamond" w:cs="Garamond"/>
          <w:sz w:val="24"/>
          <w:szCs w:val="24"/>
        </w:rPr>
        <w:t>.</w:t>
      </w:r>
    </w:p>
    <w:p w14:paraId="414F0ADA" w14:textId="554A7CCF"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Në programimin e të ardhurave janë marrë në konsideratë efektet e rritjes ekonomike, indeksimi</w:t>
      </w:r>
      <w:r w:rsidR="003278A0" w:rsidRPr="00EE038F">
        <w:rPr>
          <w:rFonts w:ascii="Garamond" w:hAnsi="Garamond" w:cs="Garamond"/>
          <w:sz w:val="24"/>
          <w:szCs w:val="24"/>
        </w:rPr>
        <w:t>,</w:t>
      </w:r>
      <w:r w:rsidRPr="00EE038F">
        <w:rPr>
          <w:rFonts w:ascii="Garamond" w:hAnsi="Garamond" w:cs="Garamond"/>
          <w:sz w:val="24"/>
          <w:szCs w:val="24"/>
        </w:rPr>
        <w:t xml:space="preserve"> si dhe efektet e rritjes së importeve të tatueshme nga vendet jashtë BE-së.</w:t>
      </w:r>
    </w:p>
    <w:p w14:paraId="1060302E" w14:textId="0CD7C346" w:rsidR="004A4C72" w:rsidRPr="00EE038F" w:rsidRDefault="004A4C72" w:rsidP="004A4C72">
      <w:pPr>
        <w:spacing w:after="0" w:line="240" w:lineRule="auto"/>
        <w:ind w:firstLine="284"/>
        <w:jc w:val="both"/>
        <w:rPr>
          <w:rFonts w:ascii="Garamond" w:hAnsi="Garamond" w:cs="Garamond"/>
          <w:b/>
          <w:bCs/>
          <w:sz w:val="24"/>
          <w:szCs w:val="24"/>
        </w:rPr>
      </w:pPr>
      <w:r w:rsidRPr="00EE038F">
        <w:rPr>
          <w:rFonts w:ascii="Garamond" w:hAnsi="Garamond" w:cs="Garamond"/>
          <w:b/>
          <w:bCs/>
          <w:sz w:val="24"/>
          <w:szCs w:val="24"/>
        </w:rPr>
        <w:t xml:space="preserve">Të ardhurat gjithsej nga </w:t>
      </w:r>
      <w:r w:rsidR="00372502" w:rsidRPr="00EE038F">
        <w:rPr>
          <w:rFonts w:ascii="Garamond" w:hAnsi="Garamond" w:cs="Garamond"/>
          <w:b/>
          <w:bCs/>
          <w:sz w:val="24"/>
          <w:szCs w:val="24"/>
        </w:rPr>
        <w:t>kontributet e sigurimeve shoqërore e shëndetës</w:t>
      </w:r>
      <w:r w:rsidRPr="00EE038F">
        <w:rPr>
          <w:rFonts w:ascii="Garamond" w:hAnsi="Garamond" w:cs="Garamond"/>
          <w:b/>
          <w:bCs/>
          <w:sz w:val="24"/>
          <w:szCs w:val="24"/>
        </w:rPr>
        <w:t>ore</w:t>
      </w:r>
      <w:r w:rsidRPr="00EE038F">
        <w:rPr>
          <w:rFonts w:ascii="Garamond" w:hAnsi="Garamond" w:cs="Garamond"/>
          <w:b/>
          <w:bCs/>
          <w:i/>
          <w:iCs/>
          <w:sz w:val="24"/>
          <w:szCs w:val="24"/>
        </w:rPr>
        <w:t xml:space="preserve"> </w:t>
      </w:r>
      <w:r w:rsidRPr="00EE038F">
        <w:rPr>
          <w:rFonts w:ascii="Garamond" w:hAnsi="Garamond" w:cs="Garamond"/>
          <w:sz w:val="24"/>
          <w:szCs w:val="24"/>
        </w:rPr>
        <w:t>janë programuar të jenë rreth</w:t>
      </w:r>
      <w:r w:rsidRPr="00EE038F">
        <w:rPr>
          <w:rFonts w:ascii="Garamond" w:hAnsi="Garamond" w:cs="Garamond"/>
          <w:b/>
          <w:bCs/>
          <w:sz w:val="24"/>
          <w:szCs w:val="24"/>
        </w:rPr>
        <w:t xml:space="preserve"> </w:t>
      </w:r>
      <w:r w:rsidRPr="00EE038F">
        <w:rPr>
          <w:rFonts w:ascii="Garamond" w:hAnsi="Garamond" w:cs="Garamond"/>
          <w:sz w:val="24"/>
          <w:szCs w:val="24"/>
        </w:rPr>
        <w:t xml:space="preserve">169 miliardë lekë, në rritje krahasuar me vitin 2024 prej </w:t>
      </w:r>
      <w:r w:rsidRPr="00EE038F">
        <w:rPr>
          <w:rFonts w:ascii="Garamond" w:hAnsi="Garamond" w:cs="Garamond"/>
          <w:b/>
          <w:bCs/>
          <w:sz w:val="24"/>
          <w:szCs w:val="24"/>
        </w:rPr>
        <w:t xml:space="preserve">+ 10.53 miliardë lekë, ose +6.6%. </w:t>
      </w:r>
      <w:r w:rsidR="003278A0" w:rsidRPr="00EE038F">
        <w:rPr>
          <w:rFonts w:ascii="Garamond" w:hAnsi="Garamond" w:cs="Garamond"/>
          <w:b/>
          <w:bCs/>
          <w:sz w:val="24"/>
          <w:szCs w:val="24"/>
        </w:rPr>
        <w:t>M</w:t>
      </w:r>
      <w:r w:rsidRPr="00EE038F">
        <w:rPr>
          <w:rFonts w:ascii="Garamond" w:hAnsi="Garamond" w:cs="Garamond"/>
          <w:b/>
          <w:bCs/>
          <w:sz w:val="24"/>
          <w:szCs w:val="24"/>
        </w:rPr>
        <w:t>ë 2025</w:t>
      </w:r>
      <w:r w:rsidR="003278A0" w:rsidRPr="00EE038F">
        <w:rPr>
          <w:rFonts w:ascii="Garamond" w:hAnsi="Garamond" w:cs="Garamond"/>
          <w:b/>
          <w:bCs/>
          <w:sz w:val="24"/>
          <w:szCs w:val="24"/>
        </w:rPr>
        <w:t>-n</w:t>
      </w:r>
      <w:r w:rsidRPr="00EE038F">
        <w:rPr>
          <w:rFonts w:ascii="Garamond" w:hAnsi="Garamond" w:cs="Garamond"/>
          <w:b/>
          <w:bCs/>
          <w:sz w:val="24"/>
          <w:szCs w:val="24"/>
        </w:rPr>
        <w:t>, këto të ardhura arrijnë në 6.5% e PPB</w:t>
      </w:r>
      <w:r w:rsidR="005F5899" w:rsidRPr="00EE038F">
        <w:rPr>
          <w:rFonts w:ascii="Garamond" w:hAnsi="Garamond" w:cs="Garamond"/>
          <w:b/>
          <w:bCs/>
          <w:sz w:val="24"/>
          <w:szCs w:val="24"/>
        </w:rPr>
        <w:t>-së</w:t>
      </w:r>
      <w:r w:rsidRPr="00EE038F">
        <w:rPr>
          <w:rFonts w:ascii="Garamond" w:hAnsi="Garamond" w:cs="Garamond"/>
          <w:b/>
          <w:bCs/>
          <w:sz w:val="24"/>
          <w:szCs w:val="24"/>
        </w:rPr>
        <w:t>.</w:t>
      </w:r>
    </w:p>
    <w:p w14:paraId="5525062A" w14:textId="2C0E1690"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Kjo rritje e të ardhurave nga kontributet do të vijë nga</w:t>
      </w:r>
      <w:r w:rsidR="006E3ED1" w:rsidRPr="00EE038F">
        <w:rPr>
          <w:rFonts w:ascii="Garamond" w:hAnsi="Garamond" w:cs="Garamond"/>
          <w:sz w:val="24"/>
          <w:szCs w:val="24"/>
        </w:rPr>
        <w:t>:</w:t>
      </w:r>
      <w:r w:rsidRPr="00EE038F">
        <w:rPr>
          <w:rFonts w:ascii="Garamond" w:hAnsi="Garamond" w:cs="Garamond"/>
          <w:sz w:val="24"/>
          <w:szCs w:val="24"/>
        </w:rPr>
        <w:t xml:space="preserve"> </w:t>
      </w:r>
    </w:p>
    <w:p w14:paraId="086A4E9B" w14:textId="77777777" w:rsidR="004A4C72" w:rsidRPr="00EE038F" w:rsidRDefault="00727F6C" w:rsidP="004A4C72">
      <w:pPr>
        <w:pStyle w:val="ListParagraph"/>
        <w:spacing w:after="0" w:line="240" w:lineRule="auto"/>
        <w:ind w:left="0" w:firstLine="284"/>
        <w:jc w:val="both"/>
        <w:rPr>
          <w:rFonts w:ascii="Garamond" w:hAnsi="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 xml:space="preserve">rritja ekonomike të projektuar me efekt në punësim dhe kontribute, vlerësuar në shumën 4.3 miliardë lekë; </w:t>
      </w:r>
    </w:p>
    <w:p w14:paraId="71563F83" w14:textId="5F2DCB4A" w:rsidR="004A4C72" w:rsidRPr="00EE038F" w:rsidRDefault="00727F6C" w:rsidP="004A4C72">
      <w:pPr>
        <w:pStyle w:val="ListParagraph"/>
        <w:spacing w:after="0" w:line="240" w:lineRule="auto"/>
        <w:ind w:left="0" w:firstLine="284"/>
        <w:jc w:val="both"/>
        <w:rPr>
          <w:rFonts w:ascii="Garamond" w:hAnsi="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efekteve nga rritja e pagave dhe kontributeve si rezultat i zbatimit të reformës së pagave në administratë, vlerësuar në 4.3 miliardë lekë</w:t>
      </w:r>
      <w:r w:rsidR="00A000D1" w:rsidRPr="00EE038F">
        <w:rPr>
          <w:rFonts w:ascii="Garamond" w:hAnsi="Garamond" w:cs="Garamond"/>
          <w:sz w:val="24"/>
          <w:szCs w:val="24"/>
        </w:rPr>
        <w:t>;</w:t>
      </w:r>
      <w:r w:rsidR="004A4C72" w:rsidRPr="00EE038F">
        <w:rPr>
          <w:rFonts w:ascii="Garamond" w:hAnsi="Garamond" w:cs="Garamond"/>
          <w:sz w:val="24"/>
          <w:szCs w:val="24"/>
        </w:rPr>
        <w:t xml:space="preserve"> </w:t>
      </w:r>
    </w:p>
    <w:p w14:paraId="14CF6F11" w14:textId="00C98CD0" w:rsidR="004A4C72" w:rsidRPr="00EE038F" w:rsidRDefault="00727F6C" w:rsidP="004A4C72">
      <w:pPr>
        <w:pStyle w:val="ListParagraph"/>
        <w:spacing w:after="0" w:line="240" w:lineRule="auto"/>
        <w:ind w:left="0" w:firstLine="284"/>
        <w:jc w:val="both"/>
        <w:rPr>
          <w:rFonts w:ascii="Garamond" w:hAnsi="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forcimit të kontrollit të punës në të zezë,</w:t>
      </w:r>
      <w:r w:rsidR="00AD3D9C" w:rsidRPr="00EE038F">
        <w:rPr>
          <w:rFonts w:ascii="Garamond" w:hAnsi="Garamond" w:cs="Garamond"/>
          <w:sz w:val="24"/>
          <w:szCs w:val="24"/>
        </w:rPr>
        <w:t xml:space="preserve"> </w:t>
      </w:r>
      <w:r w:rsidR="004A4C72" w:rsidRPr="00EE038F">
        <w:rPr>
          <w:rFonts w:ascii="Garamond" w:hAnsi="Garamond" w:cs="Garamond"/>
          <w:sz w:val="24"/>
          <w:szCs w:val="24"/>
        </w:rPr>
        <w:t>nivelit të pagës të deklaruar dhe deviacionit të saj nga paga reale që përfitohet vlerësuar me 1 miliardë lekë</w:t>
      </w:r>
      <w:r w:rsidR="00A000D1" w:rsidRPr="00EE038F">
        <w:rPr>
          <w:rFonts w:ascii="Garamond" w:hAnsi="Garamond" w:cs="Garamond"/>
          <w:sz w:val="24"/>
          <w:szCs w:val="24"/>
        </w:rPr>
        <w:t>;</w:t>
      </w:r>
      <w:r w:rsidR="004A4C72" w:rsidRPr="00EE038F">
        <w:rPr>
          <w:rFonts w:ascii="Garamond" w:hAnsi="Garamond" w:cs="Garamond"/>
          <w:sz w:val="24"/>
          <w:szCs w:val="24"/>
        </w:rPr>
        <w:t xml:space="preserve"> dhe </w:t>
      </w:r>
    </w:p>
    <w:p w14:paraId="74E496FF" w14:textId="727F6B8A" w:rsidR="004A4C72" w:rsidRPr="00EE038F" w:rsidRDefault="00727F6C" w:rsidP="004A4C72">
      <w:pPr>
        <w:pStyle w:val="ListParagraph"/>
        <w:spacing w:after="0" w:line="240" w:lineRule="auto"/>
        <w:ind w:left="0"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 xml:space="preserve">të ardhura nga </w:t>
      </w:r>
      <w:r w:rsidR="006E3ED1" w:rsidRPr="00EE038F">
        <w:rPr>
          <w:rFonts w:ascii="Garamond" w:hAnsi="Garamond" w:cs="Garamond"/>
          <w:sz w:val="24"/>
          <w:szCs w:val="24"/>
        </w:rPr>
        <w:t>miradministrim</w:t>
      </w:r>
      <w:r w:rsidR="004A4C72" w:rsidRPr="00EE038F">
        <w:rPr>
          <w:rFonts w:ascii="Garamond" w:hAnsi="Garamond" w:cs="Garamond"/>
          <w:sz w:val="24"/>
          <w:szCs w:val="24"/>
        </w:rPr>
        <w:t xml:space="preserve">i dhe efektet e </w:t>
      </w:r>
      <w:r w:rsidR="00337333" w:rsidRPr="00EE038F">
        <w:rPr>
          <w:rFonts w:ascii="Garamond" w:hAnsi="Garamond" w:cs="Garamond"/>
          <w:sz w:val="24"/>
          <w:szCs w:val="24"/>
        </w:rPr>
        <w:t>draftstrategji</w:t>
      </w:r>
      <w:r w:rsidR="004A4C72" w:rsidRPr="00EE038F">
        <w:rPr>
          <w:rFonts w:ascii="Garamond" w:hAnsi="Garamond" w:cs="Garamond"/>
          <w:sz w:val="24"/>
          <w:szCs w:val="24"/>
        </w:rPr>
        <w:t xml:space="preserve">së </w:t>
      </w:r>
      <w:r w:rsidR="00A000D1" w:rsidRPr="00EE038F">
        <w:rPr>
          <w:rFonts w:ascii="Garamond" w:hAnsi="Garamond" w:cs="Garamond"/>
          <w:sz w:val="24"/>
          <w:szCs w:val="24"/>
        </w:rPr>
        <w:t xml:space="preserve">afatmesme të të ardhurave </w:t>
      </w:r>
      <w:r w:rsidR="004A4C72" w:rsidRPr="00EE038F">
        <w:rPr>
          <w:rFonts w:ascii="Garamond" w:hAnsi="Garamond" w:cs="Garamond"/>
          <w:sz w:val="24"/>
          <w:szCs w:val="24"/>
        </w:rPr>
        <w:t xml:space="preserve">për vitin 2025, vlerësuar me 0.9 miliardë lekë. </w:t>
      </w:r>
    </w:p>
    <w:p w14:paraId="00819AD8" w14:textId="157BBF4C" w:rsidR="004A4C72" w:rsidRPr="00EE038F" w:rsidRDefault="004A4C72" w:rsidP="004A4C72">
      <w:pPr>
        <w:spacing w:after="0" w:line="240" w:lineRule="auto"/>
        <w:ind w:firstLine="284"/>
        <w:jc w:val="both"/>
        <w:rPr>
          <w:rFonts w:ascii="Garamond" w:hAnsi="Garamond" w:cs="Garamond"/>
          <w:b/>
          <w:bCs/>
          <w:sz w:val="24"/>
          <w:szCs w:val="24"/>
        </w:rPr>
      </w:pPr>
      <w:r w:rsidRPr="00EE038F">
        <w:rPr>
          <w:rFonts w:ascii="Garamond" w:hAnsi="Garamond" w:cs="Garamond"/>
          <w:b/>
          <w:bCs/>
          <w:sz w:val="24"/>
          <w:szCs w:val="24"/>
        </w:rPr>
        <w:t xml:space="preserve">Shpenzimet </w:t>
      </w:r>
      <w:r w:rsidR="00A000D1" w:rsidRPr="00EE038F">
        <w:rPr>
          <w:rFonts w:ascii="Garamond" w:hAnsi="Garamond" w:cs="Garamond"/>
          <w:b/>
          <w:bCs/>
          <w:sz w:val="24"/>
          <w:szCs w:val="24"/>
        </w:rPr>
        <w:t xml:space="preserve">buxhetore </w:t>
      </w:r>
      <w:r w:rsidRPr="00EE038F">
        <w:rPr>
          <w:rFonts w:ascii="Garamond" w:hAnsi="Garamond" w:cs="Garamond"/>
          <w:b/>
          <w:bCs/>
          <w:sz w:val="24"/>
          <w:szCs w:val="24"/>
        </w:rPr>
        <w:t>për vitin 2025</w:t>
      </w:r>
    </w:p>
    <w:p w14:paraId="071DFAA8" w14:textId="6492A82D"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b/>
          <w:bCs/>
          <w:sz w:val="24"/>
          <w:szCs w:val="24"/>
        </w:rPr>
        <w:t>Totali i shpenzimeve publike</w:t>
      </w:r>
      <w:r w:rsidRPr="00EE038F">
        <w:rPr>
          <w:rFonts w:ascii="Garamond" w:hAnsi="Garamond" w:cs="Garamond"/>
          <w:sz w:val="24"/>
          <w:szCs w:val="24"/>
        </w:rPr>
        <w:t xml:space="preserve"> për vitin 2025 është planifikuar </w:t>
      </w:r>
      <w:r w:rsidRPr="00EE038F">
        <w:rPr>
          <w:rFonts w:ascii="Garamond" w:hAnsi="Garamond" w:cs="Garamond"/>
          <w:b/>
          <w:bCs/>
          <w:sz w:val="24"/>
          <w:szCs w:val="24"/>
        </w:rPr>
        <w:t>825.08 miliardë lekë</w:t>
      </w:r>
      <w:r w:rsidRPr="00EE038F">
        <w:rPr>
          <w:rFonts w:ascii="Garamond" w:hAnsi="Garamond" w:cs="Garamond"/>
          <w:sz w:val="24"/>
          <w:szCs w:val="24"/>
        </w:rPr>
        <w:t xml:space="preserve"> ose </w:t>
      </w:r>
      <w:r w:rsidRPr="00EE038F">
        <w:rPr>
          <w:rFonts w:ascii="Garamond" w:hAnsi="Garamond" w:cs="Garamond"/>
          <w:b/>
          <w:bCs/>
          <w:sz w:val="24"/>
          <w:szCs w:val="24"/>
        </w:rPr>
        <w:t>31.5% e PBB</w:t>
      </w:r>
      <w:r w:rsidR="00501838" w:rsidRPr="00EE038F">
        <w:rPr>
          <w:rFonts w:ascii="Garamond" w:hAnsi="Garamond" w:cs="Garamond"/>
          <w:b/>
          <w:bCs/>
          <w:sz w:val="24"/>
          <w:szCs w:val="24"/>
        </w:rPr>
        <w:t>-së</w:t>
      </w:r>
      <w:r w:rsidRPr="00EE038F">
        <w:rPr>
          <w:rFonts w:ascii="Garamond" w:hAnsi="Garamond" w:cs="Garamond"/>
          <w:sz w:val="24"/>
          <w:szCs w:val="24"/>
        </w:rPr>
        <w:t>.</w:t>
      </w:r>
    </w:p>
    <w:p w14:paraId="2425BCA0" w14:textId="20A7DAC2"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b/>
          <w:bCs/>
          <w:sz w:val="24"/>
          <w:szCs w:val="24"/>
        </w:rPr>
        <w:t>Shpenzimet e personelit</w:t>
      </w:r>
      <w:r w:rsidRPr="00EE038F">
        <w:rPr>
          <w:rFonts w:ascii="Garamond" w:hAnsi="Garamond" w:cs="Garamond"/>
          <w:sz w:val="24"/>
          <w:szCs w:val="24"/>
        </w:rPr>
        <w:t xml:space="preserve"> për vitin 2025, reflektojnë koston aktuale të </w:t>
      </w:r>
      <w:r w:rsidR="007C27B0" w:rsidRPr="00EE038F">
        <w:rPr>
          <w:rFonts w:ascii="Garamond" w:hAnsi="Garamond" w:cs="Garamond"/>
          <w:sz w:val="24"/>
          <w:szCs w:val="24"/>
        </w:rPr>
        <w:t>administratës publike</w:t>
      </w:r>
      <w:r w:rsidRPr="00EE038F">
        <w:rPr>
          <w:rFonts w:ascii="Garamond" w:hAnsi="Garamond" w:cs="Garamond"/>
          <w:sz w:val="24"/>
          <w:szCs w:val="24"/>
        </w:rPr>
        <w:t xml:space="preserve">, si dhe koston e plotë të politikës së rritjes së pagave të nisur në prill të vitit 2023. Shpenzimet totale për pagat në </w:t>
      </w:r>
      <w:r w:rsidR="0044266D" w:rsidRPr="00EE038F">
        <w:rPr>
          <w:rFonts w:ascii="Garamond" w:hAnsi="Garamond" w:cs="Garamond"/>
          <w:sz w:val="24"/>
          <w:szCs w:val="24"/>
        </w:rPr>
        <w:t xml:space="preserve">administratën publike </w:t>
      </w:r>
      <w:r w:rsidRPr="00EE038F">
        <w:rPr>
          <w:rFonts w:ascii="Garamond" w:hAnsi="Garamond" w:cs="Garamond"/>
          <w:sz w:val="24"/>
          <w:szCs w:val="24"/>
        </w:rPr>
        <w:t xml:space="preserve">në nivel qendror planifikohen në masën </w:t>
      </w:r>
      <w:r w:rsidRPr="00EE038F">
        <w:rPr>
          <w:rFonts w:ascii="Garamond" w:hAnsi="Garamond" w:cs="Garamond"/>
          <w:b/>
          <w:bCs/>
          <w:sz w:val="24"/>
          <w:szCs w:val="24"/>
        </w:rPr>
        <w:t>127.9 miliardë lekë</w:t>
      </w:r>
      <w:r w:rsidRPr="00EE038F">
        <w:rPr>
          <w:rFonts w:ascii="Garamond" w:hAnsi="Garamond" w:cs="Garamond"/>
          <w:sz w:val="24"/>
          <w:szCs w:val="24"/>
        </w:rPr>
        <w:t xml:space="preserve"> ose </w:t>
      </w:r>
      <w:r w:rsidRPr="00EE038F">
        <w:rPr>
          <w:rFonts w:ascii="Garamond" w:hAnsi="Garamond" w:cs="Garamond"/>
          <w:b/>
          <w:bCs/>
          <w:sz w:val="24"/>
          <w:szCs w:val="24"/>
        </w:rPr>
        <w:t>4.9% e PBB</w:t>
      </w:r>
      <w:r w:rsidR="00A74EAA" w:rsidRPr="00EE038F">
        <w:rPr>
          <w:rFonts w:ascii="Garamond" w:hAnsi="Garamond" w:cs="Garamond"/>
          <w:b/>
          <w:bCs/>
          <w:sz w:val="24"/>
          <w:szCs w:val="24"/>
        </w:rPr>
        <w:t>-së</w:t>
      </w:r>
      <w:r w:rsidRPr="00EE038F">
        <w:rPr>
          <w:rFonts w:ascii="Garamond" w:hAnsi="Garamond" w:cs="Garamond"/>
          <w:b/>
          <w:bCs/>
          <w:sz w:val="24"/>
          <w:szCs w:val="24"/>
        </w:rPr>
        <w:t>.</w:t>
      </w:r>
    </w:p>
    <w:p w14:paraId="56C210F1" w14:textId="380DFA8D"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b/>
          <w:bCs/>
          <w:sz w:val="24"/>
          <w:szCs w:val="24"/>
        </w:rPr>
        <w:t xml:space="preserve">Shpenzimet për interesa </w:t>
      </w:r>
      <w:r w:rsidRPr="00EE038F">
        <w:rPr>
          <w:rFonts w:ascii="Garamond" w:hAnsi="Garamond" w:cs="Garamond"/>
          <w:sz w:val="24"/>
          <w:szCs w:val="24"/>
        </w:rPr>
        <w:t xml:space="preserve">parashikohen në nivelin </w:t>
      </w:r>
      <w:r w:rsidRPr="00EE038F">
        <w:rPr>
          <w:rFonts w:ascii="Garamond" w:hAnsi="Garamond" w:cs="Garamond"/>
          <w:b/>
          <w:bCs/>
          <w:sz w:val="24"/>
          <w:szCs w:val="24"/>
        </w:rPr>
        <w:t>68.5 miliardë lekë</w:t>
      </w:r>
      <w:r w:rsidRPr="00EE038F">
        <w:rPr>
          <w:rFonts w:ascii="Garamond" w:hAnsi="Garamond" w:cs="Garamond"/>
          <w:sz w:val="24"/>
          <w:szCs w:val="24"/>
        </w:rPr>
        <w:t xml:space="preserve"> ose </w:t>
      </w:r>
      <w:r w:rsidRPr="00EE038F">
        <w:rPr>
          <w:rFonts w:ascii="Garamond" w:hAnsi="Garamond" w:cs="Garamond"/>
          <w:b/>
          <w:bCs/>
          <w:sz w:val="24"/>
          <w:szCs w:val="24"/>
        </w:rPr>
        <w:t>2.6% të PBB</w:t>
      </w:r>
      <w:r w:rsidR="00A74EAA" w:rsidRPr="00EE038F">
        <w:rPr>
          <w:rFonts w:ascii="Garamond" w:hAnsi="Garamond" w:cs="Garamond"/>
          <w:b/>
          <w:bCs/>
          <w:sz w:val="24"/>
          <w:szCs w:val="24"/>
        </w:rPr>
        <w:t>-së</w:t>
      </w:r>
      <w:r w:rsidRPr="00EE038F">
        <w:rPr>
          <w:rFonts w:ascii="Garamond" w:hAnsi="Garamond" w:cs="Garamond"/>
          <w:sz w:val="24"/>
          <w:szCs w:val="24"/>
        </w:rPr>
        <w:t>, duke përfshirë në të dhe një rezervë prej 5.8 miliardë lekë për të mitiguar risqet e mundshme nga luhatjet e normave të interesit, kursit të këmbimit etj.</w:t>
      </w:r>
    </w:p>
    <w:p w14:paraId="6E10C254" w14:textId="1C54CFC5"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b/>
          <w:bCs/>
          <w:sz w:val="24"/>
          <w:szCs w:val="24"/>
        </w:rPr>
        <w:t>Shpenzimet operative dhe të mirëmbajtjes për qeverisjen qendrore</w:t>
      </w:r>
      <w:r w:rsidRPr="00EE038F">
        <w:rPr>
          <w:rFonts w:ascii="Garamond" w:hAnsi="Garamond" w:cs="Garamond"/>
          <w:sz w:val="24"/>
          <w:szCs w:val="24"/>
        </w:rPr>
        <w:t xml:space="preserve"> për vitin 2025 </w:t>
      </w:r>
      <w:r w:rsidRPr="00EE038F">
        <w:rPr>
          <w:rFonts w:ascii="Garamond" w:hAnsi="Garamond" w:cs="Garamond"/>
          <w:i/>
          <w:iCs/>
          <w:sz w:val="24"/>
          <w:szCs w:val="24"/>
        </w:rPr>
        <w:t>(pa përfshirë shpenzimet që realizohen nga institucione publike, që kanë si burim financimi të ardhurat jashtë limitit),</w:t>
      </w:r>
      <w:r w:rsidRPr="00EE038F">
        <w:rPr>
          <w:rFonts w:ascii="Garamond" w:hAnsi="Garamond" w:cs="Garamond"/>
          <w:sz w:val="24"/>
          <w:szCs w:val="24"/>
        </w:rPr>
        <w:t xml:space="preserve"> janë parashikuar në masën </w:t>
      </w:r>
      <w:r w:rsidRPr="00EE038F">
        <w:rPr>
          <w:rFonts w:ascii="Garamond" w:hAnsi="Garamond" w:cs="Garamond"/>
          <w:b/>
          <w:bCs/>
          <w:sz w:val="24"/>
          <w:szCs w:val="24"/>
        </w:rPr>
        <w:t>71.8 miliardë lekë</w:t>
      </w:r>
      <w:r w:rsidRPr="00EE038F">
        <w:rPr>
          <w:rFonts w:ascii="Garamond" w:hAnsi="Garamond" w:cs="Garamond"/>
          <w:sz w:val="24"/>
          <w:szCs w:val="24"/>
        </w:rPr>
        <w:t xml:space="preserve"> ose rreth </w:t>
      </w:r>
      <w:r w:rsidRPr="00EE038F">
        <w:rPr>
          <w:rFonts w:ascii="Garamond" w:hAnsi="Garamond" w:cs="Garamond"/>
          <w:b/>
          <w:bCs/>
          <w:sz w:val="24"/>
          <w:szCs w:val="24"/>
        </w:rPr>
        <w:t>2.7% e PBB-së</w:t>
      </w:r>
      <w:r w:rsidRPr="00EE038F">
        <w:rPr>
          <w:rFonts w:ascii="Garamond" w:hAnsi="Garamond" w:cs="Garamond"/>
          <w:sz w:val="24"/>
          <w:szCs w:val="24"/>
        </w:rPr>
        <w:t>. Në këtë zë është programuar mbështetja me prioritet e politikave ekzistuese të qeverisjes qendrore</w:t>
      </w:r>
      <w:r w:rsidR="00B70EDE" w:rsidRPr="00EE038F">
        <w:rPr>
          <w:rFonts w:ascii="Garamond" w:hAnsi="Garamond" w:cs="Garamond"/>
          <w:sz w:val="24"/>
          <w:szCs w:val="24"/>
        </w:rPr>
        <w:t>,</w:t>
      </w:r>
      <w:r w:rsidRPr="00EE038F">
        <w:rPr>
          <w:rFonts w:ascii="Garamond" w:hAnsi="Garamond" w:cs="Garamond"/>
          <w:sz w:val="24"/>
          <w:szCs w:val="24"/>
        </w:rPr>
        <w:t xml:space="preserve"> si: skema e fermerëve, mirëmbajtja e rrugëve nacionale, mirëmbajta e sistemeve të teknologjisë së informacionit, programet e nxitjes së punësimit, skemat për mbështetjen e zhvillimit ekonomik dhe mbështetje për arsimin dhe sportin. </w:t>
      </w:r>
    </w:p>
    <w:p w14:paraId="13FC11B2" w14:textId="3492DA29" w:rsidR="004A4C72" w:rsidRPr="00EE038F" w:rsidRDefault="004A4C72" w:rsidP="004A4C72">
      <w:pPr>
        <w:spacing w:after="0" w:line="240" w:lineRule="auto"/>
        <w:ind w:firstLine="284"/>
        <w:jc w:val="both"/>
        <w:rPr>
          <w:rFonts w:ascii="Garamond" w:hAnsi="Garamond" w:cs="Garamond"/>
          <w:b/>
          <w:bCs/>
          <w:sz w:val="24"/>
          <w:szCs w:val="24"/>
        </w:rPr>
      </w:pPr>
      <w:r w:rsidRPr="00EE038F">
        <w:rPr>
          <w:rFonts w:ascii="Garamond" w:hAnsi="Garamond" w:cs="Garamond"/>
          <w:b/>
          <w:bCs/>
          <w:sz w:val="24"/>
          <w:szCs w:val="24"/>
        </w:rPr>
        <w:t>Shpenzimet e buxhetit vendor për vitin 2025</w:t>
      </w:r>
      <w:r w:rsidRPr="00EE038F">
        <w:rPr>
          <w:rFonts w:ascii="Garamond" w:hAnsi="Garamond" w:cs="Garamond"/>
          <w:sz w:val="24"/>
          <w:szCs w:val="24"/>
        </w:rPr>
        <w:t>,</w:t>
      </w:r>
      <w:r w:rsidRPr="00EE038F">
        <w:rPr>
          <w:rFonts w:ascii="Garamond" w:hAnsi="Garamond" w:cs="Garamond"/>
          <w:b/>
          <w:bCs/>
          <w:sz w:val="24"/>
          <w:szCs w:val="24"/>
        </w:rPr>
        <w:t xml:space="preserve"> </w:t>
      </w:r>
      <w:r w:rsidRPr="00EE038F">
        <w:rPr>
          <w:rFonts w:ascii="Garamond" w:hAnsi="Garamond" w:cs="Garamond"/>
          <w:sz w:val="24"/>
          <w:szCs w:val="24"/>
        </w:rPr>
        <w:t xml:space="preserve">janë parashikuar në masën </w:t>
      </w:r>
      <w:r w:rsidRPr="00EE038F">
        <w:rPr>
          <w:rFonts w:ascii="Garamond" w:hAnsi="Garamond" w:cs="Garamond"/>
          <w:b/>
          <w:bCs/>
          <w:sz w:val="24"/>
          <w:szCs w:val="24"/>
        </w:rPr>
        <w:t>89.9 miliardë lekë</w:t>
      </w:r>
      <w:r w:rsidRPr="00EE038F">
        <w:rPr>
          <w:rFonts w:ascii="Garamond" w:hAnsi="Garamond" w:cs="Garamond"/>
          <w:sz w:val="24"/>
          <w:szCs w:val="24"/>
        </w:rPr>
        <w:t>, me një rritje prej 13.2% më shumë se buxheti i vitit 2024.</w:t>
      </w:r>
      <w:r w:rsidR="00AD3D9C" w:rsidRPr="00EE038F">
        <w:rPr>
          <w:rFonts w:ascii="Garamond" w:hAnsi="Garamond" w:cs="Garamond"/>
          <w:sz w:val="24"/>
          <w:szCs w:val="24"/>
        </w:rPr>
        <w:t xml:space="preserve"> </w:t>
      </w:r>
      <w:r w:rsidRPr="00EE038F">
        <w:rPr>
          <w:rFonts w:ascii="Garamond" w:hAnsi="Garamond" w:cs="Garamond"/>
          <w:sz w:val="24"/>
          <w:szCs w:val="24"/>
        </w:rPr>
        <w:t xml:space="preserve">Këto shpenzime për vitin 2025, zënë </w:t>
      </w:r>
      <w:r w:rsidRPr="00EE038F">
        <w:rPr>
          <w:rFonts w:ascii="Garamond" w:hAnsi="Garamond" w:cs="Garamond"/>
          <w:b/>
          <w:bCs/>
          <w:sz w:val="24"/>
          <w:szCs w:val="24"/>
        </w:rPr>
        <w:t>3.43% të PBB-së</w:t>
      </w:r>
      <w:r w:rsidRPr="00EE038F">
        <w:rPr>
          <w:rFonts w:ascii="Garamond" w:hAnsi="Garamond" w:cs="Garamond"/>
          <w:sz w:val="24"/>
          <w:szCs w:val="24"/>
        </w:rPr>
        <w:t xml:space="preserve"> nga 2.9 që zinin në vitin 2024 ose nga 2.3% në vitin 2015. Transferta e pakushtëzuar për vitin 2025, krahasuar me vitin 2024 është </w:t>
      </w:r>
      <w:r w:rsidRPr="00EE038F">
        <w:rPr>
          <w:rFonts w:ascii="Garamond" w:hAnsi="Garamond" w:cs="Garamond"/>
          <w:b/>
          <w:bCs/>
          <w:sz w:val="24"/>
          <w:szCs w:val="24"/>
        </w:rPr>
        <w:t>1.8 miliard</w:t>
      </w:r>
      <w:r w:rsidR="00B70EDE" w:rsidRPr="00EE038F">
        <w:rPr>
          <w:rFonts w:ascii="Garamond" w:hAnsi="Garamond" w:cs="Garamond"/>
          <w:b/>
          <w:bCs/>
          <w:sz w:val="24"/>
          <w:szCs w:val="24"/>
        </w:rPr>
        <w:t>ë</w:t>
      </w:r>
      <w:r w:rsidRPr="00EE038F">
        <w:rPr>
          <w:rFonts w:ascii="Garamond" w:hAnsi="Garamond" w:cs="Garamond"/>
          <w:b/>
          <w:bCs/>
          <w:sz w:val="24"/>
          <w:szCs w:val="24"/>
        </w:rPr>
        <w:t xml:space="preserve"> lekë më shumë</w:t>
      </w:r>
      <w:r w:rsidRPr="00EE038F">
        <w:rPr>
          <w:rFonts w:ascii="Garamond" w:hAnsi="Garamond" w:cs="Garamond"/>
          <w:sz w:val="24"/>
          <w:szCs w:val="24"/>
        </w:rPr>
        <w:t xml:space="preserve"> ose rreth 7.6% më e lartë, dhe krahasuar me vitin 2015 (viti para zbatimit të reformës administrativo-territoriale), është </w:t>
      </w:r>
      <w:r w:rsidRPr="00EE038F">
        <w:rPr>
          <w:rFonts w:ascii="Garamond" w:hAnsi="Garamond" w:cs="Garamond"/>
          <w:b/>
          <w:bCs/>
          <w:sz w:val="24"/>
          <w:szCs w:val="24"/>
        </w:rPr>
        <w:t>13.9 miliardë lekë më shumë ose mbi dy herë më e lartë</w:t>
      </w:r>
      <w:r w:rsidRPr="00EE038F">
        <w:rPr>
          <w:rFonts w:ascii="Garamond" w:hAnsi="Garamond" w:cs="Garamond"/>
          <w:sz w:val="24"/>
          <w:szCs w:val="24"/>
        </w:rPr>
        <w:t>. Në transfertën e pakushtëzuar të parashikuar për vitin 2025, 26.2 miliard</w:t>
      </w:r>
      <w:r w:rsidR="002C7A38">
        <w:rPr>
          <w:rFonts w:ascii="Garamond" w:hAnsi="Garamond" w:cs="Garamond"/>
          <w:sz w:val="24"/>
          <w:szCs w:val="24"/>
        </w:rPr>
        <w:t>ë</w:t>
      </w:r>
      <w:r w:rsidRPr="00EE038F">
        <w:rPr>
          <w:rFonts w:ascii="Garamond" w:hAnsi="Garamond" w:cs="Garamond"/>
          <w:sz w:val="24"/>
          <w:szCs w:val="24"/>
        </w:rPr>
        <w:t xml:space="preserve"> lekë, do të shtohen edhe fondet prej 13.2 miliard</w:t>
      </w:r>
      <w:r w:rsidR="00B862C9" w:rsidRPr="00EE038F">
        <w:rPr>
          <w:rFonts w:ascii="Garamond" w:hAnsi="Garamond" w:cs="Garamond"/>
          <w:sz w:val="24"/>
          <w:szCs w:val="24"/>
        </w:rPr>
        <w:t>ë</w:t>
      </w:r>
      <w:r w:rsidRPr="00EE038F">
        <w:rPr>
          <w:rFonts w:ascii="Garamond" w:hAnsi="Garamond" w:cs="Garamond"/>
          <w:sz w:val="24"/>
          <w:szCs w:val="24"/>
        </w:rPr>
        <w:t xml:space="preserve"> lekë</w:t>
      </w:r>
      <w:r w:rsidR="00B862C9" w:rsidRPr="00EE038F">
        <w:rPr>
          <w:rFonts w:ascii="Garamond" w:hAnsi="Garamond" w:cs="Garamond"/>
          <w:sz w:val="24"/>
          <w:szCs w:val="24"/>
        </w:rPr>
        <w:t>,</w:t>
      </w:r>
      <w:r w:rsidRPr="00EE038F">
        <w:rPr>
          <w:rFonts w:ascii="Garamond" w:hAnsi="Garamond" w:cs="Garamond"/>
          <w:sz w:val="24"/>
          <w:szCs w:val="24"/>
        </w:rPr>
        <w:t xml:space="preserve"> transfertë e pakushtëzuar sektoriale për funksionet e reja,</w:t>
      </w:r>
      <w:r w:rsidR="00AD3D9C" w:rsidRPr="00EE038F">
        <w:rPr>
          <w:rFonts w:ascii="Garamond" w:hAnsi="Garamond" w:cs="Garamond"/>
          <w:sz w:val="24"/>
          <w:szCs w:val="24"/>
        </w:rPr>
        <w:t xml:space="preserve"> </w:t>
      </w:r>
      <w:r w:rsidRPr="00EE038F">
        <w:rPr>
          <w:rFonts w:ascii="Garamond" w:hAnsi="Garamond" w:cs="Garamond"/>
          <w:sz w:val="24"/>
          <w:szCs w:val="24"/>
        </w:rPr>
        <w:t>200 milion</w:t>
      </w:r>
      <w:r w:rsidR="00B862C9" w:rsidRPr="00EE038F">
        <w:rPr>
          <w:rFonts w:ascii="Garamond" w:hAnsi="Garamond" w:cs="Garamond"/>
          <w:sz w:val="24"/>
          <w:szCs w:val="24"/>
        </w:rPr>
        <w:t>ë</w:t>
      </w:r>
      <w:r w:rsidRPr="00EE038F">
        <w:rPr>
          <w:rFonts w:ascii="Garamond" w:hAnsi="Garamond" w:cs="Garamond"/>
          <w:sz w:val="24"/>
          <w:szCs w:val="24"/>
        </w:rPr>
        <w:t xml:space="preserve"> lekë grant performanc</w:t>
      </w:r>
      <w:r w:rsidR="00B862C9" w:rsidRPr="00EE038F">
        <w:rPr>
          <w:rFonts w:ascii="Garamond" w:hAnsi="Garamond" w:cs="Garamond"/>
          <w:sz w:val="24"/>
          <w:szCs w:val="24"/>
        </w:rPr>
        <w:t>ë e</w:t>
      </w:r>
      <w:r w:rsidRPr="00EE038F">
        <w:rPr>
          <w:rFonts w:ascii="Garamond" w:hAnsi="Garamond" w:cs="Garamond"/>
          <w:sz w:val="24"/>
          <w:szCs w:val="24"/>
        </w:rPr>
        <w:t xml:space="preserve"> cil</w:t>
      </w:r>
      <w:r w:rsidR="00B862C9" w:rsidRPr="00EE038F">
        <w:rPr>
          <w:rFonts w:ascii="Garamond" w:hAnsi="Garamond" w:cs="Garamond"/>
          <w:sz w:val="24"/>
          <w:szCs w:val="24"/>
        </w:rPr>
        <w:t xml:space="preserve">a </w:t>
      </w:r>
      <w:r w:rsidRPr="00EE038F">
        <w:rPr>
          <w:rFonts w:ascii="Garamond" w:hAnsi="Garamond" w:cs="Garamond"/>
          <w:sz w:val="24"/>
          <w:szCs w:val="24"/>
        </w:rPr>
        <w:t>përdoret për herë të parë si mekanizëm financiar në qeverisjen vendore</w:t>
      </w:r>
      <w:r w:rsidR="000A046C" w:rsidRPr="00EE038F">
        <w:rPr>
          <w:rFonts w:ascii="Garamond" w:hAnsi="Garamond" w:cs="Garamond"/>
          <w:sz w:val="24"/>
          <w:szCs w:val="24"/>
        </w:rPr>
        <w:t>,</w:t>
      </w:r>
      <w:r w:rsidRPr="00EE038F">
        <w:rPr>
          <w:rFonts w:ascii="Garamond" w:hAnsi="Garamond" w:cs="Garamond"/>
          <w:sz w:val="24"/>
          <w:szCs w:val="24"/>
        </w:rPr>
        <w:t xml:space="preserve"> si dhe </w:t>
      </w:r>
      <w:r w:rsidRPr="00EE038F">
        <w:rPr>
          <w:rFonts w:ascii="Garamond" w:hAnsi="Garamond" w:cs="Garamond"/>
          <w:sz w:val="24"/>
          <w:szCs w:val="24"/>
        </w:rPr>
        <w:lastRenderedPageBreak/>
        <w:t>3.5 miliard</w:t>
      </w:r>
      <w:r w:rsidR="000A046C" w:rsidRPr="00EE038F">
        <w:rPr>
          <w:rFonts w:ascii="Garamond" w:hAnsi="Garamond" w:cs="Garamond"/>
          <w:sz w:val="24"/>
          <w:szCs w:val="24"/>
        </w:rPr>
        <w:t xml:space="preserve">ë </w:t>
      </w:r>
      <w:r w:rsidRPr="00EE038F">
        <w:rPr>
          <w:rFonts w:ascii="Garamond" w:hAnsi="Garamond" w:cs="Garamond"/>
          <w:sz w:val="24"/>
          <w:szCs w:val="24"/>
        </w:rPr>
        <w:t>lekë transfertë sektoriale për rritjen e pagave. Në total, në vitin 2025, granti nga buxheti i shtetit për pushtetin vendor do të jetë në shumën 43.1 miliard</w:t>
      </w:r>
      <w:r w:rsidR="000A046C" w:rsidRPr="00EE038F">
        <w:rPr>
          <w:rFonts w:ascii="Garamond" w:hAnsi="Garamond" w:cs="Garamond"/>
          <w:sz w:val="24"/>
          <w:szCs w:val="24"/>
        </w:rPr>
        <w:t>ë</w:t>
      </w:r>
      <w:r w:rsidRPr="00EE038F">
        <w:rPr>
          <w:rFonts w:ascii="Garamond" w:hAnsi="Garamond" w:cs="Garamond"/>
          <w:sz w:val="24"/>
          <w:szCs w:val="24"/>
        </w:rPr>
        <w:t xml:space="preserve"> lekë nga 36.5 miliard</w:t>
      </w:r>
      <w:r w:rsidR="000A046C" w:rsidRPr="00EE038F">
        <w:rPr>
          <w:rFonts w:ascii="Garamond" w:hAnsi="Garamond" w:cs="Garamond"/>
          <w:sz w:val="24"/>
          <w:szCs w:val="24"/>
        </w:rPr>
        <w:t>ë</w:t>
      </w:r>
      <w:r w:rsidRPr="00EE038F">
        <w:rPr>
          <w:rFonts w:ascii="Garamond" w:hAnsi="Garamond" w:cs="Garamond"/>
          <w:sz w:val="24"/>
          <w:szCs w:val="24"/>
        </w:rPr>
        <w:t xml:space="preserve"> </w:t>
      </w:r>
      <w:r w:rsidR="000A046C" w:rsidRPr="00EE038F">
        <w:rPr>
          <w:rFonts w:ascii="Garamond" w:hAnsi="Garamond" w:cs="Garamond"/>
          <w:sz w:val="24"/>
          <w:szCs w:val="24"/>
        </w:rPr>
        <w:t>m</w:t>
      </w:r>
      <w:r w:rsidRPr="00EE038F">
        <w:rPr>
          <w:rFonts w:ascii="Garamond" w:hAnsi="Garamond" w:cs="Garamond"/>
          <w:sz w:val="24"/>
          <w:szCs w:val="24"/>
        </w:rPr>
        <w:t>ë 2024</w:t>
      </w:r>
      <w:r w:rsidR="000A046C" w:rsidRPr="00EE038F">
        <w:rPr>
          <w:rFonts w:ascii="Garamond" w:hAnsi="Garamond" w:cs="Garamond"/>
          <w:sz w:val="24"/>
          <w:szCs w:val="24"/>
        </w:rPr>
        <w:t>-n</w:t>
      </w:r>
      <w:r w:rsidRPr="00EE038F">
        <w:rPr>
          <w:rFonts w:ascii="Garamond" w:hAnsi="Garamond" w:cs="Garamond"/>
          <w:sz w:val="24"/>
          <w:szCs w:val="24"/>
        </w:rPr>
        <w:t xml:space="preserve"> me një rritje prej</w:t>
      </w:r>
      <w:r w:rsidR="00AD3D9C" w:rsidRPr="00EE038F">
        <w:rPr>
          <w:rFonts w:ascii="Garamond" w:hAnsi="Garamond" w:cs="Garamond"/>
          <w:sz w:val="24"/>
          <w:szCs w:val="24"/>
        </w:rPr>
        <w:t xml:space="preserve"> </w:t>
      </w:r>
      <w:r w:rsidRPr="00EE038F">
        <w:rPr>
          <w:rFonts w:ascii="Garamond" w:hAnsi="Garamond" w:cs="Garamond"/>
          <w:sz w:val="24"/>
          <w:szCs w:val="24"/>
        </w:rPr>
        <w:t>6.6 miliardë lekë ose me një rritje prej 18%.</w:t>
      </w:r>
    </w:p>
    <w:p w14:paraId="483F92D6" w14:textId="073758A7"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b/>
          <w:bCs/>
          <w:sz w:val="24"/>
          <w:szCs w:val="24"/>
        </w:rPr>
        <w:t>Shpenzimet e fondeve speciale që</w:t>
      </w:r>
      <w:r w:rsidRPr="00EE038F">
        <w:rPr>
          <w:rFonts w:ascii="Garamond" w:hAnsi="Garamond" w:cs="Garamond"/>
          <w:sz w:val="24"/>
          <w:szCs w:val="24"/>
        </w:rPr>
        <w:t xml:space="preserve"> përfshin shpenzimet totale për </w:t>
      </w:r>
      <w:r w:rsidR="00187861" w:rsidRPr="00EE038F">
        <w:rPr>
          <w:rFonts w:ascii="Garamond" w:hAnsi="Garamond" w:cs="Garamond"/>
          <w:sz w:val="24"/>
          <w:szCs w:val="24"/>
        </w:rPr>
        <w:t xml:space="preserve">fondet e sigurimeve shoqërore, shëndetësore </w:t>
      </w:r>
      <w:r w:rsidRPr="00EE038F">
        <w:rPr>
          <w:rFonts w:ascii="Garamond" w:hAnsi="Garamond" w:cs="Garamond"/>
          <w:sz w:val="24"/>
          <w:szCs w:val="24"/>
        </w:rPr>
        <w:t xml:space="preserve">dhe kompensimin në vlerë të ish-pronarëve, janë planifikuar në vlerën prej </w:t>
      </w:r>
      <w:r w:rsidRPr="00EE038F">
        <w:rPr>
          <w:rFonts w:ascii="Garamond" w:hAnsi="Garamond" w:cs="Garamond"/>
          <w:b/>
          <w:bCs/>
          <w:sz w:val="24"/>
          <w:szCs w:val="24"/>
        </w:rPr>
        <w:t>263.8 miliardë lekë.</w:t>
      </w:r>
      <w:r w:rsidRPr="00EE038F">
        <w:rPr>
          <w:rFonts w:ascii="Garamond" w:hAnsi="Garamond" w:cs="Garamond"/>
          <w:sz w:val="24"/>
          <w:szCs w:val="24"/>
        </w:rPr>
        <w:t xml:space="preserve"> Niveli i shpenzimeve për </w:t>
      </w:r>
      <w:r w:rsidRPr="00EE038F">
        <w:rPr>
          <w:rFonts w:ascii="Garamond" w:hAnsi="Garamond" w:cs="Garamond"/>
          <w:i/>
          <w:iCs/>
          <w:sz w:val="24"/>
          <w:szCs w:val="24"/>
        </w:rPr>
        <w:t>Skemën e Sigurimeve Shoqërore</w:t>
      </w:r>
      <w:r w:rsidRPr="00EE038F">
        <w:rPr>
          <w:rFonts w:ascii="Garamond" w:hAnsi="Garamond" w:cs="Garamond"/>
          <w:sz w:val="24"/>
          <w:szCs w:val="24"/>
        </w:rPr>
        <w:t xml:space="preserve"> për vitin 2025, parashikohet në masën </w:t>
      </w:r>
      <w:r w:rsidRPr="00EE038F">
        <w:rPr>
          <w:rFonts w:ascii="Garamond" w:hAnsi="Garamond" w:cs="Garamond"/>
          <w:b/>
          <w:bCs/>
          <w:sz w:val="24"/>
          <w:szCs w:val="24"/>
        </w:rPr>
        <w:t>192.3 miliardë lekë</w:t>
      </w:r>
      <w:r w:rsidRPr="00EE038F">
        <w:rPr>
          <w:rFonts w:ascii="Garamond" w:hAnsi="Garamond" w:cs="Garamond"/>
          <w:sz w:val="24"/>
          <w:szCs w:val="24"/>
        </w:rPr>
        <w:t xml:space="preserve"> ose </w:t>
      </w:r>
      <w:r w:rsidRPr="00EE038F">
        <w:rPr>
          <w:rFonts w:ascii="Garamond" w:hAnsi="Garamond" w:cs="Garamond"/>
          <w:b/>
          <w:bCs/>
          <w:sz w:val="24"/>
          <w:szCs w:val="24"/>
        </w:rPr>
        <w:t>7.3% e PBB</w:t>
      </w:r>
      <w:r w:rsidR="00187861" w:rsidRPr="00EE038F">
        <w:rPr>
          <w:rFonts w:ascii="Garamond" w:hAnsi="Garamond" w:cs="Garamond"/>
          <w:b/>
          <w:bCs/>
          <w:sz w:val="24"/>
          <w:szCs w:val="24"/>
        </w:rPr>
        <w:t>-së</w:t>
      </w:r>
      <w:r w:rsidRPr="00EE038F">
        <w:rPr>
          <w:rFonts w:ascii="Garamond" w:hAnsi="Garamond" w:cs="Garamond"/>
          <w:sz w:val="24"/>
          <w:szCs w:val="24"/>
        </w:rPr>
        <w:t xml:space="preserve">. Nga ky fond, për indeksimin e pensioneve është parashikuar niveli prej </w:t>
      </w:r>
      <w:r w:rsidRPr="00EE038F">
        <w:rPr>
          <w:rFonts w:ascii="Garamond" w:hAnsi="Garamond" w:cs="Garamond"/>
          <w:b/>
          <w:bCs/>
          <w:sz w:val="24"/>
          <w:szCs w:val="24"/>
        </w:rPr>
        <w:t xml:space="preserve">1.6 miliardë lekë </w:t>
      </w:r>
      <w:r w:rsidRPr="00EE038F">
        <w:rPr>
          <w:rFonts w:ascii="Garamond" w:hAnsi="Garamond" w:cs="Garamond"/>
          <w:sz w:val="24"/>
          <w:szCs w:val="24"/>
        </w:rPr>
        <w:t xml:space="preserve">dhe </w:t>
      </w:r>
      <w:r w:rsidRPr="00EE038F">
        <w:rPr>
          <w:rFonts w:ascii="Garamond" w:hAnsi="Garamond" w:cs="Garamond"/>
          <w:b/>
          <w:bCs/>
          <w:sz w:val="24"/>
          <w:szCs w:val="24"/>
        </w:rPr>
        <w:t>3.75 miliardë lekë</w:t>
      </w:r>
      <w:r w:rsidRPr="00EE038F">
        <w:rPr>
          <w:rFonts w:ascii="Garamond" w:hAnsi="Garamond" w:cs="Garamond"/>
          <w:sz w:val="24"/>
          <w:szCs w:val="24"/>
        </w:rPr>
        <w:t xml:space="preserve"> për bonusin e fundvitit për pensionistët. Ndërsa, shpenzimet e </w:t>
      </w:r>
      <w:r w:rsidRPr="00EE038F">
        <w:rPr>
          <w:rFonts w:ascii="Garamond" w:hAnsi="Garamond" w:cs="Garamond"/>
          <w:i/>
          <w:iCs/>
          <w:sz w:val="24"/>
          <w:szCs w:val="24"/>
        </w:rPr>
        <w:t>Skemës së Sigurimeve të Kujdesit Shëndetësor</w:t>
      </w:r>
      <w:r w:rsidRPr="00EE038F">
        <w:rPr>
          <w:rFonts w:ascii="Garamond" w:hAnsi="Garamond" w:cs="Garamond"/>
          <w:sz w:val="24"/>
          <w:szCs w:val="24"/>
        </w:rPr>
        <w:t xml:space="preserve"> për vitin 2025 janë parashikuar në masën </w:t>
      </w:r>
      <w:r w:rsidRPr="00EE038F">
        <w:rPr>
          <w:rFonts w:ascii="Garamond" w:hAnsi="Garamond" w:cs="Garamond"/>
          <w:b/>
          <w:bCs/>
          <w:sz w:val="24"/>
          <w:szCs w:val="24"/>
        </w:rPr>
        <w:t>63.1 miliardë lekë</w:t>
      </w:r>
      <w:r w:rsidRPr="00EE038F">
        <w:rPr>
          <w:rFonts w:ascii="Garamond" w:hAnsi="Garamond" w:cs="Garamond"/>
          <w:sz w:val="24"/>
          <w:szCs w:val="24"/>
        </w:rPr>
        <w:t xml:space="preserve"> ose </w:t>
      </w:r>
      <w:r w:rsidRPr="00EE038F">
        <w:rPr>
          <w:rFonts w:ascii="Garamond" w:hAnsi="Garamond" w:cs="Garamond"/>
          <w:b/>
          <w:bCs/>
          <w:sz w:val="24"/>
          <w:szCs w:val="24"/>
        </w:rPr>
        <w:t>2.4% e PBB</w:t>
      </w:r>
      <w:r w:rsidR="00C1585E" w:rsidRPr="00EE038F">
        <w:rPr>
          <w:rFonts w:ascii="Garamond" w:hAnsi="Garamond" w:cs="Garamond"/>
          <w:b/>
          <w:bCs/>
          <w:sz w:val="24"/>
          <w:szCs w:val="24"/>
        </w:rPr>
        <w:t>-së</w:t>
      </w:r>
      <w:r w:rsidR="002D0DDC" w:rsidRPr="00EE038F">
        <w:rPr>
          <w:rFonts w:ascii="Garamond" w:hAnsi="Garamond" w:cs="Garamond"/>
          <w:sz w:val="24"/>
          <w:szCs w:val="24"/>
        </w:rPr>
        <w:t>.</w:t>
      </w:r>
    </w:p>
    <w:p w14:paraId="49F0E5EC" w14:textId="3886C682"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 xml:space="preserve">Së fundi, shpenzimet për </w:t>
      </w:r>
      <w:r w:rsidRPr="00EE038F">
        <w:rPr>
          <w:rFonts w:ascii="Garamond" w:hAnsi="Garamond" w:cs="Garamond"/>
          <w:b/>
          <w:bCs/>
          <w:sz w:val="24"/>
          <w:szCs w:val="24"/>
        </w:rPr>
        <w:t>Fondin e Kompensimit në vlerë të Pronarëve</w:t>
      </w:r>
      <w:r w:rsidRPr="00EE038F">
        <w:rPr>
          <w:rFonts w:ascii="Garamond" w:hAnsi="Garamond" w:cs="Garamond"/>
          <w:sz w:val="24"/>
          <w:szCs w:val="24"/>
        </w:rPr>
        <w:t xml:space="preserve"> parashikohen në total në masën </w:t>
      </w:r>
      <w:r w:rsidRPr="00EE038F">
        <w:rPr>
          <w:rFonts w:ascii="Garamond" w:hAnsi="Garamond" w:cs="Garamond"/>
          <w:b/>
          <w:bCs/>
          <w:sz w:val="24"/>
          <w:szCs w:val="24"/>
        </w:rPr>
        <w:t>3 miliardë lekë</w:t>
      </w:r>
      <w:r w:rsidRPr="00EE038F">
        <w:rPr>
          <w:rFonts w:ascii="Garamond" w:hAnsi="Garamond" w:cs="Garamond"/>
          <w:sz w:val="24"/>
          <w:szCs w:val="24"/>
        </w:rPr>
        <w:t xml:space="preserve"> ose 0.1% e PBB</w:t>
      </w:r>
      <w:r w:rsidR="00C1585E" w:rsidRPr="00EE038F">
        <w:rPr>
          <w:rFonts w:ascii="Garamond" w:hAnsi="Garamond" w:cs="Garamond"/>
          <w:sz w:val="24"/>
          <w:szCs w:val="24"/>
        </w:rPr>
        <w:t>-së</w:t>
      </w:r>
      <w:r w:rsidRPr="00EE038F">
        <w:rPr>
          <w:rFonts w:ascii="Garamond" w:hAnsi="Garamond" w:cs="Garamond"/>
          <w:sz w:val="24"/>
          <w:szCs w:val="24"/>
        </w:rPr>
        <w:t>.</w:t>
      </w:r>
    </w:p>
    <w:p w14:paraId="39B161D5" w14:textId="77777777"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b/>
          <w:bCs/>
          <w:sz w:val="24"/>
          <w:szCs w:val="24"/>
        </w:rPr>
        <w:t>Shpenzime të tjera sociale</w:t>
      </w:r>
      <w:r w:rsidRPr="00EE038F">
        <w:rPr>
          <w:rFonts w:ascii="Garamond" w:hAnsi="Garamond" w:cs="Garamond"/>
          <w:sz w:val="24"/>
          <w:szCs w:val="24"/>
        </w:rPr>
        <w:t>, përfshin fondet për pagesën e papunësisë, aftësisë së kufizuar, ndihmës ekonomike, dëmshpërblimin e ish-të përndjekurve politikë dhe bonusin e lindjeve.</w:t>
      </w:r>
    </w:p>
    <w:p w14:paraId="6502ECB6" w14:textId="77777777" w:rsidR="004A4C72" w:rsidRPr="00EE038F" w:rsidRDefault="00727F6C" w:rsidP="004A4C72">
      <w:pPr>
        <w:tabs>
          <w:tab w:val="left" w:pos="720"/>
        </w:tabs>
        <w:spacing w:after="0" w:line="240" w:lineRule="auto"/>
        <w:ind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 xml:space="preserve">Shpenzimet për pagesën e papunësisë parashikohen në nivelin </w:t>
      </w:r>
      <w:r w:rsidR="004A4C72" w:rsidRPr="00EE038F">
        <w:rPr>
          <w:rFonts w:ascii="Garamond" w:hAnsi="Garamond" w:cs="Garamond"/>
          <w:b/>
          <w:bCs/>
          <w:sz w:val="24"/>
          <w:szCs w:val="24"/>
        </w:rPr>
        <w:t>800 milionë lekë</w:t>
      </w:r>
      <w:r w:rsidR="004A4C72" w:rsidRPr="00EE038F">
        <w:rPr>
          <w:rFonts w:ascii="Garamond" w:hAnsi="Garamond" w:cs="Garamond"/>
          <w:sz w:val="24"/>
          <w:szCs w:val="24"/>
        </w:rPr>
        <w:t xml:space="preserve">; </w:t>
      </w:r>
    </w:p>
    <w:p w14:paraId="3C3FF522" w14:textId="65468C6B" w:rsidR="004A4C72" w:rsidRPr="00EE038F" w:rsidRDefault="00AB3CC2" w:rsidP="004A4C72">
      <w:pPr>
        <w:tabs>
          <w:tab w:val="left" w:pos="720"/>
        </w:tabs>
        <w:spacing w:after="0" w:line="240" w:lineRule="auto"/>
        <w:ind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 xml:space="preserve">Shpenzimet për pagesën e ndihmës ekonomike dhe aftësisë së kufizuar parashikohen në nivelin </w:t>
      </w:r>
      <w:r w:rsidR="004A4C72" w:rsidRPr="00EE038F">
        <w:rPr>
          <w:rFonts w:ascii="Garamond" w:hAnsi="Garamond" w:cs="Garamond"/>
          <w:b/>
          <w:bCs/>
          <w:sz w:val="24"/>
          <w:szCs w:val="24"/>
        </w:rPr>
        <w:t xml:space="preserve">23.7 miliardë lekë </w:t>
      </w:r>
      <w:r w:rsidR="004A4C72" w:rsidRPr="00EE038F">
        <w:rPr>
          <w:rFonts w:ascii="Garamond" w:hAnsi="Garamond" w:cs="Garamond"/>
          <w:sz w:val="24"/>
          <w:szCs w:val="24"/>
        </w:rPr>
        <w:t>ose 0.9% e PBB</w:t>
      </w:r>
      <w:r w:rsidR="00DF6057" w:rsidRPr="00EE038F">
        <w:rPr>
          <w:rFonts w:ascii="Garamond" w:hAnsi="Garamond" w:cs="Garamond"/>
          <w:sz w:val="24"/>
          <w:szCs w:val="24"/>
        </w:rPr>
        <w:t>-së</w:t>
      </w:r>
      <w:r w:rsidR="004A4C72" w:rsidRPr="00EE038F">
        <w:rPr>
          <w:rFonts w:ascii="Garamond" w:hAnsi="Garamond" w:cs="Garamond"/>
          <w:sz w:val="24"/>
          <w:szCs w:val="24"/>
        </w:rPr>
        <w:t>. Krahasuar me vitin 2024, totali i këtij zëri rezulton me ulje</w:t>
      </w:r>
      <w:r w:rsidR="003B767B" w:rsidRPr="00EE038F">
        <w:rPr>
          <w:rFonts w:ascii="Garamond" w:hAnsi="Garamond" w:cs="Garamond"/>
          <w:sz w:val="24"/>
          <w:szCs w:val="24"/>
        </w:rPr>
        <w:t>,</w:t>
      </w:r>
      <w:r w:rsidR="004A4C72" w:rsidRPr="00EE038F">
        <w:rPr>
          <w:rFonts w:ascii="Garamond" w:hAnsi="Garamond" w:cs="Garamond"/>
          <w:sz w:val="24"/>
          <w:szCs w:val="24"/>
        </w:rPr>
        <w:t xml:space="preserve"> pasi reflekton në tërësi një rialokim prej rreth 2.8 miliardë lekë te shpenzimet për </w:t>
      </w:r>
      <w:r w:rsidR="00372502" w:rsidRPr="00EE038F">
        <w:rPr>
          <w:rFonts w:ascii="Garamond" w:hAnsi="Garamond" w:cs="Garamond"/>
          <w:sz w:val="24"/>
          <w:szCs w:val="24"/>
        </w:rPr>
        <w:t>fondin e sigurimeve shoqërore, në m</w:t>
      </w:r>
      <w:r w:rsidR="004A4C72" w:rsidRPr="00EE038F">
        <w:rPr>
          <w:rFonts w:ascii="Garamond" w:hAnsi="Garamond" w:cs="Garamond"/>
          <w:sz w:val="24"/>
          <w:szCs w:val="24"/>
        </w:rPr>
        <w:t>ënyrë që të gjithë përfituesit që gëzojnë statusin e invalidit të punës të mund të marrin pensionet e tyre</w:t>
      </w:r>
      <w:r w:rsidR="003B767B" w:rsidRPr="00EE038F">
        <w:rPr>
          <w:rFonts w:ascii="Garamond" w:hAnsi="Garamond" w:cs="Garamond"/>
          <w:sz w:val="24"/>
          <w:szCs w:val="24"/>
        </w:rPr>
        <w:t>,</w:t>
      </w:r>
      <w:r w:rsidR="004A4C72" w:rsidRPr="00EE038F">
        <w:rPr>
          <w:rFonts w:ascii="Garamond" w:hAnsi="Garamond" w:cs="Garamond"/>
          <w:sz w:val="24"/>
          <w:szCs w:val="24"/>
        </w:rPr>
        <w:t xml:space="preserve"> si dhe përfitimet e tjera që burojnë nga ky status</w:t>
      </w:r>
      <w:r w:rsidR="00AD3D9C" w:rsidRPr="00EE038F">
        <w:rPr>
          <w:rFonts w:ascii="Garamond" w:hAnsi="Garamond" w:cs="Garamond"/>
          <w:sz w:val="24"/>
          <w:szCs w:val="24"/>
        </w:rPr>
        <w:t xml:space="preserve"> </w:t>
      </w:r>
      <w:r w:rsidR="004A4C72" w:rsidRPr="00EE038F">
        <w:rPr>
          <w:rFonts w:ascii="Garamond" w:hAnsi="Garamond" w:cs="Garamond"/>
          <w:sz w:val="24"/>
          <w:szCs w:val="24"/>
        </w:rPr>
        <w:t>nëpërmjet Institutit të Sigurimeve Shoqërore, pra një institucioni të vetëm.</w:t>
      </w:r>
    </w:p>
    <w:p w14:paraId="7CABEC38" w14:textId="12153B26" w:rsidR="004A4C72" w:rsidRPr="00EE038F" w:rsidRDefault="00727F6C" w:rsidP="004A4C72">
      <w:pPr>
        <w:tabs>
          <w:tab w:val="left" w:pos="720"/>
        </w:tabs>
        <w:spacing w:after="0" w:line="240" w:lineRule="auto"/>
        <w:ind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 xml:space="preserve">Për ish-të përndjekurit është parashikuar një fond prej </w:t>
      </w:r>
      <w:r w:rsidR="004A4C72" w:rsidRPr="00EE038F">
        <w:rPr>
          <w:rFonts w:ascii="Garamond" w:hAnsi="Garamond" w:cs="Garamond"/>
          <w:b/>
          <w:bCs/>
          <w:sz w:val="24"/>
          <w:szCs w:val="24"/>
        </w:rPr>
        <w:t>1.4 miliardë lekë</w:t>
      </w:r>
      <w:r w:rsidR="003B767B" w:rsidRPr="00EE038F">
        <w:rPr>
          <w:rFonts w:ascii="Garamond" w:hAnsi="Garamond" w:cs="Garamond"/>
          <w:b/>
          <w:bCs/>
          <w:sz w:val="24"/>
          <w:szCs w:val="24"/>
        </w:rPr>
        <w:t>sh</w:t>
      </w:r>
      <w:r w:rsidR="004A4C72" w:rsidRPr="00EE038F">
        <w:rPr>
          <w:rFonts w:ascii="Garamond" w:hAnsi="Garamond" w:cs="Garamond"/>
          <w:sz w:val="24"/>
          <w:szCs w:val="24"/>
        </w:rPr>
        <w:t xml:space="preserve"> ose 0.05% e PBB</w:t>
      </w:r>
      <w:r w:rsidR="003B767B" w:rsidRPr="00EE038F">
        <w:rPr>
          <w:rFonts w:ascii="Garamond" w:hAnsi="Garamond" w:cs="Garamond"/>
          <w:sz w:val="24"/>
          <w:szCs w:val="24"/>
        </w:rPr>
        <w:t>-së</w:t>
      </w:r>
      <w:r w:rsidR="004A4C72" w:rsidRPr="00EE038F">
        <w:rPr>
          <w:rFonts w:ascii="Garamond" w:hAnsi="Garamond" w:cs="Garamond"/>
          <w:sz w:val="24"/>
          <w:szCs w:val="24"/>
        </w:rPr>
        <w:t xml:space="preserve">. </w:t>
      </w:r>
    </w:p>
    <w:p w14:paraId="6A921C7F" w14:textId="4F0FEED8" w:rsidR="004A4C72" w:rsidRPr="00EE038F" w:rsidRDefault="00727F6C" w:rsidP="004A4C72">
      <w:pPr>
        <w:tabs>
          <w:tab w:val="left" w:pos="720"/>
        </w:tabs>
        <w:spacing w:after="0" w:line="240" w:lineRule="auto"/>
        <w:ind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 xml:space="preserve">Për bonusin e lindjeve është parashikuar një fond prej </w:t>
      </w:r>
      <w:r w:rsidR="004A4C72" w:rsidRPr="00EE038F">
        <w:rPr>
          <w:rFonts w:ascii="Garamond" w:hAnsi="Garamond" w:cs="Garamond"/>
          <w:b/>
          <w:bCs/>
          <w:sz w:val="24"/>
          <w:szCs w:val="24"/>
        </w:rPr>
        <w:t>2.25 miliardë lekë</w:t>
      </w:r>
      <w:r w:rsidR="003B767B" w:rsidRPr="00EE038F">
        <w:rPr>
          <w:rFonts w:ascii="Garamond" w:hAnsi="Garamond" w:cs="Garamond"/>
          <w:b/>
          <w:bCs/>
          <w:sz w:val="24"/>
          <w:szCs w:val="24"/>
        </w:rPr>
        <w:t>sh</w:t>
      </w:r>
      <w:r w:rsidR="004A4C72" w:rsidRPr="00EE038F">
        <w:rPr>
          <w:rFonts w:ascii="Garamond" w:hAnsi="Garamond" w:cs="Garamond"/>
          <w:sz w:val="24"/>
          <w:szCs w:val="24"/>
        </w:rPr>
        <w:t xml:space="preserve"> ose 0.1% e PBB</w:t>
      </w:r>
      <w:r w:rsidR="003B767B" w:rsidRPr="00EE038F">
        <w:rPr>
          <w:rFonts w:ascii="Garamond" w:hAnsi="Garamond" w:cs="Garamond"/>
          <w:sz w:val="24"/>
          <w:szCs w:val="24"/>
        </w:rPr>
        <w:t>-së</w:t>
      </w:r>
      <w:r w:rsidR="004A4C72" w:rsidRPr="00EE038F">
        <w:rPr>
          <w:rFonts w:ascii="Garamond" w:hAnsi="Garamond" w:cs="Garamond"/>
          <w:sz w:val="24"/>
          <w:szCs w:val="24"/>
        </w:rPr>
        <w:t>.</w:t>
      </w:r>
    </w:p>
    <w:p w14:paraId="025C3398" w14:textId="1F151661" w:rsidR="004A4C72" w:rsidRPr="00EE038F" w:rsidRDefault="004A4C72" w:rsidP="004A4C72">
      <w:pPr>
        <w:spacing w:after="0" w:line="240" w:lineRule="auto"/>
        <w:ind w:firstLine="284"/>
        <w:jc w:val="both"/>
        <w:rPr>
          <w:rFonts w:ascii="Garamond" w:hAnsi="Garamond" w:cs="Garamond"/>
          <w:b/>
          <w:bCs/>
          <w:sz w:val="24"/>
          <w:szCs w:val="24"/>
        </w:rPr>
      </w:pPr>
      <w:r w:rsidRPr="00EE038F">
        <w:rPr>
          <w:rFonts w:ascii="Garamond" w:hAnsi="Garamond" w:cs="Garamond"/>
          <w:b/>
          <w:bCs/>
          <w:sz w:val="24"/>
          <w:szCs w:val="24"/>
        </w:rPr>
        <w:t>Shpenzimet për subvencione</w:t>
      </w:r>
      <w:r w:rsidRPr="00EE038F">
        <w:rPr>
          <w:rFonts w:ascii="Garamond" w:hAnsi="Garamond" w:cs="Garamond"/>
          <w:sz w:val="24"/>
          <w:szCs w:val="24"/>
        </w:rPr>
        <w:t xml:space="preserve"> janë parashikuar në masën </w:t>
      </w:r>
      <w:r w:rsidRPr="00EE038F">
        <w:rPr>
          <w:rFonts w:ascii="Garamond" w:hAnsi="Garamond" w:cs="Garamond"/>
          <w:b/>
          <w:bCs/>
          <w:sz w:val="24"/>
          <w:szCs w:val="24"/>
        </w:rPr>
        <w:t>1.95 miliardë lekë</w:t>
      </w:r>
      <w:r w:rsidRPr="00EE038F">
        <w:rPr>
          <w:rFonts w:ascii="Garamond" w:hAnsi="Garamond" w:cs="Garamond"/>
          <w:sz w:val="24"/>
          <w:szCs w:val="24"/>
        </w:rPr>
        <w:t xml:space="preserve"> ose rreth 0.1% e PBB</w:t>
      </w:r>
      <w:r w:rsidR="003B767B" w:rsidRPr="00EE038F">
        <w:rPr>
          <w:rFonts w:ascii="Garamond" w:hAnsi="Garamond" w:cs="Garamond"/>
          <w:sz w:val="24"/>
          <w:szCs w:val="24"/>
        </w:rPr>
        <w:t>-së</w:t>
      </w:r>
      <w:r w:rsidRPr="00EE038F">
        <w:rPr>
          <w:rFonts w:ascii="Garamond" w:hAnsi="Garamond" w:cs="Garamond"/>
          <w:sz w:val="24"/>
          <w:szCs w:val="24"/>
        </w:rPr>
        <w:t xml:space="preserve">. Subvencionet shtetërore për vitin 2025 janë </w:t>
      </w:r>
      <w:r w:rsidR="003B767B" w:rsidRPr="00EE038F">
        <w:rPr>
          <w:rFonts w:ascii="Garamond" w:hAnsi="Garamond" w:cs="Garamond"/>
          <w:sz w:val="24"/>
          <w:szCs w:val="24"/>
        </w:rPr>
        <w:t>përqendruar</w:t>
      </w:r>
      <w:r w:rsidRPr="00EE038F">
        <w:rPr>
          <w:rFonts w:ascii="Garamond" w:hAnsi="Garamond" w:cs="Garamond"/>
          <w:sz w:val="24"/>
          <w:szCs w:val="24"/>
        </w:rPr>
        <w:t xml:space="preserve"> në financimin e skemave të nxitjes së punësimit, mbështetjen e sektorit të ujësjellës-kanalizimeve bazuar në performancën e tij, si dhe në mbulimin e një pjese të shpenzimeve të veprimtarisë hekurudhore dhe veprimtarisë së shërbimeve qeveritare. </w:t>
      </w:r>
    </w:p>
    <w:p w14:paraId="26340093" w14:textId="0FE0EA84" w:rsidR="004A4C72" w:rsidRPr="00EE038F" w:rsidRDefault="004A4C72" w:rsidP="00727F6C">
      <w:pPr>
        <w:pStyle w:val="TEKSTIIIIII"/>
      </w:pPr>
      <w:r w:rsidRPr="00EE038F">
        <w:rPr>
          <w:b/>
          <w:bCs/>
        </w:rPr>
        <w:t xml:space="preserve">Niveli i </w:t>
      </w:r>
      <w:r w:rsidR="0097266C" w:rsidRPr="00EE038F">
        <w:rPr>
          <w:b/>
          <w:bCs/>
        </w:rPr>
        <w:t xml:space="preserve">fondit rezervë </w:t>
      </w:r>
      <w:r w:rsidRPr="00EE038F">
        <w:t xml:space="preserve">për vitin 2025, planifikohet në masën </w:t>
      </w:r>
      <w:r w:rsidRPr="00EE038F">
        <w:rPr>
          <w:b/>
          <w:bCs/>
        </w:rPr>
        <w:t>6.7 miliardë lekë</w:t>
      </w:r>
      <w:r w:rsidRPr="00EE038F">
        <w:t>, i përbërë nga:</w:t>
      </w:r>
    </w:p>
    <w:p w14:paraId="3406BD47" w14:textId="7D09D8E8" w:rsidR="004A4C72" w:rsidRPr="00EE038F" w:rsidRDefault="00727F6C" w:rsidP="00727F6C">
      <w:pPr>
        <w:pStyle w:val="TEKSTIIIIII"/>
      </w:pPr>
      <w:r w:rsidRPr="00EE038F">
        <w:rPr>
          <w:rFonts w:cs="Symbol"/>
        </w:rPr>
        <w:t>-</w:t>
      </w:r>
      <w:r w:rsidR="004A4C72" w:rsidRPr="00EE038F">
        <w:rPr>
          <w:rFonts w:cs="Symbol"/>
        </w:rPr>
        <w:t xml:space="preserve"> </w:t>
      </w:r>
      <w:r w:rsidR="004A4C72" w:rsidRPr="00EE038F">
        <w:t xml:space="preserve">2.7 miliardë lekë </w:t>
      </w:r>
      <w:r w:rsidR="008C1E87" w:rsidRPr="00EE038F">
        <w:t xml:space="preserve">fond rezervë </w:t>
      </w:r>
      <w:r w:rsidR="004A4C72" w:rsidRPr="00EE038F">
        <w:t>i Këshillit të Ministrave;</w:t>
      </w:r>
    </w:p>
    <w:p w14:paraId="01982E47" w14:textId="6AA83403" w:rsidR="004A4C72" w:rsidRPr="00EE038F" w:rsidRDefault="00727F6C" w:rsidP="00727F6C">
      <w:pPr>
        <w:pStyle w:val="TEKSTIIIIII"/>
      </w:pPr>
      <w:r w:rsidRPr="00EE038F">
        <w:rPr>
          <w:rFonts w:cs="Symbol"/>
        </w:rPr>
        <w:t>-</w:t>
      </w:r>
      <w:r w:rsidR="004A4C72" w:rsidRPr="00EE038F">
        <w:rPr>
          <w:rFonts w:cs="Symbol"/>
        </w:rPr>
        <w:t xml:space="preserve"> </w:t>
      </w:r>
      <w:r w:rsidR="004A4C72" w:rsidRPr="00EE038F">
        <w:t xml:space="preserve">2 miliardë lekë </w:t>
      </w:r>
      <w:r w:rsidR="008C1E87" w:rsidRPr="00EE038F">
        <w:t xml:space="preserve">fond rezervë </w:t>
      </w:r>
      <w:r w:rsidR="004A4C72" w:rsidRPr="00EE038F">
        <w:t xml:space="preserve">për </w:t>
      </w:r>
      <w:r w:rsidR="00CD7453" w:rsidRPr="00EE038F">
        <w:t>zgjedhjet e përgjithshme</w:t>
      </w:r>
      <w:r w:rsidR="004A4C72" w:rsidRPr="00EE038F">
        <w:t>;</w:t>
      </w:r>
    </w:p>
    <w:p w14:paraId="46341955" w14:textId="533FD9A2" w:rsidR="004A4C72" w:rsidRPr="00EE038F" w:rsidRDefault="00727F6C" w:rsidP="00727F6C">
      <w:pPr>
        <w:pStyle w:val="TEKSTIIIIII"/>
      </w:pPr>
      <w:r w:rsidRPr="00EE038F">
        <w:rPr>
          <w:rFonts w:cs="Symbol"/>
        </w:rPr>
        <w:t>-</w:t>
      </w:r>
      <w:r w:rsidR="004A4C72" w:rsidRPr="00EE038F">
        <w:rPr>
          <w:rFonts w:cs="Symbol"/>
        </w:rPr>
        <w:t xml:space="preserve"> </w:t>
      </w:r>
      <w:r w:rsidR="004A4C72" w:rsidRPr="00EE038F">
        <w:t xml:space="preserve">1.2 miliardë lekë fond rezervë për financimin e masave që do të ndërmerren në kuadër të zbatimit të </w:t>
      </w:r>
      <w:r w:rsidR="00517126" w:rsidRPr="00EE038F">
        <w:t>agjendës së planit të rritjes me</w:t>
      </w:r>
      <w:r w:rsidR="004A4C72" w:rsidRPr="00EE038F">
        <w:t xml:space="preserve"> BE</w:t>
      </w:r>
      <w:r w:rsidR="00BC3237" w:rsidRPr="00EE038F">
        <w:t>-në</w:t>
      </w:r>
      <w:r w:rsidR="004A4C72" w:rsidRPr="00EE038F">
        <w:t>.</w:t>
      </w:r>
    </w:p>
    <w:p w14:paraId="57BCACEB" w14:textId="0AC127B2"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b/>
          <w:bCs/>
          <w:sz w:val="24"/>
          <w:szCs w:val="24"/>
        </w:rPr>
        <w:t xml:space="preserve">Investimet </w:t>
      </w:r>
      <w:r w:rsidR="0097266C" w:rsidRPr="00EE038F">
        <w:rPr>
          <w:rFonts w:ascii="Garamond" w:hAnsi="Garamond" w:cs="Garamond"/>
          <w:b/>
          <w:bCs/>
          <w:sz w:val="24"/>
          <w:szCs w:val="24"/>
        </w:rPr>
        <w:t>publike</w:t>
      </w:r>
      <w:r w:rsidR="0097266C" w:rsidRPr="00EE038F">
        <w:rPr>
          <w:rFonts w:ascii="Garamond" w:hAnsi="Garamond" w:cs="Garamond"/>
          <w:sz w:val="24"/>
          <w:szCs w:val="24"/>
        </w:rPr>
        <w:t xml:space="preserve"> </w:t>
      </w:r>
      <w:r w:rsidRPr="00EE038F">
        <w:rPr>
          <w:rFonts w:ascii="Garamond" w:hAnsi="Garamond" w:cs="Garamond"/>
          <w:sz w:val="24"/>
          <w:szCs w:val="24"/>
        </w:rPr>
        <w:t xml:space="preserve">për vitin 2025 janë planifikuar në masën </w:t>
      </w:r>
      <w:r w:rsidRPr="00EE038F">
        <w:rPr>
          <w:rFonts w:ascii="Garamond" w:hAnsi="Garamond" w:cs="Garamond"/>
          <w:b/>
          <w:bCs/>
          <w:sz w:val="24"/>
          <w:szCs w:val="24"/>
        </w:rPr>
        <w:t>6.2%</w:t>
      </w:r>
      <w:r w:rsidRPr="00EE038F">
        <w:rPr>
          <w:rFonts w:ascii="Garamond" w:hAnsi="Garamond" w:cs="Garamond"/>
          <w:sz w:val="24"/>
          <w:szCs w:val="24"/>
        </w:rPr>
        <w:t xml:space="preserve"> </w:t>
      </w:r>
      <w:r w:rsidRPr="00EE038F">
        <w:rPr>
          <w:rFonts w:ascii="Garamond" w:hAnsi="Garamond" w:cs="Garamond"/>
          <w:b/>
          <w:bCs/>
          <w:sz w:val="24"/>
          <w:szCs w:val="24"/>
        </w:rPr>
        <w:t>e PBB</w:t>
      </w:r>
      <w:r w:rsidRPr="00EE038F">
        <w:rPr>
          <w:rFonts w:ascii="Garamond" w:hAnsi="Garamond" w:cs="Garamond"/>
          <w:sz w:val="24"/>
          <w:szCs w:val="24"/>
        </w:rPr>
        <w:t xml:space="preserve"> ose </w:t>
      </w:r>
      <w:r w:rsidRPr="00EE038F">
        <w:rPr>
          <w:rFonts w:ascii="Garamond" w:hAnsi="Garamond" w:cs="Garamond"/>
          <w:b/>
          <w:bCs/>
          <w:sz w:val="24"/>
          <w:szCs w:val="24"/>
        </w:rPr>
        <w:t>162.4</w:t>
      </w:r>
      <w:r w:rsidRPr="00EE038F">
        <w:rPr>
          <w:rFonts w:ascii="Garamond" w:hAnsi="Garamond" w:cs="Garamond"/>
          <w:sz w:val="24"/>
          <w:szCs w:val="24"/>
        </w:rPr>
        <w:t xml:space="preserve"> </w:t>
      </w:r>
      <w:r w:rsidRPr="00EE038F">
        <w:rPr>
          <w:rFonts w:ascii="Garamond" w:hAnsi="Garamond" w:cs="Garamond"/>
          <w:b/>
          <w:bCs/>
          <w:sz w:val="24"/>
          <w:szCs w:val="24"/>
        </w:rPr>
        <w:t>miliardë lekë</w:t>
      </w:r>
      <w:r w:rsidRPr="00EE038F">
        <w:rPr>
          <w:rFonts w:ascii="Garamond" w:hAnsi="Garamond" w:cs="Garamond"/>
          <w:sz w:val="24"/>
          <w:szCs w:val="24"/>
        </w:rPr>
        <w:t xml:space="preserve"> </w:t>
      </w:r>
      <w:r w:rsidRPr="00EE038F">
        <w:rPr>
          <w:rFonts w:ascii="Garamond" w:hAnsi="Garamond" w:cs="Garamond"/>
          <w:i/>
          <w:iCs/>
          <w:sz w:val="24"/>
          <w:szCs w:val="24"/>
        </w:rPr>
        <w:t xml:space="preserve">(duke përfshirë këtu dhe fondin e rindërtimit në shumën 5 miliardë lekë dhe 4.5 miliardë lekë financime të pritshme mbi bazë projektesh nga </w:t>
      </w:r>
      <w:r w:rsidR="004C4D0C" w:rsidRPr="00EE038F">
        <w:rPr>
          <w:rFonts w:ascii="Garamond" w:hAnsi="Garamond" w:cs="Garamond"/>
          <w:i/>
          <w:iCs/>
          <w:sz w:val="24"/>
          <w:szCs w:val="24"/>
        </w:rPr>
        <w:t xml:space="preserve">plani i rritjes </w:t>
      </w:r>
      <w:r w:rsidRPr="00EE038F">
        <w:rPr>
          <w:rFonts w:ascii="Garamond" w:hAnsi="Garamond" w:cs="Garamond"/>
          <w:i/>
          <w:iCs/>
          <w:sz w:val="24"/>
          <w:szCs w:val="24"/>
        </w:rPr>
        <w:t>me BE</w:t>
      </w:r>
      <w:r w:rsidR="004C4D0C" w:rsidRPr="00EE038F">
        <w:rPr>
          <w:rFonts w:ascii="Garamond" w:hAnsi="Garamond" w:cs="Garamond"/>
          <w:i/>
          <w:iCs/>
          <w:sz w:val="24"/>
          <w:szCs w:val="24"/>
        </w:rPr>
        <w:t>-në</w:t>
      </w:r>
      <w:r w:rsidRPr="00EE038F">
        <w:rPr>
          <w:rFonts w:ascii="Garamond" w:hAnsi="Garamond" w:cs="Garamond"/>
          <w:i/>
          <w:iCs/>
          <w:sz w:val="24"/>
          <w:szCs w:val="24"/>
        </w:rPr>
        <w:t>)</w:t>
      </w:r>
      <w:r w:rsidRPr="00EE038F">
        <w:rPr>
          <w:rFonts w:ascii="Garamond" w:hAnsi="Garamond" w:cs="Garamond"/>
          <w:sz w:val="24"/>
          <w:szCs w:val="24"/>
        </w:rPr>
        <w:t xml:space="preserve">. Në planifikimin e investimeve për vitin 2025 janë mbajtur në konsideratë të gjitha detyrimet kontraktuale për projektet e investimeve me financim të huaj dhe të brendshëm dhe do të ketë përparësi financimi i projekteve në vazhdim. </w:t>
      </w:r>
    </w:p>
    <w:p w14:paraId="2024A2CF" w14:textId="0A3A4C39" w:rsidR="004A4C72" w:rsidRPr="00EE038F" w:rsidRDefault="00727F6C" w:rsidP="004A4C72">
      <w:pPr>
        <w:pStyle w:val="Heading2"/>
        <w:keepNext w:val="0"/>
        <w:keepLines w:val="0"/>
        <w:spacing w:before="0" w:line="240" w:lineRule="auto"/>
        <w:ind w:firstLine="284"/>
        <w:jc w:val="both"/>
        <w:rPr>
          <w:rFonts w:ascii="Garamond" w:hAnsi="Garamond" w:cs="Garamond"/>
          <w:color w:val="0D0D0D"/>
          <w:sz w:val="24"/>
          <w:szCs w:val="24"/>
        </w:rPr>
      </w:pPr>
      <w:r w:rsidRPr="00EE038F">
        <w:rPr>
          <w:rFonts w:ascii="Garamond" w:hAnsi="Garamond" w:cs="Garamond"/>
          <w:b/>
          <w:bCs/>
          <w:color w:val="0D0D0D"/>
          <w:sz w:val="24"/>
          <w:szCs w:val="24"/>
        </w:rPr>
        <w:t>4.4</w:t>
      </w:r>
      <w:r w:rsidR="002D0DDC" w:rsidRPr="00EE038F">
        <w:rPr>
          <w:rFonts w:ascii="Garamond" w:hAnsi="Garamond" w:cs="Garamond"/>
          <w:b/>
          <w:bCs/>
          <w:color w:val="0D0D0D"/>
          <w:sz w:val="24"/>
          <w:szCs w:val="24"/>
        </w:rPr>
        <w:t>.</w:t>
      </w:r>
      <w:r w:rsidR="004A4C72" w:rsidRPr="00EE038F">
        <w:rPr>
          <w:rFonts w:ascii="Garamond" w:hAnsi="Garamond" w:cs="Garamond"/>
          <w:b/>
          <w:bCs/>
          <w:color w:val="0D0D0D"/>
          <w:sz w:val="24"/>
          <w:szCs w:val="24"/>
        </w:rPr>
        <w:t xml:space="preserve"> Perspektiva buxhetore afatmesme </w:t>
      </w:r>
    </w:p>
    <w:p w14:paraId="3886A2DC" w14:textId="36D9D763"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t>Metodologjia e programimit të të ardhurave është bazuar në modelet e njohura të projeksionit, dhe në analizën e detajuar të faktorëve që ndikojnë në secilën taksë, tatim apo kontribut. Modeli i përdorur bazohet në parashikimet makroekonomike për periudhën 2026–2028 e në vijim</w:t>
      </w:r>
      <w:r w:rsidR="00852832" w:rsidRPr="00EE038F">
        <w:rPr>
          <w:rFonts w:ascii="Garamond" w:hAnsi="Garamond" w:cs="Garamond"/>
          <w:sz w:val="24"/>
          <w:szCs w:val="24"/>
        </w:rPr>
        <w:t>,</w:t>
      </w:r>
      <w:r w:rsidRPr="00EE038F">
        <w:rPr>
          <w:rFonts w:ascii="Garamond" w:hAnsi="Garamond" w:cs="Garamond"/>
          <w:sz w:val="24"/>
          <w:szCs w:val="24"/>
        </w:rPr>
        <w:t xml:space="preserve"> në lidhje me rritjen ekonomike nominale të projektuar, indeksin e çmimeve të parashikuar, </w:t>
      </w:r>
      <w:r w:rsidR="00852832" w:rsidRPr="00EE038F">
        <w:rPr>
          <w:rFonts w:ascii="Garamond" w:hAnsi="Garamond" w:cs="Garamond"/>
          <w:sz w:val="24"/>
          <w:szCs w:val="24"/>
        </w:rPr>
        <w:t>lëvizjet</w:t>
      </w:r>
      <w:r w:rsidRPr="00EE038F">
        <w:rPr>
          <w:rFonts w:ascii="Garamond" w:hAnsi="Garamond" w:cs="Garamond"/>
          <w:sz w:val="24"/>
          <w:szCs w:val="24"/>
        </w:rPr>
        <w:t xml:space="preserve"> e mundshme të kursit të këmbimit të monedhave, fluksin e pritshëm dhe analizën e importeve të grup</w:t>
      </w:r>
      <w:r w:rsidR="00852832" w:rsidRPr="00EE038F">
        <w:rPr>
          <w:rFonts w:ascii="Garamond" w:hAnsi="Garamond" w:cs="Garamond"/>
          <w:sz w:val="24"/>
          <w:szCs w:val="24"/>
        </w:rPr>
        <w:t>-</w:t>
      </w:r>
      <w:r w:rsidRPr="00EE038F">
        <w:rPr>
          <w:rFonts w:ascii="Garamond" w:hAnsi="Garamond" w:cs="Garamond"/>
          <w:sz w:val="24"/>
          <w:szCs w:val="24"/>
        </w:rPr>
        <w:t>produkteve kryesore, si dhe analizat e serive kohore për çdo taksë. Parashikimet e të ardhurave marrin në konsideratë</w:t>
      </w:r>
      <w:r w:rsidR="00745B3F" w:rsidRPr="00EE038F">
        <w:rPr>
          <w:rFonts w:ascii="Garamond" w:hAnsi="Garamond" w:cs="Garamond"/>
          <w:sz w:val="24"/>
          <w:szCs w:val="24"/>
        </w:rPr>
        <w:t>,</w:t>
      </w:r>
      <w:r w:rsidRPr="00EE038F">
        <w:rPr>
          <w:rFonts w:ascii="Garamond" w:hAnsi="Garamond" w:cs="Garamond"/>
          <w:sz w:val="24"/>
          <w:szCs w:val="24"/>
        </w:rPr>
        <w:t xml:space="preserve"> gjithashtu</w:t>
      </w:r>
      <w:r w:rsidR="00745B3F" w:rsidRPr="00EE038F">
        <w:rPr>
          <w:rFonts w:ascii="Garamond" w:hAnsi="Garamond" w:cs="Garamond"/>
          <w:sz w:val="24"/>
          <w:szCs w:val="24"/>
        </w:rPr>
        <w:t>,</w:t>
      </w:r>
      <w:r w:rsidRPr="00EE038F">
        <w:rPr>
          <w:rFonts w:ascii="Garamond" w:hAnsi="Garamond" w:cs="Garamond"/>
          <w:sz w:val="24"/>
          <w:szCs w:val="24"/>
        </w:rPr>
        <w:t xml:space="preserve"> edhe efektet e politikave fiskale që do implementohen, si dhe efektet e projektuara për rritjen e të ardhurave</w:t>
      </w:r>
      <w:r w:rsidR="00745B3F" w:rsidRPr="00EE038F">
        <w:rPr>
          <w:rFonts w:ascii="Garamond" w:hAnsi="Garamond" w:cs="Garamond"/>
          <w:sz w:val="24"/>
          <w:szCs w:val="24"/>
        </w:rPr>
        <w:t>,</w:t>
      </w:r>
      <w:r w:rsidRPr="00EE038F">
        <w:rPr>
          <w:rFonts w:ascii="Garamond" w:hAnsi="Garamond" w:cs="Garamond"/>
          <w:sz w:val="24"/>
          <w:szCs w:val="24"/>
        </w:rPr>
        <w:t xml:space="preserve"> bazuar në aktivitetet dhe operacionet që do </w:t>
      </w:r>
      <w:r w:rsidR="00745B3F" w:rsidRPr="00EE038F">
        <w:rPr>
          <w:rFonts w:ascii="Garamond" w:hAnsi="Garamond" w:cs="Garamond"/>
          <w:sz w:val="24"/>
          <w:szCs w:val="24"/>
        </w:rPr>
        <w:t xml:space="preserve">të </w:t>
      </w:r>
      <w:r w:rsidRPr="00EE038F">
        <w:rPr>
          <w:rFonts w:ascii="Garamond" w:hAnsi="Garamond" w:cs="Garamond"/>
          <w:sz w:val="24"/>
          <w:szCs w:val="24"/>
        </w:rPr>
        <w:t>zbatohen</w:t>
      </w:r>
      <w:r w:rsidR="00E16E60" w:rsidRPr="00EE038F">
        <w:rPr>
          <w:rFonts w:ascii="Garamond" w:hAnsi="Garamond" w:cs="Garamond"/>
          <w:sz w:val="24"/>
          <w:szCs w:val="24"/>
        </w:rPr>
        <w:t>,</w:t>
      </w:r>
      <w:r w:rsidRPr="00EE038F">
        <w:rPr>
          <w:rFonts w:ascii="Garamond" w:hAnsi="Garamond" w:cs="Garamond"/>
          <w:sz w:val="24"/>
          <w:szCs w:val="24"/>
        </w:rPr>
        <w:t xml:space="preserve"> në kuadrin e përmirësimit të administrimit tatimor dhe doganor.</w:t>
      </w:r>
    </w:p>
    <w:p w14:paraId="2022AC96" w14:textId="24138632" w:rsidR="004A4C72" w:rsidRPr="00EE038F" w:rsidRDefault="004A4C72" w:rsidP="004A4C72">
      <w:pPr>
        <w:spacing w:after="0" w:line="240" w:lineRule="auto"/>
        <w:ind w:firstLine="284"/>
        <w:jc w:val="both"/>
        <w:rPr>
          <w:rFonts w:ascii="Garamond" w:hAnsi="Garamond" w:cs="Garamond"/>
          <w:sz w:val="24"/>
          <w:szCs w:val="24"/>
        </w:rPr>
      </w:pPr>
      <w:r w:rsidRPr="00EE038F">
        <w:rPr>
          <w:rFonts w:ascii="Garamond" w:hAnsi="Garamond" w:cs="Garamond"/>
          <w:sz w:val="24"/>
          <w:szCs w:val="24"/>
        </w:rPr>
        <w:lastRenderedPageBreak/>
        <w:t xml:space="preserve">Në planifikimin e të ardhurave janë marrë në konsideratë sasitë dhe çmimet e mallrave kryesorë të importit dhe prodhimit </w:t>
      </w:r>
      <w:r w:rsidR="007F728D" w:rsidRPr="00EE038F">
        <w:rPr>
          <w:rFonts w:ascii="Garamond" w:hAnsi="Garamond" w:cs="Garamond"/>
          <w:sz w:val="24"/>
          <w:szCs w:val="24"/>
        </w:rPr>
        <w:t>vendës</w:t>
      </w:r>
      <w:r w:rsidRPr="00EE038F">
        <w:rPr>
          <w:rFonts w:ascii="Garamond" w:hAnsi="Garamond" w:cs="Garamond"/>
          <w:sz w:val="24"/>
          <w:szCs w:val="24"/>
        </w:rPr>
        <w:t xml:space="preserve"> që gjenerojnë deri në 90% të vlerës së të ardhurave totale, si dhe tendenca e ecurisë së tyre të pritshme në vijim</w:t>
      </w:r>
      <w:r w:rsidR="002D0DDC" w:rsidRPr="00EE038F">
        <w:rPr>
          <w:rFonts w:ascii="Garamond" w:hAnsi="Garamond" w:cs="Garamond"/>
          <w:sz w:val="24"/>
          <w:szCs w:val="24"/>
        </w:rPr>
        <w:t>.</w:t>
      </w:r>
      <w:r w:rsidRPr="00EE038F">
        <w:rPr>
          <w:rFonts w:ascii="Garamond" w:hAnsi="Garamond" w:cs="Garamond"/>
          <w:sz w:val="24"/>
          <w:szCs w:val="24"/>
        </w:rPr>
        <w:t xml:space="preserve"> Treguesit kryesor</w:t>
      </w:r>
      <w:r w:rsidR="00937EDA" w:rsidRPr="00EE038F">
        <w:rPr>
          <w:rFonts w:ascii="Garamond" w:hAnsi="Garamond" w:cs="Garamond"/>
          <w:sz w:val="24"/>
          <w:szCs w:val="24"/>
        </w:rPr>
        <w:t>ë</w:t>
      </w:r>
      <w:r w:rsidRPr="00EE038F">
        <w:rPr>
          <w:rFonts w:ascii="Garamond" w:hAnsi="Garamond" w:cs="Garamond"/>
          <w:sz w:val="24"/>
          <w:szCs w:val="24"/>
        </w:rPr>
        <w:t xml:space="preserve"> për projektimin e të ardhurave përfshijnë: </w:t>
      </w:r>
    </w:p>
    <w:p w14:paraId="6D43C816" w14:textId="5958FF8A" w:rsidR="004A4C72" w:rsidRPr="00EE038F" w:rsidRDefault="00727F6C" w:rsidP="004A4C72">
      <w:pPr>
        <w:tabs>
          <w:tab w:val="left" w:pos="720"/>
        </w:tabs>
        <w:spacing w:after="0" w:line="240" w:lineRule="auto"/>
        <w:ind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Rritjen ekonomike nominale të PBB-së, duke analizuar këtë efekt në mënyrë të integruar me faktorë të tjerë për çdo taksë në veçanti, të ndërlidhur me të dhënat historike dhe projeksionet e çmimeve në tregjeve ndërkombëtare. Rritja ekonomike e projektuar është kalkuluar që të impaktojë zërat e tatimeve, taksave dhe kontributeve, duke aplikuar koeficientin e elasticitetit si tregues i reflektimit të rritjes ekonomike mbi të ardhurat</w:t>
      </w:r>
      <w:r w:rsidR="00AD3D9C" w:rsidRPr="00EE038F">
        <w:rPr>
          <w:rFonts w:ascii="Garamond" w:hAnsi="Garamond" w:cs="Garamond"/>
          <w:sz w:val="24"/>
          <w:szCs w:val="24"/>
        </w:rPr>
        <w:t xml:space="preserve"> </w:t>
      </w:r>
      <w:r w:rsidR="004A4C72" w:rsidRPr="00EE038F">
        <w:rPr>
          <w:rFonts w:ascii="Garamond" w:hAnsi="Garamond" w:cs="Garamond"/>
          <w:sz w:val="24"/>
          <w:szCs w:val="24"/>
        </w:rPr>
        <w:t>buxhetit;</w:t>
      </w:r>
    </w:p>
    <w:p w14:paraId="5C5FECC6" w14:textId="6DF16E2A" w:rsidR="004A4C72" w:rsidRPr="00EE038F" w:rsidRDefault="00727F6C" w:rsidP="004A4C72">
      <w:pPr>
        <w:tabs>
          <w:tab w:val="left" w:pos="720"/>
        </w:tabs>
        <w:spacing w:after="0" w:line="240" w:lineRule="auto"/>
        <w:ind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 xml:space="preserve">Indeksi i projektuar i </w:t>
      </w:r>
      <w:r w:rsidR="00937EDA" w:rsidRPr="00EE038F">
        <w:rPr>
          <w:rFonts w:ascii="Garamond" w:hAnsi="Garamond" w:cs="Garamond"/>
          <w:sz w:val="24"/>
          <w:szCs w:val="24"/>
        </w:rPr>
        <w:t xml:space="preserve">çmimeve, </w:t>
      </w:r>
      <w:r w:rsidR="004A4C72" w:rsidRPr="00EE038F">
        <w:rPr>
          <w:rFonts w:ascii="Garamond" w:hAnsi="Garamond" w:cs="Garamond"/>
          <w:sz w:val="24"/>
          <w:szCs w:val="24"/>
        </w:rPr>
        <w:t xml:space="preserve">i cili është reflektuar në ato zëra tatimesh që kalkulohen sipas metodës </w:t>
      </w:r>
      <w:r w:rsidR="004A4C72" w:rsidRPr="00EE038F">
        <w:rPr>
          <w:rFonts w:ascii="Garamond" w:hAnsi="Garamond" w:cs="Garamond"/>
          <w:i/>
          <w:iCs/>
          <w:sz w:val="24"/>
          <w:szCs w:val="24"/>
        </w:rPr>
        <w:t>add valorem;</w:t>
      </w:r>
    </w:p>
    <w:p w14:paraId="670B60A3" w14:textId="05769267" w:rsidR="004A4C72" w:rsidRPr="00EE038F" w:rsidRDefault="00727F6C" w:rsidP="004A4C72">
      <w:pPr>
        <w:tabs>
          <w:tab w:val="left" w:pos="720"/>
        </w:tabs>
        <w:spacing w:after="0" w:line="240" w:lineRule="auto"/>
        <w:ind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 xml:space="preserve">Kursin e pritshëm të vlerësuar të këmbimit të dy monedhave kryesore: USD dhe </w:t>
      </w:r>
      <w:r w:rsidR="00372502" w:rsidRPr="00EE038F">
        <w:rPr>
          <w:rFonts w:ascii="Garamond" w:hAnsi="Garamond" w:cs="Garamond"/>
          <w:sz w:val="24"/>
          <w:szCs w:val="24"/>
        </w:rPr>
        <w:t xml:space="preserve">euro </w:t>
      </w:r>
      <w:r w:rsidR="004A4C72" w:rsidRPr="00EE038F">
        <w:rPr>
          <w:rFonts w:ascii="Garamond" w:hAnsi="Garamond" w:cs="Garamond"/>
          <w:sz w:val="24"/>
          <w:szCs w:val="24"/>
        </w:rPr>
        <w:t xml:space="preserve">me </w:t>
      </w:r>
      <w:r w:rsidR="00937EDA" w:rsidRPr="00EE038F">
        <w:rPr>
          <w:rFonts w:ascii="Garamond" w:hAnsi="Garamond" w:cs="Garamond"/>
          <w:sz w:val="24"/>
          <w:szCs w:val="24"/>
        </w:rPr>
        <w:t>lekun</w:t>
      </w:r>
      <w:r w:rsidR="004A4C72" w:rsidRPr="00EE038F">
        <w:rPr>
          <w:rFonts w:ascii="Garamond" w:hAnsi="Garamond" w:cs="Garamond"/>
          <w:sz w:val="24"/>
          <w:szCs w:val="24"/>
        </w:rPr>
        <w:t xml:space="preserve">, me qëllim kalkulimin e bazës së llogaritjes së detyrimeve tatimore për mallrat e importit dhe </w:t>
      </w:r>
      <w:r w:rsidR="00937EDA" w:rsidRPr="00EE038F">
        <w:rPr>
          <w:rFonts w:ascii="Garamond" w:hAnsi="Garamond" w:cs="Garamond"/>
          <w:sz w:val="24"/>
          <w:szCs w:val="24"/>
        </w:rPr>
        <w:t xml:space="preserve">të </w:t>
      </w:r>
      <w:r w:rsidR="004A4C72" w:rsidRPr="00EE038F">
        <w:rPr>
          <w:rFonts w:ascii="Garamond" w:hAnsi="Garamond" w:cs="Garamond"/>
          <w:sz w:val="24"/>
          <w:szCs w:val="24"/>
        </w:rPr>
        <w:t>eksportit;</w:t>
      </w:r>
    </w:p>
    <w:p w14:paraId="3A873EF5" w14:textId="52E0D68B" w:rsidR="004A4C72" w:rsidRPr="00EE038F" w:rsidRDefault="00727F6C" w:rsidP="004A4C72">
      <w:pPr>
        <w:tabs>
          <w:tab w:val="left" w:pos="720"/>
        </w:tabs>
        <w:spacing w:after="0" w:line="240" w:lineRule="auto"/>
        <w:ind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4A4C72" w:rsidRPr="00EE038F">
        <w:rPr>
          <w:rFonts w:ascii="Garamond" w:hAnsi="Garamond" w:cs="Garamond"/>
          <w:sz w:val="24"/>
          <w:szCs w:val="24"/>
        </w:rPr>
        <w:t>Çmimet në bursë të mallrave me peshe</w:t>
      </w:r>
      <w:r w:rsidR="00D751D8" w:rsidRPr="00EE038F">
        <w:rPr>
          <w:rFonts w:ascii="Garamond" w:hAnsi="Garamond" w:cs="Garamond"/>
          <w:sz w:val="24"/>
          <w:szCs w:val="24"/>
        </w:rPr>
        <w:t>,</w:t>
      </w:r>
      <w:r w:rsidR="004A4C72" w:rsidRPr="00EE038F">
        <w:rPr>
          <w:rFonts w:ascii="Garamond" w:hAnsi="Garamond" w:cs="Garamond"/>
          <w:sz w:val="24"/>
          <w:szCs w:val="24"/>
        </w:rPr>
        <w:t xml:space="preserve"> si</w:t>
      </w:r>
      <w:r w:rsidR="00D751D8" w:rsidRPr="00EE038F">
        <w:rPr>
          <w:rFonts w:ascii="Garamond" w:hAnsi="Garamond" w:cs="Garamond"/>
          <w:sz w:val="24"/>
          <w:szCs w:val="24"/>
        </w:rPr>
        <w:t>:</w:t>
      </w:r>
      <w:r w:rsidR="004A4C72" w:rsidRPr="00EE038F">
        <w:rPr>
          <w:rFonts w:ascii="Garamond" w:hAnsi="Garamond" w:cs="Garamond"/>
          <w:sz w:val="24"/>
          <w:szCs w:val="24"/>
        </w:rPr>
        <w:t xml:space="preserve"> karburantet, energjia, mineralet etj</w:t>
      </w:r>
      <w:r w:rsidR="00D751D8" w:rsidRPr="00EE038F">
        <w:rPr>
          <w:rFonts w:ascii="Garamond" w:hAnsi="Garamond" w:cs="Garamond"/>
          <w:sz w:val="24"/>
          <w:szCs w:val="24"/>
        </w:rPr>
        <w:t>.</w:t>
      </w:r>
      <w:r w:rsidR="004A4C72" w:rsidRPr="00EE038F">
        <w:rPr>
          <w:rFonts w:ascii="Garamond" w:hAnsi="Garamond" w:cs="Garamond"/>
          <w:sz w:val="24"/>
          <w:szCs w:val="24"/>
        </w:rPr>
        <w:t xml:space="preserve">, të cilat kanë ndikim të ndjeshëm në të ardhurat e buxhetit; </w:t>
      </w:r>
    </w:p>
    <w:p w14:paraId="71870C80" w14:textId="65D86E37" w:rsidR="004A4C72" w:rsidRPr="00EE038F" w:rsidRDefault="00727F6C" w:rsidP="004A4C72">
      <w:pPr>
        <w:tabs>
          <w:tab w:val="left" w:pos="720"/>
        </w:tabs>
        <w:spacing w:after="0" w:line="240" w:lineRule="auto"/>
        <w:ind w:firstLine="284"/>
        <w:jc w:val="both"/>
        <w:rPr>
          <w:rFonts w:ascii="Garamond" w:hAnsi="Garamond" w:cs="Garamond"/>
          <w:sz w:val="24"/>
          <w:szCs w:val="24"/>
        </w:rPr>
      </w:pPr>
      <w:r w:rsidRPr="00EE038F">
        <w:rPr>
          <w:rFonts w:ascii="Garamond" w:hAnsi="Garamond" w:cs="Symbol"/>
          <w:sz w:val="24"/>
          <w:szCs w:val="24"/>
        </w:rPr>
        <w:t>-</w:t>
      </w:r>
      <w:r w:rsidR="004A4C72" w:rsidRPr="00EE038F">
        <w:rPr>
          <w:rFonts w:ascii="Garamond" w:hAnsi="Garamond" w:cs="Symbol"/>
          <w:sz w:val="24"/>
          <w:szCs w:val="24"/>
        </w:rPr>
        <w:t xml:space="preserve"> </w:t>
      </w:r>
      <w:r w:rsidR="00593A02" w:rsidRPr="00EE038F">
        <w:rPr>
          <w:rFonts w:ascii="Garamond" w:hAnsi="Garamond" w:cs="Garamond"/>
          <w:sz w:val="24"/>
          <w:szCs w:val="24"/>
        </w:rPr>
        <w:t>Vlerësimet</w:t>
      </w:r>
      <w:r w:rsidR="004A4C72" w:rsidRPr="00EE038F">
        <w:rPr>
          <w:rFonts w:ascii="Garamond" w:hAnsi="Garamond" w:cs="Garamond"/>
          <w:sz w:val="24"/>
          <w:szCs w:val="24"/>
        </w:rPr>
        <w:t xml:space="preserve"> mbi bazën e analizave të sasive të pritshme të importit dhe eksportit të mallrave</w:t>
      </w:r>
    </w:p>
    <w:p w14:paraId="64F77FFC" w14:textId="77777777" w:rsidR="004A4C72" w:rsidRPr="00EE038F" w:rsidRDefault="004A4C72" w:rsidP="00C50585">
      <w:pPr>
        <w:spacing w:after="0" w:line="240" w:lineRule="auto"/>
        <w:jc w:val="both"/>
        <w:rPr>
          <w:rFonts w:ascii="Garamond" w:hAnsi="Garamond"/>
          <w:b/>
        </w:rPr>
      </w:pPr>
    </w:p>
    <w:p w14:paraId="05F5DF8F" w14:textId="77777777" w:rsidR="00C50585" w:rsidRPr="00EE038F" w:rsidRDefault="00C50585" w:rsidP="00E16E60">
      <w:pPr>
        <w:spacing w:after="0" w:line="240" w:lineRule="auto"/>
        <w:jc w:val="center"/>
        <w:textAlignment w:val="baseline"/>
        <w:rPr>
          <w:rFonts w:ascii="Garamond" w:eastAsia="Times New Roman" w:hAnsi="Garamond"/>
        </w:rPr>
      </w:pPr>
      <w:bookmarkStart w:id="24" w:name="_Toc484076175"/>
      <w:r w:rsidRPr="00EE038F">
        <w:rPr>
          <w:rFonts w:ascii="Garamond" w:hAnsi="Garamond"/>
          <w:noProof/>
          <w:lang w:eastAsia="en-GB"/>
        </w:rPr>
        <w:drawing>
          <wp:inline distT="0" distB="0" distL="0" distR="0" wp14:anchorId="43EFFA9A" wp14:editId="686DC95F">
            <wp:extent cx="5683910" cy="280644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94139" cy="2811498"/>
                    </a:xfrm>
                    <a:prstGeom prst="rect">
                      <a:avLst/>
                    </a:prstGeom>
                    <a:noFill/>
                    <a:ln>
                      <a:noFill/>
                    </a:ln>
                  </pic:spPr>
                </pic:pic>
              </a:graphicData>
            </a:graphic>
          </wp:inline>
        </w:drawing>
      </w:r>
    </w:p>
    <w:p w14:paraId="448E31D6" w14:textId="77777777" w:rsidR="00C50585" w:rsidRPr="00EE038F" w:rsidRDefault="00C50585" w:rsidP="00066DFC">
      <w:pPr>
        <w:spacing w:after="0" w:line="240" w:lineRule="auto"/>
        <w:jc w:val="center"/>
        <w:rPr>
          <w:rFonts w:ascii="Garamond" w:hAnsi="Garamond"/>
          <w:i/>
          <w:iCs/>
          <w:sz w:val="24"/>
          <w:szCs w:val="24"/>
        </w:rPr>
      </w:pPr>
      <w:r w:rsidRPr="00EE038F">
        <w:rPr>
          <w:rFonts w:ascii="Garamond" w:hAnsi="Garamond"/>
          <w:i/>
          <w:iCs/>
          <w:sz w:val="24"/>
          <w:szCs w:val="24"/>
        </w:rPr>
        <w:t>Burimi: Ministria e Financave, 2024</w:t>
      </w:r>
    </w:p>
    <w:p w14:paraId="1E1AC41F" w14:textId="77777777" w:rsidR="00C50585" w:rsidRPr="00EE038F" w:rsidRDefault="00C50585" w:rsidP="00C50585">
      <w:pPr>
        <w:spacing w:after="0" w:line="240" w:lineRule="auto"/>
        <w:jc w:val="both"/>
        <w:rPr>
          <w:rFonts w:ascii="Garamond" w:hAnsi="Garamond"/>
          <w:b/>
        </w:rPr>
      </w:pPr>
    </w:p>
    <w:p w14:paraId="03E2A9E3" w14:textId="6470C6DA" w:rsidR="00C50585" w:rsidRPr="00EE038F" w:rsidRDefault="00C50585" w:rsidP="00727F6C">
      <w:pPr>
        <w:pStyle w:val="TEKSTIIIIII"/>
        <w:rPr>
          <w:b/>
        </w:rPr>
      </w:pPr>
      <w:r w:rsidRPr="00EE038F">
        <w:rPr>
          <w:b/>
        </w:rPr>
        <w:t xml:space="preserve">Strategjia </w:t>
      </w:r>
      <w:r w:rsidR="009F5365" w:rsidRPr="00EE038F">
        <w:rPr>
          <w:b/>
        </w:rPr>
        <w:t xml:space="preserve">afatmesme e të ardhurave </w:t>
      </w:r>
    </w:p>
    <w:p w14:paraId="299C2E07" w14:textId="77777777" w:rsidR="00C50585" w:rsidRPr="00EE038F" w:rsidRDefault="00C50585" w:rsidP="00727F6C">
      <w:pPr>
        <w:pStyle w:val="TEKSTIIIIII"/>
        <w:rPr>
          <w:bCs/>
        </w:rPr>
      </w:pPr>
      <w:r w:rsidRPr="00EE038F">
        <w:rPr>
          <w:bCs/>
        </w:rPr>
        <w:t xml:space="preserve">Qëllimi i përgjithshëm është </w:t>
      </w:r>
      <w:r w:rsidRPr="00EE038F">
        <w:rPr>
          <w:bCs/>
          <w:iCs/>
        </w:rPr>
        <w:t>mobilizimi i të ardhurave përmes politikave të qëndrueshme fiskale dhe reformave administrative tatimore e doganore, duke thjeshtuar procedurat, kostot e pajtimit, luftën ndaj shmangieve dhe evazionit tatimor, me qëllim krijimin e hapësirave fiskale për më shumë investime dhe zhvillim të qëndrueshëm.</w:t>
      </w:r>
      <w:r w:rsidRPr="00EE038F">
        <w:rPr>
          <w:bCs/>
        </w:rPr>
        <w:t xml:space="preserve"> </w:t>
      </w:r>
    </w:p>
    <w:p w14:paraId="679E7DBC" w14:textId="45A2C9C7" w:rsidR="00C50585" w:rsidRPr="00EE038F" w:rsidRDefault="00C50585" w:rsidP="00727F6C">
      <w:pPr>
        <w:pStyle w:val="TEKSTIIIIII"/>
        <w:rPr>
          <w:bCs/>
        </w:rPr>
      </w:pPr>
      <w:r w:rsidRPr="00EE038F">
        <w:rPr>
          <w:bCs/>
        </w:rPr>
        <w:t>Për periudhën afatmesme, 2024</w:t>
      </w:r>
      <w:r w:rsidR="0001052C" w:rsidRPr="00EE038F">
        <w:rPr>
          <w:bCs/>
        </w:rPr>
        <w:t>–</w:t>
      </w:r>
      <w:r w:rsidRPr="00EE038F">
        <w:rPr>
          <w:bCs/>
        </w:rPr>
        <w:t>2027, të ardhurat totale të buxhetit parashikohen të rriten me rreth 64.58 miliardë lekë ose rreth 2.5% e PBB</w:t>
      </w:r>
      <w:r w:rsidR="00BF6CE0" w:rsidRPr="00EE038F">
        <w:rPr>
          <w:bCs/>
        </w:rPr>
        <w:t>-së</w:t>
      </w:r>
      <w:r w:rsidRPr="00EE038F">
        <w:rPr>
          <w:bCs/>
        </w:rPr>
        <w:t xml:space="preserve"> në krahasim me vitin 2023. Rritja parashikohet të vijë nga rritja e të ardhurave nga politikat tatimore me 0.34% e PPB</w:t>
      </w:r>
      <w:r w:rsidR="00BF6CE0" w:rsidRPr="00EE038F">
        <w:rPr>
          <w:bCs/>
        </w:rPr>
        <w:t>-së</w:t>
      </w:r>
      <w:r w:rsidRPr="00EE038F">
        <w:rPr>
          <w:bCs/>
        </w:rPr>
        <w:t xml:space="preserve">, rritja e të ardhurave nga </w:t>
      </w:r>
      <w:r w:rsidR="006E3ED1" w:rsidRPr="00EE038F">
        <w:rPr>
          <w:bCs/>
        </w:rPr>
        <w:t>miradministrim</w:t>
      </w:r>
      <w:r w:rsidRPr="00EE038F">
        <w:rPr>
          <w:bCs/>
        </w:rPr>
        <w:t>i tatimor, me 1.97% e PPB</w:t>
      </w:r>
      <w:r w:rsidR="00BF6CE0" w:rsidRPr="00EE038F">
        <w:rPr>
          <w:bCs/>
        </w:rPr>
        <w:t>-së</w:t>
      </w:r>
      <w:r w:rsidRPr="00EE038F">
        <w:rPr>
          <w:bCs/>
        </w:rPr>
        <w:t xml:space="preserve"> dhe rritja e të ardhurave nga </w:t>
      </w:r>
      <w:r w:rsidR="006E3ED1" w:rsidRPr="00EE038F">
        <w:rPr>
          <w:bCs/>
        </w:rPr>
        <w:t>miradministrim</w:t>
      </w:r>
      <w:r w:rsidRPr="00EE038F">
        <w:rPr>
          <w:bCs/>
        </w:rPr>
        <w:t>i doganor, me 0.17% e PPB</w:t>
      </w:r>
      <w:r w:rsidR="00BF6CE0" w:rsidRPr="00EE038F">
        <w:rPr>
          <w:bCs/>
        </w:rPr>
        <w:t>-së</w:t>
      </w:r>
      <w:r w:rsidRPr="00EE038F">
        <w:rPr>
          <w:bCs/>
        </w:rPr>
        <w:t>.</w:t>
      </w:r>
      <w:r w:rsidR="00AD3D9C" w:rsidRPr="00EE038F">
        <w:rPr>
          <w:bCs/>
        </w:rPr>
        <w:t xml:space="preserve"> </w:t>
      </w:r>
    </w:p>
    <w:p w14:paraId="464A822B" w14:textId="5317CE9F" w:rsidR="00C50585" w:rsidRPr="00EE038F" w:rsidRDefault="00C50585" w:rsidP="00727F6C">
      <w:pPr>
        <w:pStyle w:val="TEKSTIIIIII"/>
      </w:pPr>
      <w:r w:rsidRPr="00EE038F">
        <w:t xml:space="preserve">Kjo </w:t>
      </w:r>
      <w:r w:rsidR="00E534C6" w:rsidRPr="00EE038F">
        <w:t xml:space="preserve">strategji </w:t>
      </w:r>
      <w:r w:rsidRPr="00EE038F">
        <w:t>është e strukturuar në tr</w:t>
      </w:r>
      <w:r w:rsidR="00C57263" w:rsidRPr="00EE038F">
        <w:t>i</w:t>
      </w:r>
      <w:r w:rsidRPr="00EE038F">
        <w:t xml:space="preserve"> shtylla, me disa komponentë në secilën shtyllë, sipas figurës më poshtë</w:t>
      </w:r>
      <w:bookmarkStart w:id="25" w:name="_Toc172642655"/>
      <w:r w:rsidR="009D3DB8" w:rsidRPr="00EE038F">
        <w:t>:</w:t>
      </w:r>
    </w:p>
    <w:p w14:paraId="3370828A" w14:textId="77777777" w:rsidR="00C50585" w:rsidRPr="00EE038F" w:rsidRDefault="00C50585" w:rsidP="00C50585">
      <w:pPr>
        <w:spacing w:after="0" w:line="240" w:lineRule="auto"/>
        <w:jc w:val="both"/>
        <w:rPr>
          <w:rFonts w:ascii="Garamond" w:hAnsi="Garamond"/>
        </w:rPr>
      </w:pPr>
    </w:p>
    <w:p w14:paraId="123AC8A1" w14:textId="77777777" w:rsidR="00637A11" w:rsidRPr="00EE038F" w:rsidRDefault="00637A11" w:rsidP="00066DFC">
      <w:pPr>
        <w:pStyle w:val="Caption"/>
        <w:spacing w:after="0"/>
        <w:jc w:val="center"/>
        <w:rPr>
          <w:rFonts w:ascii="Garamond" w:hAnsi="Garamond"/>
          <w:color w:val="000000" w:themeColor="text1"/>
          <w:sz w:val="24"/>
          <w:szCs w:val="24"/>
          <w:lang w:val="sq-AL"/>
        </w:rPr>
      </w:pPr>
    </w:p>
    <w:p w14:paraId="5B6EB304" w14:textId="77777777" w:rsidR="00637A11" w:rsidRPr="00EE038F" w:rsidRDefault="00637A11" w:rsidP="00066DFC">
      <w:pPr>
        <w:pStyle w:val="Caption"/>
        <w:spacing w:after="0"/>
        <w:jc w:val="center"/>
        <w:rPr>
          <w:rFonts w:ascii="Garamond" w:hAnsi="Garamond"/>
          <w:color w:val="000000" w:themeColor="text1"/>
          <w:sz w:val="24"/>
          <w:szCs w:val="24"/>
          <w:lang w:val="sq-AL"/>
        </w:rPr>
      </w:pPr>
    </w:p>
    <w:p w14:paraId="7E4CB694" w14:textId="7072FEF4" w:rsidR="00C50585" w:rsidRPr="00EE038F" w:rsidRDefault="00C50585" w:rsidP="009D3DB8">
      <w:pPr>
        <w:pStyle w:val="Caption"/>
        <w:spacing w:after="0"/>
        <w:jc w:val="center"/>
        <w:rPr>
          <w:rFonts w:ascii="Garamond" w:hAnsi="Garamond"/>
          <w:b w:val="0"/>
          <w:bCs w:val="0"/>
          <w:i/>
          <w:iCs/>
          <w:color w:val="000000" w:themeColor="text1"/>
          <w:sz w:val="24"/>
          <w:szCs w:val="24"/>
          <w:lang w:val="sq-AL"/>
        </w:rPr>
      </w:pPr>
      <w:r w:rsidRPr="00EE038F">
        <w:rPr>
          <w:rFonts w:ascii="Garamond" w:hAnsi="Garamond"/>
          <w:b w:val="0"/>
          <w:bCs w:val="0"/>
          <w:i/>
          <w:iCs/>
          <w:color w:val="000000" w:themeColor="text1"/>
          <w:sz w:val="24"/>
          <w:szCs w:val="24"/>
          <w:lang w:val="sq-AL"/>
        </w:rPr>
        <w:lastRenderedPageBreak/>
        <w:t xml:space="preserve">Tabela: Rritja e të ardhurave vjetore nga zbatimi i </w:t>
      </w:r>
      <w:r w:rsidR="0062320F" w:rsidRPr="00EE038F">
        <w:rPr>
          <w:rFonts w:ascii="Garamond" w:hAnsi="Garamond"/>
          <w:b w:val="0"/>
          <w:bCs w:val="0"/>
          <w:i/>
          <w:iCs/>
          <w:color w:val="000000" w:themeColor="text1"/>
          <w:sz w:val="24"/>
          <w:szCs w:val="24"/>
          <w:lang w:val="sq-AL"/>
        </w:rPr>
        <w:t>strategjisë</w:t>
      </w:r>
      <w:bookmarkEnd w:id="25"/>
    </w:p>
    <w:p w14:paraId="600552C9" w14:textId="3A8ECDA7" w:rsidR="00C50585" w:rsidRPr="00EE038F" w:rsidRDefault="009D3DB8" w:rsidP="00066DFC">
      <w:pPr>
        <w:pStyle w:val="NoSpacing"/>
        <w:jc w:val="right"/>
        <w:rPr>
          <w:rFonts w:ascii="Garamond" w:eastAsia="Times New Roman" w:hAnsi="Garamond"/>
          <w:i/>
          <w:iCs/>
          <w:color w:val="000000"/>
          <w:sz w:val="24"/>
          <w:szCs w:val="24"/>
          <w:lang w:val="sq-AL"/>
        </w:rPr>
      </w:pPr>
      <w:r w:rsidRPr="00EE038F">
        <w:rPr>
          <w:rFonts w:ascii="Garamond" w:eastAsia="Times New Roman" w:hAnsi="Garamond"/>
          <w:i/>
          <w:iCs/>
          <w:color w:val="000000"/>
          <w:sz w:val="24"/>
          <w:szCs w:val="24"/>
          <w:lang w:val="sq-AL"/>
        </w:rPr>
        <w:t>N</w:t>
      </w:r>
      <w:r w:rsidR="00C50585" w:rsidRPr="00EE038F">
        <w:rPr>
          <w:rFonts w:ascii="Garamond" w:eastAsia="Times New Roman" w:hAnsi="Garamond"/>
          <w:i/>
          <w:iCs/>
          <w:color w:val="000000"/>
          <w:sz w:val="24"/>
          <w:szCs w:val="24"/>
          <w:lang w:val="sq-AL"/>
        </w:rPr>
        <w:t>ë</w:t>
      </w:r>
      <w:r w:rsidRPr="00EE038F">
        <w:rPr>
          <w:rFonts w:ascii="Garamond" w:eastAsia="Times New Roman" w:hAnsi="Garamond"/>
          <w:i/>
          <w:iCs/>
          <w:color w:val="000000"/>
          <w:sz w:val="24"/>
          <w:szCs w:val="24"/>
          <w:lang w:val="sq-AL"/>
        </w:rPr>
        <w:t xml:space="preserve"> </w:t>
      </w:r>
      <w:r w:rsidR="002D0DDC" w:rsidRPr="00EE038F">
        <w:rPr>
          <w:rFonts w:ascii="Garamond" w:eastAsia="Times New Roman" w:hAnsi="Garamond"/>
          <w:i/>
          <w:iCs/>
          <w:color w:val="000000"/>
          <w:sz w:val="24"/>
          <w:szCs w:val="24"/>
          <w:lang w:val="sq-AL"/>
        </w:rPr>
        <w:t xml:space="preserve">% </w:t>
      </w:r>
      <w:r w:rsidR="00C50585" w:rsidRPr="00EE038F">
        <w:rPr>
          <w:rFonts w:ascii="Garamond" w:eastAsia="Times New Roman" w:hAnsi="Garamond"/>
          <w:i/>
          <w:iCs/>
          <w:color w:val="000000"/>
          <w:sz w:val="24"/>
          <w:szCs w:val="24"/>
          <w:lang w:val="sq-AL"/>
        </w:rPr>
        <w:t>të PPB</w:t>
      </w:r>
      <w:r w:rsidR="0062320F">
        <w:rPr>
          <w:rFonts w:ascii="Garamond" w:eastAsia="Times New Roman" w:hAnsi="Garamond"/>
          <w:i/>
          <w:iCs/>
          <w:color w:val="000000"/>
          <w:sz w:val="24"/>
          <w:szCs w:val="24"/>
          <w:lang w:val="sq-AL"/>
        </w:rPr>
        <w:t>-së</w:t>
      </w:r>
      <w:r w:rsidR="00C50585" w:rsidRPr="00EE038F">
        <w:rPr>
          <w:rFonts w:ascii="Garamond" w:eastAsia="Times New Roman" w:hAnsi="Garamond"/>
          <w:i/>
          <w:iCs/>
          <w:color w:val="000000"/>
          <w:sz w:val="24"/>
          <w:szCs w:val="24"/>
          <w:lang w:val="sq-AL"/>
        </w:rPr>
        <w:t xml:space="preserve"> </w:t>
      </w:r>
    </w:p>
    <w:tbl>
      <w:tblPr>
        <w:tblW w:w="5000" w:type="pct"/>
        <w:jc w:val="center"/>
        <w:tblLook w:val="04A0" w:firstRow="1" w:lastRow="0" w:firstColumn="1" w:lastColumn="0" w:noHBand="0" w:noVBand="1"/>
      </w:tblPr>
      <w:tblGrid>
        <w:gridCol w:w="3672"/>
        <w:gridCol w:w="882"/>
        <w:gridCol w:w="882"/>
        <w:gridCol w:w="882"/>
        <w:gridCol w:w="882"/>
        <w:gridCol w:w="1800"/>
      </w:tblGrid>
      <w:tr w:rsidR="00C50585" w:rsidRPr="00EE038F" w14:paraId="358CE910" w14:textId="77777777" w:rsidTr="009D3DB8">
        <w:trPr>
          <w:trHeight w:val="20"/>
          <w:jc w:val="center"/>
        </w:trPr>
        <w:tc>
          <w:tcPr>
            <w:tcW w:w="2040" w:type="pct"/>
            <w:tcBorders>
              <w:top w:val="single" w:sz="8" w:space="0" w:color="F7CAAC"/>
              <w:left w:val="single" w:sz="8" w:space="0" w:color="F7CAAC"/>
              <w:bottom w:val="single" w:sz="12" w:space="0" w:color="F4B083"/>
              <w:right w:val="single" w:sz="8" w:space="0" w:color="F7CAAC"/>
            </w:tcBorders>
            <w:shd w:val="clear" w:color="auto" w:fill="auto"/>
            <w:vAlign w:val="center"/>
            <w:hideMark/>
          </w:tcPr>
          <w:p w14:paraId="4745CF26" w14:textId="471E72A4" w:rsidR="00C50585" w:rsidRPr="00EE038F" w:rsidRDefault="00C50585" w:rsidP="007C70E7">
            <w:pPr>
              <w:spacing w:after="0" w:line="240" w:lineRule="auto"/>
              <w:jc w:val="both"/>
              <w:rPr>
                <w:rFonts w:ascii="Garamond" w:eastAsia="Times New Roman" w:hAnsi="Garamond"/>
                <w:b/>
                <w:bCs/>
                <w:color w:val="000000"/>
                <w:sz w:val="20"/>
                <w:szCs w:val="20"/>
              </w:rPr>
            </w:pPr>
            <w:r w:rsidRPr="00EE038F">
              <w:rPr>
                <w:rFonts w:ascii="Garamond" w:eastAsia="Times New Roman" w:hAnsi="Garamond"/>
                <w:b/>
                <w:bCs/>
                <w:color w:val="000000"/>
                <w:sz w:val="20"/>
                <w:szCs w:val="20"/>
              </w:rPr>
              <w:t xml:space="preserve"> Shtyllat e </w:t>
            </w:r>
            <w:r w:rsidR="00E534C6" w:rsidRPr="00EE038F">
              <w:rPr>
                <w:rFonts w:ascii="Garamond" w:eastAsia="Times New Roman" w:hAnsi="Garamond"/>
                <w:b/>
                <w:bCs/>
                <w:color w:val="000000"/>
                <w:sz w:val="20"/>
                <w:szCs w:val="20"/>
              </w:rPr>
              <w:t>strategjisë</w:t>
            </w:r>
          </w:p>
        </w:tc>
        <w:tc>
          <w:tcPr>
            <w:tcW w:w="490" w:type="pct"/>
            <w:tcBorders>
              <w:top w:val="single" w:sz="8" w:space="0" w:color="F7CAAC"/>
              <w:left w:val="nil"/>
              <w:bottom w:val="single" w:sz="12" w:space="0" w:color="F4B083"/>
              <w:right w:val="single" w:sz="8" w:space="0" w:color="F7CAAC"/>
            </w:tcBorders>
            <w:shd w:val="clear" w:color="auto" w:fill="auto"/>
            <w:vAlign w:val="center"/>
            <w:hideMark/>
          </w:tcPr>
          <w:p w14:paraId="5C28AE62" w14:textId="77777777" w:rsidR="00C50585" w:rsidRPr="00EE038F" w:rsidRDefault="00C50585" w:rsidP="009D3DB8">
            <w:pPr>
              <w:spacing w:after="0" w:line="240" w:lineRule="auto"/>
              <w:jc w:val="center"/>
              <w:rPr>
                <w:rFonts w:ascii="Garamond" w:eastAsia="Times New Roman" w:hAnsi="Garamond"/>
                <w:b/>
                <w:bCs/>
                <w:color w:val="000000"/>
                <w:sz w:val="20"/>
                <w:szCs w:val="20"/>
              </w:rPr>
            </w:pPr>
            <w:r w:rsidRPr="00EE038F">
              <w:rPr>
                <w:rFonts w:ascii="Garamond" w:eastAsia="Times New Roman" w:hAnsi="Garamond"/>
                <w:b/>
                <w:bCs/>
                <w:color w:val="000000"/>
                <w:sz w:val="20"/>
                <w:szCs w:val="20"/>
              </w:rPr>
              <w:t>2024</w:t>
            </w:r>
          </w:p>
        </w:tc>
        <w:tc>
          <w:tcPr>
            <w:tcW w:w="490" w:type="pct"/>
            <w:tcBorders>
              <w:top w:val="single" w:sz="8" w:space="0" w:color="F7CAAC"/>
              <w:left w:val="nil"/>
              <w:bottom w:val="single" w:sz="12" w:space="0" w:color="F4B083"/>
              <w:right w:val="single" w:sz="8" w:space="0" w:color="F7CAAC"/>
            </w:tcBorders>
            <w:shd w:val="clear" w:color="auto" w:fill="auto"/>
            <w:vAlign w:val="center"/>
            <w:hideMark/>
          </w:tcPr>
          <w:p w14:paraId="1FB6CDAE" w14:textId="77777777" w:rsidR="00C50585" w:rsidRPr="00EE038F" w:rsidRDefault="00C50585" w:rsidP="009D3DB8">
            <w:pPr>
              <w:spacing w:after="0" w:line="240" w:lineRule="auto"/>
              <w:jc w:val="center"/>
              <w:rPr>
                <w:rFonts w:ascii="Garamond" w:eastAsia="Times New Roman" w:hAnsi="Garamond"/>
                <w:b/>
                <w:bCs/>
                <w:color w:val="000000"/>
                <w:sz w:val="20"/>
                <w:szCs w:val="20"/>
              </w:rPr>
            </w:pPr>
            <w:r w:rsidRPr="00EE038F">
              <w:rPr>
                <w:rFonts w:ascii="Garamond" w:eastAsia="Times New Roman" w:hAnsi="Garamond"/>
                <w:b/>
                <w:bCs/>
                <w:color w:val="000000"/>
                <w:sz w:val="20"/>
                <w:szCs w:val="20"/>
              </w:rPr>
              <w:t>2025</w:t>
            </w:r>
          </w:p>
        </w:tc>
        <w:tc>
          <w:tcPr>
            <w:tcW w:w="490" w:type="pct"/>
            <w:tcBorders>
              <w:top w:val="single" w:sz="8" w:space="0" w:color="F7CAAC"/>
              <w:left w:val="nil"/>
              <w:bottom w:val="single" w:sz="12" w:space="0" w:color="F4B083"/>
              <w:right w:val="single" w:sz="8" w:space="0" w:color="F7CAAC"/>
            </w:tcBorders>
            <w:shd w:val="clear" w:color="auto" w:fill="auto"/>
            <w:vAlign w:val="center"/>
            <w:hideMark/>
          </w:tcPr>
          <w:p w14:paraId="42FD4B27" w14:textId="77777777" w:rsidR="00C50585" w:rsidRPr="00EE038F" w:rsidRDefault="00C50585" w:rsidP="009D3DB8">
            <w:pPr>
              <w:spacing w:after="0" w:line="240" w:lineRule="auto"/>
              <w:jc w:val="center"/>
              <w:rPr>
                <w:rFonts w:ascii="Garamond" w:eastAsia="Times New Roman" w:hAnsi="Garamond"/>
                <w:b/>
                <w:bCs/>
                <w:color w:val="000000"/>
                <w:sz w:val="20"/>
                <w:szCs w:val="20"/>
              </w:rPr>
            </w:pPr>
            <w:r w:rsidRPr="00EE038F">
              <w:rPr>
                <w:rFonts w:ascii="Garamond" w:eastAsia="Times New Roman" w:hAnsi="Garamond"/>
                <w:b/>
                <w:bCs/>
                <w:color w:val="000000"/>
                <w:sz w:val="20"/>
                <w:szCs w:val="20"/>
              </w:rPr>
              <w:t>2026</w:t>
            </w:r>
          </w:p>
        </w:tc>
        <w:tc>
          <w:tcPr>
            <w:tcW w:w="490" w:type="pct"/>
            <w:tcBorders>
              <w:top w:val="single" w:sz="8" w:space="0" w:color="F7CAAC"/>
              <w:left w:val="nil"/>
              <w:bottom w:val="single" w:sz="12" w:space="0" w:color="F4B083"/>
              <w:right w:val="single" w:sz="8" w:space="0" w:color="F7CAAC"/>
            </w:tcBorders>
            <w:shd w:val="clear" w:color="auto" w:fill="auto"/>
            <w:vAlign w:val="center"/>
            <w:hideMark/>
          </w:tcPr>
          <w:p w14:paraId="0A38E0D3" w14:textId="77777777" w:rsidR="00C50585" w:rsidRPr="00EE038F" w:rsidRDefault="00C50585" w:rsidP="009D3DB8">
            <w:pPr>
              <w:spacing w:after="0" w:line="240" w:lineRule="auto"/>
              <w:jc w:val="center"/>
              <w:rPr>
                <w:rFonts w:ascii="Garamond" w:eastAsia="Times New Roman" w:hAnsi="Garamond"/>
                <w:b/>
                <w:bCs/>
                <w:color w:val="000000"/>
                <w:sz w:val="20"/>
                <w:szCs w:val="20"/>
              </w:rPr>
            </w:pPr>
            <w:r w:rsidRPr="00EE038F">
              <w:rPr>
                <w:rFonts w:ascii="Garamond" w:eastAsia="Times New Roman" w:hAnsi="Garamond"/>
                <w:b/>
                <w:bCs/>
                <w:color w:val="000000"/>
                <w:sz w:val="20"/>
                <w:szCs w:val="20"/>
              </w:rPr>
              <w:t>2027</w:t>
            </w:r>
          </w:p>
        </w:tc>
        <w:tc>
          <w:tcPr>
            <w:tcW w:w="1001" w:type="pct"/>
            <w:tcBorders>
              <w:top w:val="single" w:sz="8" w:space="0" w:color="F7CAAC"/>
              <w:left w:val="nil"/>
              <w:bottom w:val="single" w:sz="12" w:space="0" w:color="F4B083"/>
              <w:right w:val="single" w:sz="8" w:space="0" w:color="F7CAAC"/>
            </w:tcBorders>
            <w:shd w:val="clear" w:color="auto" w:fill="auto"/>
            <w:vAlign w:val="center"/>
            <w:hideMark/>
          </w:tcPr>
          <w:p w14:paraId="4315C755" w14:textId="1398D1E2" w:rsidR="00C50585" w:rsidRPr="00EE038F" w:rsidRDefault="00C50585" w:rsidP="009D3DB8">
            <w:pPr>
              <w:spacing w:after="0" w:line="240" w:lineRule="auto"/>
              <w:jc w:val="center"/>
              <w:rPr>
                <w:rFonts w:ascii="Garamond" w:eastAsia="Times New Roman" w:hAnsi="Garamond"/>
                <w:b/>
                <w:bCs/>
                <w:color w:val="000000"/>
                <w:sz w:val="20"/>
                <w:szCs w:val="20"/>
              </w:rPr>
            </w:pPr>
            <w:r w:rsidRPr="00EE038F">
              <w:rPr>
                <w:rFonts w:ascii="Garamond" w:eastAsia="Times New Roman" w:hAnsi="Garamond"/>
                <w:b/>
                <w:bCs/>
                <w:color w:val="000000"/>
                <w:sz w:val="20"/>
                <w:szCs w:val="20"/>
              </w:rPr>
              <w:t>Totali 2024</w:t>
            </w:r>
            <w:r w:rsidR="009D3DB8" w:rsidRPr="00EE038F">
              <w:rPr>
                <w:rFonts w:ascii="Garamond" w:eastAsia="Times New Roman" w:hAnsi="Garamond"/>
                <w:b/>
                <w:bCs/>
                <w:color w:val="000000"/>
                <w:sz w:val="20"/>
                <w:szCs w:val="20"/>
              </w:rPr>
              <w:t>–</w:t>
            </w:r>
            <w:r w:rsidRPr="00EE038F">
              <w:rPr>
                <w:rFonts w:ascii="Garamond" w:eastAsia="Times New Roman" w:hAnsi="Garamond"/>
                <w:b/>
                <w:bCs/>
                <w:color w:val="000000"/>
                <w:sz w:val="20"/>
                <w:szCs w:val="20"/>
              </w:rPr>
              <w:t>2027</w:t>
            </w:r>
          </w:p>
        </w:tc>
      </w:tr>
      <w:tr w:rsidR="00C50585" w:rsidRPr="00EE038F" w14:paraId="4EC78355" w14:textId="77777777" w:rsidTr="009D3DB8">
        <w:trPr>
          <w:trHeight w:val="20"/>
          <w:jc w:val="center"/>
        </w:trPr>
        <w:tc>
          <w:tcPr>
            <w:tcW w:w="2040" w:type="pct"/>
            <w:tcBorders>
              <w:top w:val="nil"/>
              <w:left w:val="single" w:sz="8" w:space="0" w:color="F7CAAC"/>
              <w:bottom w:val="single" w:sz="8" w:space="0" w:color="F7CAAC"/>
              <w:right w:val="single" w:sz="8" w:space="0" w:color="F7CAAC"/>
            </w:tcBorders>
            <w:shd w:val="clear" w:color="auto" w:fill="auto"/>
            <w:vAlign w:val="center"/>
            <w:hideMark/>
          </w:tcPr>
          <w:p w14:paraId="79D5D4D7" w14:textId="77777777" w:rsidR="00C50585" w:rsidRPr="00EE038F" w:rsidRDefault="00C50585" w:rsidP="007C70E7">
            <w:pPr>
              <w:spacing w:after="0" w:line="240" w:lineRule="auto"/>
              <w:jc w:val="both"/>
              <w:rPr>
                <w:rFonts w:ascii="Garamond" w:eastAsia="Times New Roman" w:hAnsi="Garamond"/>
                <w:color w:val="000000"/>
                <w:sz w:val="20"/>
                <w:szCs w:val="20"/>
              </w:rPr>
            </w:pPr>
            <w:r w:rsidRPr="00EE038F">
              <w:rPr>
                <w:rFonts w:ascii="Garamond" w:eastAsia="Times New Roman" w:hAnsi="Garamond"/>
                <w:b/>
                <w:bCs/>
                <w:color w:val="000000"/>
                <w:sz w:val="20"/>
                <w:szCs w:val="20"/>
              </w:rPr>
              <w:t>Shtylla 1:</w:t>
            </w:r>
            <w:r w:rsidRPr="00EE038F">
              <w:rPr>
                <w:rFonts w:ascii="Garamond" w:hAnsi="Garamond"/>
                <w:sz w:val="20"/>
                <w:szCs w:val="20"/>
              </w:rPr>
              <w:t xml:space="preserve"> Rishikimi i politikës tatimore</w:t>
            </w:r>
          </w:p>
        </w:tc>
        <w:tc>
          <w:tcPr>
            <w:tcW w:w="490" w:type="pct"/>
            <w:tcBorders>
              <w:top w:val="nil"/>
              <w:left w:val="nil"/>
              <w:bottom w:val="single" w:sz="8" w:space="0" w:color="F7CAAC"/>
              <w:right w:val="single" w:sz="8" w:space="0" w:color="F7CAAC"/>
            </w:tcBorders>
            <w:shd w:val="clear" w:color="auto" w:fill="auto"/>
            <w:vAlign w:val="center"/>
            <w:hideMark/>
          </w:tcPr>
          <w:p w14:paraId="1B5327A1" w14:textId="77777777" w:rsidR="00C50585" w:rsidRPr="00EE038F" w:rsidRDefault="00C50585"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0.04%</w:t>
            </w:r>
          </w:p>
        </w:tc>
        <w:tc>
          <w:tcPr>
            <w:tcW w:w="490" w:type="pct"/>
            <w:tcBorders>
              <w:top w:val="nil"/>
              <w:left w:val="nil"/>
              <w:bottom w:val="single" w:sz="8" w:space="0" w:color="F7CAAC"/>
              <w:right w:val="single" w:sz="8" w:space="0" w:color="F7CAAC"/>
            </w:tcBorders>
            <w:shd w:val="clear" w:color="auto" w:fill="auto"/>
            <w:vAlign w:val="center"/>
            <w:hideMark/>
          </w:tcPr>
          <w:p w14:paraId="60241823" w14:textId="77777777" w:rsidR="00C50585" w:rsidRPr="00EE038F" w:rsidRDefault="00C50585"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0.03%</w:t>
            </w:r>
          </w:p>
        </w:tc>
        <w:tc>
          <w:tcPr>
            <w:tcW w:w="490" w:type="pct"/>
            <w:tcBorders>
              <w:top w:val="nil"/>
              <w:left w:val="nil"/>
              <w:bottom w:val="single" w:sz="8" w:space="0" w:color="F7CAAC"/>
              <w:right w:val="single" w:sz="8" w:space="0" w:color="F7CAAC"/>
            </w:tcBorders>
            <w:shd w:val="clear" w:color="auto" w:fill="auto"/>
            <w:vAlign w:val="center"/>
            <w:hideMark/>
          </w:tcPr>
          <w:p w14:paraId="63BEEFF2" w14:textId="77777777" w:rsidR="00C50585" w:rsidRPr="00EE038F" w:rsidRDefault="00C50585"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0.04%</w:t>
            </w:r>
          </w:p>
        </w:tc>
        <w:tc>
          <w:tcPr>
            <w:tcW w:w="490" w:type="pct"/>
            <w:tcBorders>
              <w:top w:val="nil"/>
              <w:left w:val="nil"/>
              <w:bottom w:val="single" w:sz="8" w:space="0" w:color="F7CAAC"/>
              <w:right w:val="single" w:sz="8" w:space="0" w:color="F7CAAC"/>
            </w:tcBorders>
            <w:shd w:val="clear" w:color="auto" w:fill="auto"/>
            <w:vAlign w:val="center"/>
            <w:hideMark/>
          </w:tcPr>
          <w:p w14:paraId="2F081312" w14:textId="77777777" w:rsidR="00C50585" w:rsidRPr="00EE038F" w:rsidRDefault="00C50585"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0.23%</w:t>
            </w:r>
          </w:p>
        </w:tc>
        <w:tc>
          <w:tcPr>
            <w:tcW w:w="1001" w:type="pct"/>
            <w:tcBorders>
              <w:top w:val="nil"/>
              <w:left w:val="nil"/>
              <w:bottom w:val="single" w:sz="8" w:space="0" w:color="F7CAAC"/>
              <w:right w:val="single" w:sz="8" w:space="0" w:color="F7CAAC"/>
            </w:tcBorders>
            <w:shd w:val="clear" w:color="auto" w:fill="auto"/>
            <w:vAlign w:val="center"/>
            <w:hideMark/>
          </w:tcPr>
          <w:p w14:paraId="63D0728D" w14:textId="77777777" w:rsidR="00C50585" w:rsidRPr="00EE038F" w:rsidRDefault="00C50585" w:rsidP="007C70E7">
            <w:pPr>
              <w:spacing w:after="0" w:line="240" w:lineRule="auto"/>
              <w:jc w:val="both"/>
              <w:rPr>
                <w:rFonts w:ascii="Garamond" w:eastAsia="Times New Roman" w:hAnsi="Garamond"/>
                <w:b/>
                <w:bCs/>
                <w:color w:val="000000"/>
                <w:sz w:val="20"/>
                <w:szCs w:val="20"/>
              </w:rPr>
            </w:pPr>
            <w:r w:rsidRPr="00EE038F">
              <w:rPr>
                <w:rFonts w:ascii="Garamond" w:hAnsi="Garamond"/>
                <w:color w:val="000000"/>
                <w:sz w:val="20"/>
                <w:szCs w:val="20"/>
              </w:rPr>
              <w:t>0.34%</w:t>
            </w:r>
          </w:p>
        </w:tc>
      </w:tr>
      <w:tr w:rsidR="00C50585" w:rsidRPr="00EE038F" w14:paraId="65384CA6" w14:textId="77777777" w:rsidTr="009D3DB8">
        <w:trPr>
          <w:trHeight w:val="20"/>
          <w:jc w:val="center"/>
        </w:trPr>
        <w:tc>
          <w:tcPr>
            <w:tcW w:w="2040" w:type="pct"/>
            <w:tcBorders>
              <w:top w:val="nil"/>
              <w:left w:val="single" w:sz="8" w:space="0" w:color="F7CAAC"/>
              <w:bottom w:val="single" w:sz="8" w:space="0" w:color="F7CAAC"/>
              <w:right w:val="single" w:sz="8" w:space="0" w:color="F7CAAC"/>
            </w:tcBorders>
            <w:shd w:val="clear" w:color="auto" w:fill="auto"/>
            <w:vAlign w:val="center"/>
            <w:hideMark/>
          </w:tcPr>
          <w:p w14:paraId="5706343C" w14:textId="184BF111" w:rsidR="00C50585" w:rsidRPr="00EE038F" w:rsidRDefault="00C50585" w:rsidP="007C70E7">
            <w:pPr>
              <w:spacing w:after="0" w:line="240" w:lineRule="auto"/>
              <w:jc w:val="both"/>
              <w:rPr>
                <w:rFonts w:ascii="Garamond" w:eastAsia="Times New Roman" w:hAnsi="Garamond"/>
                <w:color w:val="000000"/>
                <w:sz w:val="20"/>
                <w:szCs w:val="20"/>
              </w:rPr>
            </w:pPr>
            <w:r w:rsidRPr="00EE038F">
              <w:rPr>
                <w:rFonts w:ascii="Garamond" w:eastAsia="Times New Roman" w:hAnsi="Garamond"/>
                <w:b/>
                <w:bCs/>
                <w:color w:val="000000"/>
                <w:sz w:val="20"/>
                <w:szCs w:val="20"/>
              </w:rPr>
              <w:t>Shtylla 2:</w:t>
            </w:r>
            <w:r w:rsidRPr="00EE038F">
              <w:rPr>
                <w:rFonts w:ascii="Garamond" w:hAnsi="Garamond"/>
                <w:sz w:val="20"/>
                <w:szCs w:val="20"/>
              </w:rPr>
              <w:t xml:space="preserve"> Miradministrimi tatimor</w:t>
            </w:r>
          </w:p>
        </w:tc>
        <w:tc>
          <w:tcPr>
            <w:tcW w:w="490" w:type="pct"/>
            <w:tcBorders>
              <w:top w:val="nil"/>
              <w:left w:val="nil"/>
              <w:bottom w:val="single" w:sz="8" w:space="0" w:color="F7CAAC"/>
              <w:right w:val="single" w:sz="8" w:space="0" w:color="F7CAAC"/>
            </w:tcBorders>
            <w:shd w:val="clear" w:color="auto" w:fill="auto"/>
            <w:vAlign w:val="center"/>
            <w:hideMark/>
          </w:tcPr>
          <w:p w14:paraId="240ED244" w14:textId="77777777" w:rsidR="00C50585" w:rsidRPr="00EE038F" w:rsidRDefault="00C50585"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0.68%</w:t>
            </w:r>
          </w:p>
        </w:tc>
        <w:tc>
          <w:tcPr>
            <w:tcW w:w="490" w:type="pct"/>
            <w:tcBorders>
              <w:top w:val="nil"/>
              <w:left w:val="nil"/>
              <w:bottom w:val="single" w:sz="8" w:space="0" w:color="F7CAAC"/>
              <w:right w:val="single" w:sz="8" w:space="0" w:color="F7CAAC"/>
            </w:tcBorders>
            <w:shd w:val="clear" w:color="auto" w:fill="auto"/>
            <w:vAlign w:val="center"/>
            <w:hideMark/>
          </w:tcPr>
          <w:p w14:paraId="67A546D4" w14:textId="77777777" w:rsidR="00C50585" w:rsidRPr="00EE038F" w:rsidRDefault="00C50585"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0.54%</w:t>
            </w:r>
          </w:p>
        </w:tc>
        <w:tc>
          <w:tcPr>
            <w:tcW w:w="490" w:type="pct"/>
            <w:tcBorders>
              <w:top w:val="nil"/>
              <w:left w:val="nil"/>
              <w:bottom w:val="single" w:sz="8" w:space="0" w:color="F7CAAC"/>
              <w:right w:val="single" w:sz="8" w:space="0" w:color="F7CAAC"/>
            </w:tcBorders>
            <w:shd w:val="clear" w:color="auto" w:fill="auto"/>
            <w:vAlign w:val="center"/>
            <w:hideMark/>
          </w:tcPr>
          <w:p w14:paraId="4A9B21D6" w14:textId="77777777" w:rsidR="00C50585" w:rsidRPr="00EE038F" w:rsidRDefault="00C50585"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0.37%</w:t>
            </w:r>
          </w:p>
        </w:tc>
        <w:tc>
          <w:tcPr>
            <w:tcW w:w="490" w:type="pct"/>
            <w:tcBorders>
              <w:top w:val="nil"/>
              <w:left w:val="nil"/>
              <w:bottom w:val="single" w:sz="8" w:space="0" w:color="F7CAAC"/>
              <w:right w:val="single" w:sz="8" w:space="0" w:color="F7CAAC"/>
            </w:tcBorders>
            <w:shd w:val="clear" w:color="auto" w:fill="auto"/>
            <w:vAlign w:val="center"/>
            <w:hideMark/>
          </w:tcPr>
          <w:p w14:paraId="3C6DDB05" w14:textId="77777777" w:rsidR="00C50585" w:rsidRPr="00EE038F" w:rsidRDefault="00C50585"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0.38%</w:t>
            </w:r>
          </w:p>
        </w:tc>
        <w:tc>
          <w:tcPr>
            <w:tcW w:w="1001" w:type="pct"/>
            <w:tcBorders>
              <w:top w:val="nil"/>
              <w:left w:val="nil"/>
              <w:bottom w:val="single" w:sz="8" w:space="0" w:color="F7CAAC"/>
              <w:right w:val="single" w:sz="8" w:space="0" w:color="F7CAAC"/>
            </w:tcBorders>
            <w:shd w:val="clear" w:color="auto" w:fill="auto"/>
            <w:vAlign w:val="center"/>
            <w:hideMark/>
          </w:tcPr>
          <w:p w14:paraId="5D782535" w14:textId="77777777" w:rsidR="00C50585" w:rsidRPr="00EE038F" w:rsidRDefault="00C50585" w:rsidP="007C70E7">
            <w:pPr>
              <w:spacing w:after="0" w:line="240" w:lineRule="auto"/>
              <w:jc w:val="both"/>
              <w:rPr>
                <w:rFonts w:ascii="Garamond" w:eastAsia="Times New Roman" w:hAnsi="Garamond"/>
                <w:b/>
                <w:bCs/>
                <w:color w:val="000000"/>
                <w:sz w:val="20"/>
                <w:szCs w:val="20"/>
              </w:rPr>
            </w:pPr>
            <w:r w:rsidRPr="00EE038F">
              <w:rPr>
                <w:rFonts w:ascii="Garamond" w:hAnsi="Garamond"/>
                <w:color w:val="000000"/>
                <w:sz w:val="20"/>
                <w:szCs w:val="20"/>
              </w:rPr>
              <w:t>1.97%</w:t>
            </w:r>
          </w:p>
        </w:tc>
      </w:tr>
      <w:tr w:rsidR="00C50585" w:rsidRPr="00EE038F" w14:paraId="32A3AB41" w14:textId="77777777" w:rsidTr="009D3DB8">
        <w:trPr>
          <w:trHeight w:val="20"/>
          <w:jc w:val="center"/>
        </w:trPr>
        <w:tc>
          <w:tcPr>
            <w:tcW w:w="2040" w:type="pct"/>
            <w:tcBorders>
              <w:top w:val="nil"/>
              <w:left w:val="single" w:sz="8" w:space="0" w:color="F7CAAC"/>
              <w:bottom w:val="single" w:sz="8" w:space="0" w:color="F7CAAC"/>
              <w:right w:val="single" w:sz="8" w:space="0" w:color="F7CAAC"/>
            </w:tcBorders>
            <w:shd w:val="clear" w:color="auto" w:fill="auto"/>
            <w:vAlign w:val="center"/>
            <w:hideMark/>
          </w:tcPr>
          <w:p w14:paraId="3BE179CF" w14:textId="346BD605" w:rsidR="00C50585" w:rsidRPr="00EE038F" w:rsidRDefault="00C50585" w:rsidP="007C70E7">
            <w:pPr>
              <w:spacing w:after="0" w:line="240" w:lineRule="auto"/>
              <w:jc w:val="both"/>
              <w:rPr>
                <w:rFonts w:ascii="Garamond" w:eastAsia="Times New Roman" w:hAnsi="Garamond"/>
                <w:color w:val="000000"/>
                <w:sz w:val="20"/>
                <w:szCs w:val="20"/>
              </w:rPr>
            </w:pPr>
            <w:r w:rsidRPr="00EE038F">
              <w:rPr>
                <w:rFonts w:ascii="Garamond" w:eastAsia="Times New Roman" w:hAnsi="Garamond"/>
                <w:b/>
                <w:bCs/>
                <w:color w:val="000000"/>
                <w:sz w:val="20"/>
                <w:szCs w:val="20"/>
              </w:rPr>
              <w:t>Shtylla 3:</w:t>
            </w:r>
            <w:r w:rsidRPr="00EE038F">
              <w:rPr>
                <w:rFonts w:ascii="Garamond" w:hAnsi="Garamond"/>
                <w:sz w:val="20"/>
                <w:szCs w:val="20"/>
              </w:rPr>
              <w:t xml:space="preserve"> Miradministrimi doganor</w:t>
            </w:r>
          </w:p>
        </w:tc>
        <w:tc>
          <w:tcPr>
            <w:tcW w:w="490" w:type="pct"/>
            <w:tcBorders>
              <w:top w:val="nil"/>
              <w:left w:val="nil"/>
              <w:bottom w:val="single" w:sz="8" w:space="0" w:color="F7CAAC"/>
              <w:right w:val="single" w:sz="8" w:space="0" w:color="F7CAAC"/>
            </w:tcBorders>
            <w:shd w:val="clear" w:color="auto" w:fill="auto"/>
            <w:vAlign w:val="center"/>
            <w:hideMark/>
          </w:tcPr>
          <w:p w14:paraId="540ADD8E" w14:textId="77777777" w:rsidR="00C50585" w:rsidRPr="00EE038F" w:rsidRDefault="00C50585"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0.05%</w:t>
            </w:r>
          </w:p>
        </w:tc>
        <w:tc>
          <w:tcPr>
            <w:tcW w:w="490" w:type="pct"/>
            <w:tcBorders>
              <w:top w:val="nil"/>
              <w:left w:val="nil"/>
              <w:bottom w:val="single" w:sz="8" w:space="0" w:color="F7CAAC"/>
              <w:right w:val="single" w:sz="8" w:space="0" w:color="F7CAAC"/>
            </w:tcBorders>
            <w:shd w:val="clear" w:color="auto" w:fill="auto"/>
            <w:vAlign w:val="center"/>
            <w:hideMark/>
          </w:tcPr>
          <w:p w14:paraId="3FE264E1" w14:textId="77777777" w:rsidR="00C50585" w:rsidRPr="00EE038F" w:rsidRDefault="00C50585"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0.06%</w:t>
            </w:r>
          </w:p>
        </w:tc>
        <w:tc>
          <w:tcPr>
            <w:tcW w:w="490" w:type="pct"/>
            <w:tcBorders>
              <w:top w:val="nil"/>
              <w:left w:val="nil"/>
              <w:bottom w:val="single" w:sz="8" w:space="0" w:color="F7CAAC"/>
              <w:right w:val="single" w:sz="8" w:space="0" w:color="F7CAAC"/>
            </w:tcBorders>
            <w:shd w:val="clear" w:color="auto" w:fill="auto"/>
            <w:vAlign w:val="center"/>
            <w:hideMark/>
          </w:tcPr>
          <w:p w14:paraId="6B44F2D6" w14:textId="77777777" w:rsidR="00C50585" w:rsidRPr="00EE038F" w:rsidRDefault="00C50585"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0.04%</w:t>
            </w:r>
          </w:p>
        </w:tc>
        <w:tc>
          <w:tcPr>
            <w:tcW w:w="490" w:type="pct"/>
            <w:tcBorders>
              <w:top w:val="nil"/>
              <w:left w:val="nil"/>
              <w:bottom w:val="single" w:sz="8" w:space="0" w:color="F7CAAC"/>
              <w:right w:val="single" w:sz="8" w:space="0" w:color="F7CAAC"/>
            </w:tcBorders>
            <w:shd w:val="clear" w:color="auto" w:fill="auto"/>
            <w:vAlign w:val="center"/>
            <w:hideMark/>
          </w:tcPr>
          <w:p w14:paraId="4F24F98C" w14:textId="77777777" w:rsidR="00C50585" w:rsidRPr="00EE038F" w:rsidRDefault="00C50585"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0.02%</w:t>
            </w:r>
          </w:p>
        </w:tc>
        <w:tc>
          <w:tcPr>
            <w:tcW w:w="1001" w:type="pct"/>
            <w:tcBorders>
              <w:top w:val="nil"/>
              <w:left w:val="nil"/>
              <w:bottom w:val="single" w:sz="8" w:space="0" w:color="F7CAAC"/>
              <w:right w:val="single" w:sz="8" w:space="0" w:color="F7CAAC"/>
            </w:tcBorders>
            <w:shd w:val="clear" w:color="auto" w:fill="auto"/>
            <w:vAlign w:val="center"/>
            <w:hideMark/>
          </w:tcPr>
          <w:p w14:paraId="588648CC" w14:textId="77777777" w:rsidR="00C50585" w:rsidRPr="00EE038F" w:rsidRDefault="00C50585" w:rsidP="007C70E7">
            <w:pPr>
              <w:spacing w:after="0" w:line="240" w:lineRule="auto"/>
              <w:jc w:val="both"/>
              <w:rPr>
                <w:rFonts w:ascii="Garamond" w:eastAsia="Times New Roman" w:hAnsi="Garamond"/>
                <w:b/>
                <w:bCs/>
                <w:color w:val="000000"/>
                <w:sz w:val="20"/>
                <w:szCs w:val="20"/>
              </w:rPr>
            </w:pPr>
            <w:r w:rsidRPr="00EE038F">
              <w:rPr>
                <w:rFonts w:ascii="Garamond" w:hAnsi="Garamond"/>
                <w:color w:val="000000"/>
                <w:sz w:val="20"/>
                <w:szCs w:val="20"/>
              </w:rPr>
              <w:t>0.17%</w:t>
            </w:r>
          </w:p>
        </w:tc>
      </w:tr>
      <w:tr w:rsidR="00C50585" w:rsidRPr="00EE038F" w14:paraId="02211A86" w14:textId="77777777" w:rsidTr="009D3DB8">
        <w:trPr>
          <w:trHeight w:val="20"/>
          <w:jc w:val="center"/>
        </w:trPr>
        <w:tc>
          <w:tcPr>
            <w:tcW w:w="2040" w:type="pct"/>
            <w:tcBorders>
              <w:top w:val="nil"/>
              <w:left w:val="single" w:sz="8" w:space="0" w:color="F7CAAC"/>
              <w:bottom w:val="single" w:sz="8" w:space="0" w:color="F7CAAC"/>
              <w:right w:val="single" w:sz="8" w:space="0" w:color="F7CAAC"/>
            </w:tcBorders>
            <w:shd w:val="clear" w:color="auto" w:fill="auto"/>
            <w:vAlign w:val="center"/>
            <w:hideMark/>
          </w:tcPr>
          <w:p w14:paraId="4BED9ABA" w14:textId="77777777" w:rsidR="00C50585" w:rsidRPr="00EE038F" w:rsidRDefault="00C50585" w:rsidP="007C70E7">
            <w:pPr>
              <w:spacing w:after="0" w:line="240" w:lineRule="auto"/>
              <w:jc w:val="both"/>
              <w:rPr>
                <w:rFonts w:ascii="Garamond" w:eastAsia="Times New Roman" w:hAnsi="Garamond"/>
                <w:b/>
                <w:bCs/>
                <w:color w:val="000000"/>
                <w:sz w:val="20"/>
                <w:szCs w:val="20"/>
              </w:rPr>
            </w:pPr>
            <w:r w:rsidRPr="00EE038F">
              <w:rPr>
                <w:rFonts w:ascii="Garamond" w:eastAsia="Times New Roman" w:hAnsi="Garamond"/>
                <w:b/>
                <w:bCs/>
                <w:color w:val="000000"/>
                <w:sz w:val="20"/>
                <w:szCs w:val="20"/>
              </w:rPr>
              <w:t>Totali</w:t>
            </w:r>
          </w:p>
        </w:tc>
        <w:tc>
          <w:tcPr>
            <w:tcW w:w="490" w:type="pct"/>
            <w:tcBorders>
              <w:top w:val="nil"/>
              <w:left w:val="nil"/>
              <w:bottom w:val="single" w:sz="8" w:space="0" w:color="F7CAAC"/>
              <w:right w:val="single" w:sz="8" w:space="0" w:color="F7CAAC"/>
            </w:tcBorders>
            <w:shd w:val="clear" w:color="auto" w:fill="auto"/>
            <w:vAlign w:val="center"/>
            <w:hideMark/>
          </w:tcPr>
          <w:p w14:paraId="7555C1A9" w14:textId="77777777" w:rsidR="00C50585" w:rsidRPr="00EE038F" w:rsidRDefault="00C50585" w:rsidP="007C70E7">
            <w:pPr>
              <w:spacing w:after="0" w:line="240" w:lineRule="auto"/>
              <w:jc w:val="both"/>
              <w:rPr>
                <w:rFonts w:ascii="Garamond" w:eastAsia="Times New Roman" w:hAnsi="Garamond"/>
                <w:b/>
                <w:bCs/>
                <w:color w:val="000000"/>
                <w:sz w:val="20"/>
                <w:szCs w:val="20"/>
              </w:rPr>
            </w:pPr>
            <w:r w:rsidRPr="00EE038F">
              <w:rPr>
                <w:rFonts w:ascii="Garamond" w:hAnsi="Garamond"/>
                <w:b/>
                <w:bCs/>
                <w:color w:val="000000"/>
                <w:sz w:val="20"/>
                <w:szCs w:val="20"/>
              </w:rPr>
              <w:t>0.77%</w:t>
            </w:r>
          </w:p>
        </w:tc>
        <w:tc>
          <w:tcPr>
            <w:tcW w:w="490" w:type="pct"/>
            <w:tcBorders>
              <w:top w:val="nil"/>
              <w:left w:val="nil"/>
              <w:bottom w:val="single" w:sz="8" w:space="0" w:color="F7CAAC"/>
              <w:right w:val="single" w:sz="8" w:space="0" w:color="F7CAAC"/>
            </w:tcBorders>
            <w:shd w:val="clear" w:color="auto" w:fill="auto"/>
            <w:vAlign w:val="center"/>
            <w:hideMark/>
          </w:tcPr>
          <w:p w14:paraId="75F36667" w14:textId="77777777" w:rsidR="00C50585" w:rsidRPr="00EE038F" w:rsidRDefault="00C50585" w:rsidP="007C70E7">
            <w:pPr>
              <w:spacing w:after="0" w:line="240" w:lineRule="auto"/>
              <w:jc w:val="both"/>
              <w:rPr>
                <w:rFonts w:ascii="Garamond" w:eastAsia="Times New Roman" w:hAnsi="Garamond"/>
                <w:b/>
                <w:bCs/>
                <w:color w:val="000000"/>
                <w:sz w:val="20"/>
                <w:szCs w:val="20"/>
              </w:rPr>
            </w:pPr>
            <w:r w:rsidRPr="00EE038F">
              <w:rPr>
                <w:rFonts w:ascii="Garamond" w:hAnsi="Garamond"/>
                <w:b/>
                <w:bCs/>
                <w:color w:val="000000"/>
                <w:sz w:val="20"/>
                <w:szCs w:val="20"/>
              </w:rPr>
              <w:t>0.62%</w:t>
            </w:r>
          </w:p>
        </w:tc>
        <w:tc>
          <w:tcPr>
            <w:tcW w:w="490" w:type="pct"/>
            <w:tcBorders>
              <w:top w:val="nil"/>
              <w:left w:val="nil"/>
              <w:bottom w:val="single" w:sz="8" w:space="0" w:color="F7CAAC"/>
              <w:right w:val="single" w:sz="8" w:space="0" w:color="F7CAAC"/>
            </w:tcBorders>
            <w:shd w:val="clear" w:color="auto" w:fill="auto"/>
            <w:vAlign w:val="center"/>
            <w:hideMark/>
          </w:tcPr>
          <w:p w14:paraId="15AC80EC" w14:textId="77777777" w:rsidR="00C50585" w:rsidRPr="00EE038F" w:rsidRDefault="00C50585" w:rsidP="007C70E7">
            <w:pPr>
              <w:spacing w:after="0" w:line="240" w:lineRule="auto"/>
              <w:jc w:val="both"/>
              <w:rPr>
                <w:rFonts w:ascii="Garamond" w:eastAsia="Times New Roman" w:hAnsi="Garamond"/>
                <w:b/>
                <w:bCs/>
                <w:color w:val="000000"/>
                <w:sz w:val="20"/>
                <w:szCs w:val="20"/>
              </w:rPr>
            </w:pPr>
            <w:r w:rsidRPr="00EE038F">
              <w:rPr>
                <w:rFonts w:ascii="Garamond" w:hAnsi="Garamond"/>
                <w:b/>
                <w:bCs/>
                <w:color w:val="000000"/>
                <w:sz w:val="20"/>
                <w:szCs w:val="20"/>
              </w:rPr>
              <w:t>0.45%</w:t>
            </w:r>
          </w:p>
        </w:tc>
        <w:tc>
          <w:tcPr>
            <w:tcW w:w="490" w:type="pct"/>
            <w:tcBorders>
              <w:top w:val="nil"/>
              <w:left w:val="nil"/>
              <w:bottom w:val="single" w:sz="8" w:space="0" w:color="F7CAAC"/>
              <w:right w:val="single" w:sz="8" w:space="0" w:color="F7CAAC"/>
            </w:tcBorders>
            <w:shd w:val="clear" w:color="auto" w:fill="auto"/>
            <w:vAlign w:val="center"/>
            <w:hideMark/>
          </w:tcPr>
          <w:p w14:paraId="15DA88D2" w14:textId="77777777" w:rsidR="00C50585" w:rsidRPr="00EE038F" w:rsidRDefault="00C50585" w:rsidP="007C70E7">
            <w:pPr>
              <w:spacing w:after="0" w:line="240" w:lineRule="auto"/>
              <w:jc w:val="both"/>
              <w:rPr>
                <w:rFonts w:ascii="Garamond" w:eastAsia="Times New Roman" w:hAnsi="Garamond"/>
                <w:b/>
                <w:bCs/>
                <w:color w:val="000000"/>
                <w:sz w:val="20"/>
                <w:szCs w:val="20"/>
              </w:rPr>
            </w:pPr>
            <w:r w:rsidRPr="00EE038F">
              <w:rPr>
                <w:rFonts w:ascii="Garamond" w:hAnsi="Garamond"/>
                <w:b/>
                <w:bCs/>
                <w:color w:val="000000"/>
                <w:sz w:val="20"/>
                <w:szCs w:val="20"/>
              </w:rPr>
              <w:t>0.63%</w:t>
            </w:r>
          </w:p>
        </w:tc>
        <w:tc>
          <w:tcPr>
            <w:tcW w:w="1001" w:type="pct"/>
            <w:tcBorders>
              <w:top w:val="nil"/>
              <w:left w:val="nil"/>
              <w:bottom w:val="single" w:sz="8" w:space="0" w:color="F7CAAC"/>
              <w:right w:val="single" w:sz="8" w:space="0" w:color="F7CAAC"/>
            </w:tcBorders>
            <w:shd w:val="clear" w:color="auto" w:fill="auto"/>
            <w:vAlign w:val="center"/>
            <w:hideMark/>
          </w:tcPr>
          <w:p w14:paraId="7BBFA4C5" w14:textId="77777777" w:rsidR="00C50585" w:rsidRPr="00EE038F" w:rsidRDefault="00C50585" w:rsidP="007C70E7">
            <w:pPr>
              <w:spacing w:after="0" w:line="240" w:lineRule="auto"/>
              <w:jc w:val="both"/>
              <w:rPr>
                <w:rFonts w:ascii="Garamond" w:eastAsia="Times New Roman" w:hAnsi="Garamond"/>
                <w:b/>
                <w:bCs/>
                <w:color w:val="000000"/>
                <w:sz w:val="20"/>
                <w:szCs w:val="20"/>
              </w:rPr>
            </w:pPr>
            <w:r w:rsidRPr="00EE038F">
              <w:rPr>
                <w:rFonts w:ascii="Garamond" w:hAnsi="Garamond"/>
                <w:b/>
                <w:bCs/>
                <w:color w:val="000000"/>
                <w:sz w:val="20"/>
                <w:szCs w:val="20"/>
              </w:rPr>
              <w:t>2.48%</w:t>
            </w:r>
          </w:p>
        </w:tc>
      </w:tr>
      <w:tr w:rsidR="00C50585" w:rsidRPr="00EE038F" w14:paraId="4595475E" w14:textId="77777777" w:rsidTr="009D3DB8">
        <w:trPr>
          <w:trHeight w:val="20"/>
          <w:jc w:val="center"/>
        </w:trPr>
        <w:tc>
          <w:tcPr>
            <w:tcW w:w="5000" w:type="pct"/>
            <w:gridSpan w:val="6"/>
            <w:tcBorders>
              <w:top w:val="nil"/>
              <w:left w:val="nil"/>
              <w:bottom w:val="nil"/>
              <w:right w:val="nil"/>
            </w:tcBorders>
            <w:shd w:val="clear" w:color="auto" w:fill="auto"/>
            <w:vAlign w:val="bottom"/>
            <w:hideMark/>
          </w:tcPr>
          <w:p w14:paraId="4B032B05" w14:textId="77777777" w:rsidR="00C50585" w:rsidRPr="00EE038F" w:rsidRDefault="00C50585" w:rsidP="007C70E7">
            <w:pPr>
              <w:pStyle w:val="NoSpacing"/>
              <w:jc w:val="both"/>
              <w:rPr>
                <w:rFonts w:ascii="Garamond" w:hAnsi="Garamond"/>
                <w:i/>
                <w:sz w:val="20"/>
                <w:szCs w:val="20"/>
                <w:lang w:val="sq-AL"/>
              </w:rPr>
            </w:pPr>
            <w:r w:rsidRPr="00EE038F">
              <w:rPr>
                <w:rFonts w:ascii="Garamond" w:eastAsia="Times New Roman" w:hAnsi="Garamond"/>
                <w:i/>
                <w:iCs/>
                <w:color w:val="000000"/>
                <w:sz w:val="20"/>
                <w:szCs w:val="20"/>
                <w:lang w:val="sq-AL"/>
              </w:rPr>
              <w:t>në milionë Lekë</w:t>
            </w:r>
          </w:p>
          <w:p w14:paraId="53963C54" w14:textId="77777777" w:rsidR="00C50585" w:rsidRPr="00EE038F" w:rsidRDefault="00C50585" w:rsidP="007C70E7">
            <w:pPr>
              <w:spacing w:after="0" w:line="240" w:lineRule="auto"/>
              <w:jc w:val="both"/>
              <w:rPr>
                <w:rFonts w:ascii="Garamond" w:eastAsia="Times New Roman" w:hAnsi="Garamond"/>
                <w:sz w:val="20"/>
                <w:szCs w:val="20"/>
              </w:rPr>
            </w:pPr>
          </w:p>
        </w:tc>
      </w:tr>
      <w:tr w:rsidR="00C50585" w:rsidRPr="00EE038F" w14:paraId="774E8190" w14:textId="77777777" w:rsidTr="009D3DB8">
        <w:trPr>
          <w:trHeight w:val="20"/>
          <w:jc w:val="center"/>
        </w:trPr>
        <w:tc>
          <w:tcPr>
            <w:tcW w:w="2040" w:type="pct"/>
            <w:tcBorders>
              <w:top w:val="single" w:sz="8" w:space="0" w:color="F7CAAC"/>
              <w:left w:val="single" w:sz="8" w:space="0" w:color="F7CAAC"/>
              <w:bottom w:val="single" w:sz="12" w:space="0" w:color="F4B083"/>
              <w:right w:val="single" w:sz="8" w:space="0" w:color="F7CAAC"/>
            </w:tcBorders>
            <w:shd w:val="clear" w:color="auto" w:fill="auto"/>
            <w:vAlign w:val="center"/>
            <w:hideMark/>
          </w:tcPr>
          <w:p w14:paraId="0ADFCDB9" w14:textId="567AB835" w:rsidR="00C50585" w:rsidRPr="00EE038F" w:rsidRDefault="00C50585" w:rsidP="007C70E7">
            <w:pPr>
              <w:spacing w:after="0" w:line="240" w:lineRule="auto"/>
              <w:jc w:val="both"/>
              <w:rPr>
                <w:rFonts w:ascii="Garamond" w:eastAsia="Times New Roman" w:hAnsi="Garamond"/>
                <w:b/>
                <w:bCs/>
                <w:color w:val="000000"/>
                <w:sz w:val="20"/>
                <w:szCs w:val="20"/>
              </w:rPr>
            </w:pPr>
            <w:r w:rsidRPr="00EE038F">
              <w:rPr>
                <w:rFonts w:ascii="Garamond" w:eastAsia="Times New Roman" w:hAnsi="Garamond"/>
                <w:b/>
                <w:bCs/>
                <w:color w:val="000000"/>
                <w:sz w:val="20"/>
                <w:szCs w:val="20"/>
              </w:rPr>
              <w:t xml:space="preserve"> Shtyllat e </w:t>
            </w:r>
            <w:r w:rsidR="00E534C6" w:rsidRPr="00EE038F">
              <w:rPr>
                <w:rFonts w:ascii="Garamond" w:eastAsia="Times New Roman" w:hAnsi="Garamond"/>
                <w:b/>
                <w:bCs/>
                <w:color w:val="000000"/>
                <w:sz w:val="20"/>
                <w:szCs w:val="20"/>
              </w:rPr>
              <w:t>strategjisë</w:t>
            </w:r>
          </w:p>
        </w:tc>
        <w:tc>
          <w:tcPr>
            <w:tcW w:w="490" w:type="pct"/>
            <w:tcBorders>
              <w:top w:val="single" w:sz="8" w:space="0" w:color="F7CAAC"/>
              <w:left w:val="nil"/>
              <w:bottom w:val="single" w:sz="12" w:space="0" w:color="F4B083"/>
              <w:right w:val="single" w:sz="8" w:space="0" w:color="F7CAAC"/>
            </w:tcBorders>
            <w:shd w:val="clear" w:color="auto" w:fill="auto"/>
            <w:vAlign w:val="center"/>
            <w:hideMark/>
          </w:tcPr>
          <w:p w14:paraId="46E3ED40" w14:textId="77777777" w:rsidR="00C50585" w:rsidRPr="00EE038F" w:rsidRDefault="00C50585" w:rsidP="009D3DB8">
            <w:pPr>
              <w:spacing w:after="0" w:line="240" w:lineRule="auto"/>
              <w:jc w:val="center"/>
              <w:rPr>
                <w:rFonts w:ascii="Garamond" w:eastAsia="Times New Roman" w:hAnsi="Garamond"/>
                <w:b/>
                <w:bCs/>
                <w:color w:val="000000"/>
                <w:sz w:val="20"/>
                <w:szCs w:val="20"/>
              </w:rPr>
            </w:pPr>
            <w:r w:rsidRPr="00EE038F">
              <w:rPr>
                <w:rFonts w:ascii="Garamond" w:eastAsia="Times New Roman" w:hAnsi="Garamond"/>
                <w:b/>
                <w:bCs/>
                <w:color w:val="000000"/>
                <w:sz w:val="20"/>
                <w:szCs w:val="20"/>
              </w:rPr>
              <w:t>2024</w:t>
            </w:r>
          </w:p>
        </w:tc>
        <w:tc>
          <w:tcPr>
            <w:tcW w:w="490" w:type="pct"/>
            <w:tcBorders>
              <w:top w:val="single" w:sz="8" w:space="0" w:color="F7CAAC"/>
              <w:left w:val="nil"/>
              <w:bottom w:val="single" w:sz="12" w:space="0" w:color="F4B083"/>
              <w:right w:val="single" w:sz="8" w:space="0" w:color="F7CAAC"/>
            </w:tcBorders>
            <w:shd w:val="clear" w:color="auto" w:fill="auto"/>
            <w:vAlign w:val="center"/>
            <w:hideMark/>
          </w:tcPr>
          <w:p w14:paraId="31118F2F" w14:textId="77777777" w:rsidR="00C50585" w:rsidRPr="00EE038F" w:rsidRDefault="00C50585" w:rsidP="009D3DB8">
            <w:pPr>
              <w:spacing w:after="0" w:line="240" w:lineRule="auto"/>
              <w:jc w:val="center"/>
              <w:rPr>
                <w:rFonts w:ascii="Garamond" w:eastAsia="Times New Roman" w:hAnsi="Garamond"/>
                <w:b/>
                <w:bCs/>
                <w:color w:val="000000"/>
                <w:sz w:val="20"/>
                <w:szCs w:val="20"/>
              </w:rPr>
            </w:pPr>
            <w:r w:rsidRPr="00EE038F">
              <w:rPr>
                <w:rFonts w:ascii="Garamond" w:eastAsia="Times New Roman" w:hAnsi="Garamond"/>
                <w:b/>
                <w:bCs/>
                <w:color w:val="000000"/>
                <w:sz w:val="20"/>
                <w:szCs w:val="20"/>
              </w:rPr>
              <w:t>2025</w:t>
            </w:r>
          </w:p>
        </w:tc>
        <w:tc>
          <w:tcPr>
            <w:tcW w:w="490" w:type="pct"/>
            <w:tcBorders>
              <w:top w:val="single" w:sz="8" w:space="0" w:color="F7CAAC"/>
              <w:left w:val="nil"/>
              <w:bottom w:val="single" w:sz="12" w:space="0" w:color="F4B083"/>
              <w:right w:val="single" w:sz="8" w:space="0" w:color="F7CAAC"/>
            </w:tcBorders>
            <w:shd w:val="clear" w:color="auto" w:fill="auto"/>
            <w:vAlign w:val="center"/>
            <w:hideMark/>
          </w:tcPr>
          <w:p w14:paraId="09AEDD3D" w14:textId="77777777" w:rsidR="00C50585" w:rsidRPr="00EE038F" w:rsidRDefault="00C50585" w:rsidP="009D3DB8">
            <w:pPr>
              <w:spacing w:after="0" w:line="240" w:lineRule="auto"/>
              <w:jc w:val="center"/>
              <w:rPr>
                <w:rFonts w:ascii="Garamond" w:eastAsia="Times New Roman" w:hAnsi="Garamond"/>
                <w:b/>
                <w:bCs/>
                <w:color w:val="000000"/>
                <w:sz w:val="20"/>
                <w:szCs w:val="20"/>
              </w:rPr>
            </w:pPr>
            <w:r w:rsidRPr="00EE038F">
              <w:rPr>
                <w:rFonts w:ascii="Garamond" w:eastAsia="Times New Roman" w:hAnsi="Garamond"/>
                <w:b/>
                <w:bCs/>
                <w:color w:val="000000"/>
                <w:sz w:val="20"/>
                <w:szCs w:val="20"/>
              </w:rPr>
              <w:t>2026</w:t>
            </w:r>
          </w:p>
        </w:tc>
        <w:tc>
          <w:tcPr>
            <w:tcW w:w="490" w:type="pct"/>
            <w:tcBorders>
              <w:top w:val="single" w:sz="8" w:space="0" w:color="F7CAAC"/>
              <w:left w:val="nil"/>
              <w:bottom w:val="single" w:sz="12" w:space="0" w:color="F4B083"/>
              <w:right w:val="single" w:sz="8" w:space="0" w:color="F7CAAC"/>
            </w:tcBorders>
            <w:shd w:val="clear" w:color="auto" w:fill="auto"/>
            <w:vAlign w:val="center"/>
            <w:hideMark/>
          </w:tcPr>
          <w:p w14:paraId="146A1480" w14:textId="77777777" w:rsidR="00C50585" w:rsidRPr="00EE038F" w:rsidRDefault="00C50585" w:rsidP="009D3DB8">
            <w:pPr>
              <w:spacing w:after="0" w:line="240" w:lineRule="auto"/>
              <w:jc w:val="center"/>
              <w:rPr>
                <w:rFonts w:ascii="Garamond" w:eastAsia="Times New Roman" w:hAnsi="Garamond"/>
                <w:b/>
                <w:bCs/>
                <w:color w:val="000000"/>
                <w:sz w:val="20"/>
                <w:szCs w:val="20"/>
              </w:rPr>
            </w:pPr>
            <w:r w:rsidRPr="00EE038F">
              <w:rPr>
                <w:rFonts w:ascii="Garamond" w:eastAsia="Times New Roman" w:hAnsi="Garamond"/>
                <w:b/>
                <w:bCs/>
                <w:color w:val="000000"/>
                <w:sz w:val="20"/>
                <w:szCs w:val="20"/>
              </w:rPr>
              <w:t>2027</w:t>
            </w:r>
          </w:p>
        </w:tc>
        <w:tc>
          <w:tcPr>
            <w:tcW w:w="1001" w:type="pct"/>
            <w:tcBorders>
              <w:top w:val="single" w:sz="8" w:space="0" w:color="F7CAAC"/>
              <w:left w:val="nil"/>
              <w:bottom w:val="single" w:sz="12" w:space="0" w:color="F4B083"/>
              <w:right w:val="single" w:sz="8" w:space="0" w:color="F7CAAC"/>
            </w:tcBorders>
            <w:shd w:val="clear" w:color="auto" w:fill="auto"/>
            <w:vAlign w:val="center"/>
            <w:hideMark/>
          </w:tcPr>
          <w:p w14:paraId="44A133D6" w14:textId="49478C66" w:rsidR="00C50585" w:rsidRPr="00EE038F" w:rsidRDefault="00C50585" w:rsidP="009D3DB8">
            <w:pPr>
              <w:spacing w:after="0" w:line="240" w:lineRule="auto"/>
              <w:jc w:val="center"/>
              <w:rPr>
                <w:rFonts w:ascii="Garamond" w:eastAsia="Times New Roman" w:hAnsi="Garamond"/>
                <w:b/>
                <w:bCs/>
                <w:color w:val="000000"/>
                <w:sz w:val="20"/>
                <w:szCs w:val="20"/>
              </w:rPr>
            </w:pPr>
            <w:r w:rsidRPr="00EE038F">
              <w:rPr>
                <w:rFonts w:ascii="Garamond" w:eastAsia="Times New Roman" w:hAnsi="Garamond"/>
                <w:b/>
                <w:bCs/>
                <w:color w:val="000000"/>
                <w:sz w:val="20"/>
                <w:szCs w:val="20"/>
              </w:rPr>
              <w:t>Totali 2024</w:t>
            </w:r>
            <w:r w:rsidR="009D3DB8" w:rsidRPr="00EE038F">
              <w:rPr>
                <w:rFonts w:ascii="Garamond" w:eastAsia="Times New Roman" w:hAnsi="Garamond"/>
                <w:b/>
                <w:bCs/>
                <w:color w:val="000000"/>
                <w:sz w:val="20"/>
                <w:szCs w:val="20"/>
              </w:rPr>
              <w:t>–</w:t>
            </w:r>
            <w:r w:rsidRPr="00EE038F">
              <w:rPr>
                <w:rFonts w:ascii="Garamond" w:eastAsia="Times New Roman" w:hAnsi="Garamond"/>
                <w:b/>
                <w:bCs/>
                <w:color w:val="000000"/>
                <w:sz w:val="20"/>
                <w:szCs w:val="20"/>
              </w:rPr>
              <w:t>2027</w:t>
            </w:r>
          </w:p>
        </w:tc>
      </w:tr>
      <w:tr w:rsidR="00C50585" w:rsidRPr="00EE038F" w14:paraId="172692F3" w14:textId="77777777" w:rsidTr="009D3DB8">
        <w:trPr>
          <w:trHeight w:val="20"/>
          <w:jc w:val="center"/>
        </w:trPr>
        <w:tc>
          <w:tcPr>
            <w:tcW w:w="2040" w:type="pct"/>
            <w:tcBorders>
              <w:top w:val="nil"/>
              <w:left w:val="single" w:sz="8" w:space="0" w:color="F7CAAC"/>
              <w:bottom w:val="single" w:sz="8" w:space="0" w:color="F7CAAC"/>
              <w:right w:val="single" w:sz="8" w:space="0" w:color="F7CAAC"/>
            </w:tcBorders>
            <w:shd w:val="clear" w:color="auto" w:fill="auto"/>
            <w:vAlign w:val="center"/>
            <w:hideMark/>
          </w:tcPr>
          <w:p w14:paraId="19CD75F0" w14:textId="77777777" w:rsidR="00C50585" w:rsidRPr="00EE038F" w:rsidRDefault="00C50585" w:rsidP="007C70E7">
            <w:pPr>
              <w:spacing w:after="0" w:line="240" w:lineRule="auto"/>
              <w:jc w:val="both"/>
              <w:rPr>
                <w:rFonts w:ascii="Garamond" w:eastAsia="Times New Roman" w:hAnsi="Garamond"/>
                <w:b/>
                <w:bCs/>
                <w:color w:val="000000"/>
                <w:sz w:val="20"/>
                <w:szCs w:val="20"/>
              </w:rPr>
            </w:pPr>
            <w:r w:rsidRPr="00EE038F">
              <w:rPr>
                <w:rFonts w:ascii="Garamond" w:eastAsia="Times New Roman" w:hAnsi="Garamond"/>
                <w:b/>
                <w:bCs/>
                <w:color w:val="000000"/>
                <w:sz w:val="20"/>
                <w:szCs w:val="20"/>
              </w:rPr>
              <w:t>Shtylla 1:</w:t>
            </w:r>
            <w:r w:rsidRPr="00EE038F">
              <w:rPr>
                <w:rFonts w:ascii="Garamond" w:hAnsi="Garamond"/>
                <w:sz w:val="20"/>
                <w:szCs w:val="20"/>
              </w:rPr>
              <w:t xml:space="preserve"> Rishikimi i politikës tatimore</w:t>
            </w:r>
          </w:p>
        </w:tc>
        <w:tc>
          <w:tcPr>
            <w:tcW w:w="490" w:type="pct"/>
            <w:tcBorders>
              <w:top w:val="nil"/>
              <w:left w:val="nil"/>
              <w:bottom w:val="single" w:sz="8" w:space="0" w:color="F7CAAC"/>
              <w:right w:val="single" w:sz="8" w:space="0" w:color="F7CAAC"/>
            </w:tcBorders>
            <w:shd w:val="clear" w:color="auto" w:fill="auto"/>
            <w:vAlign w:val="center"/>
            <w:hideMark/>
          </w:tcPr>
          <w:p w14:paraId="7A323F24" w14:textId="2FD859F7" w:rsidR="00C50585" w:rsidRPr="00EE038F" w:rsidRDefault="00AD3D9C"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 xml:space="preserve"> </w:t>
            </w:r>
            <w:r w:rsidR="00C50585" w:rsidRPr="00EE038F">
              <w:rPr>
                <w:rFonts w:ascii="Garamond" w:hAnsi="Garamond"/>
                <w:color w:val="000000"/>
                <w:sz w:val="20"/>
                <w:szCs w:val="20"/>
              </w:rPr>
              <w:t xml:space="preserve">1,010 </w:t>
            </w:r>
          </w:p>
        </w:tc>
        <w:tc>
          <w:tcPr>
            <w:tcW w:w="490" w:type="pct"/>
            <w:tcBorders>
              <w:top w:val="nil"/>
              <w:left w:val="nil"/>
              <w:bottom w:val="single" w:sz="8" w:space="0" w:color="F7CAAC"/>
              <w:right w:val="single" w:sz="8" w:space="0" w:color="F7CAAC"/>
            </w:tcBorders>
            <w:shd w:val="clear" w:color="auto" w:fill="auto"/>
            <w:vAlign w:val="center"/>
            <w:hideMark/>
          </w:tcPr>
          <w:p w14:paraId="74AD48CD" w14:textId="13A6C7F7" w:rsidR="00C50585" w:rsidRPr="00EE038F" w:rsidRDefault="00AD3D9C"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 xml:space="preserve"> </w:t>
            </w:r>
            <w:r w:rsidR="00C50585" w:rsidRPr="00EE038F">
              <w:rPr>
                <w:rFonts w:ascii="Garamond" w:hAnsi="Garamond"/>
                <w:color w:val="000000"/>
                <w:sz w:val="20"/>
                <w:szCs w:val="20"/>
              </w:rPr>
              <w:t xml:space="preserve">800 </w:t>
            </w:r>
          </w:p>
        </w:tc>
        <w:tc>
          <w:tcPr>
            <w:tcW w:w="490" w:type="pct"/>
            <w:tcBorders>
              <w:top w:val="nil"/>
              <w:left w:val="nil"/>
              <w:bottom w:val="single" w:sz="8" w:space="0" w:color="F7CAAC"/>
              <w:right w:val="single" w:sz="8" w:space="0" w:color="F7CAAC"/>
            </w:tcBorders>
            <w:shd w:val="clear" w:color="auto" w:fill="auto"/>
            <w:vAlign w:val="center"/>
            <w:hideMark/>
          </w:tcPr>
          <w:p w14:paraId="36CEE313" w14:textId="4113E7CA" w:rsidR="00C50585" w:rsidRPr="00EE038F" w:rsidRDefault="00AD3D9C"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 xml:space="preserve"> </w:t>
            </w:r>
            <w:r w:rsidR="00C50585" w:rsidRPr="00EE038F">
              <w:rPr>
                <w:rFonts w:ascii="Garamond" w:hAnsi="Garamond"/>
                <w:color w:val="000000"/>
                <w:sz w:val="20"/>
                <w:szCs w:val="20"/>
              </w:rPr>
              <w:t xml:space="preserve">1,000 </w:t>
            </w:r>
          </w:p>
        </w:tc>
        <w:tc>
          <w:tcPr>
            <w:tcW w:w="490" w:type="pct"/>
            <w:tcBorders>
              <w:top w:val="nil"/>
              <w:left w:val="nil"/>
              <w:bottom w:val="single" w:sz="8" w:space="0" w:color="F7CAAC"/>
              <w:right w:val="single" w:sz="8" w:space="0" w:color="F7CAAC"/>
            </w:tcBorders>
            <w:shd w:val="clear" w:color="auto" w:fill="auto"/>
            <w:vAlign w:val="center"/>
            <w:hideMark/>
          </w:tcPr>
          <w:p w14:paraId="39EA1A75" w14:textId="01D8B1A7" w:rsidR="00C50585" w:rsidRPr="00EE038F" w:rsidRDefault="00AD3D9C"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 xml:space="preserve"> </w:t>
            </w:r>
            <w:r w:rsidR="00C50585" w:rsidRPr="00EE038F">
              <w:rPr>
                <w:rFonts w:ascii="Garamond" w:hAnsi="Garamond"/>
                <w:color w:val="000000"/>
                <w:sz w:val="20"/>
                <w:szCs w:val="20"/>
              </w:rPr>
              <w:t xml:space="preserve">6,473 </w:t>
            </w:r>
          </w:p>
        </w:tc>
        <w:tc>
          <w:tcPr>
            <w:tcW w:w="1001" w:type="pct"/>
            <w:tcBorders>
              <w:top w:val="nil"/>
              <w:left w:val="nil"/>
              <w:bottom w:val="single" w:sz="8" w:space="0" w:color="F7CAAC"/>
              <w:right w:val="single" w:sz="8" w:space="0" w:color="F7CAAC"/>
            </w:tcBorders>
            <w:shd w:val="clear" w:color="auto" w:fill="auto"/>
            <w:vAlign w:val="center"/>
            <w:hideMark/>
          </w:tcPr>
          <w:p w14:paraId="2A26375C" w14:textId="77777777" w:rsidR="00C50585" w:rsidRPr="00EE038F" w:rsidRDefault="00C50585" w:rsidP="007C70E7">
            <w:pPr>
              <w:spacing w:after="0" w:line="240" w:lineRule="auto"/>
              <w:jc w:val="both"/>
              <w:rPr>
                <w:rFonts w:ascii="Garamond" w:hAnsi="Garamond"/>
                <w:color w:val="000000"/>
                <w:sz w:val="20"/>
                <w:szCs w:val="20"/>
              </w:rPr>
            </w:pPr>
            <w:r w:rsidRPr="00EE038F">
              <w:rPr>
                <w:rFonts w:ascii="Garamond" w:hAnsi="Garamond"/>
                <w:color w:val="000000"/>
                <w:sz w:val="20"/>
                <w:szCs w:val="20"/>
              </w:rPr>
              <w:t xml:space="preserve">9,283 </w:t>
            </w:r>
          </w:p>
        </w:tc>
      </w:tr>
      <w:tr w:rsidR="00C50585" w:rsidRPr="00EE038F" w14:paraId="565C4916" w14:textId="77777777" w:rsidTr="009D3DB8">
        <w:trPr>
          <w:trHeight w:val="20"/>
          <w:jc w:val="center"/>
        </w:trPr>
        <w:tc>
          <w:tcPr>
            <w:tcW w:w="2040" w:type="pct"/>
            <w:tcBorders>
              <w:top w:val="nil"/>
              <w:left w:val="single" w:sz="8" w:space="0" w:color="F7CAAC"/>
              <w:bottom w:val="single" w:sz="8" w:space="0" w:color="F7CAAC"/>
              <w:right w:val="single" w:sz="8" w:space="0" w:color="F7CAAC"/>
            </w:tcBorders>
            <w:shd w:val="clear" w:color="auto" w:fill="auto"/>
            <w:vAlign w:val="center"/>
            <w:hideMark/>
          </w:tcPr>
          <w:p w14:paraId="3DE0358A" w14:textId="5CDCA8FE" w:rsidR="00C50585" w:rsidRPr="00EE038F" w:rsidRDefault="00C50585" w:rsidP="007C70E7">
            <w:pPr>
              <w:spacing w:after="0" w:line="240" w:lineRule="auto"/>
              <w:jc w:val="both"/>
              <w:rPr>
                <w:rFonts w:ascii="Garamond" w:eastAsia="Times New Roman" w:hAnsi="Garamond"/>
                <w:b/>
                <w:bCs/>
                <w:color w:val="000000"/>
                <w:sz w:val="20"/>
                <w:szCs w:val="20"/>
              </w:rPr>
            </w:pPr>
            <w:r w:rsidRPr="00EE038F">
              <w:rPr>
                <w:rFonts w:ascii="Garamond" w:eastAsia="Times New Roman" w:hAnsi="Garamond"/>
                <w:b/>
                <w:bCs/>
                <w:color w:val="000000"/>
                <w:sz w:val="20"/>
                <w:szCs w:val="20"/>
              </w:rPr>
              <w:t>Shtylla 2:</w:t>
            </w:r>
            <w:r w:rsidRPr="00EE038F">
              <w:rPr>
                <w:rFonts w:ascii="Garamond" w:hAnsi="Garamond"/>
                <w:sz w:val="20"/>
                <w:szCs w:val="20"/>
              </w:rPr>
              <w:t xml:space="preserve"> Miradministrimi tatimor</w:t>
            </w:r>
          </w:p>
        </w:tc>
        <w:tc>
          <w:tcPr>
            <w:tcW w:w="490" w:type="pct"/>
            <w:tcBorders>
              <w:top w:val="nil"/>
              <w:left w:val="nil"/>
              <w:bottom w:val="single" w:sz="8" w:space="0" w:color="F7CAAC"/>
              <w:right w:val="single" w:sz="8" w:space="0" w:color="F7CAAC"/>
            </w:tcBorders>
            <w:shd w:val="clear" w:color="auto" w:fill="auto"/>
            <w:vAlign w:val="center"/>
            <w:hideMark/>
          </w:tcPr>
          <w:p w14:paraId="5D72D0FD" w14:textId="0E2A4882" w:rsidR="00C50585" w:rsidRPr="00EE038F" w:rsidRDefault="00AD3D9C"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 xml:space="preserve"> </w:t>
            </w:r>
            <w:r w:rsidR="00C50585" w:rsidRPr="00EE038F">
              <w:rPr>
                <w:rFonts w:ascii="Garamond" w:hAnsi="Garamond"/>
                <w:color w:val="000000"/>
                <w:sz w:val="20"/>
                <w:szCs w:val="20"/>
              </w:rPr>
              <w:t xml:space="preserve">16,577 </w:t>
            </w:r>
          </w:p>
        </w:tc>
        <w:tc>
          <w:tcPr>
            <w:tcW w:w="490" w:type="pct"/>
            <w:tcBorders>
              <w:top w:val="nil"/>
              <w:left w:val="nil"/>
              <w:bottom w:val="single" w:sz="8" w:space="0" w:color="F7CAAC"/>
              <w:right w:val="single" w:sz="8" w:space="0" w:color="F7CAAC"/>
            </w:tcBorders>
            <w:shd w:val="clear" w:color="auto" w:fill="auto"/>
            <w:vAlign w:val="center"/>
            <w:hideMark/>
          </w:tcPr>
          <w:p w14:paraId="18C85C4B" w14:textId="671706CF" w:rsidR="00C50585" w:rsidRPr="00EE038F" w:rsidRDefault="00AD3D9C"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 xml:space="preserve"> </w:t>
            </w:r>
            <w:r w:rsidR="00C50585" w:rsidRPr="00EE038F">
              <w:rPr>
                <w:rFonts w:ascii="Garamond" w:hAnsi="Garamond"/>
                <w:color w:val="000000"/>
                <w:sz w:val="20"/>
                <w:szCs w:val="20"/>
              </w:rPr>
              <w:t xml:space="preserve">13,755 </w:t>
            </w:r>
          </w:p>
        </w:tc>
        <w:tc>
          <w:tcPr>
            <w:tcW w:w="490" w:type="pct"/>
            <w:tcBorders>
              <w:top w:val="nil"/>
              <w:left w:val="nil"/>
              <w:bottom w:val="single" w:sz="8" w:space="0" w:color="F7CAAC"/>
              <w:right w:val="single" w:sz="8" w:space="0" w:color="F7CAAC"/>
            </w:tcBorders>
            <w:shd w:val="clear" w:color="auto" w:fill="auto"/>
            <w:vAlign w:val="center"/>
            <w:hideMark/>
          </w:tcPr>
          <w:p w14:paraId="59896FAD" w14:textId="310C6406" w:rsidR="00C50585" w:rsidRPr="00EE038F" w:rsidRDefault="00AD3D9C"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 xml:space="preserve"> </w:t>
            </w:r>
            <w:r w:rsidR="00C50585" w:rsidRPr="00EE038F">
              <w:rPr>
                <w:rFonts w:ascii="Garamond" w:hAnsi="Garamond"/>
                <w:color w:val="000000"/>
                <w:sz w:val="20"/>
                <w:szCs w:val="20"/>
              </w:rPr>
              <w:t xml:space="preserve">10,069 </w:t>
            </w:r>
          </w:p>
        </w:tc>
        <w:tc>
          <w:tcPr>
            <w:tcW w:w="490" w:type="pct"/>
            <w:tcBorders>
              <w:top w:val="nil"/>
              <w:left w:val="nil"/>
              <w:bottom w:val="single" w:sz="8" w:space="0" w:color="F7CAAC"/>
              <w:right w:val="single" w:sz="8" w:space="0" w:color="F7CAAC"/>
            </w:tcBorders>
            <w:shd w:val="clear" w:color="auto" w:fill="auto"/>
            <w:vAlign w:val="center"/>
            <w:hideMark/>
          </w:tcPr>
          <w:p w14:paraId="088E362A" w14:textId="3ECA2D9A" w:rsidR="00C50585" w:rsidRPr="00EE038F" w:rsidRDefault="00AD3D9C"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 xml:space="preserve"> </w:t>
            </w:r>
            <w:r w:rsidR="00C50585" w:rsidRPr="00EE038F">
              <w:rPr>
                <w:rFonts w:ascii="Garamond" w:hAnsi="Garamond"/>
                <w:color w:val="000000"/>
                <w:sz w:val="20"/>
                <w:szCs w:val="20"/>
              </w:rPr>
              <w:t xml:space="preserve">10,665 </w:t>
            </w:r>
          </w:p>
        </w:tc>
        <w:tc>
          <w:tcPr>
            <w:tcW w:w="1001" w:type="pct"/>
            <w:tcBorders>
              <w:top w:val="nil"/>
              <w:left w:val="nil"/>
              <w:bottom w:val="single" w:sz="8" w:space="0" w:color="F7CAAC"/>
              <w:right w:val="single" w:sz="8" w:space="0" w:color="F7CAAC"/>
            </w:tcBorders>
            <w:shd w:val="clear" w:color="auto" w:fill="auto"/>
            <w:vAlign w:val="center"/>
            <w:hideMark/>
          </w:tcPr>
          <w:p w14:paraId="4132D683" w14:textId="77777777" w:rsidR="00C50585" w:rsidRPr="00EE038F" w:rsidRDefault="00C50585" w:rsidP="007C70E7">
            <w:pPr>
              <w:spacing w:after="0" w:line="240" w:lineRule="auto"/>
              <w:jc w:val="both"/>
              <w:rPr>
                <w:rFonts w:ascii="Garamond" w:hAnsi="Garamond"/>
                <w:color w:val="000000"/>
                <w:sz w:val="20"/>
                <w:szCs w:val="20"/>
              </w:rPr>
            </w:pPr>
            <w:r w:rsidRPr="00EE038F">
              <w:rPr>
                <w:rFonts w:ascii="Garamond" w:hAnsi="Garamond"/>
                <w:color w:val="000000"/>
                <w:sz w:val="20"/>
                <w:szCs w:val="20"/>
              </w:rPr>
              <w:t xml:space="preserve">51,067 </w:t>
            </w:r>
          </w:p>
        </w:tc>
      </w:tr>
      <w:tr w:rsidR="00C50585" w:rsidRPr="00EE038F" w14:paraId="3B954E5A" w14:textId="77777777" w:rsidTr="009D3DB8">
        <w:trPr>
          <w:trHeight w:val="20"/>
          <w:jc w:val="center"/>
        </w:trPr>
        <w:tc>
          <w:tcPr>
            <w:tcW w:w="2040" w:type="pct"/>
            <w:tcBorders>
              <w:top w:val="nil"/>
              <w:left w:val="single" w:sz="8" w:space="0" w:color="F7CAAC"/>
              <w:bottom w:val="single" w:sz="8" w:space="0" w:color="F7CAAC"/>
              <w:right w:val="single" w:sz="8" w:space="0" w:color="F7CAAC"/>
            </w:tcBorders>
            <w:shd w:val="clear" w:color="auto" w:fill="auto"/>
            <w:vAlign w:val="center"/>
            <w:hideMark/>
          </w:tcPr>
          <w:p w14:paraId="2D6CC79B" w14:textId="248D5402" w:rsidR="00C50585" w:rsidRPr="00EE038F" w:rsidRDefault="00C50585" w:rsidP="007C70E7">
            <w:pPr>
              <w:spacing w:after="0" w:line="240" w:lineRule="auto"/>
              <w:jc w:val="both"/>
              <w:rPr>
                <w:rFonts w:ascii="Garamond" w:eastAsia="Times New Roman" w:hAnsi="Garamond"/>
                <w:b/>
                <w:bCs/>
                <w:color w:val="000000"/>
                <w:sz w:val="20"/>
                <w:szCs w:val="20"/>
              </w:rPr>
            </w:pPr>
            <w:r w:rsidRPr="00EE038F">
              <w:rPr>
                <w:rFonts w:ascii="Garamond" w:eastAsia="Times New Roman" w:hAnsi="Garamond"/>
                <w:b/>
                <w:bCs/>
                <w:color w:val="000000"/>
                <w:sz w:val="20"/>
                <w:szCs w:val="20"/>
              </w:rPr>
              <w:t>Shtylla 3:</w:t>
            </w:r>
            <w:r w:rsidRPr="00EE038F">
              <w:rPr>
                <w:rFonts w:ascii="Garamond" w:hAnsi="Garamond"/>
                <w:sz w:val="20"/>
                <w:szCs w:val="20"/>
              </w:rPr>
              <w:t xml:space="preserve"> Miradministrimi doganor</w:t>
            </w:r>
          </w:p>
        </w:tc>
        <w:tc>
          <w:tcPr>
            <w:tcW w:w="490" w:type="pct"/>
            <w:tcBorders>
              <w:top w:val="nil"/>
              <w:left w:val="nil"/>
              <w:bottom w:val="single" w:sz="8" w:space="0" w:color="F7CAAC"/>
              <w:right w:val="single" w:sz="8" w:space="0" w:color="F7CAAC"/>
            </w:tcBorders>
            <w:shd w:val="clear" w:color="auto" w:fill="auto"/>
            <w:vAlign w:val="center"/>
            <w:hideMark/>
          </w:tcPr>
          <w:p w14:paraId="41324D64" w14:textId="6B294FB1" w:rsidR="00C50585" w:rsidRPr="00EE038F" w:rsidRDefault="00AD3D9C"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 xml:space="preserve"> </w:t>
            </w:r>
            <w:r w:rsidR="00C50585" w:rsidRPr="00EE038F">
              <w:rPr>
                <w:rFonts w:ascii="Garamond" w:hAnsi="Garamond"/>
                <w:color w:val="000000"/>
                <w:sz w:val="20"/>
                <w:szCs w:val="20"/>
              </w:rPr>
              <w:t xml:space="preserve">1,265 </w:t>
            </w:r>
          </w:p>
        </w:tc>
        <w:tc>
          <w:tcPr>
            <w:tcW w:w="490" w:type="pct"/>
            <w:tcBorders>
              <w:top w:val="nil"/>
              <w:left w:val="nil"/>
              <w:bottom w:val="single" w:sz="8" w:space="0" w:color="F7CAAC"/>
              <w:right w:val="single" w:sz="8" w:space="0" w:color="F7CAAC"/>
            </w:tcBorders>
            <w:shd w:val="clear" w:color="auto" w:fill="auto"/>
            <w:vAlign w:val="center"/>
            <w:hideMark/>
          </w:tcPr>
          <w:p w14:paraId="41CFC521" w14:textId="690DE806" w:rsidR="00C50585" w:rsidRPr="00EE038F" w:rsidRDefault="00AD3D9C"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 xml:space="preserve"> </w:t>
            </w:r>
            <w:r w:rsidR="00C50585" w:rsidRPr="00EE038F">
              <w:rPr>
                <w:rFonts w:ascii="Garamond" w:hAnsi="Garamond"/>
                <w:color w:val="000000"/>
                <w:sz w:val="20"/>
                <w:szCs w:val="20"/>
              </w:rPr>
              <w:t xml:space="preserve">1,408 </w:t>
            </w:r>
          </w:p>
        </w:tc>
        <w:tc>
          <w:tcPr>
            <w:tcW w:w="490" w:type="pct"/>
            <w:tcBorders>
              <w:top w:val="nil"/>
              <w:left w:val="nil"/>
              <w:bottom w:val="single" w:sz="8" w:space="0" w:color="F7CAAC"/>
              <w:right w:val="single" w:sz="8" w:space="0" w:color="F7CAAC"/>
            </w:tcBorders>
            <w:shd w:val="clear" w:color="auto" w:fill="auto"/>
            <w:vAlign w:val="center"/>
            <w:hideMark/>
          </w:tcPr>
          <w:p w14:paraId="5ACA479F" w14:textId="0A36E665" w:rsidR="00C50585" w:rsidRPr="00EE038F" w:rsidRDefault="00AD3D9C"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 xml:space="preserve"> </w:t>
            </w:r>
            <w:r w:rsidR="00C50585" w:rsidRPr="00EE038F">
              <w:rPr>
                <w:rFonts w:ascii="Garamond" w:hAnsi="Garamond"/>
                <w:color w:val="000000"/>
                <w:sz w:val="20"/>
                <w:szCs w:val="20"/>
              </w:rPr>
              <w:t xml:space="preserve">1,171 </w:t>
            </w:r>
          </w:p>
        </w:tc>
        <w:tc>
          <w:tcPr>
            <w:tcW w:w="490" w:type="pct"/>
            <w:tcBorders>
              <w:top w:val="nil"/>
              <w:left w:val="nil"/>
              <w:bottom w:val="single" w:sz="8" w:space="0" w:color="F7CAAC"/>
              <w:right w:val="single" w:sz="8" w:space="0" w:color="F7CAAC"/>
            </w:tcBorders>
            <w:shd w:val="clear" w:color="auto" w:fill="auto"/>
            <w:vAlign w:val="center"/>
            <w:hideMark/>
          </w:tcPr>
          <w:p w14:paraId="1D2A874A" w14:textId="3FE1D481" w:rsidR="00C50585" w:rsidRPr="00EE038F" w:rsidRDefault="00AD3D9C" w:rsidP="007C70E7">
            <w:pPr>
              <w:spacing w:after="0" w:line="240" w:lineRule="auto"/>
              <w:jc w:val="both"/>
              <w:rPr>
                <w:rFonts w:ascii="Garamond" w:eastAsia="Times New Roman" w:hAnsi="Garamond"/>
                <w:color w:val="000000"/>
                <w:sz w:val="20"/>
                <w:szCs w:val="20"/>
              </w:rPr>
            </w:pPr>
            <w:r w:rsidRPr="00EE038F">
              <w:rPr>
                <w:rFonts w:ascii="Garamond" w:hAnsi="Garamond"/>
                <w:color w:val="000000"/>
                <w:sz w:val="20"/>
                <w:szCs w:val="20"/>
              </w:rPr>
              <w:t xml:space="preserve"> </w:t>
            </w:r>
            <w:r w:rsidR="00C50585" w:rsidRPr="00EE038F">
              <w:rPr>
                <w:rFonts w:ascii="Garamond" w:hAnsi="Garamond"/>
                <w:color w:val="000000"/>
                <w:sz w:val="20"/>
                <w:szCs w:val="20"/>
              </w:rPr>
              <w:t xml:space="preserve">664 </w:t>
            </w:r>
          </w:p>
        </w:tc>
        <w:tc>
          <w:tcPr>
            <w:tcW w:w="1001" w:type="pct"/>
            <w:tcBorders>
              <w:top w:val="nil"/>
              <w:left w:val="nil"/>
              <w:bottom w:val="single" w:sz="8" w:space="0" w:color="F7CAAC"/>
              <w:right w:val="single" w:sz="8" w:space="0" w:color="F7CAAC"/>
            </w:tcBorders>
            <w:shd w:val="clear" w:color="auto" w:fill="auto"/>
            <w:vAlign w:val="center"/>
            <w:hideMark/>
          </w:tcPr>
          <w:p w14:paraId="0206025D" w14:textId="77777777" w:rsidR="00C50585" w:rsidRPr="00EE038F" w:rsidRDefault="00C50585" w:rsidP="007C70E7">
            <w:pPr>
              <w:spacing w:after="0" w:line="240" w:lineRule="auto"/>
              <w:jc w:val="both"/>
              <w:rPr>
                <w:rFonts w:ascii="Garamond" w:hAnsi="Garamond"/>
                <w:color w:val="000000"/>
                <w:sz w:val="20"/>
                <w:szCs w:val="20"/>
              </w:rPr>
            </w:pPr>
            <w:r w:rsidRPr="00EE038F">
              <w:rPr>
                <w:rFonts w:ascii="Garamond" w:hAnsi="Garamond"/>
                <w:color w:val="000000"/>
                <w:sz w:val="20"/>
                <w:szCs w:val="20"/>
              </w:rPr>
              <w:t xml:space="preserve">4,508 </w:t>
            </w:r>
          </w:p>
        </w:tc>
      </w:tr>
      <w:tr w:rsidR="00C50585" w:rsidRPr="00EE038F" w14:paraId="20A1C137" w14:textId="77777777" w:rsidTr="009D3DB8">
        <w:trPr>
          <w:trHeight w:val="20"/>
          <w:jc w:val="center"/>
        </w:trPr>
        <w:tc>
          <w:tcPr>
            <w:tcW w:w="2040" w:type="pct"/>
            <w:tcBorders>
              <w:top w:val="nil"/>
              <w:left w:val="single" w:sz="8" w:space="0" w:color="F7CAAC"/>
              <w:bottom w:val="single" w:sz="8" w:space="0" w:color="F7CAAC"/>
              <w:right w:val="single" w:sz="8" w:space="0" w:color="F7CAAC"/>
            </w:tcBorders>
            <w:shd w:val="clear" w:color="auto" w:fill="auto"/>
            <w:vAlign w:val="center"/>
            <w:hideMark/>
          </w:tcPr>
          <w:p w14:paraId="69EB9EBF" w14:textId="2895537B" w:rsidR="00C50585" w:rsidRPr="00EE038F" w:rsidRDefault="00BC4D84" w:rsidP="007C70E7">
            <w:pPr>
              <w:spacing w:after="0" w:line="240" w:lineRule="auto"/>
              <w:jc w:val="both"/>
              <w:rPr>
                <w:rFonts w:ascii="Garamond" w:eastAsia="Times New Roman" w:hAnsi="Garamond"/>
                <w:b/>
                <w:bCs/>
                <w:color w:val="000000"/>
                <w:sz w:val="20"/>
                <w:szCs w:val="20"/>
              </w:rPr>
            </w:pPr>
            <w:r w:rsidRPr="00EE038F">
              <w:rPr>
                <w:rFonts w:ascii="Garamond" w:eastAsia="Times New Roman" w:hAnsi="Garamond"/>
                <w:b/>
                <w:bCs/>
                <w:color w:val="000000"/>
                <w:sz w:val="20"/>
                <w:szCs w:val="20"/>
              </w:rPr>
              <w:t>Totali</w:t>
            </w:r>
          </w:p>
        </w:tc>
        <w:tc>
          <w:tcPr>
            <w:tcW w:w="490" w:type="pct"/>
            <w:tcBorders>
              <w:top w:val="nil"/>
              <w:left w:val="nil"/>
              <w:bottom w:val="single" w:sz="8" w:space="0" w:color="F7CAAC"/>
              <w:right w:val="single" w:sz="8" w:space="0" w:color="F7CAAC"/>
            </w:tcBorders>
            <w:shd w:val="clear" w:color="auto" w:fill="auto"/>
            <w:vAlign w:val="center"/>
            <w:hideMark/>
          </w:tcPr>
          <w:p w14:paraId="0F36043E" w14:textId="4B09EEDB" w:rsidR="00C50585" w:rsidRPr="00EE038F" w:rsidRDefault="00AD3D9C" w:rsidP="007C70E7">
            <w:pPr>
              <w:spacing w:after="0" w:line="240" w:lineRule="auto"/>
              <w:jc w:val="both"/>
              <w:rPr>
                <w:rFonts w:ascii="Garamond" w:eastAsia="Times New Roman" w:hAnsi="Garamond"/>
                <w:b/>
                <w:bCs/>
                <w:color w:val="000000"/>
                <w:sz w:val="20"/>
                <w:szCs w:val="20"/>
              </w:rPr>
            </w:pPr>
            <w:r w:rsidRPr="00EE038F">
              <w:rPr>
                <w:rFonts w:ascii="Garamond" w:hAnsi="Garamond"/>
                <w:b/>
                <w:bCs/>
                <w:color w:val="000000"/>
                <w:sz w:val="20"/>
                <w:szCs w:val="20"/>
              </w:rPr>
              <w:t xml:space="preserve"> </w:t>
            </w:r>
            <w:r w:rsidR="00C50585" w:rsidRPr="00EE038F">
              <w:rPr>
                <w:rFonts w:ascii="Garamond" w:hAnsi="Garamond"/>
                <w:b/>
                <w:bCs/>
                <w:color w:val="000000"/>
                <w:sz w:val="20"/>
                <w:szCs w:val="20"/>
              </w:rPr>
              <w:t xml:space="preserve">18,852 </w:t>
            </w:r>
          </w:p>
        </w:tc>
        <w:tc>
          <w:tcPr>
            <w:tcW w:w="490" w:type="pct"/>
            <w:tcBorders>
              <w:top w:val="nil"/>
              <w:left w:val="nil"/>
              <w:bottom w:val="single" w:sz="8" w:space="0" w:color="F7CAAC"/>
              <w:right w:val="single" w:sz="8" w:space="0" w:color="F7CAAC"/>
            </w:tcBorders>
            <w:shd w:val="clear" w:color="auto" w:fill="auto"/>
            <w:vAlign w:val="center"/>
            <w:hideMark/>
          </w:tcPr>
          <w:p w14:paraId="264D85DB" w14:textId="5485798B" w:rsidR="00C50585" w:rsidRPr="00EE038F" w:rsidRDefault="00AD3D9C" w:rsidP="007C70E7">
            <w:pPr>
              <w:spacing w:after="0" w:line="240" w:lineRule="auto"/>
              <w:jc w:val="both"/>
              <w:rPr>
                <w:rFonts w:ascii="Garamond" w:eastAsia="Times New Roman" w:hAnsi="Garamond"/>
                <w:b/>
                <w:bCs/>
                <w:color w:val="000000"/>
                <w:sz w:val="20"/>
                <w:szCs w:val="20"/>
              </w:rPr>
            </w:pPr>
            <w:r w:rsidRPr="00EE038F">
              <w:rPr>
                <w:rFonts w:ascii="Garamond" w:hAnsi="Garamond"/>
                <w:b/>
                <w:bCs/>
                <w:color w:val="000000"/>
                <w:sz w:val="20"/>
                <w:szCs w:val="20"/>
              </w:rPr>
              <w:t xml:space="preserve"> </w:t>
            </w:r>
            <w:r w:rsidR="00C50585" w:rsidRPr="00EE038F">
              <w:rPr>
                <w:rFonts w:ascii="Garamond" w:hAnsi="Garamond"/>
                <w:b/>
                <w:bCs/>
                <w:color w:val="000000"/>
                <w:sz w:val="20"/>
                <w:szCs w:val="20"/>
              </w:rPr>
              <w:t xml:space="preserve">15,963 </w:t>
            </w:r>
          </w:p>
        </w:tc>
        <w:tc>
          <w:tcPr>
            <w:tcW w:w="490" w:type="pct"/>
            <w:tcBorders>
              <w:top w:val="nil"/>
              <w:left w:val="nil"/>
              <w:bottom w:val="single" w:sz="8" w:space="0" w:color="F7CAAC"/>
              <w:right w:val="single" w:sz="8" w:space="0" w:color="F7CAAC"/>
            </w:tcBorders>
            <w:shd w:val="clear" w:color="auto" w:fill="auto"/>
            <w:vAlign w:val="center"/>
            <w:hideMark/>
          </w:tcPr>
          <w:p w14:paraId="0714F967" w14:textId="2ED44E8F" w:rsidR="00C50585" w:rsidRPr="00EE038F" w:rsidRDefault="00AD3D9C" w:rsidP="007C70E7">
            <w:pPr>
              <w:spacing w:after="0" w:line="240" w:lineRule="auto"/>
              <w:jc w:val="both"/>
              <w:rPr>
                <w:rFonts w:ascii="Garamond" w:eastAsia="Times New Roman" w:hAnsi="Garamond"/>
                <w:b/>
                <w:bCs/>
                <w:color w:val="000000"/>
                <w:sz w:val="20"/>
                <w:szCs w:val="20"/>
              </w:rPr>
            </w:pPr>
            <w:r w:rsidRPr="00EE038F">
              <w:rPr>
                <w:rFonts w:ascii="Garamond" w:hAnsi="Garamond"/>
                <w:b/>
                <w:bCs/>
                <w:color w:val="000000"/>
                <w:sz w:val="20"/>
                <w:szCs w:val="20"/>
              </w:rPr>
              <w:t xml:space="preserve"> </w:t>
            </w:r>
            <w:r w:rsidR="00C50585" w:rsidRPr="00EE038F">
              <w:rPr>
                <w:rFonts w:ascii="Garamond" w:hAnsi="Garamond"/>
                <w:b/>
                <w:bCs/>
                <w:color w:val="000000"/>
                <w:sz w:val="20"/>
                <w:szCs w:val="20"/>
              </w:rPr>
              <w:t xml:space="preserve">12,240 </w:t>
            </w:r>
          </w:p>
        </w:tc>
        <w:tc>
          <w:tcPr>
            <w:tcW w:w="490" w:type="pct"/>
            <w:tcBorders>
              <w:top w:val="nil"/>
              <w:left w:val="nil"/>
              <w:bottom w:val="single" w:sz="8" w:space="0" w:color="F7CAAC"/>
              <w:right w:val="single" w:sz="8" w:space="0" w:color="F7CAAC"/>
            </w:tcBorders>
            <w:shd w:val="clear" w:color="auto" w:fill="auto"/>
            <w:vAlign w:val="center"/>
            <w:hideMark/>
          </w:tcPr>
          <w:p w14:paraId="4AB0ABE6" w14:textId="3CA4B747" w:rsidR="00C50585" w:rsidRPr="00EE038F" w:rsidRDefault="00AD3D9C" w:rsidP="007C70E7">
            <w:pPr>
              <w:spacing w:after="0" w:line="240" w:lineRule="auto"/>
              <w:jc w:val="both"/>
              <w:rPr>
                <w:rFonts w:ascii="Garamond" w:eastAsia="Times New Roman" w:hAnsi="Garamond"/>
                <w:b/>
                <w:bCs/>
                <w:color w:val="000000"/>
                <w:sz w:val="20"/>
                <w:szCs w:val="20"/>
              </w:rPr>
            </w:pPr>
            <w:r w:rsidRPr="00EE038F">
              <w:rPr>
                <w:rFonts w:ascii="Garamond" w:hAnsi="Garamond"/>
                <w:b/>
                <w:bCs/>
                <w:color w:val="000000"/>
                <w:sz w:val="20"/>
                <w:szCs w:val="20"/>
              </w:rPr>
              <w:t xml:space="preserve"> </w:t>
            </w:r>
            <w:r w:rsidR="00C50585" w:rsidRPr="00EE038F">
              <w:rPr>
                <w:rFonts w:ascii="Garamond" w:hAnsi="Garamond"/>
                <w:b/>
                <w:bCs/>
                <w:color w:val="000000"/>
                <w:sz w:val="20"/>
                <w:szCs w:val="20"/>
              </w:rPr>
              <w:t xml:space="preserve">17,802 </w:t>
            </w:r>
          </w:p>
        </w:tc>
        <w:tc>
          <w:tcPr>
            <w:tcW w:w="1001" w:type="pct"/>
            <w:tcBorders>
              <w:top w:val="nil"/>
              <w:left w:val="nil"/>
              <w:bottom w:val="single" w:sz="8" w:space="0" w:color="F7CAAC"/>
              <w:right w:val="single" w:sz="8" w:space="0" w:color="F7CAAC"/>
            </w:tcBorders>
            <w:shd w:val="clear" w:color="auto" w:fill="auto"/>
            <w:vAlign w:val="center"/>
            <w:hideMark/>
          </w:tcPr>
          <w:p w14:paraId="2AEB517C" w14:textId="77777777" w:rsidR="00C50585" w:rsidRPr="00EE038F" w:rsidRDefault="00C50585" w:rsidP="007C70E7">
            <w:pPr>
              <w:spacing w:after="0" w:line="240" w:lineRule="auto"/>
              <w:jc w:val="both"/>
              <w:rPr>
                <w:rFonts w:ascii="Garamond" w:hAnsi="Garamond"/>
                <w:b/>
                <w:bCs/>
                <w:color w:val="000000"/>
                <w:sz w:val="20"/>
                <w:szCs w:val="20"/>
              </w:rPr>
            </w:pPr>
            <w:r w:rsidRPr="00EE038F">
              <w:rPr>
                <w:rFonts w:ascii="Garamond" w:hAnsi="Garamond"/>
                <w:b/>
                <w:bCs/>
                <w:color w:val="000000"/>
                <w:sz w:val="20"/>
                <w:szCs w:val="20"/>
              </w:rPr>
              <w:t xml:space="preserve">64,858 </w:t>
            </w:r>
          </w:p>
        </w:tc>
      </w:tr>
    </w:tbl>
    <w:p w14:paraId="787E132C" w14:textId="77777777" w:rsidR="00C50585" w:rsidRPr="00EE038F" w:rsidRDefault="00C50585" w:rsidP="00C50585">
      <w:pPr>
        <w:spacing w:after="0" w:line="240" w:lineRule="auto"/>
        <w:jc w:val="both"/>
        <w:rPr>
          <w:rFonts w:ascii="Garamond" w:hAnsi="Garamond"/>
          <w:bCs/>
        </w:rPr>
      </w:pPr>
    </w:p>
    <w:p w14:paraId="17B28808" w14:textId="0892DB94" w:rsidR="00C50585" w:rsidRPr="00EE038F" w:rsidRDefault="00C50585" w:rsidP="00727F6C">
      <w:pPr>
        <w:pStyle w:val="TEKSTIIIIII"/>
        <w:rPr>
          <w:rStyle w:val="rynqvb"/>
          <w:b/>
        </w:rPr>
      </w:pPr>
      <w:r w:rsidRPr="00EE038F">
        <w:rPr>
          <w:rStyle w:val="rynqvb"/>
          <w:b/>
        </w:rPr>
        <w:t xml:space="preserve">Parashikimi </w:t>
      </w:r>
      <w:r w:rsidR="00BC4D84" w:rsidRPr="00EE038F">
        <w:rPr>
          <w:rStyle w:val="rynqvb"/>
          <w:b/>
        </w:rPr>
        <w:t>afatmesëm i shpenzimeve</w:t>
      </w:r>
    </w:p>
    <w:p w14:paraId="371956ED" w14:textId="795B96AD" w:rsidR="00C50585" w:rsidRPr="00EE038F" w:rsidRDefault="00C50585" w:rsidP="00727F6C">
      <w:pPr>
        <w:pStyle w:val="TEKSTIIIIII"/>
        <w:rPr>
          <w:rStyle w:val="rynqvb"/>
        </w:rPr>
      </w:pPr>
      <w:r w:rsidRPr="00EE038F">
        <w:rPr>
          <w:rStyle w:val="rynqvb"/>
        </w:rPr>
        <w:t>Për vitet 2026</w:t>
      </w:r>
      <w:r w:rsidR="00A33035" w:rsidRPr="00EE038F">
        <w:rPr>
          <w:rStyle w:val="rynqvb"/>
        </w:rPr>
        <w:t>–</w:t>
      </w:r>
      <w:r w:rsidRPr="00EE038F">
        <w:rPr>
          <w:rStyle w:val="rynqvb"/>
        </w:rPr>
        <w:t xml:space="preserve">2027, </w:t>
      </w:r>
      <w:r w:rsidR="00687A38" w:rsidRPr="00EE038F">
        <w:rPr>
          <w:rStyle w:val="rynqvb"/>
        </w:rPr>
        <w:t xml:space="preserve">shpenzimet e përgjithshme të buxhetit </w:t>
      </w:r>
      <w:r w:rsidRPr="00EE038F">
        <w:rPr>
          <w:rStyle w:val="rynqvb"/>
        </w:rPr>
        <w:t xml:space="preserve">rezultojnë në një ulje të </w:t>
      </w:r>
      <w:r w:rsidR="009242F9" w:rsidRPr="00EE038F">
        <w:rPr>
          <w:rStyle w:val="rynqvb"/>
        </w:rPr>
        <w:t>përqindje</w:t>
      </w:r>
      <w:r w:rsidRPr="00EE038F">
        <w:rPr>
          <w:rStyle w:val="rynqvb"/>
        </w:rPr>
        <w:t>s së PBB-së</w:t>
      </w:r>
      <w:r w:rsidR="0048779C" w:rsidRPr="00EE038F">
        <w:rPr>
          <w:rStyle w:val="rynqvb"/>
        </w:rPr>
        <w:t>,</w:t>
      </w:r>
      <w:r w:rsidRPr="00EE038F">
        <w:rPr>
          <w:rStyle w:val="rynqvb"/>
        </w:rPr>
        <w:t xml:space="preserve"> konkretisht në 30.8% të PBB-së në vitin 2026 dhe 30.8% të PBB-së në vitin 2027. </w:t>
      </w:r>
    </w:p>
    <w:p w14:paraId="62288887" w14:textId="77777777" w:rsidR="00C50585" w:rsidRPr="00EE038F" w:rsidRDefault="00C50585" w:rsidP="00727F6C">
      <w:pPr>
        <w:pStyle w:val="TEKSTIIIIII"/>
        <w:rPr>
          <w:rStyle w:val="rynqvb"/>
        </w:rPr>
      </w:pPr>
      <w:r w:rsidRPr="00EE038F">
        <w:rPr>
          <w:rStyle w:val="rynqvb"/>
        </w:rPr>
        <w:t xml:space="preserve">Ky nivel shpenzimesh mbështet vazhdimisht objektivin kryesor të konsolidimit fiskal për uljen e borxhit publik dhe ruajtjen e parametrave të tjerë makroekonomikë në nivele të qëndrueshme. </w:t>
      </w:r>
    </w:p>
    <w:p w14:paraId="480A995B" w14:textId="7E513D7D" w:rsidR="00C50585" w:rsidRPr="00EE038F" w:rsidRDefault="00C50585" w:rsidP="00727F6C">
      <w:pPr>
        <w:pStyle w:val="TEKSTIIIIII"/>
        <w:rPr>
          <w:rStyle w:val="rynqvb"/>
        </w:rPr>
      </w:pPr>
      <w:r w:rsidRPr="00EE038F">
        <w:rPr>
          <w:rStyle w:val="rynqvb"/>
          <w:i/>
        </w:rPr>
        <w:t>Shpenzimet e personelit</w:t>
      </w:r>
      <w:r w:rsidRPr="00EE038F">
        <w:rPr>
          <w:rStyle w:val="rynqvb"/>
        </w:rPr>
        <w:t xml:space="preserve"> ruajnë nivelin mesatar prej 4.8% të PBB-së përgjatë viteve 2026</w:t>
      </w:r>
      <w:r w:rsidR="004A027A" w:rsidRPr="00EE038F">
        <w:rPr>
          <w:rStyle w:val="rynqvb"/>
        </w:rPr>
        <w:t>–</w:t>
      </w:r>
      <w:r w:rsidRPr="00EE038F">
        <w:rPr>
          <w:rStyle w:val="rynqvb"/>
        </w:rPr>
        <w:t>2027.</w:t>
      </w:r>
      <w:r w:rsidRPr="00EE038F">
        <w:rPr>
          <w:rStyle w:val="hwtze"/>
        </w:rPr>
        <w:t xml:space="preserve"> </w:t>
      </w:r>
      <w:r w:rsidRPr="00EE038F">
        <w:rPr>
          <w:rStyle w:val="rynqvb"/>
        </w:rPr>
        <w:t>Në vitin 2026 parashikohet një fond prej 4 miliardë lekësh për indeksimin e pagave në bazë të inflacionit mesatar në masën 0.1% të PBB-së, ndërsa në vitin 2027 parashikohet një fond prej 3.6 miliardë lekësh ose 0.1% e PBB-së për rritjen e pagave të</w:t>
      </w:r>
      <w:r w:rsidRPr="00EE038F">
        <w:rPr>
          <w:rStyle w:val="hwtze"/>
        </w:rPr>
        <w:t xml:space="preserve"> </w:t>
      </w:r>
      <w:r w:rsidRPr="00EE038F">
        <w:rPr>
          <w:rStyle w:val="rynqvb"/>
        </w:rPr>
        <w:t>një kategori selektive punonjësish</w:t>
      </w:r>
      <w:r w:rsidR="00F129E0" w:rsidRPr="00EE038F">
        <w:rPr>
          <w:rStyle w:val="rynqvb"/>
        </w:rPr>
        <w:t>,</w:t>
      </w:r>
      <w:r w:rsidRPr="00EE038F">
        <w:rPr>
          <w:rStyle w:val="rynqvb"/>
        </w:rPr>
        <w:t xml:space="preserve"> si dhe indeksimi i pagave të administratës publike me inflacion, në vlerën 4.3 miliardë lekë</w:t>
      </w:r>
      <w:r w:rsidR="00F129E0" w:rsidRPr="00EE038F">
        <w:rPr>
          <w:rStyle w:val="rynqvb"/>
        </w:rPr>
        <w:t>,</w:t>
      </w:r>
      <w:r w:rsidRPr="00EE038F">
        <w:rPr>
          <w:rStyle w:val="hwtze"/>
        </w:rPr>
        <w:t xml:space="preserve"> </w:t>
      </w:r>
      <w:r w:rsidRPr="00EE038F">
        <w:rPr>
          <w:rStyle w:val="rynqvb"/>
        </w:rPr>
        <w:t xml:space="preserve">ose 0.1% e PBB-së. </w:t>
      </w:r>
    </w:p>
    <w:p w14:paraId="59AA0AA1" w14:textId="72459664" w:rsidR="00C50585" w:rsidRPr="00EE038F" w:rsidRDefault="00C50585" w:rsidP="00727F6C">
      <w:pPr>
        <w:pStyle w:val="TEKSTIIIIII"/>
        <w:rPr>
          <w:rStyle w:val="rynqvb"/>
        </w:rPr>
      </w:pPr>
      <w:r w:rsidRPr="00EE038F">
        <w:rPr>
          <w:rStyle w:val="rynqvb"/>
          <w:i/>
        </w:rPr>
        <w:t>Shpenzimet e interesit</w:t>
      </w:r>
      <w:r w:rsidRPr="00EE038F">
        <w:rPr>
          <w:rStyle w:val="rynqvb"/>
        </w:rPr>
        <w:t xml:space="preserve"> janë planifikuar të qëndrojnë në një nivel të qëndrueshëm prej 2.5% të PBB-së bazuar në parashikimet e normave të interesit në tregun e huaj dhe atë </w:t>
      </w:r>
      <w:r w:rsidR="007F728D" w:rsidRPr="00EE038F">
        <w:rPr>
          <w:rStyle w:val="rynqvb"/>
        </w:rPr>
        <w:t>vendës</w:t>
      </w:r>
      <w:r w:rsidRPr="00EE038F">
        <w:rPr>
          <w:rStyle w:val="rynqvb"/>
        </w:rPr>
        <w:t xml:space="preserve"> përgjatë viteve 2026 dhe 2027. </w:t>
      </w:r>
    </w:p>
    <w:p w14:paraId="6B66A2C5" w14:textId="48757A68" w:rsidR="00C50585" w:rsidRPr="00EE038F" w:rsidRDefault="00C50585" w:rsidP="00727F6C">
      <w:pPr>
        <w:pStyle w:val="TEKSTIIIIII"/>
        <w:rPr>
          <w:rStyle w:val="rynqvb"/>
        </w:rPr>
      </w:pPr>
      <w:r w:rsidRPr="00EE038F">
        <w:rPr>
          <w:rStyle w:val="rynqvb"/>
          <w:i/>
        </w:rPr>
        <w:t>Shpenzimet operative dhe të mirëmbajtjes</w:t>
      </w:r>
      <w:r w:rsidRPr="00EE038F">
        <w:rPr>
          <w:rStyle w:val="rynqvb"/>
        </w:rPr>
        <w:t xml:space="preserve"> janë planifikuar të ulen në vitin 2026 në 2.8% të PBB-së</w:t>
      </w:r>
      <w:r w:rsidR="00D01883" w:rsidRPr="00EE038F">
        <w:rPr>
          <w:rStyle w:val="rynqvb"/>
        </w:rPr>
        <w:t>,</w:t>
      </w:r>
      <w:r w:rsidRPr="00EE038F">
        <w:rPr>
          <w:rStyle w:val="rynqvb"/>
        </w:rPr>
        <w:t xml:space="preserve"> krahasuar me 2.9% të PBB-së të planifikuar në vitin 2025. Kjo</w:t>
      </w:r>
      <w:r w:rsidR="00D01883" w:rsidRPr="00EE038F">
        <w:rPr>
          <w:rStyle w:val="rynqvb"/>
        </w:rPr>
        <w:t>,</w:t>
      </w:r>
      <w:r w:rsidRPr="00EE038F">
        <w:rPr>
          <w:rStyle w:val="rynqvb"/>
        </w:rPr>
        <w:t xml:space="preserve"> për shkak të heqjes së politikave të njëhershme që pritet të zbatohen në vitin 2025 nga ky zë. </w:t>
      </w:r>
    </w:p>
    <w:p w14:paraId="5B7F4910" w14:textId="51A96949" w:rsidR="00C50585" w:rsidRPr="00EE038F" w:rsidRDefault="00C50585" w:rsidP="00727F6C">
      <w:pPr>
        <w:pStyle w:val="TEKSTIIIIII"/>
        <w:rPr>
          <w:rStyle w:val="rynqvb"/>
        </w:rPr>
      </w:pPr>
      <w:r w:rsidRPr="00EE038F">
        <w:rPr>
          <w:rStyle w:val="rynqvb"/>
          <w:i/>
        </w:rPr>
        <w:t>Shpenzimet për fondet sociale</w:t>
      </w:r>
      <w:r w:rsidRPr="00EE038F">
        <w:rPr>
          <w:rStyle w:val="rynqvb"/>
        </w:rPr>
        <w:t xml:space="preserve"> mbeten në nivele të qëndrueshme me një mesatare prej 10% të PBB-së për vitet 2026</w:t>
      </w:r>
      <w:r w:rsidR="00D01883" w:rsidRPr="00EE038F">
        <w:rPr>
          <w:rStyle w:val="rynqvb"/>
        </w:rPr>
        <w:t>–</w:t>
      </w:r>
      <w:r w:rsidRPr="00EE038F">
        <w:rPr>
          <w:rStyle w:val="rynqvb"/>
        </w:rPr>
        <w:t xml:space="preserve">2027. </w:t>
      </w:r>
    </w:p>
    <w:p w14:paraId="3D22E16D" w14:textId="3FF6013C" w:rsidR="00C50585" w:rsidRPr="00EE038F" w:rsidRDefault="00C50585" w:rsidP="00727F6C">
      <w:pPr>
        <w:pStyle w:val="TEKSTIIIIII"/>
        <w:rPr>
          <w:rStyle w:val="rynqvb"/>
        </w:rPr>
      </w:pPr>
      <w:r w:rsidRPr="00EE038F">
        <w:rPr>
          <w:rStyle w:val="rynqvb"/>
          <w:i/>
        </w:rPr>
        <w:t>Shpenzimet për buxhetin vendor</w:t>
      </w:r>
      <w:r w:rsidRPr="00EE038F">
        <w:rPr>
          <w:rStyle w:val="rynqvb"/>
        </w:rPr>
        <w:t xml:space="preserve"> ruajnë trendin në vitet 2026</w:t>
      </w:r>
      <w:r w:rsidR="00E10129" w:rsidRPr="00EE038F">
        <w:rPr>
          <w:rStyle w:val="rynqvb"/>
        </w:rPr>
        <w:t>–</w:t>
      </w:r>
      <w:r w:rsidRPr="00EE038F">
        <w:rPr>
          <w:rStyle w:val="rynqvb"/>
        </w:rPr>
        <w:t>2027, prej 3,4% të PBB-së në vitet 2026</w:t>
      </w:r>
      <w:r w:rsidR="00E10129" w:rsidRPr="00EE038F">
        <w:rPr>
          <w:rStyle w:val="rynqvb"/>
        </w:rPr>
        <w:t>–</w:t>
      </w:r>
      <w:r w:rsidRPr="00EE038F">
        <w:rPr>
          <w:rStyle w:val="rynqvb"/>
        </w:rPr>
        <w:t xml:space="preserve">2027. </w:t>
      </w:r>
    </w:p>
    <w:p w14:paraId="7E2EDAAD" w14:textId="6468F339" w:rsidR="00C50585" w:rsidRPr="00EE038F" w:rsidRDefault="00C50585" w:rsidP="00727F6C">
      <w:pPr>
        <w:pStyle w:val="TEKSTIIIIII"/>
        <w:rPr>
          <w:rStyle w:val="rynqvb"/>
        </w:rPr>
      </w:pPr>
      <w:r w:rsidRPr="00EE038F">
        <w:rPr>
          <w:rStyle w:val="rynqvb"/>
          <w:i/>
        </w:rPr>
        <w:t>Shpenzimet e investimeve për periudhën 2026</w:t>
      </w:r>
      <w:r w:rsidR="00E10129" w:rsidRPr="00EE038F">
        <w:rPr>
          <w:rStyle w:val="rynqvb"/>
        </w:rPr>
        <w:t>–</w:t>
      </w:r>
      <w:r w:rsidRPr="00EE038F">
        <w:rPr>
          <w:rStyle w:val="rynqvb"/>
          <w:i/>
        </w:rPr>
        <w:t>2027</w:t>
      </w:r>
      <w:r w:rsidRPr="00EE038F">
        <w:rPr>
          <w:rStyle w:val="rynqvb"/>
        </w:rPr>
        <w:t xml:space="preserve"> rezultojnë në një rënie prej 6.1% të PBB-së krahasuar me 6.2% të PBB-së të planifikuar në vitin 2025, duke shpjeguar pjesërisht efektet e zbatimit të suksesshëm të procedurave të reja të menaxhimit të investimeve publike. </w:t>
      </w:r>
    </w:p>
    <w:p w14:paraId="66881502" w14:textId="7A4A9637" w:rsidR="00C50585" w:rsidRPr="00EE038F" w:rsidRDefault="00C50585" w:rsidP="00E10129">
      <w:pPr>
        <w:tabs>
          <w:tab w:val="left" w:pos="1020"/>
        </w:tabs>
        <w:spacing w:after="0" w:line="240" w:lineRule="auto"/>
        <w:ind w:firstLine="288"/>
        <w:jc w:val="both"/>
        <w:rPr>
          <w:rFonts w:ascii="Garamond" w:hAnsi="Garamond"/>
          <w:b/>
          <w:color w:val="0D0D0D" w:themeColor="text1" w:themeTint="F2"/>
          <w:sz w:val="24"/>
          <w:szCs w:val="24"/>
        </w:rPr>
      </w:pPr>
      <w:r w:rsidRPr="00EE038F">
        <w:rPr>
          <w:rStyle w:val="rynqvb"/>
          <w:rFonts w:ascii="Garamond" w:hAnsi="Garamond"/>
          <w:sz w:val="24"/>
          <w:szCs w:val="24"/>
        </w:rPr>
        <w:t>Si përfundim, për vitet 2026</w:t>
      </w:r>
      <w:r w:rsidR="00504275" w:rsidRPr="00EE038F">
        <w:rPr>
          <w:rStyle w:val="rynqvb"/>
        </w:rPr>
        <w:t>–</w:t>
      </w:r>
      <w:r w:rsidRPr="00EE038F">
        <w:rPr>
          <w:rStyle w:val="rynqvb"/>
          <w:rFonts w:ascii="Garamond" w:hAnsi="Garamond"/>
          <w:sz w:val="24"/>
          <w:szCs w:val="24"/>
        </w:rPr>
        <w:t>2027, siç u shpjegua më sipër, nuk kemi politika të reja të planifikuara për financim që kalojnë 0.1% të PBB-së, por do të vazhdojmë me përshtatjen e efekteve të politikave ekzistuese të ndërmarra deri më tani.</w:t>
      </w:r>
      <w:r w:rsidRPr="00EE038F">
        <w:rPr>
          <w:rStyle w:val="hwtze"/>
          <w:rFonts w:ascii="Garamond" w:hAnsi="Garamond"/>
          <w:sz w:val="24"/>
          <w:szCs w:val="24"/>
        </w:rPr>
        <w:t xml:space="preserve"> </w:t>
      </w:r>
      <w:r w:rsidRPr="00EE038F">
        <w:rPr>
          <w:rStyle w:val="rynqvb"/>
          <w:rFonts w:ascii="Garamond" w:hAnsi="Garamond"/>
          <w:sz w:val="24"/>
          <w:szCs w:val="24"/>
        </w:rPr>
        <w:t>Politika e rritjes së pagave do t</w:t>
      </w:r>
      <w:r w:rsidR="00607711" w:rsidRPr="00EE038F">
        <w:rPr>
          <w:rStyle w:val="rynqvb"/>
          <w:rFonts w:ascii="Garamond" w:hAnsi="Garamond"/>
          <w:sz w:val="24"/>
          <w:szCs w:val="24"/>
        </w:rPr>
        <w:t>’</w:t>
      </w:r>
      <w:r w:rsidRPr="00EE038F">
        <w:rPr>
          <w:rStyle w:val="rynqvb"/>
          <w:rFonts w:ascii="Garamond" w:hAnsi="Garamond"/>
          <w:sz w:val="24"/>
          <w:szCs w:val="24"/>
        </w:rPr>
        <w:t>i kushtojë buxhetit të shtetit 40 miliardë lekë, efekt i cili është konkretizuar plotësisht</w:t>
      </w:r>
      <w:r w:rsidR="00607711" w:rsidRPr="00EE038F">
        <w:rPr>
          <w:rStyle w:val="rynqvb"/>
          <w:rFonts w:ascii="Garamond" w:hAnsi="Garamond"/>
          <w:sz w:val="24"/>
          <w:szCs w:val="24"/>
        </w:rPr>
        <w:t>,</w:t>
      </w:r>
      <w:r w:rsidRPr="00EE038F">
        <w:rPr>
          <w:rStyle w:val="rynqvb"/>
          <w:rFonts w:ascii="Garamond" w:hAnsi="Garamond"/>
          <w:sz w:val="24"/>
          <w:szCs w:val="24"/>
        </w:rPr>
        <w:t xml:space="preserve"> duke filluar nga viti 2025 e në vazhdim.</w:t>
      </w:r>
    </w:p>
    <w:p w14:paraId="0D9AD8CD" w14:textId="77777777" w:rsidR="00C50585" w:rsidRPr="00EE038F" w:rsidRDefault="00C50585" w:rsidP="00727F6C">
      <w:pPr>
        <w:pStyle w:val="TEKSTIIIIII"/>
        <w:rPr>
          <w:rFonts w:eastAsia="Times New Roman"/>
          <w:b/>
          <w:lang w:eastAsia="en-GB"/>
        </w:rPr>
      </w:pPr>
      <w:r w:rsidRPr="00EE038F">
        <w:rPr>
          <w:rFonts w:eastAsia="Times New Roman"/>
          <w:b/>
          <w:lang w:eastAsia="en-GB"/>
        </w:rPr>
        <w:t>Nevojat afatmesme për financim të qeverisë qendrore</w:t>
      </w:r>
    </w:p>
    <w:p w14:paraId="087BF99B" w14:textId="43DCA0E3" w:rsidR="00C50585" w:rsidRPr="00EE038F" w:rsidRDefault="00C50585" w:rsidP="00727F6C">
      <w:pPr>
        <w:pStyle w:val="TEKSTIIIIII"/>
        <w:rPr>
          <w:rFonts w:eastAsia="Times New Roman"/>
          <w:lang w:eastAsia="en-GB"/>
        </w:rPr>
      </w:pPr>
      <w:r w:rsidRPr="00EE038F">
        <w:rPr>
          <w:rFonts w:eastAsia="Times New Roman"/>
          <w:lang w:eastAsia="en-GB"/>
        </w:rPr>
        <w:t>Në periudhën afatmesme, nevojat për financim të qeverisë qendrore do të realizohen duke përdorur si huamarrjen e brendshme</w:t>
      </w:r>
      <w:r w:rsidR="00581895" w:rsidRPr="00EE038F">
        <w:rPr>
          <w:rFonts w:eastAsia="Times New Roman"/>
          <w:lang w:eastAsia="en-GB"/>
        </w:rPr>
        <w:t>,</w:t>
      </w:r>
      <w:r w:rsidRPr="00EE038F">
        <w:rPr>
          <w:rFonts w:eastAsia="Times New Roman"/>
          <w:lang w:eastAsia="en-GB"/>
        </w:rPr>
        <w:t xml:space="preserve"> ashtu edhe atë të jashtme. Burimet e brendshme të huamarrjes do të vazhdojnë të jenë kontribuesi kryesor për të mbajtur nën kontroll riskun e kursit të këmbimit (duke ulur në afat të mesëm raportin e borxhit në valutë/borxhit total dhe duke ruajtur këtë tregues nën kufirin prej 50% të </w:t>
      </w:r>
      <w:r w:rsidR="00290F7A" w:rsidRPr="00EE038F">
        <w:rPr>
          <w:rFonts w:eastAsia="Times New Roman"/>
          <w:lang w:eastAsia="en-GB"/>
        </w:rPr>
        <w:t>përcaktuar</w:t>
      </w:r>
      <w:r w:rsidRPr="00EE038F">
        <w:rPr>
          <w:rFonts w:eastAsia="Times New Roman"/>
          <w:lang w:eastAsia="en-GB"/>
        </w:rPr>
        <w:t xml:space="preserve"> në </w:t>
      </w:r>
      <w:r w:rsidR="00290F7A" w:rsidRPr="00EE038F">
        <w:rPr>
          <w:rFonts w:eastAsia="Times New Roman"/>
          <w:lang w:eastAsia="en-GB"/>
        </w:rPr>
        <w:t xml:space="preserve">strategjinë afatmesme të menaxhimit </w:t>
      </w:r>
      <w:r w:rsidRPr="00EE038F">
        <w:rPr>
          <w:rFonts w:eastAsia="Times New Roman"/>
          <w:lang w:eastAsia="en-GB"/>
        </w:rPr>
        <w:t xml:space="preserve">të </w:t>
      </w:r>
      <w:r w:rsidR="00290F7A" w:rsidRPr="00EE038F">
        <w:rPr>
          <w:rFonts w:eastAsia="Times New Roman"/>
          <w:lang w:eastAsia="en-GB"/>
        </w:rPr>
        <w:t>borxhit</w:t>
      </w:r>
      <w:r w:rsidRPr="00EE038F">
        <w:rPr>
          <w:rFonts w:eastAsia="Times New Roman"/>
          <w:lang w:eastAsia="en-GB"/>
        </w:rPr>
        <w:t xml:space="preserve">). Pavarësisht pritshmërive pozitive në aktivitetin e institucioneve jofinanciare, huamarrja e brendshme do të vazhdojë të mbështetet më së shumti në sektorin bankar. Instrumentet afatshkurtra do të synohen kryesisht në masën e nevojshme për rifinancimin e titujve afatshkurtër </w:t>
      </w:r>
      <w:r w:rsidRPr="00EE038F">
        <w:rPr>
          <w:rFonts w:eastAsia="Times New Roman"/>
          <w:lang w:eastAsia="en-GB"/>
        </w:rPr>
        <w:lastRenderedPageBreak/>
        <w:t>ekzistues, ndërkohë që instrumentet afatgjata do të përdoren për sigurimin e financimit të ri</w:t>
      </w:r>
      <w:r w:rsidR="00EA12A1" w:rsidRPr="00EE038F">
        <w:rPr>
          <w:rFonts w:eastAsia="Times New Roman"/>
          <w:lang w:eastAsia="en-GB"/>
        </w:rPr>
        <w:t>,</w:t>
      </w:r>
      <w:r w:rsidRPr="00EE038F">
        <w:rPr>
          <w:rFonts w:eastAsia="Times New Roman"/>
          <w:lang w:eastAsia="en-GB"/>
        </w:rPr>
        <w:t xml:space="preserve"> përveçse për rifinancimin e titujve afatgjatë që maturohen. Në çdo rast</w:t>
      </w:r>
      <w:r w:rsidR="00EA12A1" w:rsidRPr="00EE038F">
        <w:rPr>
          <w:rFonts w:eastAsia="Times New Roman"/>
          <w:lang w:eastAsia="en-GB"/>
        </w:rPr>
        <w:t>,</w:t>
      </w:r>
      <w:r w:rsidRPr="00EE038F">
        <w:rPr>
          <w:rFonts w:eastAsia="Times New Roman"/>
          <w:lang w:eastAsia="en-GB"/>
        </w:rPr>
        <w:t xml:space="preserve"> plani i huamarrjes do të drejtohet edhe nga interesi i investitorëve ndaj llojit të instrumenteve. Struktura e huamarrjes së brendshme do të mbetet deri diku fleksibël</w:t>
      </w:r>
      <w:r w:rsidR="00EA12A1" w:rsidRPr="00EE038F">
        <w:rPr>
          <w:rFonts w:eastAsia="Times New Roman"/>
          <w:lang w:eastAsia="en-GB"/>
        </w:rPr>
        <w:t>,</w:t>
      </w:r>
      <w:r w:rsidRPr="00EE038F">
        <w:rPr>
          <w:rFonts w:eastAsia="Times New Roman"/>
          <w:lang w:eastAsia="en-GB"/>
        </w:rPr>
        <w:t xml:space="preserve"> për sa i përket përzgjedhjes së instrumenteve, në varësi të kushteve të tregut (niveli i kërkesës, normat e interesit etj.), në mënyrë që të sigurohet një raport i përshtatshëm midis kostos dhe risqeve.</w:t>
      </w:r>
    </w:p>
    <w:p w14:paraId="17236D94" w14:textId="61F664B3" w:rsidR="00C50585" w:rsidRPr="00EE038F" w:rsidRDefault="00C50585" w:rsidP="00727F6C">
      <w:pPr>
        <w:pStyle w:val="TEKSTIIIIII"/>
        <w:rPr>
          <w:rFonts w:eastAsia="Times New Roman"/>
          <w:lang w:eastAsia="en-GB"/>
        </w:rPr>
      </w:pPr>
      <w:r w:rsidRPr="00EE038F">
        <w:rPr>
          <w:rFonts w:eastAsia="Times New Roman"/>
          <w:lang w:eastAsia="en-GB"/>
        </w:rPr>
        <w:t>Në periudhën afatmesme, burimet e jashtme të huamarrjes do të kontribuojnë në optimizimin e kostos së portofolit të borxhit, pasi një pjesë e konsiderueshme e kësaj huamarrjeje pritet të realizohet nëpërmjet kredive që do të merren nga kreditorët shumëpalësh dhe dypalësh, gjë që i ofron qeverisë kushte më të favorshme financiare sesa tregu. Huamarrja e jashtme nga burime dypalëshe dhe shumëpalëshe do të përdoret kryesisht për financimin e projekteve prioritare të qeverisë dhe reformave të ndërmarra nga qeveria. Gjithashtu, do të synohen burimet private të financimit nga tregjet ndërkombëtare të kapitalit, më së shumti për të menaxhuar risqet e rifinancimit në vitet e pikut të maturimeve, për të menaxhuar detyrimet e borxhit në valutë. Kjo do të mund</w:t>
      </w:r>
      <w:r w:rsidR="005065B9" w:rsidRPr="00EE038F">
        <w:rPr>
          <w:rFonts w:eastAsia="Times New Roman"/>
          <w:lang w:eastAsia="en-GB"/>
        </w:rPr>
        <w:t>ë</w:t>
      </w:r>
      <w:r w:rsidRPr="00EE038F">
        <w:rPr>
          <w:rFonts w:eastAsia="Times New Roman"/>
          <w:lang w:eastAsia="en-GB"/>
        </w:rPr>
        <w:t>sojë dhe mbajtjen e huamarrjes së brendshme</w:t>
      </w:r>
      <w:r w:rsidR="005065B9" w:rsidRPr="00EE038F">
        <w:rPr>
          <w:rFonts w:eastAsia="Times New Roman"/>
          <w:lang w:eastAsia="en-GB"/>
        </w:rPr>
        <w:t>,</w:t>
      </w:r>
      <w:r w:rsidRPr="00EE038F">
        <w:rPr>
          <w:rFonts w:eastAsia="Times New Roman"/>
          <w:lang w:eastAsia="en-GB"/>
        </w:rPr>
        <w:t xml:space="preserve"> brenda niveleve të pranueshme për të shmangur efektin </w:t>
      </w:r>
      <w:r w:rsidRPr="00EE038F">
        <w:rPr>
          <w:rFonts w:eastAsia="Times New Roman"/>
          <w:i/>
          <w:iCs/>
          <w:lang w:eastAsia="en-GB"/>
        </w:rPr>
        <w:t>Cro</w:t>
      </w:r>
      <w:r w:rsidR="00463145" w:rsidRPr="00EE038F">
        <w:rPr>
          <w:rFonts w:eastAsia="Times New Roman"/>
          <w:i/>
          <w:iCs/>
          <w:lang w:eastAsia="en-GB"/>
        </w:rPr>
        <w:t>w</w:t>
      </w:r>
      <w:r w:rsidRPr="00EE038F">
        <w:rPr>
          <w:rFonts w:eastAsia="Times New Roman"/>
          <w:i/>
          <w:iCs/>
          <w:lang w:eastAsia="en-GB"/>
        </w:rPr>
        <w:t>ding Out,</w:t>
      </w:r>
      <w:r w:rsidRPr="00EE038F">
        <w:rPr>
          <w:rFonts w:eastAsia="Times New Roman"/>
          <w:lang w:eastAsia="en-GB"/>
        </w:rPr>
        <w:t xml:space="preserve"> si dhe shmangien e presionit në normat e interesit që do të ndodhte në rastet e financimit në një nivel që do të ishte përtej kapaciteteve normale, të tregut të brendshëm.</w:t>
      </w:r>
    </w:p>
    <w:p w14:paraId="452F7812" w14:textId="77777777" w:rsidR="00C50585" w:rsidRPr="00EE038F" w:rsidRDefault="00727F6C" w:rsidP="00727F6C">
      <w:pPr>
        <w:pStyle w:val="TEKSTIIIIII"/>
        <w:rPr>
          <w:b/>
          <w:i/>
          <w:color w:val="0D0D0D" w:themeColor="text1" w:themeTint="F2"/>
        </w:rPr>
      </w:pPr>
      <w:bookmarkStart w:id="26" w:name="_Toc30661220"/>
      <w:bookmarkStart w:id="27" w:name="_Toc30416396"/>
      <w:bookmarkStart w:id="28" w:name="_Toc187328209"/>
      <w:r w:rsidRPr="00EE038F">
        <w:rPr>
          <w:b/>
          <w:color w:val="0D0D0D" w:themeColor="text1" w:themeTint="F2"/>
        </w:rPr>
        <w:t xml:space="preserve">4.5 </w:t>
      </w:r>
      <w:r w:rsidR="00C50585" w:rsidRPr="00EE038F">
        <w:rPr>
          <w:b/>
          <w:color w:val="0D0D0D" w:themeColor="text1" w:themeTint="F2"/>
        </w:rPr>
        <w:t>Bilanca strukturor</w:t>
      </w:r>
      <w:bookmarkEnd w:id="24"/>
      <w:bookmarkEnd w:id="26"/>
      <w:bookmarkEnd w:id="27"/>
      <w:r w:rsidR="00C50585" w:rsidRPr="00EE038F">
        <w:rPr>
          <w:b/>
          <w:color w:val="0D0D0D" w:themeColor="text1" w:themeTint="F2"/>
        </w:rPr>
        <w:t xml:space="preserve">e </w:t>
      </w:r>
      <w:r w:rsidR="00C50585" w:rsidRPr="00EE038F">
        <w:rPr>
          <w:b/>
          <w:i/>
          <w:color w:val="0D0D0D" w:themeColor="text1" w:themeTint="F2"/>
        </w:rPr>
        <w:t>(përbërësi ciklik i deficitit, masat e njëhershme dhe të përkohshme, pozicioni fiskal)</w:t>
      </w:r>
      <w:bookmarkEnd w:id="28"/>
    </w:p>
    <w:p w14:paraId="491E11F2" w14:textId="77777777" w:rsidR="00C50585" w:rsidRPr="00EE038F" w:rsidRDefault="00C50585" w:rsidP="00727F6C">
      <w:pPr>
        <w:pStyle w:val="TEKSTIIIIII"/>
        <w:rPr>
          <w:i/>
          <w:color w:val="0D0D0D" w:themeColor="text1" w:themeTint="F2"/>
        </w:rPr>
      </w:pPr>
      <w:r w:rsidRPr="00EE038F">
        <w:rPr>
          <w:i/>
          <w:color w:val="0D0D0D" w:themeColor="text1" w:themeTint="F2"/>
        </w:rPr>
        <w:t>Vlerësimi i PBB-së potenciale dhe hendekut të prodhimit</w:t>
      </w:r>
    </w:p>
    <w:p w14:paraId="21A34EBA" w14:textId="77777777" w:rsidR="00C50585" w:rsidRPr="00EE038F" w:rsidRDefault="00C50585" w:rsidP="00727F6C">
      <w:pPr>
        <w:pStyle w:val="TEKSTIIIIII"/>
      </w:pPr>
      <w:r w:rsidRPr="00EE038F">
        <w:t xml:space="preserve">Teknika e filtrimit HP u përdor për të vlerësuar një seri kohore të PBB-së potenciale. Filtrimi HP është aplikuar në rritjen ekonomike aktuale vjetore me çmime konstante, duke marrë parasysh vlerat më të përshtatshme të parametrit lambda në rastin e të dhënave vjetore, përkatësisht: </w:t>
      </w:r>
      <m:oMath>
        <m:r>
          <w:rPr>
            <w:rFonts w:ascii="Cambria Math" w:hAnsi="Cambria Math"/>
          </w:rPr>
          <m:t>λ</m:t>
        </m:r>
        <m:r>
          <m:rPr>
            <m:sty m:val="p"/>
          </m:rPr>
          <w:rPr>
            <w:rFonts w:ascii="Cambria Math" w:hAnsi="Cambria Math"/>
          </w:rPr>
          <m:t xml:space="preserve">=100; </m:t>
        </m:r>
        <m:r>
          <w:rPr>
            <w:rFonts w:ascii="Cambria Math" w:hAnsi="Cambria Math"/>
          </w:rPr>
          <m:t>λ</m:t>
        </m:r>
        <m:r>
          <m:rPr>
            <m:sty m:val="p"/>
          </m:rPr>
          <w:rPr>
            <w:rFonts w:ascii="Cambria Math" w:hAnsi="Cambria Math"/>
          </w:rPr>
          <m:t xml:space="preserve">=30; </m:t>
        </m:r>
        <m:r>
          <w:rPr>
            <w:rFonts w:ascii="Cambria Math" w:hAnsi="Cambria Math"/>
          </w:rPr>
          <m:t>λ</m:t>
        </m:r>
        <m:r>
          <m:rPr>
            <m:sty m:val="p"/>
          </m:rPr>
          <w:rPr>
            <w:rFonts w:ascii="Cambria Math" w:hAnsi="Cambria Math"/>
          </w:rPr>
          <m:t>=6.5</m:t>
        </m:r>
      </m:oMath>
      <w:r w:rsidRPr="00EE038F">
        <w:t>. Rritja finale e PBB-së potenciale u nxor më pas si një mesatare e serive të filtrimit HP bazuar në këta tre parametra të ndryshëm të lambdas. Për të zbutur paragjykimet e të dhënës së fundit me këtë teknikë filtrimi, analiza ka përfshirë parashikimet e Ministrisë së Financave (MF) deri në vitin 2035.</w:t>
      </w:r>
    </w:p>
    <w:p w14:paraId="110FF8EF" w14:textId="0FD4AADB" w:rsidR="00C50585" w:rsidRPr="00EE038F" w:rsidRDefault="00C50585" w:rsidP="00727F6C">
      <w:pPr>
        <w:pStyle w:val="TEKSTIIIIII"/>
      </w:pPr>
      <w:r w:rsidRPr="00EE038F">
        <w:t xml:space="preserve">Hendeku i prodhimit, e përcaktuar zyrtarisht si </w:t>
      </w:r>
      <m:oMath>
        <m:sSub>
          <m:sSubPr>
            <m:ctrlPr>
              <w:rPr>
                <w:rFonts w:ascii="Cambria Math" w:hAnsi="Cambria Math"/>
              </w:rPr>
            </m:ctrlPr>
          </m:sSubPr>
          <m:e>
            <m:r>
              <w:rPr>
                <w:rFonts w:ascii="Cambria Math" w:hAnsi="Cambria Math"/>
              </w:rPr>
              <m:t>G</m:t>
            </m:r>
          </m:e>
          <m:sub>
            <m:r>
              <w:rPr>
                <w:rFonts w:ascii="Cambria Math" w:hAnsi="Cambria Math"/>
              </w:rPr>
              <m:t>t</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GDP</m:t>
                </m:r>
              </m:e>
              <m:sub>
                <m:r>
                  <w:rPr>
                    <w:rFonts w:ascii="Cambria Math" w:hAnsi="Cambria Math"/>
                  </w:rPr>
                  <m:t>t</m:t>
                </m:r>
                <m:r>
                  <m:rPr>
                    <m:sty m:val="p"/>
                  </m:rPr>
                  <w:rPr>
                    <w:rFonts w:ascii="Cambria Math" w:hAnsi="Cambria Math"/>
                  </w:rPr>
                  <m:t xml:space="preserve">, </m:t>
                </m:r>
                <m:r>
                  <w:rPr>
                    <w:rFonts w:ascii="Cambria Math" w:hAnsi="Cambria Math"/>
                  </w:rPr>
                  <m:t>aktual</m:t>
                </m:r>
              </m:sub>
            </m:sSub>
            <m:r>
              <m:rPr>
                <m:sty m:val="p"/>
              </m:rPr>
              <w:rPr>
                <w:rFonts w:ascii="Cambria Math" w:hAnsi="Cambria Math"/>
              </w:rPr>
              <m:t>-</m:t>
            </m:r>
            <m:sSub>
              <m:sSubPr>
                <m:ctrlPr>
                  <w:rPr>
                    <w:rFonts w:ascii="Cambria Math" w:hAnsi="Cambria Math"/>
                  </w:rPr>
                </m:ctrlPr>
              </m:sSubPr>
              <m:e>
                <m:r>
                  <w:rPr>
                    <w:rFonts w:ascii="Cambria Math" w:hAnsi="Cambria Math"/>
                  </w:rPr>
                  <m:t>GDP</m:t>
                </m:r>
              </m:e>
              <m:sub>
                <m:r>
                  <w:rPr>
                    <w:rFonts w:ascii="Cambria Math" w:hAnsi="Cambria Math"/>
                  </w:rPr>
                  <m:t>t</m:t>
                </m:r>
                <m:r>
                  <m:rPr>
                    <m:sty m:val="p"/>
                  </m:rPr>
                  <w:rPr>
                    <w:rFonts w:ascii="Cambria Math" w:hAnsi="Cambria Math"/>
                  </w:rPr>
                  <m:t>,</m:t>
                </m:r>
                <m:r>
                  <w:rPr>
                    <w:rFonts w:ascii="Cambria Math" w:hAnsi="Cambria Math"/>
                  </w:rPr>
                  <m:t>potencial</m:t>
                </m:r>
              </m:sub>
            </m:sSub>
          </m:num>
          <m:den>
            <m:sSub>
              <m:sSubPr>
                <m:ctrlPr>
                  <w:rPr>
                    <w:rFonts w:ascii="Cambria Math" w:hAnsi="Cambria Math"/>
                  </w:rPr>
                </m:ctrlPr>
              </m:sSubPr>
              <m:e>
                <m:r>
                  <w:rPr>
                    <w:rFonts w:ascii="Cambria Math" w:hAnsi="Cambria Math"/>
                  </w:rPr>
                  <m:t>GDP</m:t>
                </m:r>
              </m:e>
              <m:sub>
                <m:r>
                  <w:rPr>
                    <w:rFonts w:ascii="Cambria Math" w:hAnsi="Cambria Math"/>
                  </w:rPr>
                  <m:t>t</m:t>
                </m:r>
                <m:r>
                  <m:rPr>
                    <m:sty m:val="p"/>
                  </m:rPr>
                  <w:rPr>
                    <w:rFonts w:ascii="Cambria Math" w:hAnsi="Cambria Math"/>
                  </w:rPr>
                  <m:t>,</m:t>
                </m:r>
                <m:r>
                  <w:rPr>
                    <w:rFonts w:ascii="Cambria Math" w:hAnsi="Cambria Math"/>
                  </w:rPr>
                  <m:t>potencial</m:t>
                </m:r>
              </m:sub>
            </m:sSub>
          </m:den>
        </m:f>
      </m:oMath>
      <w:r w:rsidRPr="00EE038F">
        <w:t xml:space="preserve"> është paraqitur në anën e majt</w:t>
      </w:r>
      <w:r w:rsidR="00682ABA" w:rsidRPr="00EE038F">
        <w:t>ë</w:t>
      </w:r>
      <w:r w:rsidRPr="00EE038F">
        <w:t xml:space="preserve"> të figurës 4.5.1. Ndërsa rritja potenciale përkatëse kundrejt asaj aktuale paraqitet në anën e djathtë.</w:t>
      </w:r>
    </w:p>
    <w:p w14:paraId="2CCDA79E" w14:textId="77777777" w:rsidR="00C50585" w:rsidRPr="00EE038F" w:rsidRDefault="00C50585" w:rsidP="00C50585">
      <w:pPr>
        <w:tabs>
          <w:tab w:val="left" w:pos="3111"/>
        </w:tabs>
        <w:spacing w:after="0" w:line="240" w:lineRule="auto"/>
        <w:jc w:val="both"/>
        <w:rPr>
          <w:rFonts w:ascii="Garamond" w:hAnsi="Garamond"/>
          <w:i/>
          <w:color w:val="0D0D0D" w:themeColor="text1" w:themeTint="F2"/>
        </w:rPr>
      </w:pPr>
    </w:p>
    <w:p w14:paraId="68A4141D" w14:textId="6CAB4DDA" w:rsidR="00C50585" w:rsidRPr="00EE038F" w:rsidRDefault="00C50585" w:rsidP="00682ABA">
      <w:pPr>
        <w:pStyle w:val="AAAAAAATEXXXX"/>
        <w:ind w:firstLine="0"/>
        <w:jc w:val="center"/>
        <w:rPr>
          <w:bCs/>
          <w:i/>
          <w:lang w:val="sq-AL"/>
        </w:rPr>
      </w:pPr>
      <w:r w:rsidRPr="00EE038F">
        <w:rPr>
          <w:bCs/>
          <w:i/>
          <w:lang w:val="sq-AL"/>
        </w:rPr>
        <w:t>Grafik 4.5.1</w:t>
      </w:r>
      <w:r w:rsidR="00682ABA" w:rsidRPr="00EE038F">
        <w:rPr>
          <w:bCs/>
          <w:i/>
          <w:lang w:val="sq-AL"/>
        </w:rPr>
        <w:t>.</w:t>
      </w:r>
      <w:r w:rsidRPr="00EE038F">
        <w:rPr>
          <w:bCs/>
          <w:i/>
          <w:lang w:val="sq-AL"/>
        </w:rPr>
        <w:t xml:space="preserve"> Hendeku i prodhimit (majtas) dhe rritja aktuale dhe potenciale (djathtas)</w:t>
      </w:r>
    </w:p>
    <w:p w14:paraId="79A493D1" w14:textId="77777777" w:rsidR="00C50585" w:rsidRPr="00EE038F" w:rsidRDefault="00C50585" w:rsidP="00C50585">
      <w:pPr>
        <w:tabs>
          <w:tab w:val="left" w:pos="3111"/>
        </w:tabs>
        <w:spacing w:after="0" w:line="240" w:lineRule="auto"/>
        <w:jc w:val="both"/>
        <w:rPr>
          <w:rFonts w:ascii="Garamond" w:hAnsi="Garamond"/>
          <w:color w:val="0D0D0D" w:themeColor="text1" w:themeTint="F2"/>
        </w:rPr>
      </w:pPr>
      <w:r w:rsidRPr="00EE038F">
        <w:rPr>
          <w:rFonts w:ascii="Garamond" w:hAnsi="Garamond"/>
          <w:noProof/>
          <w:lang w:eastAsia="en-GB"/>
        </w:rPr>
        <w:drawing>
          <wp:inline distT="0" distB="0" distL="0" distR="0" wp14:anchorId="56D34323" wp14:editId="01C378B3">
            <wp:extent cx="5515661" cy="1564198"/>
            <wp:effectExtent l="0" t="0" r="8890" b="0"/>
            <wp:docPr id="12905114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530751" cy="1568478"/>
                    </a:xfrm>
                    <a:prstGeom prst="rect">
                      <a:avLst/>
                    </a:prstGeom>
                    <a:noFill/>
                    <a:ln>
                      <a:noFill/>
                    </a:ln>
                  </pic:spPr>
                </pic:pic>
              </a:graphicData>
            </a:graphic>
          </wp:inline>
        </w:drawing>
      </w:r>
    </w:p>
    <w:p w14:paraId="39C7BFB9" w14:textId="77777777" w:rsidR="00C50585" w:rsidRPr="00EE038F" w:rsidRDefault="00C50585" w:rsidP="00066DFC">
      <w:pPr>
        <w:spacing w:after="0" w:line="240" w:lineRule="auto"/>
        <w:jc w:val="center"/>
        <w:rPr>
          <w:rFonts w:ascii="Garamond" w:eastAsia="Times New Roman" w:hAnsi="Garamond"/>
          <w:i/>
          <w:sz w:val="24"/>
          <w:szCs w:val="24"/>
        </w:rPr>
      </w:pPr>
      <w:r w:rsidRPr="00EE038F">
        <w:rPr>
          <w:rFonts w:ascii="Garamond" w:eastAsia="Times New Roman" w:hAnsi="Garamond"/>
          <w:i/>
          <w:sz w:val="24"/>
          <w:szCs w:val="24"/>
        </w:rPr>
        <w:t>Burimi: Ministria e Financave (2024)</w:t>
      </w:r>
    </w:p>
    <w:p w14:paraId="3F12ED5B" w14:textId="77777777" w:rsidR="00C50585" w:rsidRPr="00EE038F" w:rsidRDefault="00C50585" w:rsidP="00C50585">
      <w:pPr>
        <w:widowControl w:val="0"/>
        <w:tabs>
          <w:tab w:val="right" w:leader="dot" w:pos="9020"/>
        </w:tabs>
        <w:spacing w:after="0" w:line="240" w:lineRule="auto"/>
        <w:jc w:val="both"/>
        <w:rPr>
          <w:rFonts w:ascii="Garamond" w:hAnsi="Garamond"/>
          <w:i/>
          <w:color w:val="0D0D0D" w:themeColor="text1" w:themeTint="F2"/>
        </w:rPr>
      </w:pPr>
    </w:p>
    <w:p w14:paraId="54288B08" w14:textId="3330CF6B" w:rsidR="00C50585" w:rsidRPr="00EE038F" w:rsidRDefault="00C50585" w:rsidP="000554C5">
      <w:pPr>
        <w:pStyle w:val="TEKSTIIIIII"/>
        <w:rPr>
          <w:highlight w:val="yellow"/>
        </w:rPr>
      </w:pPr>
      <w:r w:rsidRPr="00EE038F">
        <w:t>Rezultatet ekonometrike tregojnë se prodhimi aktual mbeti nën potencial gjatë periudhës 2003–2006, gati duke e mbyllur hendekun në 2007 përpara se të rritej në një nivel dukshëm pozitiv në vitin 2008. Zhvendosja pozitive në hendekun e prodhimit vazhdoi gjatë viteve 2009</w:t>
      </w:r>
      <w:r w:rsidR="00313070" w:rsidRPr="00EE038F">
        <w:t>–</w:t>
      </w:r>
      <w:r w:rsidRPr="00EE038F">
        <w:t>2012, duke u zvogëluar gradualisht</w:t>
      </w:r>
      <w:r w:rsidR="00BB066A" w:rsidRPr="00EE038F">
        <w:t>,</w:t>
      </w:r>
      <w:r w:rsidRPr="00EE038F">
        <w:t xml:space="preserve"> për shkak të rritjes aktuale më të ulët krahasuar me rritjen potenciale, e ndikuar nga efektet negative të krizës financiare globale.</w:t>
      </w:r>
    </w:p>
    <w:p w14:paraId="326A9CFB" w14:textId="2853B23D" w:rsidR="00C50585" w:rsidRPr="00EE038F" w:rsidRDefault="00C50585" w:rsidP="000554C5">
      <w:pPr>
        <w:pStyle w:val="TEKSTIIIIII"/>
      </w:pPr>
      <w:r w:rsidRPr="00EE038F">
        <w:t xml:space="preserve">Pavarësisht qëndrueshmërisë relative të Shqipërisë në absorbimin e ndikimit fillestar të krizës financiare globale të 2009, duke shmangur një recesion të rëndë të përjetuar nga shumë vende të </w:t>
      </w:r>
      <w:r w:rsidRPr="00EE038F">
        <w:lastRenderedPageBreak/>
        <w:t xml:space="preserve">tjera, vendi dëshmoi një ngadalësim të konsiderueshëm të rritjes aktuale ekonomike. Kjo rënie ishte e dukshme jo vetëm në krahasim me nivelet e para krizës, por edhe në lidhje me rritjen potenciale të saj. Viti 2013 shënoi normën më të ulët të rritjes, që përkon me zhvendosjen e hendekut të prodhimit në territor negativ, një tendencë që vazhdoi deri në vitin 2016, duke arritur nivelin më të ulët në vitin 2015. Hendeku i prodhimit u kthye paksa pozitiv në vitin 2017, pësoi një intensifikim të theksuar në 2018, dhe mbeti i lartë në vitin 2019 pavarësisht rritjes më të ulët, veçanërisht në tremujorin e fundit kur vendi u përball me ndikimin e tërmetit të nëntorit. Viti 2020 dëshmoi një pikë kthese të rëndësishme, e nxitur kryesisht nga pandemia </w:t>
      </w:r>
      <w:r w:rsidR="00851B0A" w:rsidRPr="00EE038F">
        <w:t>COVID</w:t>
      </w:r>
      <w:r w:rsidRPr="00EE038F">
        <w:t xml:space="preserve">-19, e cila shkaktoi një recesion të mprehtë prej rreth -3.3 </w:t>
      </w:r>
      <w:r w:rsidR="00FD6514" w:rsidRPr="00EE038F">
        <w:t>për qind</w:t>
      </w:r>
      <w:r w:rsidRPr="00EE038F">
        <w:t>. Kjo rënie reflektoi, deri diku, edhe ngadalësimin e dukshëm të rritjes aktuale të vërejtur në vitin 2019. Për rrjedhojë, hendeku i prodhimit arriti pikën më negative në dekada, duke regjistruar rreth -5.4 për qind të PBB-së potenciale.</w:t>
      </w:r>
    </w:p>
    <w:p w14:paraId="3F151250" w14:textId="46059761" w:rsidR="00C50585" w:rsidRPr="00EE038F" w:rsidRDefault="00C50585" w:rsidP="000554C5">
      <w:pPr>
        <w:pStyle w:val="TEKSTIIIIII"/>
        <w:rPr>
          <w:highlight w:val="yellow"/>
        </w:rPr>
      </w:pPr>
      <w:r w:rsidRPr="00EE038F">
        <w:t xml:space="preserve">Një tkurrje ekonomike më e vogël në vitin 2020 nga sa pritej fillimisht, e shoqëruar me një rimëkëmbje të fortë në vitin pasues 2021, me një rritje aktuale prej 8.9 për qind, dhe një rritje e lartë e qëndrueshme në 4.9 për qind për vitin 2022, veçanërisht në mes të një sezoni turistik të lulëzuar dhe pavarësisht sfidave që rridhnin nga oferta globale dhe kushtet e goditjeve tregtare kanë rezultuar në mbylljen pothuajse të plotë të hendekut të prodhimit në vitin 2021. Hendeku i prodhimit mbeti margjinalisht negativ në vitin 2021 përpara se të kalonte në territor pozitiv në vitin 2022, duke arritur në 0.4 për qind, pasi performanca e jashtëzakonshme e turizmit ndihmoi në kundërbalancimin e efekteve negative të ndërprerjeve të ofertës globale, rritjes së inflacionit dhe shtrëngimit të ndjeshëm të kushteve financiare. Në vitin 2023, pavarësisht shtrëngimit të vazhdueshëm monetar dhe erozionit të inflacionit te të ardhurat reale, aktiviteti i fuqishëm i turizmit mbështeti rritjen e përgjithshme ekonomike në 3.9 për qind, duke u përafruar me rritjen potenciale të vlerësuar prej 4 për qind. Kushte të ngjashme parashikohen edhe për vitin 2024, me një rritje reale të parashikuar prej 3.9 </w:t>
      </w:r>
      <w:r w:rsidR="00FD6514" w:rsidRPr="00EE038F">
        <w:t>për qind</w:t>
      </w:r>
      <w:r w:rsidRPr="00EE038F">
        <w:t xml:space="preserve"> kundrejt rritjes potenciale prej 4 </w:t>
      </w:r>
      <w:r w:rsidR="00FD6514" w:rsidRPr="00EE038F">
        <w:t>për qind</w:t>
      </w:r>
      <w:r w:rsidRPr="00EE038F">
        <w:t>. Kjo ka rezultuar në një performancë të lehtë të prodhimit aktual në raport me potencialin e tij, duke ruajtur boshllëqe minimale pozitive të prodhimit prej 0.4 dhe 0.3 për qind respektivisht për vitet 2023 dhe 2024. Perspektiva afatmesme (</w:t>
      </w:r>
      <w:r w:rsidR="00B41EC3" w:rsidRPr="00EE038F">
        <w:t>2025–2027</w:t>
      </w:r>
      <w:r w:rsidRPr="00EE038F">
        <w:t xml:space="preserve">) në këtë skenar bazë makroekonomik dhe fiskal parashikon një rritje të përafruar me rritjen potenciale të vlerësuar prej rreth 4 </w:t>
      </w:r>
      <w:r w:rsidR="00FD6514" w:rsidRPr="00EE038F">
        <w:t>për qind</w:t>
      </w:r>
      <w:r w:rsidRPr="00EE038F">
        <w:t>, duke sugjeruar një hendek të prodhimit praktikisht neutral për këtë periudhë.</w:t>
      </w:r>
    </w:p>
    <w:p w14:paraId="286C3CF8" w14:textId="77777777" w:rsidR="00C50585" w:rsidRPr="00EE038F" w:rsidRDefault="00C50585" w:rsidP="000554C5">
      <w:pPr>
        <w:pStyle w:val="AAAAAAATEXXXX"/>
        <w:rPr>
          <w:i/>
          <w:lang w:val="sq-AL"/>
        </w:rPr>
      </w:pPr>
      <w:r w:rsidRPr="00EE038F">
        <w:rPr>
          <w:i/>
          <w:lang w:val="sq-AL"/>
        </w:rPr>
        <w:t>Vlerësimi i elasticitetit dhe ndjeshmërisë së buxhetit ndaj hendekut të prodhimit</w:t>
      </w:r>
    </w:p>
    <w:p w14:paraId="5B6BBD80" w14:textId="77777777" w:rsidR="00C50585" w:rsidRPr="00EE038F" w:rsidRDefault="00C50585" w:rsidP="000554C5">
      <w:pPr>
        <w:widowControl w:val="0"/>
        <w:tabs>
          <w:tab w:val="right" w:leader="dot" w:pos="9020"/>
        </w:tabs>
        <w:spacing w:after="0" w:line="240" w:lineRule="auto"/>
        <w:ind w:firstLine="284"/>
        <w:jc w:val="both"/>
        <w:rPr>
          <w:rFonts w:ascii="Garamond" w:hAnsi="Garamond"/>
          <w:color w:val="0D0D0D" w:themeColor="text1" w:themeTint="F2"/>
          <w:sz w:val="24"/>
          <w:szCs w:val="24"/>
        </w:rPr>
      </w:pPr>
      <w:r w:rsidRPr="00EE038F">
        <w:rPr>
          <w:rFonts w:ascii="Garamond" w:hAnsi="Garamond"/>
          <w:color w:val="0D0D0D" w:themeColor="text1" w:themeTint="F2"/>
          <w:sz w:val="24"/>
          <w:szCs w:val="24"/>
        </w:rPr>
        <w:t>Pasi u hoqën faktorët që kanë pasur ndikime vetëm në një periudhë të caktuar, u vlerësuan elasticitetet e të ardhurave dhe të shpenzimeve duke përdorur metodën e disagregimit (sipas qasjes së OECD-së 2005) dhe metodën agregate (sipas qasjes së FMN-së 2010).</w:t>
      </w:r>
    </w:p>
    <w:p w14:paraId="4F51B54F" w14:textId="2FF06029" w:rsidR="00C50585" w:rsidRPr="00EE038F" w:rsidRDefault="00C50585" w:rsidP="000554C5">
      <w:pPr>
        <w:tabs>
          <w:tab w:val="left" w:pos="3111"/>
        </w:tabs>
        <w:spacing w:after="0" w:line="240" w:lineRule="auto"/>
        <w:ind w:firstLine="284"/>
        <w:jc w:val="both"/>
        <w:rPr>
          <w:rFonts w:ascii="Garamond" w:hAnsi="Garamond"/>
          <w:color w:val="0D0D0D" w:themeColor="text1" w:themeTint="F2"/>
          <w:sz w:val="24"/>
          <w:szCs w:val="24"/>
        </w:rPr>
      </w:pPr>
      <w:r w:rsidRPr="00EE038F">
        <w:rPr>
          <w:rFonts w:ascii="Garamond" w:hAnsi="Garamond"/>
          <w:color w:val="0D0D0D" w:themeColor="text1" w:themeTint="F2"/>
          <w:sz w:val="24"/>
          <w:szCs w:val="24"/>
        </w:rPr>
        <w:t>Elasticitetet e përgjithshme të marra nga çdo qasje ishin përkatësisht 1.026 dhe 1.444.</w:t>
      </w:r>
      <w:r w:rsidRPr="00EE038F">
        <w:rPr>
          <w:rFonts w:ascii="Garamond" w:hAnsi="Garamond"/>
          <w:color w:val="0D0D0D" w:themeColor="text1" w:themeTint="F2"/>
          <w:sz w:val="24"/>
          <w:szCs w:val="24"/>
          <w:vertAlign w:val="superscript"/>
        </w:rPr>
        <w:footnoteReference w:id="9"/>
      </w:r>
      <w:r w:rsidRPr="00EE038F">
        <w:rPr>
          <w:rFonts w:ascii="Garamond" w:hAnsi="Garamond"/>
          <w:color w:val="0D0D0D" w:themeColor="text1" w:themeTint="F2"/>
          <w:sz w:val="24"/>
          <w:szCs w:val="24"/>
        </w:rPr>
        <w:t xml:space="preserve"> Për të adresuar efektet ciklike, të ardhurat totale u rregulluan</w:t>
      </w:r>
      <w:r w:rsidR="00903573" w:rsidRPr="00EE038F">
        <w:rPr>
          <w:rFonts w:ascii="Garamond" w:hAnsi="Garamond"/>
          <w:color w:val="0D0D0D" w:themeColor="text1" w:themeTint="F2"/>
          <w:sz w:val="24"/>
          <w:szCs w:val="24"/>
        </w:rPr>
        <w:t>,</w:t>
      </w:r>
      <w:r w:rsidRPr="00EE038F">
        <w:rPr>
          <w:rFonts w:ascii="Garamond" w:hAnsi="Garamond"/>
          <w:color w:val="0D0D0D" w:themeColor="text1" w:themeTint="F2"/>
          <w:sz w:val="24"/>
          <w:szCs w:val="24"/>
        </w:rPr>
        <w:t xml:space="preserve"> duke aplikuar elasticitetin mesatar të përftuar nga të dyja qasjet, duke rezultuar në:</w:t>
      </w:r>
    </w:p>
    <w:p w14:paraId="0CA5816D" w14:textId="77777777" w:rsidR="00C50585" w:rsidRPr="00EE038F" w:rsidRDefault="00361018" w:rsidP="000554C5">
      <w:pPr>
        <w:tabs>
          <w:tab w:val="left" w:pos="3111"/>
        </w:tabs>
        <w:spacing w:after="0" w:line="240" w:lineRule="auto"/>
        <w:ind w:firstLine="284"/>
        <w:jc w:val="both"/>
        <w:rPr>
          <w:rFonts w:ascii="Garamond" w:hAnsi="Garamond"/>
          <w:color w:val="0D0D0D" w:themeColor="text1" w:themeTint="F2"/>
          <w:sz w:val="24"/>
          <w:szCs w:val="24"/>
        </w:rPr>
      </w:pPr>
      <m:oMathPara>
        <m:oMath>
          <m:sSub>
            <m:sSubPr>
              <m:ctrlPr>
                <w:rPr>
                  <w:rFonts w:ascii="Cambria Math" w:hAnsi="Cambria Math"/>
                  <w:i/>
                  <w:color w:val="0D0D0D" w:themeColor="text1" w:themeTint="F2"/>
                  <w:sz w:val="24"/>
                  <w:szCs w:val="24"/>
                </w:rPr>
              </m:ctrlPr>
            </m:sSubPr>
            <m:e>
              <m:r>
                <w:rPr>
                  <w:rFonts w:ascii="Cambria Math" w:hAnsi="Cambria Math"/>
                  <w:color w:val="0D0D0D" w:themeColor="text1" w:themeTint="F2"/>
                  <w:sz w:val="24"/>
                  <w:szCs w:val="24"/>
                </w:rPr>
                <m:t>ε</m:t>
              </m:r>
            </m:e>
            <m:sub>
              <m:r>
                <w:rPr>
                  <w:rFonts w:ascii="Cambria Math" w:hAnsi="Cambria Math"/>
                  <w:color w:val="0D0D0D" w:themeColor="text1" w:themeTint="F2"/>
                  <w:sz w:val="24"/>
                  <w:szCs w:val="24"/>
                </w:rPr>
                <m:t>R,Y</m:t>
              </m:r>
            </m:sub>
          </m:sSub>
          <m:r>
            <w:rPr>
              <w:rFonts w:ascii="Cambria Math" w:hAnsi="Cambria Math"/>
              <w:color w:val="0D0D0D" w:themeColor="text1" w:themeTint="F2"/>
              <w:sz w:val="24"/>
              <w:szCs w:val="24"/>
            </w:rPr>
            <m:t xml:space="preserve">=mesatare </m:t>
          </m:r>
          <m:d>
            <m:dPr>
              <m:ctrlPr>
                <w:rPr>
                  <w:rFonts w:ascii="Cambria Math" w:hAnsi="Cambria Math"/>
                  <w:i/>
                  <w:color w:val="0D0D0D" w:themeColor="text1" w:themeTint="F2"/>
                  <w:sz w:val="24"/>
                  <w:szCs w:val="24"/>
                </w:rPr>
              </m:ctrlPr>
            </m:dPr>
            <m:e>
              <m:r>
                <w:rPr>
                  <w:rFonts w:ascii="Cambria Math" w:hAnsi="Cambria Math"/>
                  <w:color w:val="0D0D0D" w:themeColor="text1" w:themeTint="F2"/>
                  <w:sz w:val="24"/>
                  <w:szCs w:val="24"/>
                </w:rPr>
                <m:t>1.026, 1.444</m:t>
              </m:r>
            </m:e>
          </m:d>
          <m:r>
            <w:rPr>
              <w:rFonts w:ascii="Cambria Math" w:hAnsi="Cambria Math"/>
              <w:color w:val="0D0D0D" w:themeColor="text1" w:themeTint="F2"/>
              <w:sz w:val="24"/>
              <w:szCs w:val="24"/>
            </w:rPr>
            <m:t>=1.235</m:t>
          </m:r>
        </m:oMath>
      </m:oMathPara>
    </w:p>
    <w:p w14:paraId="4462F163" w14:textId="77777777" w:rsidR="00C50585" w:rsidRPr="00EE038F" w:rsidRDefault="00C50585" w:rsidP="000554C5">
      <w:pPr>
        <w:tabs>
          <w:tab w:val="left" w:pos="3111"/>
        </w:tabs>
        <w:spacing w:after="0" w:line="240" w:lineRule="auto"/>
        <w:ind w:firstLine="284"/>
        <w:jc w:val="both"/>
        <w:rPr>
          <w:rFonts w:ascii="Garamond" w:hAnsi="Garamond"/>
          <w:color w:val="0D0D0D" w:themeColor="text1" w:themeTint="F2"/>
          <w:sz w:val="24"/>
          <w:szCs w:val="24"/>
        </w:rPr>
      </w:pPr>
      <w:r w:rsidRPr="00EE038F">
        <w:rPr>
          <w:rFonts w:ascii="Garamond" w:hAnsi="Garamond"/>
          <w:color w:val="0D0D0D" w:themeColor="text1" w:themeTint="F2"/>
          <w:sz w:val="24"/>
          <w:szCs w:val="24"/>
        </w:rPr>
        <w:t>Në ndryshim nga elasticiteti i vlerësuar i të ardhurave, elasticiteti i shpenzimeve nuk ka ndryshuar dukshëm nga zero. Analiza e regresionit tregoi një shenjë negative për elasticitetin e shpenzimeve në të dyja qasjet, por asnjëra prej tyre nuk arriti domethënie statistikore në nivele konvencionale, duke sugjeruar një koeficient elasticiteti të barabartë me zero:</w:t>
      </w:r>
    </w:p>
    <w:p w14:paraId="22D3450C" w14:textId="77777777" w:rsidR="00C50585" w:rsidRPr="00EE038F" w:rsidRDefault="00361018" w:rsidP="000554C5">
      <w:pPr>
        <w:tabs>
          <w:tab w:val="left" w:pos="3111"/>
        </w:tabs>
        <w:spacing w:after="0" w:line="240" w:lineRule="auto"/>
        <w:ind w:firstLine="284"/>
        <w:jc w:val="both"/>
        <w:rPr>
          <w:rFonts w:ascii="Garamond" w:hAnsi="Garamond"/>
          <w:color w:val="0D0D0D" w:themeColor="text1" w:themeTint="F2"/>
          <w:sz w:val="24"/>
          <w:szCs w:val="24"/>
        </w:rPr>
      </w:pPr>
      <m:oMathPara>
        <m:oMath>
          <m:sSub>
            <m:sSubPr>
              <m:ctrlPr>
                <w:rPr>
                  <w:rFonts w:ascii="Cambria Math" w:hAnsi="Cambria Math"/>
                  <w:i/>
                  <w:color w:val="0D0D0D" w:themeColor="text1" w:themeTint="F2"/>
                  <w:sz w:val="24"/>
                  <w:szCs w:val="24"/>
                </w:rPr>
              </m:ctrlPr>
            </m:sSubPr>
            <m:e>
              <m:r>
                <w:rPr>
                  <w:rFonts w:ascii="Cambria Math" w:hAnsi="Cambria Math"/>
                  <w:color w:val="0D0D0D" w:themeColor="text1" w:themeTint="F2"/>
                  <w:sz w:val="24"/>
                  <w:szCs w:val="24"/>
                </w:rPr>
                <m:t>ε</m:t>
              </m:r>
            </m:e>
            <m:sub>
              <m:r>
                <w:rPr>
                  <w:rFonts w:ascii="Cambria Math" w:hAnsi="Cambria Math"/>
                  <w:color w:val="0D0D0D" w:themeColor="text1" w:themeTint="F2"/>
                  <w:sz w:val="24"/>
                  <w:szCs w:val="24"/>
                </w:rPr>
                <m:t>G,Y</m:t>
              </m:r>
            </m:sub>
          </m:sSub>
          <m:r>
            <w:rPr>
              <w:rFonts w:ascii="Cambria Math" w:hAnsi="Cambria Math"/>
              <w:color w:val="0D0D0D" w:themeColor="text1" w:themeTint="F2"/>
              <w:sz w:val="24"/>
              <w:szCs w:val="24"/>
            </w:rPr>
            <m:t>=0</m:t>
          </m:r>
        </m:oMath>
      </m:oMathPara>
    </w:p>
    <w:p w14:paraId="1E0CAE49" w14:textId="77777777" w:rsidR="00C50585" w:rsidRPr="00EE038F" w:rsidRDefault="00C50585" w:rsidP="000554C5">
      <w:pPr>
        <w:tabs>
          <w:tab w:val="left" w:pos="3111"/>
        </w:tabs>
        <w:spacing w:after="0" w:line="240" w:lineRule="auto"/>
        <w:ind w:firstLine="284"/>
        <w:jc w:val="both"/>
        <w:rPr>
          <w:rFonts w:ascii="Garamond" w:hAnsi="Garamond"/>
          <w:color w:val="0D0D0D" w:themeColor="text1" w:themeTint="F2"/>
          <w:sz w:val="24"/>
          <w:szCs w:val="24"/>
        </w:rPr>
      </w:pPr>
      <w:r w:rsidRPr="00EE038F">
        <w:rPr>
          <w:rFonts w:ascii="Garamond" w:hAnsi="Garamond"/>
          <w:color w:val="0D0D0D" w:themeColor="text1" w:themeTint="F2"/>
          <w:sz w:val="24"/>
          <w:szCs w:val="24"/>
        </w:rPr>
        <w:t>Si rezultat, shpenzimet totale nuk u rregulluan për efekte ciklike. Aplikimi direkt i formulës së ndjeshmërisë për bilancin e buxhetit ndaj hendekut të prodhimit (ose i ashtuquajtur elasticitet i pjesshëm) na dha vlerën e mëposhtme:</w:t>
      </w:r>
    </w:p>
    <w:p w14:paraId="6786E096" w14:textId="77777777" w:rsidR="00C50585" w:rsidRPr="00EE038F" w:rsidRDefault="00361018" w:rsidP="000554C5">
      <w:pPr>
        <w:tabs>
          <w:tab w:val="left" w:pos="3111"/>
        </w:tabs>
        <w:spacing w:after="0" w:line="240" w:lineRule="auto"/>
        <w:ind w:firstLine="284"/>
        <w:jc w:val="both"/>
        <w:rPr>
          <w:rFonts w:ascii="Garamond" w:hAnsi="Garamond"/>
          <w:color w:val="0D0D0D" w:themeColor="text1" w:themeTint="F2"/>
        </w:rPr>
      </w:pPr>
      <m:oMathPara>
        <m:oMath>
          <m:sSub>
            <m:sSubPr>
              <m:ctrlPr>
                <w:rPr>
                  <w:rFonts w:ascii="Cambria Math" w:hAnsi="Cambria Math"/>
                  <w:i/>
                  <w:color w:val="0D0D0D" w:themeColor="text1" w:themeTint="F2"/>
                </w:rPr>
              </m:ctrlPr>
            </m:sSubPr>
            <m:e>
              <m:r>
                <w:rPr>
                  <w:rFonts w:ascii="Cambria Math" w:hAnsi="Cambria Math"/>
                  <w:color w:val="0D0D0D" w:themeColor="text1" w:themeTint="F2"/>
                </w:rPr>
                <m:t>σ</m:t>
              </m:r>
            </m:e>
            <m:sub>
              <m:r>
                <w:rPr>
                  <w:rFonts w:ascii="Cambria Math" w:hAnsi="Cambria Math"/>
                  <w:color w:val="0D0D0D" w:themeColor="text1" w:themeTint="F2"/>
                </w:rPr>
                <m:t>B</m:t>
              </m:r>
            </m:sub>
          </m:sSub>
          <m:r>
            <w:rPr>
              <w:rFonts w:ascii="Cambria Math" w:hAnsi="Cambria Math"/>
              <w:color w:val="0D0D0D" w:themeColor="text1" w:themeTint="F2"/>
            </w:rPr>
            <m:t>=r</m:t>
          </m:r>
          <m:d>
            <m:dPr>
              <m:ctrlPr>
                <w:rPr>
                  <w:rFonts w:ascii="Cambria Math" w:hAnsi="Cambria Math"/>
                  <w:i/>
                  <w:color w:val="0D0D0D" w:themeColor="text1" w:themeTint="F2"/>
                </w:rPr>
              </m:ctrlPr>
            </m:dPr>
            <m:e>
              <m:sSub>
                <m:sSubPr>
                  <m:ctrlPr>
                    <w:rPr>
                      <w:rFonts w:ascii="Cambria Math" w:hAnsi="Cambria Math"/>
                      <w:i/>
                      <w:color w:val="0D0D0D" w:themeColor="text1" w:themeTint="F2"/>
                    </w:rPr>
                  </m:ctrlPr>
                </m:sSubPr>
                <m:e>
                  <m:r>
                    <w:rPr>
                      <w:rFonts w:ascii="Cambria Math" w:hAnsi="Cambria Math"/>
                      <w:color w:val="0D0D0D" w:themeColor="text1" w:themeTint="F2"/>
                    </w:rPr>
                    <m:t>ε</m:t>
                  </m:r>
                </m:e>
                <m:sub>
                  <m:r>
                    <w:rPr>
                      <w:rFonts w:ascii="Cambria Math" w:hAnsi="Cambria Math"/>
                      <w:color w:val="0D0D0D" w:themeColor="text1" w:themeTint="F2"/>
                    </w:rPr>
                    <m:t>R,Y</m:t>
                  </m:r>
                </m:sub>
              </m:sSub>
              <m:r>
                <w:rPr>
                  <w:rFonts w:ascii="Cambria Math" w:hAnsi="Cambria Math"/>
                  <w:color w:val="0D0D0D" w:themeColor="text1" w:themeTint="F2"/>
                </w:rPr>
                <m:t>-1</m:t>
              </m:r>
            </m:e>
          </m:d>
          <m:r>
            <w:rPr>
              <w:rFonts w:ascii="Cambria Math" w:hAnsi="Cambria Math"/>
              <w:color w:val="0D0D0D" w:themeColor="text1" w:themeTint="F2"/>
            </w:rPr>
            <m:t>-g</m:t>
          </m:r>
          <m:d>
            <m:dPr>
              <m:ctrlPr>
                <w:rPr>
                  <w:rFonts w:ascii="Cambria Math" w:hAnsi="Cambria Math"/>
                  <w:i/>
                  <w:color w:val="0D0D0D" w:themeColor="text1" w:themeTint="F2"/>
                </w:rPr>
              </m:ctrlPr>
            </m:dPr>
            <m:e>
              <m:sSub>
                <m:sSubPr>
                  <m:ctrlPr>
                    <w:rPr>
                      <w:rFonts w:ascii="Cambria Math" w:hAnsi="Cambria Math"/>
                      <w:i/>
                      <w:color w:val="0D0D0D" w:themeColor="text1" w:themeTint="F2"/>
                    </w:rPr>
                  </m:ctrlPr>
                </m:sSubPr>
                <m:e>
                  <m:r>
                    <w:rPr>
                      <w:rFonts w:ascii="Cambria Math" w:hAnsi="Cambria Math"/>
                      <w:color w:val="0D0D0D" w:themeColor="text1" w:themeTint="F2"/>
                    </w:rPr>
                    <m:t>ε</m:t>
                  </m:r>
                </m:e>
                <m:sub>
                  <m:r>
                    <w:rPr>
                      <w:rFonts w:ascii="Cambria Math" w:hAnsi="Cambria Math"/>
                      <w:color w:val="0D0D0D" w:themeColor="text1" w:themeTint="F2"/>
                    </w:rPr>
                    <m:t>G,Y</m:t>
                  </m:r>
                </m:sub>
              </m:sSub>
              <m:r>
                <w:rPr>
                  <w:rFonts w:ascii="Cambria Math" w:hAnsi="Cambria Math"/>
                  <w:color w:val="0D0D0D" w:themeColor="text1" w:themeTint="F2"/>
                </w:rPr>
                <m:t>-1</m:t>
              </m:r>
            </m:e>
          </m:d>
          <m:r>
            <w:rPr>
              <w:rFonts w:ascii="Cambria Math" w:hAnsi="Cambria Math"/>
              <w:color w:val="0D0D0D" w:themeColor="text1" w:themeTint="F2"/>
            </w:rPr>
            <m:t>=0.255</m:t>
          </m:r>
          <m:d>
            <m:dPr>
              <m:ctrlPr>
                <w:rPr>
                  <w:rFonts w:ascii="Cambria Math" w:hAnsi="Cambria Math"/>
                  <w:i/>
                  <w:color w:val="0D0D0D" w:themeColor="text1" w:themeTint="F2"/>
                </w:rPr>
              </m:ctrlPr>
            </m:dPr>
            <m:e>
              <m:r>
                <w:rPr>
                  <w:rFonts w:ascii="Cambria Math" w:hAnsi="Cambria Math"/>
                  <w:color w:val="0D0D0D" w:themeColor="text1" w:themeTint="F2"/>
                </w:rPr>
                <m:t>1.235-1</m:t>
              </m:r>
            </m:e>
          </m:d>
          <m:r>
            <w:rPr>
              <w:rFonts w:ascii="Cambria Math" w:hAnsi="Cambria Math"/>
              <w:color w:val="0D0D0D" w:themeColor="text1" w:themeTint="F2"/>
            </w:rPr>
            <m:t>-0.262</m:t>
          </m:r>
          <m:d>
            <m:dPr>
              <m:ctrlPr>
                <w:rPr>
                  <w:rFonts w:ascii="Cambria Math" w:hAnsi="Cambria Math"/>
                  <w:i/>
                  <w:color w:val="0D0D0D" w:themeColor="text1" w:themeTint="F2"/>
                </w:rPr>
              </m:ctrlPr>
            </m:dPr>
            <m:e>
              <m:r>
                <w:rPr>
                  <w:rFonts w:ascii="Cambria Math" w:hAnsi="Cambria Math"/>
                  <w:color w:val="0D0D0D" w:themeColor="text1" w:themeTint="F2"/>
                </w:rPr>
                <m:t>0-1</m:t>
              </m:r>
            </m:e>
          </m:d>
          <m:r>
            <w:rPr>
              <w:rFonts w:ascii="Cambria Math" w:hAnsi="Cambria Math"/>
              <w:color w:val="0D0D0D" w:themeColor="text1" w:themeTint="F2"/>
            </w:rPr>
            <m:t>=0.322</m:t>
          </m:r>
        </m:oMath>
      </m:oMathPara>
    </w:p>
    <w:p w14:paraId="3C62D1EE" w14:textId="109932BE" w:rsidR="00C50585" w:rsidRPr="00EE038F" w:rsidRDefault="00C50585" w:rsidP="000554C5">
      <w:pPr>
        <w:tabs>
          <w:tab w:val="left" w:pos="3111"/>
        </w:tabs>
        <w:spacing w:after="0" w:line="240" w:lineRule="auto"/>
        <w:ind w:firstLine="284"/>
        <w:jc w:val="both"/>
        <w:rPr>
          <w:rFonts w:ascii="Garamond" w:hAnsi="Garamond"/>
          <w:color w:val="0D0D0D" w:themeColor="text1" w:themeTint="F2"/>
        </w:rPr>
      </w:pPr>
      <w:r w:rsidRPr="00EE038F">
        <w:rPr>
          <w:rFonts w:ascii="Garamond" w:hAnsi="Garamond"/>
          <w:color w:val="0D0D0D" w:themeColor="text1" w:themeTint="F2"/>
        </w:rPr>
        <w:lastRenderedPageBreak/>
        <w:t>Ku,</w:t>
      </w:r>
      <m:oMath>
        <m:r>
          <w:rPr>
            <w:rFonts w:ascii="Cambria Math" w:hAnsi="Cambria Math"/>
            <w:color w:val="0D0D0D" w:themeColor="text1" w:themeTint="F2"/>
          </w:rPr>
          <m:t xml:space="preserve"> r=0.255</m:t>
        </m:r>
      </m:oMath>
      <w:r w:rsidRPr="00EE038F">
        <w:rPr>
          <w:rFonts w:ascii="Garamond" w:hAnsi="Garamond"/>
          <w:color w:val="0D0D0D" w:themeColor="text1" w:themeTint="F2"/>
        </w:rPr>
        <w:t xml:space="preserve"> është norma mesatare e të ardhurave totale ndaj PBB-së (duke përjashtuar faktorët njëndikimësh) për 5 v</w:t>
      </w:r>
      <w:r w:rsidR="002463DE" w:rsidRPr="00EE038F">
        <w:rPr>
          <w:rFonts w:ascii="Garamond" w:hAnsi="Garamond"/>
          <w:color w:val="0D0D0D" w:themeColor="text1" w:themeTint="F2"/>
        </w:rPr>
        <w:t>jetët</w:t>
      </w:r>
      <w:r w:rsidRPr="00EE038F">
        <w:rPr>
          <w:rFonts w:ascii="Garamond" w:hAnsi="Garamond"/>
          <w:color w:val="0D0D0D" w:themeColor="text1" w:themeTint="F2"/>
        </w:rPr>
        <w:t xml:space="preserve"> e fundit (2018–2022), dhe </w:t>
      </w:r>
      <m:oMath>
        <m:r>
          <w:rPr>
            <w:rFonts w:ascii="Cambria Math" w:hAnsi="Cambria Math"/>
            <w:color w:val="0D0D0D" w:themeColor="text1" w:themeTint="F2"/>
          </w:rPr>
          <m:t>g=0.262</m:t>
        </m:r>
      </m:oMath>
      <w:r w:rsidRPr="00EE038F">
        <w:rPr>
          <w:rFonts w:ascii="Garamond" w:hAnsi="Garamond"/>
          <w:color w:val="0D0D0D" w:themeColor="text1" w:themeTint="F2"/>
        </w:rPr>
        <w:t xml:space="preserve"> është norma mesatare e shpenzimeve primare ndaj PBB-së (duke përjashtuar faktorët njëndikimësh) për të njëjtën periudhë. </w:t>
      </w:r>
      <w:r w:rsidRPr="00EE038F">
        <w:rPr>
          <w:rFonts w:ascii="Garamond" w:hAnsi="Garamond"/>
        </w:rPr>
        <w:t>Parametri i vlerësuar i ndjeshmërisë së buxhetit</w:t>
      </w:r>
      <w:r w:rsidRPr="00EE038F">
        <w:rPr>
          <w:rFonts w:ascii="Garamond" w:hAnsi="Garamond"/>
          <w:color w:val="0D0D0D" w:themeColor="text1" w:themeTint="F2"/>
        </w:rPr>
        <w:t xml:space="preserve"> </w:t>
      </w:r>
      <m:oMath>
        <m:d>
          <m:dPr>
            <m:ctrlPr>
              <w:rPr>
                <w:rFonts w:ascii="Cambria Math" w:hAnsi="Cambria Math"/>
                <w:i/>
                <w:color w:val="0D0D0D" w:themeColor="text1" w:themeTint="F2"/>
              </w:rPr>
            </m:ctrlPr>
          </m:dPr>
          <m:e>
            <m:sSub>
              <m:sSubPr>
                <m:ctrlPr>
                  <w:rPr>
                    <w:rFonts w:ascii="Cambria Math" w:hAnsi="Cambria Math"/>
                    <w:i/>
                    <w:color w:val="0D0D0D" w:themeColor="text1" w:themeTint="F2"/>
                  </w:rPr>
                </m:ctrlPr>
              </m:sSubPr>
              <m:e>
                <m:r>
                  <w:rPr>
                    <w:rFonts w:ascii="Cambria Math" w:hAnsi="Cambria Math"/>
                    <w:color w:val="0D0D0D" w:themeColor="text1" w:themeTint="F2"/>
                  </w:rPr>
                  <m:t>σ</m:t>
                </m:r>
              </m:e>
              <m:sub>
                <m:r>
                  <w:rPr>
                    <w:rFonts w:ascii="Cambria Math" w:hAnsi="Cambria Math"/>
                    <w:color w:val="0D0D0D" w:themeColor="text1" w:themeTint="F2"/>
                  </w:rPr>
                  <m:t>B</m:t>
                </m:r>
              </m:sub>
            </m:sSub>
          </m:e>
        </m:d>
      </m:oMath>
      <w:r w:rsidRPr="00EE038F">
        <w:rPr>
          <w:rFonts w:ascii="Garamond" w:hAnsi="Garamond"/>
        </w:rPr>
        <w:t xml:space="preserve"> na thotë se për çdo pikë </w:t>
      </w:r>
      <w:r w:rsidR="003771A2" w:rsidRPr="00EE038F">
        <w:rPr>
          <w:rFonts w:ascii="Garamond" w:hAnsi="Garamond"/>
        </w:rPr>
        <w:t>përqindje</w:t>
      </w:r>
      <w:r w:rsidR="00A1114B" w:rsidRPr="00EE038F">
        <w:rPr>
          <w:rFonts w:ascii="Garamond" w:hAnsi="Garamond"/>
        </w:rPr>
        <w:t>je</w:t>
      </w:r>
      <w:r w:rsidR="003771A2" w:rsidRPr="00EE038F">
        <w:rPr>
          <w:rFonts w:ascii="Garamond" w:hAnsi="Garamond"/>
        </w:rPr>
        <w:t xml:space="preserve"> </w:t>
      </w:r>
      <w:r w:rsidRPr="00EE038F">
        <w:rPr>
          <w:rFonts w:ascii="Garamond" w:hAnsi="Garamond"/>
        </w:rPr>
        <w:t>negative (pozitive) të hendekut të prodhimit, bilanci i përgjithshëm fiskal primar do të përkeqësohet (përmirësohet) me</w:t>
      </w:r>
      <w:r w:rsidRPr="00EE038F">
        <w:rPr>
          <w:rFonts w:ascii="Garamond" w:hAnsi="Garamond"/>
          <w:color w:val="0D0D0D" w:themeColor="text1" w:themeTint="F2"/>
        </w:rPr>
        <w:t xml:space="preserve"> 0.322 </w:t>
      </w:r>
      <w:r w:rsidRPr="00EE038F">
        <w:rPr>
          <w:rFonts w:ascii="Garamond" w:hAnsi="Garamond"/>
        </w:rPr>
        <w:t xml:space="preserve">pikë </w:t>
      </w:r>
      <w:r w:rsidR="009242F9" w:rsidRPr="00EE038F">
        <w:rPr>
          <w:rFonts w:ascii="Garamond" w:hAnsi="Garamond"/>
        </w:rPr>
        <w:t>përqindje</w:t>
      </w:r>
      <w:r w:rsidRPr="00EE038F">
        <w:rPr>
          <w:rFonts w:ascii="Garamond" w:hAnsi="Garamond"/>
        </w:rPr>
        <w:t>je</w:t>
      </w:r>
      <w:r w:rsidR="00AD3D9C" w:rsidRPr="00EE038F">
        <w:rPr>
          <w:rFonts w:ascii="Garamond" w:hAnsi="Garamond"/>
        </w:rPr>
        <w:t xml:space="preserve"> </w:t>
      </w:r>
      <w:r w:rsidRPr="00EE038F">
        <w:rPr>
          <w:rFonts w:ascii="Garamond" w:hAnsi="Garamond"/>
        </w:rPr>
        <w:t>të PBB-së potenciale</w:t>
      </w:r>
      <w:r w:rsidRPr="00EE038F">
        <w:rPr>
          <w:rFonts w:ascii="Garamond" w:hAnsi="Garamond"/>
          <w:color w:val="0D0D0D" w:themeColor="text1" w:themeTint="F2"/>
        </w:rPr>
        <w:t>.</w:t>
      </w:r>
    </w:p>
    <w:p w14:paraId="7987476C" w14:textId="77777777" w:rsidR="00C50585" w:rsidRPr="00EE038F" w:rsidRDefault="00C50585" w:rsidP="000554C5">
      <w:pPr>
        <w:pStyle w:val="AAAAAAATEXXXX"/>
        <w:rPr>
          <w:i/>
          <w:lang w:val="sq-AL"/>
        </w:rPr>
      </w:pPr>
      <w:r w:rsidRPr="00EE038F">
        <w:rPr>
          <w:i/>
          <w:lang w:val="sq-AL"/>
        </w:rPr>
        <w:t>Vlerësimi i bilancit fiskal të rregulluar ciklikisht dhe vlerësimi i politikës fiskale në ekonomi.</w:t>
      </w:r>
    </w:p>
    <w:p w14:paraId="0AC409ED" w14:textId="77777777" w:rsidR="00C50585" w:rsidRPr="00EE038F" w:rsidRDefault="00C50585" w:rsidP="000554C5">
      <w:pPr>
        <w:pStyle w:val="AAAAAAATEXXXX"/>
        <w:rPr>
          <w:lang w:val="sq-AL"/>
        </w:rPr>
      </w:pPr>
      <w:r w:rsidRPr="00EE038F">
        <w:rPr>
          <w:lang w:val="sq-AL"/>
        </w:rPr>
        <w:t xml:space="preserve">Bazuar te hendeku i vlerësuar i prodhimit </w:t>
      </w:r>
      <w:r w:rsidRPr="00EE038F">
        <w:rPr>
          <w:i/>
          <w:lang w:val="sq-AL"/>
        </w:rPr>
        <w:t>(OG)</w:t>
      </w:r>
      <w:r w:rsidRPr="00EE038F">
        <w:rPr>
          <w:lang w:val="sq-AL"/>
        </w:rPr>
        <w:t xml:space="preserve"> dhe parametri i ndjeshmërisë së buxhetit </w:t>
      </w:r>
      <m:oMath>
        <m:d>
          <m:dPr>
            <m:ctrlPr>
              <w:rPr>
                <w:rFonts w:ascii="Cambria Math" w:hAnsi="Cambria Math"/>
                <w:i/>
                <w:lang w:val="sq-AL"/>
              </w:rPr>
            </m:ctrlPr>
          </m:dPr>
          <m:e>
            <m:sSub>
              <m:sSubPr>
                <m:ctrlPr>
                  <w:rPr>
                    <w:rFonts w:ascii="Cambria Math" w:hAnsi="Cambria Math"/>
                    <w:i/>
                    <w:lang w:val="sq-AL"/>
                  </w:rPr>
                </m:ctrlPr>
              </m:sSubPr>
              <m:e>
                <m:r>
                  <w:rPr>
                    <w:rFonts w:ascii="Cambria Math" w:hAnsi="Cambria Math"/>
                    <w:lang w:val="sq-AL"/>
                  </w:rPr>
                  <m:t>σ</m:t>
                </m:r>
              </m:e>
              <m:sub>
                <m:r>
                  <w:rPr>
                    <w:rFonts w:ascii="Cambria Math" w:hAnsi="Cambria Math"/>
                    <w:lang w:val="sq-AL"/>
                  </w:rPr>
                  <m:t>B</m:t>
                </m:r>
              </m:sub>
            </m:sSub>
          </m:e>
        </m:d>
      </m:oMath>
      <w:r w:rsidRPr="00EE038F">
        <w:rPr>
          <w:i/>
          <w:lang w:val="sq-AL"/>
        </w:rPr>
        <w:t xml:space="preserve"> </w:t>
      </w:r>
      <w:r w:rsidRPr="00EE038F">
        <w:rPr>
          <w:lang w:val="sq-AL"/>
        </w:rPr>
        <w:t>komponenti ciklik i bilancit fiskal primar (CPB) në terma të PBB-së potenciale është llogaritur, si</w:t>
      </w:r>
      <w:r w:rsidRPr="00EE038F">
        <w:rPr>
          <w:color w:val="0D0D0D" w:themeColor="text1" w:themeTint="F2"/>
          <w:lang w:val="sq-AL"/>
        </w:rPr>
        <w:t xml:space="preserve">: </w:t>
      </w:r>
    </w:p>
    <w:p w14:paraId="1DBD6F9D" w14:textId="77777777" w:rsidR="00C50585" w:rsidRPr="00EE038F" w:rsidRDefault="00361018" w:rsidP="000554C5">
      <w:pPr>
        <w:tabs>
          <w:tab w:val="left" w:pos="3111"/>
        </w:tabs>
        <w:spacing w:after="0" w:line="240" w:lineRule="auto"/>
        <w:ind w:firstLine="284"/>
        <w:jc w:val="both"/>
        <w:rPr>
          <w:rFonts w:ascii="Garamond" w:hAnsi="Garamond"/>
          <w:color w:val="0D0D0D" w:themeColor="text1" w:themeTint="F2"/>
        </w:rPr>
      </w:pPr>
      <m:oMathPara>
        <m:oMath>
          <m:sSub>
            <m:sSubPr>
              <m:ctrlPr>
                <w:rPr>
                  <w:rFonts w:ascii="Cambria Math" w:hAnsi="Cambria Math"/>
                  <w:i/>
                  <w:color w:val="0D0D0D" w:themeColor="text1" w:themeTint="F2"/>
                </w:rPr>
              </m:ctrlPr>
            </m:sSubPr>
            <m:e>
              <m:r>
                <w:rPr>
                  <w:rFonts w:ascii="Cambria Math" w:hAnsi="Cambria Math"/>
                  <w:color w:val="0D0D0D" w:themeColor="text1" w:themeTint="F2"/>
                </w:rPr>
                <m:t>CPB</m:t>
              </m:r>
            </m:e>
            <m:sub>
              <m:r>
                <w:rPr>
                  <w:rFonts w:ascii="Cambria Math" w:hAnsi="Cambria Math"/>
                  <w:color w:val="0D0D0D" w:themeColor="text1" w:themeTint="F2"/>
                </w:rPr>
                <m:t>t</m:t>
              </m:r>
            </m:sub>
          </m:sSub>
          <m:r>
            <w:rPr>
              <w:rFonts w:ascii="Cambria Math" w:hAnsi="Cambria Math"/>
              <w:color w:val="0D0D0D" w:themeColor="text1" w:themeTint="F2"/>
            </w:rPr>
            <m:t>=</m:t>
          </m:r>
          <m:sSub>
            <m:sSubPr>
              <m:ctrlPr>
                <w:rPr>
                  <w:rFonts w:ascii="Cambria Math" w:hAnsi="Cambria Math"/>
                  <w:i/>
                  <w:color w:val="0D0D0D" w:themeColor="text1" w:themeTint="F2"/>
                </w:rPr>
              </m:ctrlPr>
            </m:sSubPr>
            <m:e>
              <m:r>
                <w:rPr>
                  <w:rFonts w:ascii="Cambria Math" w:hAnsi="Cambria Math"/>
                  <w:color w:val="0D0D0D" w:themeColor="text1" w:themeTint="F2"/>
                </w:rPr>
                <m:t>σ</m:t>
              </m:r>
            </m:e>
            <m:sub>
              <m:r>
                <w:rPr>
                  <w:rFonts w:ascii="Cambria Math" w:hAnsi="Cambria Math"/>
                  <w:color w:val="0D0D0D" w:themeColor="text1" w:themeTint="F2"/>
                </w:rPr>
                <m:t>B</m:t>
              </m:r>
            </m:sub>
          </m:sSub>
          <m:r>
            <w:rPr>
              <w:rFonts w:ascii="Cambria Math" w:hAnsi="Cambria Math"/>
              <w:color w:val="0D0D0D" w:themeColor="text1" w:themeTint="F2"/>
            </w:rPr>
            <m:t>*</m:t>
          </m:r>
          <m:sSub>
            <m:sSubPr>
              <m:ctrlPr>
                <w:rPr>
                  <w:rFonts w:ascii="Cambria Math" w:hAnsi="Cambria Math"/>
                  <w:i/>
                  <w:color w:val="0D0D0D" w:themeColor="text1" w:themeTint="F2"/>
                </w:rPr>
              </m:ctrlPr>
            </m:sSubPr>
            <m:e>
              <m:r>
                <w:rPr>
                  <w:rFonts w:ascii="Cambria Math" w:hAnsi="Cambria Math"/>
                  <w:color w:val="0D0D0D" w:themeColor="text1" w:themeTint="F2"/>
                </w:rPr>
                <m:t>OG</m:t>
              </m:r>
            </m:e>
            <m:sub>
              <m:r>
                <w:rPr>
                  <w:rFonts w:ascii="Cambria Math" w:hAnsi="Cambria Math"/>
                  <w:color w:val="0D0D0D" w:themeColor="text1" w:themeTint="F2"/>
                </w:rPr>
                <m:t>t</m:t>
              </m:r>
            </m:sub>
          </m:sSub>
        </m:oMath>
      </m:oMathPara>
    </w:p>
    <w:p w14:paraId="076F9B74" w14:textId="428A8D85" w:rsidR="00C50585" w:rsidRPr="00EE038F" w:rsidRDefault="00C50585" w:rsidP="000554C5">
      <w:pPr>
        <w:pStyle w:val="AAAAAAATEXXXX"/>
        <w:rPr>
          <w:lang w:val="sq-AL"/>
        </w:rPr>
      </w:pPr>
      <w:r w:rsidRPr="00EE038F">
        <w:rPr>
          <w:lang w:val="sq-AL"/>
        </w:rPr>
        <w:t>Ku stabilizatorët automatikë (AS) janë përkufizuar si ndryshimi i CPB-së të dy</w:t>
      </w:r>
      <w:r w:rsidR="00915B3F" w:rsidRPr="00EE038F">
        <w:rPr>
          <w:lang w:val="sq-AL"/>
        </w:rPr>
        <w:t xml:space="preserve"> </w:t>
      </w:r>
      <w:r w:rsidRPr="00EE038F">
        <w:rPr>
          <w:lang w:val="sq-AL"/>
        </w:rPr>
        <w:t>viteve rresht, pra:</w:t>
      </w:r>
    </w:p>
    <w:p w14:paraId="5FAB5435" w14:textId="77777777" w:rsidR="00C50585" w:rsidRPr="00EE038F" w:rsidRDefault="00361018" w:rsidP="000554C5">
      <w:pPr>
        <w:tabs>
          <w:tab w:val="left" w:pos="3111"/>
        </w:tabs>
        <w:spacing w:after="0" w:line="240" w:lineRule="auto"/>
        <w:ind w:firstLine="284"/>
        <w:jc w:val="both"/>
        <w:rPr>
          <w:rFonts w:ascii="Garamond" w:hAnsi="Garamond"/>
          <w:color w:val="0D0D0D" w:themeColor="text1" w:themeTint="F2"/>
        </w:rPr>
      </w:pPr>
      <m:oMathPara>
        <m:oMath>
          <m:sSub>
            <m:sSubPr>
              <m:ctrlPr>
                <w:rPr>
                  <w:rFonts w:ascii="Cambria Math" w:hAnsi="Cambria Math"/>
                  <w:i/>
                  <w:color w:val="0D0D0D" w:themeColor="text1" w:themeTint="F2"/>
                </w:rPr>
              </m:ctrlPr>
            </m:sSubPr>
            <m:e>
              <m:r>
                <w:rPr>
                  <w:rFonts w:ascii="Cambria Math" w:hAnsi="Cambria Math"/>
                  <w:color w:val="0D0D0D" w:themeColor="text1" w:themeTint="F2"/>
                </w:rPr>
                <m:t>AS</m:t>
              </m:r>
            </m:e>
            <m:sub>
              <m:r>
                <w:rPr>
                  <w:rFonts w:ascii="Cambria Math" w:hAnsi="Cambria Math"/>
                  <w:color w:val="0D0D0D" w:themeColor="text1" w:themeTint="F2"/>
                </w:rPr>
                <m:t>t</m:t>
              </m:r>
            </m:sub>
          </m:sSub>
          <m:r>
            <w:rPr>
              <w:rFonts w:ascii="Cambria Math" w:hAnsi="Cambria Math"/>
              <w:color w:val="0D0D0D" w:themeColor="text1" w:themeTint="F2"/>
            </w:rPr>
            <m:t>=</m:t>
          </m:r>
          <m:sSub>
            <m:sSubPr>
              <m:ctrlPr>
                <w:rPr>
                  <w:rFonts w:ascii="Cambria Math" w:hAnsi="Cambria Math"/>
                  <w:i/>
                  <w:color w:val="0D0D0D" w:themeColor="text1" w:themeTint="F2"/>
                </w:rPr>
              </m:ctrlPr>
            </m:sSubPr>
            <m:e>
              <m:r>
                <w:rPr>
                  <w:rFonts w:ascii="Cambria Math" w:hAnsi="Cambria Math"/>
                  <w:color w:val="0D0D0D" w:themeColor="text1" w:themeTint="F2"/>
                </w:rPr>
                <m:t>CPB</m:t>
              </m:r>
            </m:e>
            <m:sub>
              <m:r>
                <w:rPr>
                  <w:rFonts w:ascii="Cambria Math" w:hAnsi="Cambria Math"/>
                  <w:color w:val="0D0D0D" w:themeColor="text1" w:themeTint="F2"/>
                </w:rPr>
                <m:t>t</m:t>
              </m:r>
            </m:sub>
          </m:sSub>
          <m:r>
            <w:rPr>
              <w:rFonts w:ascii="Cambria Math" w:hAnsi="Cambria Math"/>
              <w:color w:val="0D0D0D" w:themeColor="text1" w:themeTint="F2"/>
            </w:rPr>
            <m:t>-</m:t>
          </m:r>
          <m:sSub>
            <m:sSubPr>
              <m:ctrlPr>
                <w:rPr>
                  <w:rFonts w:ascii="Cambria Math" w:hAnsi="Cambria Math"/>
                  <w:i/>
                  <w:color w:val="0D0D0D" w:themeColor="text1" w:themeTint="F2"/>
                </w:rPr>
              </m:ctrlPr>
            </m:sSubPr>
            <m:e>
              <m:r>
                <w:rPr>
                  <w:rFonts w:ascii="Cambria Math" w:hAnsi="Cambria Math"/>
                  <w:color w:val="0D0D0D" w:themeColor="text1" w:themeTint="F2"/>
                </w:rPr>
                <m:t>CPB</m:t>
              </m:r>
            </m:e>
            <m:sub>
              <m:r>
                <w:rPr>
                  <w:rFonts w:ascii="Cambria Math" w:hAnsi="Cambria Math"/>
                  <w:color w:val="0D0D0D" w:themeColor="text1" w:themeTint="F2"/>
                </w:rPr>
                <m:t>t-1</m:t>
              </m:r>
            </m:sub>
          </m:sSub>
        </m:oMath>
      </m:oMathPara>
    </w:p>
    <w:p w14:paraId="4ACA4F64" w14:textId="77777777" w:rsidR="00C50585" w:rsidRPr="00EE038F" w:rsidRDefault="00C50585" w:rsidP="000554C5">
      <w:pPr>
        <w:pStyle w:val="AAAAAAATEXXXX"/>
        <w:rPr>
          <w:lang w:val="sq-AL"/>
        </w:rPr>
      </w:pPr>
      <w:r w:rsidRPr="00EE038F">
        <w:rPr>
          <w:lang w:val="sq-AL"/>
        </w:rPr>
        <w:t>Bilanci primar i rregulluar ciklikisht (CAPB) llogaritet si diferencë mes bilancit primar fiskal aktual (PB) dhe komponentit të tij ciklik (CPB):</w:t>
      </w:r>
    </w:p>
    <w:p w14:paraId="4E549CDF" w14:textId="77777777" w:rsidR="00C50585" w:rsidRPr="00EE038F" w:rsidRDefault="00361018" w:rsidP="000554C5">
      <w:pPr>
        <w:tabs>
          <w:tab w:val="left" w:pos="3111"/>
        </w:tabs>
        <w:spacing w:after="0" w:line="240" w:lineRule="auto"/>
        <w:ind w:firstLine="284"/>
        <w:jc w:val="both"/>
        <w:rPr>
          <w:rFonts w:ascii="Garamond" w:hAnsi="Garamond"/>
          <w:color w:val="0D0D0D" w:themeColor="text1" w:themeTint="F2"/>
        </w:rPr>
      </w:pPr>
      <m:oMathPara>
        <m:oMath>
          <m:sSub>
            <m:sSubPr>
              <m:ctrlPr>
                <w:rPr>
                  <w:rFonts w:ascii="Cambria Math" w:hAnsi="Cambria Math"/>
                  <w:i/>
                  <w:color w:val="0D0D0D" w:themeColor="text1" w:themeTint="F2"/>
                </w:rPr>
              </m:ctrlPr>
            </m:sSubPr>
            <m:e>
              <m:r>
                <w:rPr>
                  <w:rFonts w:ascii="Cambria Math" w:hAnsi="Cambria Math"/>
                  <w:color w:val="0D0D0D" w:themeColor="text1" w:themeTint="F2"/>
                </w:rPr>
                <m:t>CAPB</m:t>
              </m:r>
            </m:e>
            <m:sub>
              <m:r>
                <w:rPr>
                  <w:rFonts w:ascii="Cambria Math" w:hAnsi="Cambria Math"/>
                  <w:color w:val="0D0D0D" w:themeColor="text1" w:themeTint="F2"/>
                </w:rPr>
                <m:t>t</m:t>
              </m:r>
            </m:sub>
          </m:sSub>
          <m:r>
            <w:rPr>
              <w:rFonts w:ascii="Cambria Math" w:hAnsi="Cambria Math"/>
              <w:color w:val="0D0D0D" w:themeColor="text1" w:themeTint="F2"/>
            </w:rPr>
            <m:t>=</m:t>
          </m:r>
          <m:sSub>
            <m:sSubPr>
              <m:ctrlPr>
                <w:rPr>
                  <w:rFonts w:ascii="Cambria Math" w:hAnsi="Cambria Math"/>
                  <w:i/>
                  <w:color w:val="0D0D0D" w:themeColor="text1" w:themeTint="F2"/>
                </w:rPr>
              </m:ctrlPr>
            </m:sSubPr>
            <m:e>
              <m:r>
                <w:rPr>
                  <w:rFonts w:ascii="Cambria Math" w:hAnsi="Cambria Math"/>
                  <w:color w:val="0D0D0D" w:themeColor="text1" w:themeTint="F2"/>
                </w:rPr>
                <m:t>PB</m:t>
              </m:r>
            </m:e>
            <m:sub>
              <m:r>
                <w:rPr>
                  <w:rFonts w:ascii="Cambria Math" w:hAnsi="Cambria Math"/>
                  <w:color w:val="0D0D0D" w:themeColor="text1" w:themeTint="F2"/>
                </w:rPr>
                <m:t>t</m:t>
              </m:r>
            </m:sub>
          </m:sSub>
          <m:r>
            <w:rPr>
              <w:rFonts w:ascii="Cambria Math" w:hAnsi="Cambria Math"/>
              <w:color w:val="0D0D0D" w:themeColor="text1" w:themeTint="F2"/>
            </w:rPr>
            <m:t>-</m:t>
          </m:r>
          <m:sSub>
            <m:sSubPr>
              <m:ctrlPr>
                <w:rPr>
                  <w:rFonts w:ascii="Cambria Math" w:hAnsi="Cambria Math"/>
                  <w:i/>
                  <w:color w:val="0D0D0D" w:themeColor="text1" w:themeTint="F2"/>
                </w:rPr>
              </m:ctrlPr>
            </m:sSubPr>
            <m:e>
              <m:r>
                <w:rPr>
                  <w:rFonts w:ascii="Cambria Math" w:hAnsi="Cambria Math"/>
                  <w:color w:val="0D0D0D" w:themeColor="text1" w:themeTint="F2"/>
                </w:rPr>
                <m:t>CPB</m:t>
              </m:r>
            </m:e>
            <m:sub>
              <m:r>
                <w:rPr>
                  <w:rFonts w:ascii="Cambria Math" w:hAnsi="Cambria Math"/>
                  <w:color w:val="0D0D0D" w:themeColor="text1" w:themeTint="F2"/>
                </w:rPr>
                <m:t>t</m:t>
              </m:r>
            </m:sub>
          </m:sSub>
        </m:oMath>
      </m:oMathPara>
    </w:p>
    <w:p w14:paraId="1F130648" w14:textId="77777777" w:rsidR="00C50585" w:rsidRPr="00EE038F" w:rsidRDefault="00C50585" w:rsidP="000554C5">
      <w:pPr>
        <w:pStyle w:val="AAAAAAATEXXXX"/>
        <w:rPr>
          <w:lang w:val="sq-AL"/>
        </w:rPr>
      </w:pPr>
      <w:r w:rsidRPr="00EE038F">
        <w:rPr>
          <w:lang w:val="sq-AL"/>
        </w:rPr>
        <w:t>Bilanci i përgjithshëm i rregulluar ciklikisht (CAB) del pasi bilancit primar të rregulluar ciklikisht i hiqen shpenzimet për interesat (INT) te bilanci primar i rregulluar ciklikisht:</w:t>
      </w:r>
    </w:p>
    <w:p w14:paraId="37E4C7E1" w14:textId="77777777" w:rsidR="00C50585" w:rsidRPr="00EE038F" w:rsidRDefault="00361018" w:rsidP="000554C5">
      <w:pPr>
        <w:tabs>
          <w:tab w:val="left" w:pos="3111"/>
        </w:tabs>
        <w:spacing w:after="0" w:line="240" w:lineRule="auto"/>
        <w:ind w:firstLine="284"/>
        <w:jc w:val="both"/>
        <w:rPr>
          <w:rFonts w:ascii="Garamond" w:hAnsi="Garamond"/>
          <w:color w:val="0D0D0D" w:themeColor="text1" w:themeTint="F2"/>
        </w:rPr>
      </w:pPr>
      <m:oMathPara>
        <m:oMath>
          <m:sSub>
            <m:sSubPr>
              <m:ctrlPr>
                <w:rPr>
                  <w:rFonts w:ascii="Cambria Math" w:hAnsi="Cambria Math"/>
                  <w:i/>
                  <w:color w:val="0D0D0D" w:themeColor="text1" w:themeTint="F2"/>
                </w:rPr>
              </m:ctrlPr>
            </m:sSubPr>
            <m:e>
              <m:r>
                <w:rPr>
                  <w:rFonts w:ascii="Cambria Math" w:hAnsi="Cambria Math"/>
                  <w:color w:val="0D0D0D" w:themeColor="text1" w:themeTint="F2"/>
                </w:rPr>
                <m:t>CAB</m:t>
              </m:r>
            </m:e>
            <m:sub>
              <m:r>
                <w:rPr>
                  <w:rFonts w:ascii="Cambria Math" w:hAnsi="Cambria Math"/>
                  <w:color w:val="0D0D0D" w:themeColor="text1" w:themeTint="F2"/>
                </w:rPr>
                <m:t>t</m:t>
              </m:r>
            </m:sub>
          </m:sSub>
          <m:r>
            <w:rPr>
              <w:rFonts w:ascii="Cambria Math" w:hAnsi="Cambria Math"/>
              <w:color w:val="0D0D0D" w:themeColor="text1" w:themeTint="F2"/>
            </w:rPr>
            <m:t>=</m:t>
          </m:r>
          <m:sSub>
            <m:sSubPr>
              <m:ctrlPr>
                <w:rPr>
                  <w:rFonts w:ascii="Cambria Math" w:hAnsi="Cambria Math"/>
                  <w:i/>
                  <w:color w:val="0D0D0D" w:themeColor="text1" w:themeTint="F2"/>
                </w:rPr>
              </m:ctrlPr>
            </m:sSubPr>
            <m:e>
              <m:r>
                <w:rPr>
                  <w:rFonts w:ascii="Cambria Math" w:hAnsi="Cambria Math"/>
                  <w:color w:val="0D0D0D" w:themeColor="text1" w:themeTint="F2"/>
                </w:rPr>
                <m:t>CAPB</m:t>
              </m:r>
            </m:e>
            <m:sub>
              <m:r>
                <w:rPr>
                  <w:rFonts w:ascii="Cambria Math" w:hAnsi="Cambria Math"/>
                  <w:color w:val="0D0D0D" w:themeColor="text1" w:themeTint="F2"/>
                </w:rPr>
                <m:t>t</m:t>
              </m:r>
            </m:sub>
          </m:sSub>
          <m:r>
            <w:rPr>
              <w:rFonts w:ascii="Cambria Math" w:hAnsi="Cambria Math"/>
              <w:color w:val="0D0D0D" w:themeColor="text1" w:themeTint="F2"/>
            </w:rPr>
            <m:t>-</m:t>
          </m:r>
          <m:sSub>
            <m:sSubPr>
              <m:ctrlPr>
                <w:rPr>
                  <w:rFonts w:ascii="Cambria Math" w:hAnsi="Cambria Math"/>
                  <w:i/>
                  <w:color w:val="0D0D0D" w:themeColor="text1" w:themeTint="F2"/>
                </w:rPr>
              </m:ctrlPr>
            </m:sSubPr>
            <m:e>
              <m:r>
                <w:rPr>
                  <w:rFonts w:ascii="Cambria Math" w:hAnsi="Cambria Math"/>
                  <w:color w:val="0D0D0D" w:themeColor="text1" w:themeTint="F2"/>
                </w:rPr>
                <m:t>INT</m:t>
              </m:r>
            </m:e>
            <m:sub>
              <m:r>
                <w:rPr>
                  <w:rFonts w:ascii="Cambria Math" w:hAnsi="Cambria Math"/>
                  <w:color w:val="0D0D0D" w:themeColor="text1" w:themeTint="F2"/>
                </w:rPr>
                <m:t>t</m:t>
              </m:r>
            </m:sub>
          </m:sSub>
        </m:oMath>
      </m:oMathPara>
    </w:p>
    <w:p w14:paraId="5ED4E6C4" w14:textId="77777777" w:rsidR="00C50585" w:rsidRPr="00EE038F" w:rsidRDefault="00C50585" w:rsidP="000554C5">
      <w:pPr>
        <w:pStyle w:val="AAAAAAATEXXXX"/>
        <w:rPr>
          <w:lang w:val="sq-AL"/>
        </w:rPr>
      </w:pPr>
      <w:r w:rsidRPr="00EE038F">
        <w:rPr>
          <w:lang w:val="sq-AL"/>
        </w:rPr>
        <w:t xml:space="preserve">Impulsi fiskal (FI) në terma të PBB-së potenciale është ndryshimi i bilancit primar të rregulluar ciklikisht çdo vit, relativisht me vitin e kaluar: </w:t>
      </w:r>
    </w:p>
    <w:p w14:paraId="28A5D9DA" w14:textId="77777777" w:rsidR="00C50585" w:rsidRPr="00EE038F" w:rsidRDefault="00361018" w:rsidP="000554C5">
      <w:pPr>
        <w:tabs>
          <w:tab w:val="left" w:pos="3111"/>
        </w:tabs>
        <w:spacing w:after="0" w:line="240" w:lineRule="auto"/>
        <w:ind w:firstLine="284"/>
        <w:jc w:val="both"/>
        <w:rPr>
          <w:rFonts w:ascii="Garamond" w:hAnsi="Garamond"/>
          <w:color w:val="0D0D0D" w:themeColor="text1" w:themeTint="F2"/>
          <w:sz w:val="24"/>
          <w:szCs w:val="24"/>
        </w:rPr>
      </w:pPr>
      <m:oMathPara>
        <m:oMath>
          <m:sSub>
            <m:sSubPr>
              <m:ctrlPr>
                <w:rPr>
                  <w:rFonts w:ascii="Cambria Math" w:hAnsi="Cambria Math"/>
                  <w:i/>
                  <w:color w:val="0D0D0D" w:themeColor="text1" w:themeTint="F2"/>
                  <w:sz w:val="24"/>
                  <w:szCs w:val="24"/>
                </w:rPr>
              </m:ctrlPr>
            </m:sSubPr>
            <m:e>
              <m:r>
                <w:rPr>
                  <w:rFonts w:ascii="Cambria Math" w:hAnsi="Cambria Math"/>
                  <w:color w:val="0D0D0D" w:themeColor="text1" w:themeTint="F2"/>
                  <w:sz w:val="24"/>
                  <w:szCs w:val="24"/>
                </w:rPr>
                <m:t>FI</m:t>
              </m:r>
            </m:e>
            <m:sub>
              <m:r>
                <w:rPr>
                  <w:rFonts w:ascii="Cambria Math" w:hAnsi="Cambria Math"/>
                  <w:color w:val="0D0D0D" w:themeColor="text1" w:themeTint="F2"/>
                  <w:sz w:val="24"/>
                  <w:szCs w:val="24"/>
                </w:rPr>
                <m:t>t</m:t>
              </m:r>
            </m:sub>
          </m:sSub>
          <m:r>
            <w:rPr>
              <w:rFonts w:ascii="Cambria Math" w:hAnsi="Cambria Math"/>
              <w:color w:val="0D0D0D" w:themeColor="text1" w:themeTint="F2"/>
              <w:sz w:val="24"/>
              <w:szCs w:val="24"/>
            </w:rPr>
            <m:t>=</m:t>
          </m:r>
          <m:sSub>
            <m:sSubPr>
              <m:ctrlPr>
                <w:rPr>
                  <w:rFonts w:ascii="Cambria Math" w:hAnsi="Cambria Math"/>
                  <w:i/>
                  <w:color w:val="0D0D0D" w:themeColor="text1" w:themeTint="F2"/>
                  <w:sz w:val="24"/>
                  <w:szCs w:val="24"/>
                </w:rPr>
              </m:ctrlPr>
            </m:sSubPr>
            <m:e>
              <m:r>
                <w:rPr>
                  <w:rFonts w:ascii="Cambria Math" w:hAnsi="Cambria Math"/>
                  <w:color w:val="0D0D0D" w:themeColor="text1" w:themeTint="F2"/>
                  <w:sz w:val="24"/>
                  <w:szCs w:val="24"/>
                </w:rPr>
                <m:t>CAPB</m:t>
              </m:r>
            </m:e>
            <m:sub>
              <m:r>
                <w:rPr>
                  <w:rFonts w:ascii="Cambria Math" w:hAnsi="Cambria Math"/>
                  <w:color w:val="0D0D0D" w:themeColor="text1" w:themeTint="F2"/>
                  <w:sz w:val="24"/>
                  <w:szCs w:val="24"/>
                </w:rPr>
                <m:t>t-1</m:t>
              </m:r>
            </m:sub>
          </m:sSub>
          <m:r>
            <w:rPr>
              <w:rFonts w:ascii="Cambria Math" w:hAnsi="Cambria Math"/>
              <w:color w:val="0D0D0D" w:themeColor="text1" w:themeTint="F2"/>
              <w:sz w:val="24"/>
              <w:szCs w:val="24"/>
            </w:rPr>
            <m:t>-</m:t>
          </m:r>
          <m:sSub>
            <m:sSubPr>
              <m:ctrlPr>
                <w:rPr>
                  <w:rFonts w:ascii="Cambria Math" w:hAnsi="Cambria Math"/>
                  <w:i/>
                  <w:color w:val="0D0D0D" w:themeColor="text1" w:themeTint="F2"/>
                  <w:sz w:val="24"/>
                  <w:szCs w:val="24"/>
                </w:rPr>
              </m:ctrlPr>
            </m:sSubPr>
            <m:e>
              <m:r>
                <w:rPr>
                  <w:rFonts w:ascii="Cambria Math" w:hAnsi="Cambria Math"/>
                  <w:color w:val="0D0D0D" w:themeColor="text1" w:themeTint="F2"/>
                  <w:sz w:val="24"/>
                  <w:szCs w:val="24"/>
                </w:rPr>
                <m:t>CAPB</m:t>
              </m:r>
            </m:e>
            <m:sub>
              <m:r>
                <w:rPr>
                  <w:rFonts w:ascii="Cambria Math" w:hAnsi="Cambria Math"/>
                  <w:color w:val="0D0D0D" w:themeColor="text1" w:themeTint="F2"/>
                  <w:sz w:val="24"/>
                  <w:szCs w:val="24"/>
                </w:rPr>
                <m:t>t</m:t>
              </m:r>
            </m:sub>
          </m:sSub>
        </m:oMath>
      </m:oMathPara>
    </w:p>
    <w:p w14:paraId="7DA34234" w14:textId="4FBDDF43" w:rsidR="00C50585" w:rsidRPr="00EE038F" w:rsidRDefault="00C50585" w:rsidP="000554C5">
      <w:pPr>
        <w:tabs>
          <w:tab w:val="left" w:pos="3111"/>
        </w:tabs>
        <w:spacing w:after="0" w:line="240" w:lineRule="auto"/>
        <w:ind w:firstLine="284"/>
        <w:jc w:val="both"/>
        <w:rPr>
          <w:rFonts w:ascii="Garamond" w:hAnsi="Garamond"/>
          <w:color w:val="0D0D0D" w:themeColor="text1" w:themeTint="F2"/>
          <w:sz w:val="24"/>
          <w:szCs w:val="24"/>
        </w:rPr>
      </w:pPr>
      <w:r w:rsidRPr="00EE038F">
        <w:rPr>
          <w:rFonts w:ascii="Garamond" w:hAnsi="Garamond"/>
          <w:color w:val="0D0D0D" w:themeColor="text1" w:themeTint="F2"/>
          <w:sz w:val="24"/>
          <w:szCs w:val="24"/>
        </w:rPr>
        <w:t>Për të vlerësuar qëndrimin e politikës fiskale, duke faktorizuar në drejtimin e impulsit fiskal (shtrëngim ose lehtësim) dhe hendekut të prodhimit (negativ ose pozitiv), ne kryejmë një vlerësim të drejtpërdrejtë</w:t>
      </w:r>
      <w:r w:rsidR="00BE2595" w:rsidRPr="00EE038F">
        <w:rPr>
          <w:rFonts w:ascii="Garamond" w:hAnsi="Garamond"/>
          <w:color w:val="0D0D0D" w:themeColor="text1" w:themeTint="F2"/>
          <w:sz w:val="24"/>
          <w:szCs w:val="24"/>
        </w:rPr>
        <w:t>,</w:t>
      </w:r>
      <w:r w:rsidRPr="00EE038F">
        <w:rPr>
          <w:rFonts w:ascii="Garamond" w:hAnsi="Garamond"/>
          <w:color w:val="0D0D0D" w:themeColor="text1" w:themeTint="F2"/>
          <w:sz w:val="24"/>
          <w:szCs w:val="24"/>
        </w:rPr>
        <w:t xml:space="preserve"> nëse politika ka qenë prociklike, kundërciklike ose neutrale gjatë periudhave të caktuara. Analiza jonë shtrihet nga viti 2000 dhe përfshin horizontin kohor të ardhshëm trevjeçar të ERP-</w:t>
      </w:r>
      <w:r w:rsidR="00BE2595" w:rsidRPr="00EE038F">
        <w:rPr>
          <w:rFonts w:ascii="Garamond" w:hAnsi="Garamond"/>
          <w:color w:val="0D0D0D" w:themeColor="text1" w:themeTint="F2"/>
          <w:sz w:val="24"/>
          <w:szCs w:val="24"/>
        </w:rPr>
        <w:t>së</w:t>
      </w:r>
      <w:r w:rsidRPr="00EE038F">
        <w:rPr>
          <w:rFonts w:ascii="Garamond" w:hAnsi="Garamond"/>
          <w:color w:val="0D0D0D" w:themeColor="text1" w:themeTint="F2"/>
          <w:sz w:val="24"/>
          <w:szCs w:val="24"/>
        </w:rPr>
        <w:t xml:space="preserve"> </w:t>
      </w:r>
      <w:r w:rsidRPr="00EE038F">
        <w:rPr>
          <w:rFonts w:ascii="Times New Roman" w:hAnsi="Times New Roman" w:cs="Times New Roman"/>
          <w:color w:val="0D0D0D" w:themeColor="text1" w:themeTint="F2"/>
          <w:sz w:val="24"/>
          <w:szCs w:val="24"/>
        </w:rPr>
        <w:t>​​</w:t>
      </w:r>
      <w:r w:rsidRPr="00EE038F">
        <w:rPr>
          <w:rFonts w:ascii="Garamond" w:hAnsi="Garamond"/>
          <w:color w:val="0D0D0D" w:themeColor="text1" w:themeTint="F2"/>
          <w:sz w:val="24"/>
          <w:szCs w:val="24"/>
        </w:rPr>
        <w:t>aktual</w:t>
      </w:r>
      <w:r w:rsidR="00BE2595" w:rsidRPr="00EE038F">
        <w:rPr>
          <w:rFonts w:ascii="Garamond" w:hAnsi="Garamond"/>
          <w:color w:val="0D0D0D" w:themeColor="text1" w:themeTint="F2"/>
          <w:sz w:val="24"/>
          <w:szCs w:val="24"/>
        </w:rPr>
        <w:t>e</w:t>
      </w:r>
      <w:r w:rsidRPr="00EE038F">
        <w:rPr>
          <w:rFonts w:ascii="Garamond" w:hAnsi="Garamond"/>
          <w:color w:val="0D0D0D" w:themeColor="text1" w:themeTint="F2"/>
          <w:sz w:val="24"/>
          <w:szCs w:val="24"/>
        </w:rPr>
        <w:t>, duke u shtrir</w:t>
      </w:r>
      <w:r w:rsidRPr="00EE038F">
        <w:rPr>
          <w:rFonts w:ascii="Garamond" w:hAnsi="Garamond" w:cs="Garamond"/>
          <w:color w:val="0D0D0D" w:themeColor="text1" w:themeTint="F2"/>
          <w:sz w:val="24"/>
          <w:szCs w:val="24"/>
        </w:rPr>
        <w:t>ë</w:t>
      </w:r>
      <w:r w:rsidRPr="00EE038F">
        <w:rPr>
          <w:rFonts w:ascii="Garamond" w:hAnsi="Garamond"/>
          <w:color w:val="0D0D0D" w:themeColor="text1" w:themeTint="F2"/>
          <w:sz w:val="24"/>
          <w:szCs w:val="24"/>
        </w:rPr>
        <w:t xml:space="preserve"> deri n</w:t>
      </w:r>
      <w:r w:rsidRPr="00EE038F">
        <w:rPr>
          <w:rFonts w:ascii="Garamond" w:hAnsi="Garamond" w:cs="Garamond"/>
          <w:color w:val="0D0D0D" w:themeColor="text1" w:themeTint="F2"/>
          <w:sz w:val="24"/>
          <w:szCs w:val="24"/>
        </w:rPr>
        <w:t>ë</w:t>
      </w:r>
      <w:r w:rsidRPr="00EE038F">
        <w:rPr>
          <w:rFonts w:ascii="Garamond" w:hAnsi="Garamond"/>
          <w:color w:val="0D0D0D" w:themeColor="text1" w:themeTint="F2"/>
          <w:sz w:val="24"/>
          <w:szCs w:val="24"/>
        </w:rPr>
        <w:t xml:space="preserve"> vitin 2027. Q</w:t>
      </w:r>
      <w:r w:rsidRPr="00EE038F">
        <w:rPr>
          <w:rFonts w:ascii="Garamond" w:hAnsi="Garamond" w:cs="Garamond"/>
          <w:color w:val="0D0D0D" w:themeColor="text1" w:themeTint="F2"/>
          <w:sz w:val="24"/>
          <w:szCs w:val="24"/>
        </w:rPr>
        <w:t>ë</w:t>
      </w:r>
      <w:r w:rsidRPr="00EE038F">
        <w:rPr>
          <w:rFonts w:ascii="Garamond" w:hAnsi="Garamond"/>
          <w:color w:val="0D0D0D" w:themeColor="text1" w:themeTint="F2"/>
          <w:sz w:val="24"/>
          <w:szCs w:val="24"/>
        </w:rPr>
        <w:t>ndrimi fiskal vler</w:t>
      </w:r>
      <w:r w:rsidRPr="00EE038F">
        <w:rPr>
          <w:rFonts w:ascii="Garamond" w:hAnsi="Garamond" w:cs="Garamond"/>
          <w:color w:val="0D0D0D" w:themeColor="text1" w:themeTint="F2"/>
          <w:sz w:val="24"/>
          <w:szCs w:val="24"/>
        </w:rPr>
        <w:t>ë</w:t>
      </w:r>
      <w:r w:rsidRPr="00EE038F">
        <w:rPr>
          <w:rFonts w:ascii="Garamond" w:hAnsi="Garamond"/>
          <w:color w:val="0D0D0D" w:themeColor="text1" w:themeTint="F2"/>
          <w:sz w:val="24"/>
          <w:szCs w:val="24"/>
        </w:rPr>
        <w:t>sohet p</w:t>
      </w:r>
      <w:r w:rsidRPr="00EE038F">
        <w:rPr>
          <w:rFonts w:ascii="Garamond" w:hAnsi="Garamond" w:cs="Garamond"/>
          <w:color w:val="0D0D0D" w:themeColor="text1" w:themeTint="F2"/>
          <w:sz w:val="24"/>
          <w:szCs w:val="24"/>
        </w:rPr>
        <w:t>ë</w:t>
      </w:r>
      <w:r w:rsidRPr="00EE038F">
        <w:rPr>
          <w:rFonts w:ascii="Garamond" w:hAnsi="Garamond"/>
          <w:color w:val="0D0D0D" w:themeColor="text1" w:themeTint="F2"/>
          <w:sz w:val="24"/>
          <w:szCs w:val="24"/>
        </w:rPr>
        <w:t>r intervale kat</w:t>
      </w:r>
      <w:r w:rsidRPr="00EE038F">
        <w:rPr>
          <w:rFonts w:ascii="Garamond" w:hAnsi="Garamond" w:cs="Garamond"/>
          <w:color w:val="0D0D0D" w:themeColor="text1" w:themeTint="F2"/>
          <w:sz w:val="24"/>
          <w:szCs w:val="24"/>
        </w:rPr>
        <w:t>ë</w:t>
      </w:r>
      <w:r w:rsidRPr="00EE038F">
        <w:rPr>
          <w:rFonts w:ascii="Garamond" w:hAnsi="Garamond"/>
          <w:color w:val="0D0D0D" w:themeColor="text1" w:themeTint="F2"/>
          <w:sz w:val="24"/>
          <w:szCs w:val="24"/>
        </w:rPr>
        <w:t>rvje</w:t>
      </w:r>
      <w:r w:rsidRPr="00EE038F">
        <w:rPr>
          <w:rFonts w:ascii="Garamond" w:hAnsi="Garamond" w:cs="Garamond"/>
          <w:color w:val="0D0D0D" w:themeColor="text1" w:themeTint="F2"/>
          <w:sz w:val="24"/>
          <w:szCs w:val="24"/>
        </w:rPr>
        <w:t>ç</w:t>
      </w:r>
      <w:r w:rsidRPr="00EE038F">
        <w:rPr>
          <w:rFonts w:ascii="Garamond" w:hAnsi="Garamond"/>
          <w:color w:val="0D0D0D" w:themeColor="text1" w:themeTint="F2"/>
          <w:sz w:val="24"/>
          <w:szCs w:val="24"/>
        </w:rPr>
        <w:t>are, duke marr</w:t>
      </w:r>
      <w:r w:rsidRPr="00EE038F">
        <w:rPr>
          <w:rFonts w:ascii="Garamond" w:hAnsi="Garamond" w:cs="Garamond"/>
          <w:color w:val="0D0D0D" w:themeColor="text1" w:themeTint="F2"/>
          <w:sz w:val="24"/>
          <w:szCs w:val="24"/>
        </w:rPr>
        <w:t>ë</w:t>
      </w:r>
      <w:r w:rsidRPr="00EE038F">
        <w:rPr>
          <w:rFonts w:ascii="Garamond" w:hAnsi="Garamond"/>
          <w:color w:val="0D0D0D" w:themeColor="text1" w:themeTint="F2"/>
          <w:sz w:val="24"/>
          <w:szCs w:val="24"/>
        </w:rPr>
        <w:t xml:space="preserve"> parasysh boshll</w:t>
      </w:r>
      <w:r w:rsidRPr="00EE038F">
        <w:rPr>
          <w:rFonts w:ascii="Garamond" w:hAnsi="Garamond" w:cs="Garamond"/>
          <w:color w:val="0D0D0D" w:themeColor="text1" w:themeTint="F2"/>
          <w:sz w:val="24"/>
          <w:szCs w:val="24"/>
        </w:rPr>
        <w:t>ë</w:t>
      </w:r>
      <w:r w:rsidRPr="00EE038F">
        <w:rPr>
          <w:rFonts w:ascii="Garamond" w:hAnsi="Garamond"/>
          <w:color w:val="0D0D0D" w:themeColor="text1" w:themeTint="F2"/>
          <w:sz w:val="24"/>
          <w:szCs w:val="24"/>
        </w:rPr>
        <w:t>qet kumulative t</w:t>
      </w:r>
      <w:r w:rsidRPr="00EE038F">
        <w:rPr>
          <w:rFonts w:ascii="Garamond" w:hAnsi="Garamond" w:cs="Garamond"/>
          <w:color w:val="0D0D0D" w:themeColor="text1" w:themeTint="F2"/>
          <w:sz w:val="24"/>
          <w:szCs w:val="24"/>
        </w:rPr>
        <w:t>ë</w:t>
      </w:r>
      <w:r w:rsidRPr="00EE038F">
        <w:rPr>
          <w:rFonts w:ascii="Garamond" w:hAnsi="Garamond"/>
          <w:color w:val="0D0D0D" w:themeColor="text1" w:themeTint="F2"/>
          <w:sz w:val="24"/>
          <w:szCs w:val="24"/>
        </w:rPr>
        <w:t xml:space="preserve"> prodhimit dhe impulset fiskale. Rezultatet e detajuara empirike janë paraqitur në grafikun dhe tabelat vijuese.</w:t>
      </w:r>
    </w:p>
    <w:p w14:paraId="7B2FC610" w14:textId="77777777" w:rsidR="00C50585" w:rsidRPr="00EE038F" w:rsidRDefault="00C50585" w:rsidP="000554C5">
      <w:pPr>
        <w:pBdr>
          <w:top w:val="nil"/>
          <w:left w:val="nil"/>
          <w:bottom w:val="nil"/>
          <w:right w:val="nil"/>
          <w:between w:val="nil"/>
          <w:bar w:val="nil"/>
        </w:pBdr>
        <w:spacing w:after="0" w:line="240" w:lineRule="auto"/>
        <w:ind w:firstLine="284"/>
        <w:jc w:val="both"/>
        <w:rPr>
          <w:rFonts w:ascii="Garamond" w:eastAsia="Arial Unicode MS" w:hAnsi="Garamond"/>
          <w:color w:val="0D0D0D" w:themeColor="text1" w:themeTint="F2"/>
          <w:sz w:val="24"/>
          <w:szCs w:val="24"/>
          <w:bdr w:val="nil"/>
        </w:rPr>
      </w:pPr>
    </w:p>
    <w:p w14:paraId="72CE59B5" w14:textId="67E5DF0B" w:rsidR="00C50585" w:rsidRPr="00EE038F" w:rsidRDefault="00C50585" w:rsidP="00066DFC">
      <w:pPr>
        <w:tabs>
          <w:tab w:val="left" w:pos="3111"/>
        </w:tabs>
        <w:spacing w:after="0" w:line="240" w:lineRule="auto"/>
        <w:jc w:val="center"/>
        <w:rPr>
          <w:rFonts w:ascii="Garamond" w:hAnsi="Garamond"/>
          <w:bCs/>
          <w:i/>
          <w:sz w:val="24"/>
          <w:szCs w:val="24"/>
          <w:bdr w:val="none" w:sz="0" w:space="0" w:color="auto" w:frame="1"/>
        </w:rPr>
      </w:pPr>
      <w:r w:rsidRPr="00EE038F">
        <w:rPr>
          <w:rFonts w:ascii="Garamond" w:hAnsi="Garamond"/>
          <w:bCs/>
          <w:i/>
          <w:sz w:val="24"/>
          <w:szCs w:val="24"/>
          <w:bdr w:val="none" w:sz="0" w:space="0" w:color="auto" w:frame="1"/>
        </w:rPr>
        <w:t>Grafiku 4.5.1</w:t>
      </w:r>
      <w:r w:rsidR="00915B3F" w:rsidRPr="00EE038F">
        <w:rPr>
          <w:rFonts w:ascii="Garamond" w:hAnsi="Garamond"/>
          <w:bCs/>
          <w:i/>
          <w:sz w:val="24"/>
          <w:szCs w:val="24"/>
          <w:bdr w:val="none" w:sz="0" w:space="0" w:color="auto" w:frame="1"/>
        </w:rPr>
        <w:t>:</w:t>
      </w:r>
      <w:r w:rsidRPr="00EE038F">
        <w:rPr>
          <w:rFonts w:ascii="Garamond" w:hAnsi="Garamond"/>
          <w:bCs/>
          <w:i/>
          <w:sz w:val="24"/>
          <w:szCs w:val="24"/>
          <w:bdr w:val="none" w:sz="0" w:space="0" w:color="auto" w:frame="1"/>
        </w:rPr>
        <w:t xml:space="preserve"> </w:t>
      </w:r>
      <w:r w:rsidRPr="00EE038F">
        <w:rPr>
          <w:rFonts w:ascii="Garamond" w:eastAsia="Arial Unicode MS" w:hAnsi="Garamond"/>
          <w:bCs/>
          <w:i/>
          <w:color w:val="0D0D0D" w:themeColor="text1" w:themeTint="F2"/>
          <w:sz w:val="24"/>
          <w:szCs w:val="24"/>
          <w:bdr w:val="nil"/>
        </w:rPr>
        <w:t xml:space="preserve">Vlerësimi i </w:t>
      </w:r>
      <w:r w:rsidR="00093EC6" w:rsidRPr="00EE038F">
        <w:rPr>
          <w:rFonts w:ascii="Garamond" w:eastAsia="Arial Unicode MS" w:hAnsi="Garamond"/>
          <w:bCs/>
          <w:i/>
          <w:color w:val="0D0D0D" w:themeColor="text1" w:themeTint="F2"/>
          <w:sz w:val="24"/>
          <w:szCs w:val="24"/>
          <w:bdr w:val="nil"/>
        </w:rPr>
        <w:t>matricave</w:t>
      </w:r>
      <w:r w:rsidRPr="00EE038F">
        <w:rPr>
          <w:rFonts w:ascii="Garamond" w:eastAsia="Arial Unicode MS" w:hAnsi="Garamond"/>
          <w:bCs/>
          <w:i/>
          <w:color w:val="0D0D0D" w:themeColor="text1" w:themeTint="F2"/>
          <w:sz w:val="24"/>
          <w:szCs w:val="24"/>
          <w:bdr w:val="nil"/>
        </w:rPr>
        <w:t xml:space="preserve"> kryesore të përdorura për të vlerësuar qëndrimin e politikës fiskale</w:t>
      </w:r>
    </w:p>
    <w:p w14:paraId="7154655E" w14:textId="77777777" w:rsidR="00C50585" w:rsidRPr="00EE038F" w:rsidRDefault="00C50585" w:rsidP="00C50585">
      <w:pPr>
        <w:spacing w:after="0" w:line="240" w:lineRule="auto"/>
        <w:jc w:val="both"/>
        <w:rPr>
          <w:rFonts w:ascii="Garamond" w:hAnsi="Garamond"/>
          <w:color w:val="0D0D0D" w:themeColor="text1" w:themeTint="F2"/>
        </w:rPr>
      </w:pPr>
      <w:r w:rsidRPr="00EE038F">
        <w:rPr>
          <w:rFonts w:ascii="Garamond" w:hAnsi="Garamond"/>
          <w:noProof/>
          <w:lang w:eastAsia="en-GB"/>
        </w:rPr>
        <w:drawing>
          <wp:inline distT="0" distB="0" distL="0" distR="0" wp14:anchorId="42FA1C7B" wp14:editId="10237008">
            <wp:extent cx="5654650" cy="2004695"/>
            <wp:effectExtent l="0" t="0" r="3810" b="0"/>
            <wp:docPr id="6117891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686626" cy="2016031"/>
                    </a:xfrm>
                    <a:prstGeom prst="rect">
                      <a:avLst/>
                    </a:prstGeom>
                    <a:noFill/>
                    <a:ln>
                      <a:noFill/>
                    </a:ln>
                  </pic:spPr>
                </pic:pic>
              </a:graphicData>
            </a:graphic>
          </wp:inline>
        </w:drawing>
      </w:r>
    </w:p>
    <w:p w14:paraId="4DC1C7A6" w14:textId="77777777" w:rsidR="00C50585" w:rsidRPr="00EE038F" w:rsidRDefault="00C50585" w:rsidP="00066DFC">
      <w:pPr>
        <w:spacing w:after="0" w:line="240" w:lineRule="auto"/>
        <w:jc w:val="center"/>
        <w:rPr>
          <w:rFonts w:ascii="Garamond" w:eastAsia="Times New Roman" w:hAnsi="Garamond"/>
          <w:i/>
          <w:iCs/>
          <w:color w:val="0D0D0D" w:themeColor="text1" w:themeTint="F2"/>
        </w:rPr>
      </w:pPr>
      <w:r w:rsidRPr="00EE038F">
        <w:rPr>
          <w:rFonts w:ascii="Garamond" w:eastAsia="Times New Roman" w:hAnsi="Garamond"/>
          <w:i/>
          <w:iCs/>
          <w:color w:val="0D0D0D" w:themeColor="text1" w:themeTint="F2"/>
        </w:rPr>
        <w:t>Burimi: Ministria e Financave (2024)</w:t>
      </w:r>
    </w:p>
    <w:p w14:paraId="1E1518ED" w14:textId="77777777" w:rsidR="00C50585" w:rsidRPr="00EE038F" w:rsidRDefault="00C50585" w:rsidP="00C50585">
      <w:pPr>
        <w:pBdr>
          <w:top w:val="nil"/>
          <w:left w:val="nil"/>
          <w:bottom w:val="nil"/>
          <w:right w:val="nil"/>
          <w:between w:val="nil"/>
          <w:bar w:val="nil"/>
        </w:pBdr>
        <w:spacing w:after="0" w:line="240" w:lineRule="auto"/>
        <w:jc w:val="both"/>
        <w:rPr>
          <w:rFonts w:ascii="Garamond" w:eastAsia="Arial Unicode MS" w:hAnsi="Garamond"/>
          <w:color w:val="0D0D0D" w:themeColor="text1" w:themeTint="F2"/>
          <w:bdr w:val="nil"/>
        </w:rPr>
      </w:pPr>
    </w:p>
    <w:p w14:paraId="05368C0D" w14:textId="77777777" w:rsidR="00093EC6" w:rsidRPr="00EE038F" w:rsidRDefault="00093EC6" w:rsidP="00093EC6">
      <w:pPr>
        <w:pBdr>
          <w:top w:val="nil"/>
          <w:left w:val="nil"/>
          <w:bottom w:val="nil"/>
          <w:right w:val="nil"/>
          <w:between w:val="nil"/>
          <w:bar w:val="nil"/>
        </w:pBdr>
        <w:spacing w:after="0" w:line="240" w:lineRule="auto"/>
        <w:jc w:val="center"/>
        <w:rPr>
          <w:rFonts w:ascii="Garamond" w:eastAsia="Arial Unicode MS" w:hAnsi="Garamond"/>
          <w:i/>
          <w:iCs/>
          <w:color w:val="0D0D0D" w:themeColor="text1" w:themeTint="F2"/>
          <w:sz w:val="24"/>
          <w:szCs w:val="24"/>
          <w:bdr w:val="nil"/>
        </w:rPr>
      </w:pPr>
    </w:p>
    <w:p w14:paraId="6E7F8195" w14:textId="77777777" w:rsidR="00093EC6" w:rsidRPr="00EE038F" w:rsidRDefault="00093EC6" w:rsidP="00093EC6">
      <w:pPr>
        <w:pBdr>
          <w:top w:val="nil"/>
          <w:left w:val="nil"/>
          <w:bottom w:val="nil"/>
          <w:right w:val="nil"/>
          <w:between w:val="nil"/>
          <w:bar w:val="nil"/>
        </w:pBdr>
        <w:spacing w:after="0" w:line="240" w:lineRule="auto"/>
        <w:jc w:val="center"/>
        <w:rPr>
          <w:rFonts w:ascii="Garamond" w:eastAsia="Arial Unicode MS" w:hAnsi="Garamond"/>
          <w:i/>
          <w:iCs/>
          <w:color w:val="0D0D0D" w:themeColor="text1" w:themeTint="F2"/>
          <w:sz w:val="24"/>
          <w:szCs w:val="24"/>
          <w:bdr w:val="nil"/>
        </w:rPr>
      </w:pPr>
    </w:p>
    <w:p w14:paraId="57E305A8" w14:textId="77777777" w:rsidR="00093EC6" w:rsidRPr="00EE038F" w:rsidRDefault="00093EC6" w:rsidP="00093EC6">
      <w:pPr>
        <w:pBdr>
          <w:top w:val="nil"/>
          <w:left w:val="nil"/>
          <w:bottom w:val="nil"/>
          <w:right w:val="nil"/>
          <w:between w:val="nil"/>
          <w:bar w:val="nil"/>
        </w:pBdr>
        <w:spacing w:after="0" w:line="240" w:lineRule="auto"/>
        <w:jc w:val="center"/>
        <w:rPr>
          <w:rFonts w:ascii="Garamond" w:eastAsia="Arial Unicode MS" w:hAnsi="Garamond"/>
          <w:i/>
          <w:iCs/>
          <w:color w:val="0D0D0D" w:themeColor="text1" w:themeTint="F2"/>
          <w:sz w:val="24"/>
          <w:szCs w:val="24"/>
          <w:bdr w:val="nil"/>
        </w:rPr>
      </w:pPr>
    </w:p>
    <w:p w14:paraId="77674E6D" w14:textId="77777777" w:rsidR="00093EC6" w:rsidRPr="00EE038F" w:rsidRDefault="00093EC6" w:rsidP="00093EC6">
      <w:pPr>
        <w:pBdr>
          <w:top w:val="nil"/>
          <w:left w:val="nil"/>
          <w:bottom w:val="nil"/>
          <w:right w:val="nil"/>
          <w:between w:val="nil"/>
          <w:bar w:val="nil"/>
        </w:pBdr>
        <w:spacing w:after="0" w:line="240" w:lineRule="auto"/>
        <w:jc w:val="center"/>
        <w:rPr>
          <w:rFonts w:ascii="Garamond" w:eastAsia="Arial Unicode MS" w:hAnsi="Garamond"/>
          <w:i/>
          <w:iCs/>
          <w:color w:val="0D0D0D" w:themeColor="text1" w:themeTint="F2"/>
          <w:sz w:val="24"/>
          <w:szCs w:val="24"/>
          <w:bdr w:val="nil"/>
        </w:rPr>
      </w:pPr>
    </w:p>
    <w:p w14:paraId="04889BA4" w14:textId="77777777" w:rsidR="00093EC6" w:rsidRPr="00EE038F" w:rsidRDefault="00093EC6" w:rsidP="00093EC6">
      <w:pPr>
        <w:pBdr>
          <w:top w:val="nil"/>
          <w:left w:val="nil"/>
          <w:bottom w:val="nil"/>
          <w:right w:val="nil"/>
          <w:between w:val="nil"/>
          <w:bar w:val="nil"/>
        </w:pBdr>
        <w:spacing w:after="0" w:line="240" w:lineRule="auto"/>
        <w:jc w:val="center"/>
        <w:rPr>
          <w:rFonts w:ascii="Garamond" w:eastAsia="Arial Unicode MS" w:hAnsi="Garamond"/>
          <w:i/>
          <w:iCs/>
          <w:color w:val="0D0D0D" w:themeColor="text1" w:themeTint="F2"/>
          <w:sz w:val="24"/>
          <w:szCs w:val="24"/>
          <w:bdr w:val="nil"/>
        </w:rPr>
      </w:pPr>
    </w:p>
    <w:p w14:paraId="10D6F19D" w14:textId="77777777" w:rsidR="00093EC6" w:rsidRPr="00EE038F" w:rsidRDefault="00093EC6" w:rsidP="00093EC6">
      <w:pPr>
        <w:pBdr>
          <w:top w:val="nil"/>
          <w:left w:val="nil"/>
          <w:bottom w:val="nil"/>
          <w:right w:val="nil"/>
          <w:between w:val="nil"/>
          <w:bar w:val="nil"/>
        </w:pBdr>
        <w:spacing w:after="0" w:line="240" w:lineRule="auto"/>
        <w:jc w:val="center"/>
        <w:rPr>
          <w:rFonts w:ascii="Garamond" w:eastAsia="Arial Unicode MS" w:hAnsi="Garamond"/>
          <w:i/>
          <w:iCs/>
          <w:color w:val="0D0D0D" w:themeColor="text1" w:themeTint="F2"/>
          <w:sz w:val="24"/>
          <w:szCs w:val="24"/>
          <w:bdr w:val="nil"/>
        </w:rPr>
      </w:pPr>
    </w:p>
    <w:p w14:paraId="0E342E2C" w14:textId="77777777" w:rsidR="00093EC6" w:rsidRPr="00EE038F" w:rsidRDefault="00093EC6" w:rsidP="00093EC6">
      <w:pPr>
        <w:pBdr>
          <w:top w:val="nil"/>
          <w:left w:val="nil"/>
          <w:bottom w:val="nil"/>
          <w:right w:val="nil"/>
          <w:between w:val="nil"/>
          <w:bar w:val="nil"/>
        </w:pBdr>
        <w:spacing w:after="0" w:line="240" w:lineRule="auto"/>
        <w:jc w:val="center"/>
        <w:rPr>
          <w:rFonts w:ascii="Garamond" w:eastAsia="Arial Unicode MS" w:hAnsi="Garamond"/>
          <w:i/>
          <w:iCs/>
          <w:color w:val="0D0D0D" w:themeColor="text1" w:themeTint="F2"/>
          <w:sz w:val="24"/>
          <w:szCs w:val="24"/>
          <w:bdr w:val="nil"/>
        </w:rPr>
      </w:pPr>
    </w:p>
    <w:p w14:paraId="2A6A0BF9" w14:textId="20FFBE4C" w:rsidR="00C50585" w:rsidRPr="00EE038F" w:rsidRDefault="00C50585" w:rsidP="00093EC6">
      <w:pPr>
        <w:pBdr>
          <w:top w:val="nil"/>
          <w:left w:val="nil"/>
          <w:bottom w:val="nil"/>
          <w:right w:val="nil"/>
          <w:between w:val="nil"/>
          <w:bar w:val="nil"/>
        </w:pBdr>
        <w:spacing w:after="0" w:line="240" w:lineRule="auto"/>
        <w:jc w:val="center"/>
        <w:rPr>
          <w:rFonts w:ascii="Garamond" w:eastAsia="Arial Unicode MS" w:hAnsi="Garamond"/>
          <w:i/>
          <w:iCs/>
          <w:color w:val="0D0D0D" w:themeColor="text1" w:themeTint="F2"/>
          <w:sz w:val="24"/>
          <w:szCs w:val="24"/>
          <w:bdr w:val="nil"/>
        </w:rPr>
      </w:pPr>
      <w:r w:rsidRPr="00EE038F">
        <w:rPr>
          <w:rFonts w:ascii="Garamond" w:eastAsia="Arial Unicode MS" w:hAnsi="Garamond"/>
          <w:i/>
          <w:iCs/>
          <w:color w:val="0D0D0D" w:themeColor="text1" w:themeTint="F2"/>
          <w:sz w:val="24"/>
          <w:szCs w:val="24"/>
          <w:bdr w:val="nil"/>
        </w:rPr>
        <w:lastRenderedPageBreak/>
        <w:t>Tabela 4.5.1 Qëndrimi i politikës fiskale</w:t>
      </w:r>
    </w:p>
    <w:p w14:paraId="415A1B0F" w14:textId="77777777" w:rsidR="00C50585" w:rsidRPr="00EE038F" w:rsidRDefault="00C50585" w:rsidP="00093EC6">
      <w:pPr>
        <w:spacing w:after="0" w:line="240" w:lineRule="auto"/>
        <w:jc w:val="center"/>
        <w:rPr>
          <w:rFonts w:ascii="Garamond" w:hAnsi="Garamond"/>
          <w:color w:val="0D0D0D" w:themeColor="text1" w:themeTint="F2"/>
        </w:rPr>
      </w:pPr>
      <w:r w:rsidRPr="00EE038F">
        <w:rPr>
          <w:rFonts w:ascii="Garamond" w:hAnsi="Garamond"/>
          <w:noProof/>
          <w:lang w:eastAsia="en-GB"/>
        </w:rPr>
        <w:drawing>
          <wp:inline distT="0" distB="0" distL="0" distR="0" wp14:anchorId="3A8DA91D" wp14:editId="679D9EF1">
            <wp:extent cx="5600827" cy="4754880"/>
            <wp:effectExtent l="0" t="0" r="0" b="7620"/>
            <wp:docPr id="12775212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607959" cy="4760935"/>
                    </a:xfrm>
                    <a:prstGeom prst="rect">
                      <a:avLst/>
                    </a:prstGeom>
                    <a:noFill/>
                    <a:ln>
                      <a:noFill/>
                    </a:ln>
                  </pic:spPr>
                </pic:pic>
              </a:graphicData>
            </a:graphic>
          </wp:inline>
        </w:drawing>
      </w:r>
    </w:p>
    <w:p w14:paraId="38CCF2DB" w14:textId="77777777" w:rsidR="00C50585" w:rsidRPr="00EE038F" w:rsidRDefault="00C50585" w:rsidP="00093EC6">
      <w:pPr>
        <w:spacing w:after="0" w:line="240" w:lineRule="auto"/>
        <w:jc w:val="center"/>
        <w:rPr>
          <w:rFonts w:ascii="Garamond" w:eastAsia="Times New Roman" w:hAnsi="Garamond"/>
          <w:i/>
          <w:iCs/>
          <w:color w:val="0D0D0D" w:themeColor="text1" w:themeTint="F2"/>
          <w:sz w:val="24"/>
          <w:szCs w:val="24"/>
        </w:rPr>
      </w:pPr>
      <w:r w:rsidRPr="00EE038F">
        <w:rPr>
          <w:rFonts w:ascii="Garamond" w:eastAsia="Times New Roman" w:hAnsi="Garamond"/>
          <w:i/>
          <w:iCs/>
          <w:color w:val="0D0D0D" w:themeColor="text1" w:themeTint="F2"/>
          <w:sz w:val="24"/>
          <w:szCs w:val="24"/>
        </w:rPr>
        <w:t>Burimi: Ministria e Financave (2024)</w:t>
      </w:r>
    </w:p>
    <w:p w14:paraId="298D7E52" w14:textId="77777777" w:rsidR="00C50585" w:rsidRPr="00EE038F" w:rsidRDefault="00C50585" w:rsidP="00093EC6">
      <w:pPr>
        <w:spacing w:after="0" w:line="240" w:lineRule="auto"/>
        <w:jc w:val="center"/>
        <w:rPr>
          <w:rFonts w:ascii="Garamond" w:hAnsi="Garamond"/>
          <w:i/>
          <w:iCs/>
          <w:color w:val="0D0D0D" w:themeColor="text1" w:themeTint="F2"/>
          <w:sz w:val="24"/>
          <w:szCs w:val="24"/>
        </w:rPr>
      </w:pPr>
    </w:p>
    <w:p w14:paraId="3433E38F" w14:textId="78AA8AED" w:rsidR="00C50585" w:rsidRPr="00EE038F" w:rsidRDefault="00C50585" w:rsidP="00093EC6">
      <w:pPr>
        <w:spacing w:after="0" w:line="240" w:lineRule="auto"/>
        <w:jc w:val="center"/>
        <w:rPr>
          <w:rFonts w:ascii="Garamond" w:hAnsi="Garamond"/>
          <w:i/>
          <w:iCs/>
          <w:color w:val="0D0D0D" w:themeColor="text1" w:themeTint="F2"/>
          <w:sz w:val="24"/>
          <w:szCs w:val="24"/>
        </w:rPr>
      </w:pPr>
      <w:r w:rsidRPr="00EE038F">
        <w:rPr>
          <w:rFonts w:ascii="Garamond" w:hAnsi="Garamond"/>
          <w:i/>
          <w:iCs/>
          <w:color w:val="0D0D0D" w:themeColor="text1" w:themeTint="F2"/>
          <w:sz w:val="24"/>
          <w:szCs w:val="24"/>
        </w:rPr>
        <w:t>Tabelë 4.5.2</w:t>
      </w:r>
      <w:r w:rsidR="00093EC6" w:rsidRPr="00EE038F">
        <w:rPr>
          <w:rFonts w:ascii="Garamond" w:hAnsi="Garamond"/>
          <w:i/>
          <w:iCs/>
          <w:color w:val="0D0D0D" w:themeColor="text1" w:themeTint="F2"/>
          <w:sz w:val="24"/>
          <w:szCs w:val="24"/>
        </w:rPr>
        <w:t>:</w:t>
      </w:r>
      <w:r w:rsidRPr="00EE038F">
        <w:rPr>
          <w:rFonts w:ascii="Garamond" w:hAnsi="Garamond"/>
          <w:i/>
          <w:iCs/>
          <w:color w:val="0D0D0D" w:themeColor="text1" w:themeTint="F2"/>
          <w:sz w:val="24"/>
          <w:szCs w:val="24"/>
        </w:rPr>
        <w:t xml:space="preserve"> Politika fiskale në raport me ciklet ekonomike</w:t>
      </w:r>
    </w:p>
    <w:p w14:paraId="45ADC1A3" w14:textId="77777777" w:rsidR="00C50585" w:rsidRPr="00EE038F" w:rsidRDefault="00C50585" w:rsidP="00C50585">
      <w:pPr>
        <w:spacing w:after="0" w:line="240" w:lineRule="auto"/>
        <w:jc w:val="both"/>
        <w:rPr>
          <w:rFonts w:ascii="Garamond" w:hAnsi="Garamond"/>
          <w:color w:val="0D0D0D" w:themeColor="text1" w:themeTint="F2"/>
        </w:rPr>
      </w:pPr>
      <w:r w:rsidRPr="00EE038F">
        <w:rPr>
          <w:rFonts w:ascii="Garamond" w:hAnsi="Garamond"/>
          <w:noProof/>
          <w:lang w:eastAsia="en-GB"/>
        </w:rPr>
        <w:drawing>
          <wp:inline distT="0" distB="0" distL="0" distR="0" wp14:anchorId="24E7627D" wp14:editId="5BBA0E34">
            <wp:extent cx="5625389" cy="1279246"/>
            <wp:effectExtent l="0" t="0" r="0" b="0"/>
            <wp:docPr id="11372198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47549" cy="1284285"/>
                    </a:xfrm>
                    <a:prstGeom prst="rect">
                      <a:avLst/>
                    </a:prstGeom>
                    <a:noFill/>
                    <a:ln>
                      <a:noFill/>
                    </a:ln>
                  </pic:spPr>
                </pic:pic>
              </a:graphicData>
            </a:graphic>
          </wp:inline>
        </w:drawing>
      </w:r>
    </w:p>
    <w:p w14:paraId="35EA5824" w14:textId="77777777" w:rsidR="00C50585" w:rsidRPr="00EE038F" w:rsidRDefault="00C50585" w:rsidP="00093EC6">
      <w:pPr>
        <w:spacing w:after="0" w:line="240" w:lineRule="auto"/>
        <w:jc w:val="center"/>
        <w:rPr>
          <w:rFonts w:ascii="Garamond" w:eastAsia="Times New Roman" w:hAnsi="Garamond"/>
          <w:i/>
          <w:iCs/>
          <w:color w:val="0D0D0D" w:themeColor="text1" w:themeTint="F2"/>
          <w:sz w:val="24"/>
          <w:szCs w:val="24"/>
        </w:rPr>
      </w:pPr>
      <w:r w:rsidRPr="00EE038F">
        <w:rPr>
          <w:rFonts w:ascii="Garamond" w:eastAsia="Times New Roman" w:hAnsi="Garamond"/>
          <w:i/>
          <w:iCs/>
          <w:color w:val="0D0D0D" w:themeColor="text1" w:themeTint="F2"/>
          <w:sz w:val="24"/>
          <w:szCs w:val="24"/>
        </w:rPr>
        <w:t>Burimi: Ministria e Financave (2024)</w:t>
      </w:r>
    </w:p>
    <w:p w14:paraId="7A443351" w14:textId="77777777" w:rsidR="00C50585" w:rsidRPr="00EE038F" w:rsidRDefault="00C50585" w:rsidP="00C50585">
      <w:pPr>
        <w:spacing w:after="0" w:line="240" w:lineRule="auto"/>
        <w:jc w:val="both"/>
        <w:rPr>
          <w:rFonts w:ascii="Garamond" w:hAnsi="Garamond"/>
          <w:color w:val="0D0D0D" w:themeColor="text1" w:themeTint="F2"/>
          <w:highlight w:val="yellow"/>
        </w:rPr>
      </w:pPr>
    </w:p>
    <w:p w14:paraId="2571AD41" w14:textId="408BFE05" w:rsidR="00C50585" w:rsidRPr="00EE038F" w:rsidRDefault="00C50585" w:rsidP="00AE08B7">
      <w:pPr>
        <w:pStyle w:val="TEKSTIIIIII"/>
      </w:pPr>
      <w:r w:rsidRPr="00EE038F">
        <w:t xml:space="preserve">Kolona e fundit e tabelës 4.5.1 jep një vlerësim cilësor të qëndrimit fiskal gjatë intervaleve katërvjeçare. Ky vlerësim merr parasysh hendeqet kumulative të prodhimit dhe impulset fiskale përkatëse të vlerësuara për çdo periudhë. Bazuar në këto matje dhe </w:t>
      </w:r>
      <w:r w:rsidR="000241D8" w:rsidRPr="00EE038F">
        <w:t xml:space="preserve">në </w:t>
      </w:r>
      <w:r w:rsidRPr="00EE038F">
        <w:t xml:space="preserve">lidhjen e tyre, dalim në përfundimin nëse qëndrimi i politikës fiskale gjatë çdo intervali katërvjeçar ishte </w:t>
      </w:r>
      <w:r w:rsidR="00D555C7" w:rsidRPr="00EE038F">
        <w:t>“</w:t>
      </w:r>
      <w:r w:rsidRPr="00EE038F">
        <w:t>kundërciklik</w:t>
      </w:r>
      <w:r w:rsidR="00D555C7" w:rsidRPr="00EE038F">
        <w:t>”</w:t>
      </w:r>
      <w:r w:rsidRPr="00EE038F">
        <w:t xml:space="preserve">, </w:t>
      </w:r>
      <w:r w:rsidR="00D555C7" w:rsidRPr="00EE038F">
        <w:t>“</w:t>
      </w:r>
      <w:r w:rsidRPr="00EE038F">
        <w:t>neutral</w:t>
      </w:r>
      <w:r w:rsidR="00D555C7" w:rsidRPr="00EE038F">
        <w:t>”</w:t>
      </w:r>
      <w:r w:rsidRPr="00EE038F">
        <w:t xml:space="preserve"> apo </w:t>
      </w:r>
      <w:r w:rsidR="00D555C7" w:rsidRPr="00EE038F">
        <w:t>“</w:t>
      </w:r>
      <w:r w:rsidRPr="00EE038F">
        <w:t>prociklik</w:t>
      </w:r>
      <w:r w:rsidR="00D555C7" w:rsidRPr="00EE038F">
        <w:t>”</w:t>
      </w:r>
      <w:r w:rsidRPr="00EE038F">
        <w:t xml:space="preserve">. Në rastet kur qëndrimi fiskal identifikohet si </w:t>
      </w:r>
      <w:r w:rsidR="00D555C7" w:rsidRPr="00EE038F">
        <w:t>“</w:t>
      </w:r>
      <w:r w:rsidRPr="00EE038F">
        <w:t>prociklik</w:t>
      </w:r>
      <w:r w:rsidR="00D555C7" w:rsidRPr="00EE038F">
        <w:t>”</w:t>
      </w:r>
      <w:r w:rsidRPr="00EE038F">
        <w:t xml:space="preserve">, shtohet një kualifikim dytësor, që tregon nëse ky prociklikalitet anonte më shumë drejt </w:t>
      </w:r>
      <w:r w:rsidR="00D555C7" w:rsidRPr="00EE038F">
        <w:t>“</w:t>
      </w:r>
      <w:r w:rsidRPr="00EE038F">
        <w:t>konsolidimit fiskal</w:t>
      </w:r>
      <w:r w:rsidR="00D555C7" w:rsidRPr="00EE038F">
        <w:t>”</w:t>
      </w:r>
      <w:r w:rsidRPr="00EE038F">
        <w:t xml:space="preserve"> apo </w:t>
      </w:r>
      <w:r w:rsidR="00D555C7" w:rsidRPr="00EE038F">
        <w:t>“</w:t>
      </w:r>
      <w:r w:rsidRPr="00EE038F">
        <w:t>zgjerimit fiskal</w:t>
      </w:r>
      <w:r w:rsidR="00D555C7" w:rsidRPr="00EE038F">
        <w:t>”</w:t>
      </w:r>
      <w:r w:rsidRPr="00EE038F">
        <w:t>.</w:t>
      </w:r>
    </w:p>
    <w:p w14:paraId="2DD19C33" w14:textId="7D67D801" w:rsidR="00C50585" w:rsidRPr="00EE038F" w:rsidRDefault="00C50585" w:rsidP="00AE08B7">
      <w:pPr>
        <w:pStyle w:val="TEKSTIIIIII"/>
      </w:pPr>
      <w:r w:rsidRPr="00EE038F">
        <w:t>Për shembull, gjatë viteve 2002</w:t>
      </w:r>
      <w:r w:rsidR="002F3D4A" w:rsidRPr="00EE038F">
        <w:t>–</w:t>
      </w:r>
      <w:r w:rsidRPr="00EE038F">
        <w:t>2005, si hendeku kumulativ i prodhimit</w:t>
      </w:r>
      <w:r w:rsidR="000B4C65" w:rsidRPr="00EE038F">
        <w:t>,</w:t>
      </w:r>
      <w:r w:rsidRPr="00EE038F">
        <w:t xml:space="preserve"> ashtu edhe impulset fiskale ishin negative (të dyja në -4 p.p.), duke e kategorizuar qëndrimin e politikës fiskale si </w:t>
      </w:r>
      <w:r w:rsidR="00D555C7" w:rsidRPr="00EE038F">
        <w:t>“</w:t>
      </w:r>
      <w:r w:rsidRPr="00EE038F">
        <w:t>prociklike</w:t>
      </w:r>
      <w:r w:rsidR="00D555C7" w:rsidRPr="00EE038F">
        <w:t>”</w:t>
      </w:r>
      <w:r w:rsidRPr="00EE038F">
        <w:t xml:space="preserve">. Për më tepër, duke qenë se impulset fiskale kumulative ishin tkurrëse (negative), ajo </w:t>
      </w:r>
      <w:r w:rsidRPr="00EE038F">
        <w:lastRenderedPageBreak/>
        <w:t xml:space="preserve">cilësohet më tej si </w:t>
      </w:r>
      <w:r w:rsidR="00D555C7" w:rsidRPr="00EE038F">
        <w:t>“</w:t>
      </w:r>
      <w:r w:rsidRPr="00EE038F">
        <w:t>prociklike dhe e anuar drejt konsolidimit fiskal</w:t>
      </w:r>
      <w:r w:rsidR="00D555C7" w:rsidRPr="00EE038F">
        <w:t>”</w:t>
      </w:r>
      <w:r w:rsidRPr="00EE038F">
        <w:t>. Po kështu, për periudhën 2014</w:t>
      </w:r>
      <w:r w:rsidR="000B4C65" w:rsidRPr="00EE038F">
        <w:t>–</w:t>
      </w:r>
      <w:r w:rsidRPr="00EE038F">
        <w:t xml:space="preserve">2017, qëndrimi fiskal karakterizohet edhe si </w:t>
      </w:r>
      <w:r w:rsidR="00D555C7" w:rsidRPr="00EE038F">
        <w:t>“</w:t>
      </w:r>
      <w:r w:rsidRPr="00EE038F">
        <w:t>prociklik dhe i prirur drejt konsolidimit fiskal</w:t>
      </w:r>
      <w:r w:rsidR="00D555C7" w:rsidRPr="00EE038F">
        <w:t>”</w:t>
      </w:r>
      <w:r w:rsidRPr="00EE038F">
        <w:t>, duke pasqyruar situatën e viteve 2001</w:t>
      </w:r>
      <w:r w:rsidR="00806A4C" w:rsidRPr="00EE038F">
        <w:t>–</w:t>
      </w:r>
      <w:r w:rsidRPr="00EE038F">
        <w:t>2004. Në të kundërt, gjatë viteve 2006</w:t>
      </w:r>
      <w:r w:rsidR="00C17ECA" w:rsidRPr="00EE038F">
        <w:t>–</w:t>
      </w:r>
      <w:r w:rsidRPr="00EE038F">
        <w:t xml:space="preserve">2009, politika fiskale ende identifikohet si </w:t>
      </w:r>
      <w:r w:rsidR="00D555C7" w:rsidRPr="00EE038F">
        <w:t>“</w:t>
      </w:r>
      <w:r w:rsidRPr="00EE038F">
        <w:t>prociklike</w:t>
      </w:r>
      <w:r w:rsidR="00D555C7" w:rsidRPr="00EE038F">
        <w:t>”</w:t>
      </w:r>
      <w:r w:rsidRPr="00EE038F">
        <w:t xml:space="preserve">, por me një kualifikim </w:t>
      </w:r>
      <w:r w:rsidR="00D555C7" w:rsidRPr="00EE038F">
        <w:t>“</w:t>
      </w:r>
      <w:r w:rsidRPr="00EE038F">
        <w:t>të prirë drejt zgjerimit fiskal</w:t>
      </w:r>
      <w:r w:rsidR="00D555C7" w:rsidRPr="00EE038F">
        <w:t>”</w:t>
      </w:r>
      <w:r w:rsidRPr="00EE038F">
        <w:t>. Ky dallim pasqyrohet si nga hendeku kumulativ i prodhimit</w:t>
      </w:r>
      <w:r w:rsidR="00617CC3" w:rsidRPr="00EE038F">
        <w:t>,</w:t>
      </w:r>
      <w:r w:rsidRPr="00EE038F">
        <w:t xml:space="preserve"> ashtu edhe nga impulsi fiskal që kanë shenja pozitive gjatë këtij intervali. Anasjelltas</w:t>
      </w:r>
      <w:r w:rsidR="00617CC3" w:rsidRPr="00EE038F">
        <w:t>:</w:t>
      </w:r>
      <w:r w:rsidRPr="00EE038F">
        <w:t xml:space="preserve"> intervalet 2010</w:t>
      </w:r>
      <w:r w:rsidR="00C17ECA" w:rsidRPr="00EE038F">
        <w:t>–</w:t>
      </w:r>
      <w:r w:rsidRPr="00EE038F">
        <w:t>2013, 2018</w:t>
      </w:r>
      <w:r w:rsidR="00C17ECA" w:rsidRPr="00EE038F">
        <w:t>–</w:t>
      </w:r>
      <w:r w:rsidRPr="00EE038F">
        <w:t>2021 dhe 2022</w:t>
      </w:r>
      <w:r w:rsidR="00C17ECA" w:rsidRPr="00EE038F">
        <w:t>–</w:t>
      </w:r>
      <w:r w:rsidRPr="00EE038F">
        <w:t xml:space="preserve">2025 kategorizohen si me një qëndrim </w:t>
      </w:r>
      <w:r w:rsidR="00D555C7" w:rsidRPr="00EE038F">
        <w:t>“</w:t>
      </w:r>
      <w:r w:rsidRPr="00EE038F">
        <w:t>kundërciklik</w:t>
      </w:r>
      <w:r w:rsidR="00D555C7" w:rsidRPr="00EE038F">
        <w:t>”</w:t>
      </w:r>
      <w:r w:rsidRPr="00EE038F">
        <w:t xml:space="preserve"> të politikës fiskale, siç tregohet nga shenjat kundërshtuese të hendeqeve kumulative të prodhimit dhe impulset fiskale përkatëse për këto periudha.</w:t>
      </w:r>
    </w:p>
    <w:p w14:paraId="5D62239F" w14:textId="6E42D9BE" w:rsidR="00C50585" w:rsidRPr="00EE038F" w:rsidRDefault="00C50585" w:rsidP="00AE08B7">
      <w:pPr>
        <w:pStyle w:val="TEKSTIIIIII"/>
      </w:pPr>
      <w:r w:rsidRPr="00EE038F">
        <w:t xml:space="preserve">Duke aplikuar një metodologji të qëndrueshme vlerësimi, </w:t>
      </w:r>
      <w:r w:rsidR="004D314D" w:rsidRPr="00EE038F">
        <w:t xml:space="preserve">tabela </w:t>
      </w:r>
      <w:r w:rsidRPr="00EE038F">
        <w:t xml:space="preserve">4.5.2 ofron një vlerësim që përfshin të gjithë periudhën nga viti 2000 deri në vitin 2024, ku të gjitha vlerësimet bazohen në statistikat aktuale ose pothuajse aktuale, duke përfshirë parashikimet për vitin 2024. Për më tepër, ajo mbulon horizontin e mundshëm afatmesëm të përshkruar në </w:t>
      </w:r>
      <w:r w:rsidR="004D314D" w:rsidRPr="00EE038F">
        <w:t xml:space="preserve">programin </w:t>
      </w:r>
      <w:r w:rsidR="00B41EC3" w:rsidRPr="00EE038F">
        <w:t>2025–2027</w:t>
      </w:r>
      <w:r w:rsidRPr="00EE038F">
        <w:t>, duke u mbështetur në projeksionet përkatëse të variablave makroekonomikë dhe objektivat e politikës fiskale. Për periudhën e përgjithshme 2000</w:t>
      </w:r>
      <w:r w:rsidR="004D314D" w:rsidRPr="00EE038F">
        <w:t>–</w:t>
      </w:r>
      <w:r w:rsidRPr="00EE038F">
        <w:t xml:space="preserve">2024, qëndrimi fiskal karakterizohet si </w:t>
      </w:r>
      <w:r w:rsidR="00D555C7" w:rsidRPr="00EE038F">
        <w:t>“</w:t>
      </w:r>
      <w:r w:rsidRPr="00EE038F">
        <w:t>prociklik dhe i prirur drejt konsolidimit fiskal</w:t>
      </w:r>
      <w:r w:rsidR="00D555C7" w:rsidRPr="00EE038F">
        <w:t>”</w:t>
      </w:r>
      <w:r w:rsidRPr="00EE038F">
        <w:t>, duke reflektuar një hendek të prodhimit kumulativ të vlerësuar neutral dhe një impuls fiskal kumulativ të vlerësuar negativ prej -3 p.p. Në të kundërt, për periudhën e ardhshme afatmesme (</w:t>
      </w:r>
      <w:r w:rsidR="00B41EC3" w:rsidRPr="00EE038F">
        <w:t>2025–2027</w:t>
      </w:r>
      <w:r w:rsidRPr="00EE038F">
        <w:t>), me hendekun kumulativ të vlerësuar të prodhimit afër zeros, qëndrimi fiskal</w:t>
      </w:r>
      <w:r w:rsidR="00941773" w:rsidRPr="00EE038F">
        <w:t>,</w:t>
      </w:r>
      <w:r w:rsidRPr="00EE038F">
        <w:t xml:space="preserve"> në përgjithësi konsiderohet </w:t>
      </w:r>
      <w:r w:rsidR="00D555C7" w:rsidRPr="00EE038F">
        <w:t>“</w:t>
      </w:r>
      <w:r w:rsidRPr="00EE038F">
        <w:t>neutral</w:t>
      </w:r>
      <w:r w:rsidR="00D555C7" w:rsidRPr="00EE038F">
        <w:t>”</w:t>
      </w:r>
      <w:r w:rsidRPr="00EE038F">
        <w:t>, pasi impulsi fiskal kumulativ i vlerësuar për atë horizont kohor është gjithashtu rreth zeros.</w:t>
      </w:r>
    </w:p>
    <w:p w14:paraId="18FD7576" w14:textId="15EE49F6" w:rsidR="00C50585" w:rsidRPr="00EE038F" w:rsidRDefault="00AE08B7" w:rsidP="00AE08B7">
      <w:pPr>
        <w:pStyle w:val="TEKSTIIIIII"/>
        <w:rPr>
          <w:b/>
        </w:rPr>
      </w:pPr>
      <w:bookmarkStart w:id="29" w:name="_Toc30416397"/>
      <w:bookmarkStart w:id="30" w:name="_Toc30661221"/>
      <w:bookmarkStart w:id="31" w:name="_Toc187328210"/>
      <w:bookmarkStart w:id="32" w:name="_Toc484076176"/>
      <w:r w:rsidRPr="00EE038F">
        <w:rPr>
          <w:b/>
        </w:rPr>
        <w:t xml:space="preserve">4.6 </w:t>
      </w:r>
      <w:r w:rsidR="00C50585" w:rsidRPr="00EE038F">
        <w:rPr>
          <w:b/>
        </w:rPr>
        <w:t xml:space="preserve">Ecuria e </w:t>
      </w:r>
      <w:r w:rsidR="00941773" w:rsidRPr="00EE038F">
        <w:rPr>
          <w:b/>
        </w:rPr>
        <w:t>borxhit të qeverisjes qendror</w:t>
      </w:r>
      <w:bookmarkEnd w:id="29"/>
      <w:r w:rsidR="00941773" w:rsidRPr="00EE038F">
        <w:rPr>
          <w:b/>
        </w:rPr>
        <w:t>e</w:t>
      </w:r>
      <w:bookmarkEnd w:id="30"/>
      <w:bookmarkEnd w:id="31"/>
      <w:r w:rsidR="00941773" w:rsidRPr="00EE038F">
        <w:rPr>
          <w:b/>
        </w:rPr>
        <w:t xml:space="preserve"> </w:t>
      </w:r>
    </w:p>
    <w:p w14:paraId="4E8FFC85" w14:textId="387E58C6" w:rsidR="00C50585" w:rsidRPr="00EE038F" w:rsidRDefault="00C50585" w:rsidP="00AE08B7">
      <w:pPr>
        <w:pStyle w:val="TEKSTIIIIII"/>
        <w:rPr>
          <w:rFonts w:eastAsia="Times New Roman"/>
          <w:lang w:eastAsia="en-GB"/>
        </w:rPr>
      </w:pPr>
      <w:r w:rsidRPr="00EE038F">
        <w:rPr>
          <w:rFonts w:eastAsia="Times New Roman"/>
          <w:lang w:eastAsia="en-GB"/>
        </w:rPr>
        <w:t>Portofoli i borxhit është mundësuar të menaxhohet me sukses gjatë kësaj periudhe</w:t>
      </w:r>
      <w:r w:rsidR="00697A39" w:rsidRPr="00EE038F">
        <w:rPr>
          <w:rFonts w:eastAsia="Times New Roman"/>
          <w:lang w:eastAsia="en-GB"/>
        </w:rPr>
        <w:t>,</w:t>
      </w:r>
      <w:r w:rsidRPr="00EE038F">
        <w:rPr>
          <w:rFonts w:eastAsia="Times New Roman"/>
          <w:lang w:eastAsia="en-GB"/>
        </w:rPr>
        <w:t xml:space="preserve"> në përputhje me objektivat makrofiskalë, nevojat për financim të qeverisë dhe objektivat strategjikë afatmesëm të menaxhimit të borxhit.</w:t>
      </w:r>
    </w:p>
    <w:p w14:paraId="04D74D31" w14:textId="05EFB8D2" w:rsidR="00C50585" w:rsidRPr="00EE038F" w:rsidRDefault="00C50585" w:rsidP="00AE08B7">
      <w:pPr>
        <w:pStyle w:val="TEKSTIIIIII"/>
        <w:rPr>
          <w:rFonts w:eastAsia="Times New Roman"/>
          <w:bCs/>
          <w:i/>
          <w:iCs/>
          <w:lang w:eastAsia="en-GB"/>
        </w:rPr>
      </w:pPr>
      <w:r w:rsidRPr="00EE038F">
        <w:rPr>
          <w:rFonts w:eastAsia="Times New Roman"/>
          <w:bCs/>
          <w:i/>
          <w:iCs/>
          <w:lang w:eastAsia="en-GB"/>
        </w:rPr>
        <w:t xml:space="preserve">Borxhit i </w:t>
      </w:r>
      <w:r w:rsidR="00697A39" w:rsidRPr="00EE038F">
        <w:rPr>
          <w:rFonts w:eastAsia="Times New Roman"/>
          <w:bCs/>
          <w:i/>
          <w:iCs/>
          <w:lang w:eastAsia="en-GB"/>
        </w:rPr>
        <w:t>qeverisjes qendrore</w:t>
      </w:r>
    </w:p>
    <w:p w14:paraId="52B9003B" w14:textId="3B4B9005" w:rsidR="00C50585" w:rsidRPr="00EE038F" w:rsidRDefault="00C50585" w:rsidP="00AE08B7">
      <w:pPr>
        <w:pStyle w:val="TEKSTIIIIII"/>
        <w:rPr>
          <w:rFonts w:eastAsia="Times New Roman"/>
          <w:lang w:eastAsia="en-GB"/>
        </w:rPr>
      </w:pPr>
      <w:r w:rsidRPr="00EE038F">
        <w:rPr>
          <w:rFonts w:eastAsia="Times New Roman"/>
          <w:lang w:eastAsia="en-GB"/>
        </w:rPr>
        <w:t>Në fund të muajit shtator 2024, borxhi publik u vlerësua në nivelin 1,349.7 miliard</w:t>
      </w:r>
      <w:r w:rsidR="00E21F5C" w:rsidRPr="00EE038F">
        <w:rPr>
          <w:rFonts w:eastAsia="Times New Roman"/>
          <w:lang w:eastAsia="en-GB"/>
        </w:rPr>
        <w:t>ë</w:t>
      </w:r>
      <w:r w:rsidRPr="00EE038F">
        <w:rPr>
          <w:rFonts w:eastAsia="Times New Roman"/>
          <w:lang w:eastAsia="en-GB"/>
        </w:rPr>
        <w:t xml:space="preserve"> </w:t>
      </w:r>
      <w:r w:rsidR="00E21F5C" w:rsidRPr="00EE038F">
        <w:rPr>
          <w:rFonts w:eastAsia="Times New Roman"/>
          <w:lang w:eastAsia="en-GB"/>
        </w:rPr>
        <w:t xml:space="preserve">lekë </w:t>
      </w:r>
      <w:r w:rsidRPr="00EE038F">
        <w:rPr>
          <w:rFonts w:eastAsia="Times New Roman"/>
          <w:lang w:eastAsia="en-GB"/>
        </w:rPr>
        <w:t xml:space="preserve">ose </w:t>
      </w:r>
      <w:bookmarkStart w:id="33" w:name="_Hlk184373195"/>
      <w:r w:rsidRPr="00EE038F">
        <w:rPr>
          <w:rFonts w:eastAsia="Times New Roman"/>
          <w:lang w:eastAsia="en-GB"/>
        </w:rPr>
        <w:t xml:space="preserve">54.1% </w:t>
      </w:r>
      <w:bookmarkEnd w:id="33"/>
      <w:r w:rsidRPr="00EE038F">
        <w:rPr>
          <w:rFonts w:eastAsia="Times New Roman"/>
          <w:lang w:eastAsia="en-GB"/>
        </w:rPr>
        <w:t>e PBB</w:t>
      </w:r>
      <w:r w:rsidRPr="00EE038F">
        <w:rPr>
          <w:rStyle w:val="FootnoteReference"/>
          <w:lang w:eastAsia="en-GB"/>
        </w:rPr>
        <w:footnoteReference w:id="10"/>
      </w:r>
      <w:r w:rsidRPr="00EE038F">
        <w:rPr>
          <w:rFonts w:eastAsia="Times New Roman"/>
          <w:lang w:eastAsia="en-GB"/>
        </w:rPr>
        <w:t>. Në terma nominal</w:t>
      </w:r>
      <w:r w:rsidR="00E21F5C" w:rsidRPr="00EE038F">
        <w:rPr>
          <w:rFonts w:eastAsia="Times New Roman"/>
          <w:lang w:eastAsia="en-GB"/>
        </w:rPr>
        <w:t>ë</w:t>
      </w:r>
      <w:r w:rsidRPr="00EE038F">
        <w:rPr>
          <w:rFonts w:eastAsia="Times New Roman"/>
          <w:lang w:eastAsia="en-GB"/>
        </w:rPr>
        <w:t>, stoku i borxhit publik është ulur me 13.1 miliard</w:t>
      </w:r>
      <w:r w:rsidR="00E21F5C" w:rsidRPr="00EE038F">
        <w:rPr>
          <w:rFonts w:eastAsia="Times New Roman"/>
          <w:lang w:eastAsia="en-GB"/>
        </w:rPr>
        <w:t>ë</w:t>
      </w:r>
      <w:r w:rsidRPr="00EE038F">
        <w:rPr>
          <w:rFonts w:eastAsia="Times New Roman"/>
          <w:lang w:eastAsia="en-GB"/>
        </w:rPr>
        <w:t xml:space="preserve"> </w:t>
      </w:r>
      <w:r w:rsidR="00E21F5C" w:rsidRPr="00EE038F">
        <w:rPr>
          <w:rFonts w:eastAsia="Times New Roman"/>
          <w:lang w:eastAsia="en-GB"/>
        </w:rPr>
        <w:t xml:space="preserve">lekë, </w:t>
      </w:r>
      <w:r w:rsidRPr="00EE038F">
        <w:rPr>
          <w:rFonts w:eastAsia="Times New Roman"/>
          <w:lang w:eastAsia="en-GB"/>
        </w:rPr>
        <w:t>krahasuar me fundin e vitit 2023. Në vitet në vijim, raporti i borxhit ndaj PBB-së do të vazhdojë të planifikohet më i ulët se niveli i parashikuar për vitin e kaluar, derisa niveli i borxhit të arrijë dhe të qëndrojë nën 45% të PBB-së, kjo në përputhje me parimin përkatës fiskal të përcaktuar në kuadrin ligjor.</w:t>
      </w:r>
    </w:p>
    <w:p w14:paraId="1E4AB073" w14:textId="77777777" w:rsidR="00C50585" w:rsidRPr="00EE038F" w:rsidRDefault="00C50585" w:rsidP="00C50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Times New Roman" w:hAnsi="Garamond"/>
          <w:lang w:eastAsia="en-GB"/>
        </w:rPr>
      </w:pPr>
    </w:p>
    <w:p w14:paraId="325FFD86" w14:textId="622A68C8" w:rsidR="00C50585" w:rsidRPr="00EE038F" w:rsidRDefault="00C50585" w:rsidP="00066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eastAsia="Times New Roman" w:hAnsi="Garamond"/>
          <w:i/>
          <w:iCs/>
          <w:sz w:val="24"/>
          <w:szCs w:val="24"/>
          <w:lang w:eastAsia="en-GB"/>
        </w:rPr>
      </w:pPr>
      <w:r w:rsidRPr="00EE038F">
        <w:rPr>
          <w:rFonts w:ascii="Garamond" w:eastAsia="Times New Roman" w:hAnsi="Garamond"/>
          <w:i/>
          <w:iCs/>
          <w:sz w:val="24"/>
          <w:szCs w:val="24"/>
          <w:lang w:eastAsia="en-GB"/>
        </w:rPr>
        <w:t>Tabela 4.6.1: Stoku total i borxhit të qeverisë qendrore 2019</w:t>
      </w:r>
      <w:r w:rsidR="00462139" w:rsidRPr="00EE038F">
        <w:rPr>
          <w:rFonts w:ascii="Garamond" w:eastAsia="Times New Roman" w:hAnsi="Garamond"/>
          <w:i/>
          <w:iCs/>
          <w:sz w:val="24"/>
          <w:szCs w:val="24"/>
          <w:lang w:eastAsia="en-GB"/>
        </w:rPr>
        <w:t xml:space="preserve"> – shtator </w:t>
      </w:r>
      <w:r w:rsidRPr="00EE038F">
        <w:rPr>
          <w:rFonts w:ascii="Garamond" w:eastAsia="Times New Roman" w:hAnsi="Garamond"/>
          <w:i/>
          <w:iCs/>
          <w:sz w:val="24"/>
          <w:szCs w:val="24"/>
          <w:lang w:eastAsia="en-GB"/>
        </w:rPr>
        <w:t>2024</w:t>
      </w:r>
    </w:p>
    <w:p w14:paraId="278DDE0A" w14:textId="77777777" w:rsidR="00C50585" w:rsidRPr="00EE038F" w:rsidRDefault="00C50585" w:rsidP="004621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eastAsia="Times New Roman" w:hAnsi="Garamond"/>
          <w:lang w:eastAsia="en-GB"/>
        </w:rPr>
      </w:pPr>
      <w:r w:rsidRPr="00EE038F">
        <w:rPr>
          <w:rFonts w:ascii="Garamond" w:hAnsi="Garamond"/>
          <w:noProof/>
          <w:lang w:eastAsia="en-GB"/>
        </w:rPr>
        <w:drawing>
          <wp:inline distT="0" distB="0" distL="0" distR="0" wp14:anchorId="0BBFD4F5" wp14:editId="59597C57">
            <wp:extent cx="5654650" cy="1723789"/>
            <wp:effectExtent l="0" t="0" r="3810" b="0"/>
            <wp:docPr id="1181446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88595" cy="1764621"/>
                    </a:xfrm>
                    <a:prstGeom prst="rect">
                      <a:avLst/>
                    </a:prstGeom>
                    <a:noFill/>
                    <a:ln>
                      <a:noFill/>
                    </a:ln>
                  </pic:spPr>
                </pic:pic>
              </a:graphicData>
            </a:graphic>
          </wp:inline>
        </w:drawing>
      </w:r>
    </w:p>
    <w:p w14:paraId="088BEFBE" w14:textId="77777777" w:rsidR="00C50585" w:rsidRPr="00EE038F" w:rsidRDefault="00C50585" w:rsidP="00066DFC">
      <w:pPr>
        <w:spacing w:after="0" w:line="240" w:lineRule="auto"/>
        <w:jc w:val="center"/>
        <w:rPr>
          <w:rFonts w:ascii="Garamond" w:hAnsi="Garamond"/>
          <w:sz w:val="24"/>
          <w:szCs w:val="24"/>
        </w:rPr>
      </w:pPr>
      <w:r w:rsidRPr="00EE038F">
        <w:rPr>
          <w:rFonts w:ascii="Garamond" w:hAnsi="Garamond"/>
          <w:i/>
          <w:sz w:val="24"/>
          <w:szCs w:val="24"/>
        </w:rPr>
        <w:t>Burimi: Ministria e Financave, 2024</w:t>
      </w:r>
    </w:p>
    <w:p w14:paraId="7B78F1C9" w14:textId="77777777" w:rsidR="00C50585" w:rsidRPr="00EE038F" w:rsidRDefault="00C50585" w:rsidP="00C50585">
      <w:pPr>
        <w:spacing w:after="0" w:line="240" w:lineRule="auto"/>
        <w:jc w:val="both"/>
        <w:rPr>
          <w:rFonts w:ascii="Garamond" w:hAnsi="Garamond"/>
        </w:rPr>
      </w:pPr>
    </w:p>
    <w:p w14:paraId="69E09AD6" w14:textId="3963E463" w:rsidR="00C50585" w:rsidRPr="00EE038F" w:rsidRDefault="00C50585" w:rsidP="00AB66F8">
      <w:pPr>
        <w:pStyle w:val="TEKSTIIIIII"/>
      </w:pPr>
      <w:r w:rsidRPr="00EE038F">
        <w:t>Për sa i përket përbërjes së portofolit të borxhit të qeverisë qendrore sipas instrumenteve, më shumë se 70% e peshës vazhdon të mbahet nga instrumentet e tregtuesh</w:t>
      </w:r>
      <w:r w:rsidR="00E21F5C" w:rsidRPr="00EE038F">
        <w:t>me</w:t>
      </w:r>
      <w:r w:rsidRPr="00EE038F">
        <w:t xml:space="preserve"> (bono thesari, obligacione dhe eurobond). Pesha e instrumenteve të tregtueshme vlerësohet të jetë në rritje nga viti në vit</w:t>
      </w:r>
      <w:r w:rsidR="001E7657" w:rsidRPr="00EE038F">
        <w:t xml:space="preserve">, </w:t>
      </w:r>
      <w:r w:rsidRPr="00EE038F">
        <w:t xml:space="preserve">kryesisht për shkak të emetimeve më të shpeshta në tregjet ndërkombëtare, por edhe </w:t>
      </w:r>
      <w:r w:rsidRPr="00EE038F">
        <w:lastRenderedPageBreak/>
        <w:t>për shkak të rritjes së huamarrjes në tregun e brendshëm</w:t>
      </w:r>
      <w:r w:rsidR="00BF4CBB" w:rsidRPr="00EE038F">
        <w:t>,</w:t>
      </w:r>
      <w:r w:rsidRPr="00EE038F">
        <w:t xml:space="preserve"> për arsye të nevojave të larta për financim gjatë viteve të fundit</w:t>
      </w:r>
      <w:r w:rsidR="00521DAC">
        <w:t>,</w:t>
      </w:r>
      <w:r w:rsidRPr="00EE038F">
        <w:t xml:space="preserve"> duke filluar nga viti 2020.</w:t>
      </w:r>
    </w:p>
    <w:p w14:paraId="68A0F675" w14:textId="4D756E7B" w:rsidR="00C50585" w:rsidRPr="00EE038F" w:rsidRDefault="00C50585" w:rsidP="00AB66F8">
      <w:pPr>
        <w:pStyle w:val="TEKSTIIIIII"/>
      </w:pPr>
    </w:p>
    <w:p w14:paraId="021BC3DE" w14:textId="63BE70DF" w:rsidR="00C50585" w:rsidRPr="00EE038F" w:rsidRDefault="00376C82" w:rsidP="00376C82">
      <w:pPr>
        <w:spacing w:after="0" w:line="240" w:lineRule="auto"/>
        <w:jc w:val="center"/>
        <w:rPr>
          <w:rFonts w:ascii="Garamond" w:hAnsi="Garamond"/>
          <w:i/>
          <w:iCs/>
          <w:sz w:val="24"/>
          <w:szCs w:val="24"/>
        </w:rPr>
      </w:pPr>
      <w:r w:rsidRPr="00EE038F">
        <w:rPr>
          <w:rFonts w:ascii="Garamond" w:hAnsi="Garamond"/>
          <w:i/>
          <w:iCs/>
          <w:noProof/>
          <w:sz w:val="24"/>
          <w:szCs w:val="24"/>
          <w:lang w:eastAsia="en-GB"/>
        </w:rPr>
        <w:drawing>
          <wp:anchor distT="0" distB="0" distL="114300" distR="114300" simplePos="0" relativeHeight="251658240" behindDoc="1" locked="0" layoutInCell="1" allowOverlap="1" wp14:anchorId="5903FE6E" wp14:editId="0D2CA6EC">
            <wp:simplePos x="0" y="0"/>
            <wp:positionH relativeFrom="margin">
              <wp:align>left</wp:align>
            </wp:positionH>
            <wp:positionV relativeFrom="paragraph">
              <wp:posOffset>220907</wp:posOffset>
            </wp:positionV>
            <wp:extent cx="5654040" cy="1711960"/>
            <wp:effectExtent l="0" t="0" r="3810" b="2540"/>
            <wp:wrapTopAndBottom/>
            <wp:docPr id="14924597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54040" cy="1711960"/>
                    </a:xfrm>
                    <a:prstGeom prst="rect">
                      <a:avLst/>
                    </a:prstGeom>
                    <a:noFill/>
                  </pic:spPr>
                </pic:pic>
              </a:graphicData>
            </a:graphic>
            <wp14:sizeRelH relativeFrom="margin">
              <wp14:pctWidth>0</wp14:pctWidth>
            </wp14:sizeRelH>
            <wp14:sizeRelV relativeFrom="margin">
              <wp14:pctHeight>0</wp14:pctHeight>
            </wp14:sizeRelV>
          </wp:anchor>
        </w:drawing>
      </w:r>
      <w:r w:rsidR="00C50585" w:rsidRPr="00EE038F">
        <w:rPr>
          <w:rFonts w:ascii="Garamond" w:hAnsi="Garamond"/>
          <w:i/>
          <w:iCs/>
          <w:sz w:val="24"/>
          <w:szCs w:val="24"/>
        </w:rPr>
        <w:t>Grafiku 4.6.1: Përbërja e borxhit të qeverisë qendrore (2019</w:t>
      </w:r>
      <w:r w:rsidR="004E27FB" w:rsidRPr="00EE038F">
        <w:rPr>
          <w:rFonts w:ascii="Garamond" w:hAnsi="Garamond"/>
          <w:i/>
          <w:iCs/>
          <w:sz w:val="24"/>
          <w:szCs w:val="24"/>
        </w:rPr>
        <w:t xml:space="preserve"> – shtator </w:t>
      </w:r>
      <w:r w:rsidR="00C50585" w:rsidRPr="00EE038F">
        <w:rPr>
          <w:rFonts w:ascii="Garamond" w:hAnsi="Garamond"/>
          <w:i/>
          <w:iCs/>
          <w:sz w:val="24"/>
          <w:szCs w:val="24"/>
        </w:rPr>
        <w:t>2024)</w:t>
      </w:r>
    </w:p>
    <w:p w14:paraId="7E35DB8F" w14:textId="77777777" w:rsidR="00C50585" w:rsidRPr="00EE038F" w:rsidRDefault="00C50585" w:rsidP="00066DFC">
      <w:pPr>
        <w:spacing w:after="0" w:line="240" w:lineRule="auto"/>
        <w:jc w:val="center"/>
        <w:rPr>
          <w:rFonts w:ascii="Garamond" w:hAnsi="Garamond"/>
          <w:i/>
        </w:rPr>
      </w:pPr>
      <w:r w:rsidRPr="00EE038F">
        <w:rPr>
          <w:rFonts w:ascii="Garamond" w:hAnsi="Garamond"/>
          <w:i/>
        </w:rPr>
        <w:t>Burimi: Ministria e Financave, 2024</w:t>
      </w:r>
    </w:p>
    <w:p w14:paraId="7334FAD4" w14:textId="77777777" w:rsidR="00C50585" w:rsidRPr="00EE038F" w:rsidRDefault="00C50585" w:rsidP="00C50585">
      <w:pPr>
        <w:spacing w:after="0" w:line="240" w:lineRule="auto"/>
        <w:jc w:val="both"/>
        <w:rPr>
          <w:rFonts w:ascii="Garamond" w:hAnsi="Garamond"/>
        </w:rPr>
      </w:pPr>
    </w:p>
    <w:p w14:paraId="52878DED" w14:textId="1F9EB48A" w:rsidR="00C50585" w:rsidRPr="00EE038F" w:rsidRDefault="00C50585" w:rsidP="00AB66F8">
      <w:pPr>
        <w:pStyle w:val="TEKSTIIIIII"/>
      </w:pPr>
      <w:r w:rsidRPr="00EE038F">
        <w:t>Për sa i përket strukturës së maturimit, në portofolin e borxhit të brendshëm shtetëror, referuar të dhënave të nëntëmujorit të vitit 2024, peshën më të madhe e mbajnë titujt afatmesëm (2</w:t>
      </w:r>
      <w:r w:rsidR="00C66157" w:rsidRPr="00EE038F">
        <w:t>–</w:t>
      </w:r>
      <w:r w:rsidRPr="00EE038F">
        <w:t>5 v</w:t>
      </w:r>
      <w:r w:rsidR="00C66157" w:rsidRPr="00EE038F">
        <w:t>jet</w:t>
      </w:r>
      <w:r w:rsidRPr="00EE038F">
        <w:t>) me 40.0% të peshës. Në përputhje me objektivin strategjik për rritjen e jetëgjatësisë së portofolit të borxhit të brendshëm, pesha e titujve</w:t>
      </w:r>
      <w:r w:rsidR="00AD3D9C" w:rsidRPr="00EE038F">
        <w:t xml:space="preserve"> </w:t>
      </w:r>
      <w:r w:rsidRPr="00EE038F">
        <w:t>me afat të gjatë maturimi (7</w:t>
      </w:r>
      <w:r w:rsidR="00246E8F" w:rsidRPr="00EE038F">
        <w:t xml:space="preserve"> </w:t>
      </w:r>
      <w:r w:rsidRPr="00EE038F">
        <w:t>vj, 10</w:t>
      </w:r>
      <w:r w:rsidR="00246E8F" w:rsidRPr="00EE038F">
        <w:t xml:space="preserve"> </w:t>
      </w:r>
      <w:r w:rsidRPr="00EE038F">
        <w:t>vj, 15</w:t>
      </w:r>
      <w:r w:rsidR="00246E8F" w:rsidRPr="00EE038F">
        <w:t xml:space="preserve"> </w:t>
      </w:r>
      <w:r w:rsidRPr="00EE038F">
        <w:t>vj) ka pasur një rritje prej 1.1 pp, ndërkohë pesha e titujve afatshkurtër ë</w:t>
      </w:r>
      <w:r w:rsidR="0062018F" w:rsidRPr="00EE038F">
        <w:t>s</w:t>
      </w:r>
      <w:r w:rsidRPr="00EE038F">
        <w:t>htë ulur me 2.7 pp. Pesha e titujve me norma interesi të ndryshueshme është reduktuar edhe përgjatë këtij nëntëmujori, pasi edhe gjatë kësaj periudhe nuk ka pa</w:t>
      </w:r>
      <w:r w:rsidR="00246E8F" w:rsidRPr="00EE038F">
        <w:t>s</w:t>
      </w:r>
      <w:r w:rsidRPr="00EE038F">
        <w:t>ur emetime të titujve me norma interesi të ndryshueshme, në përputhje me objektivat për reduktimin e riskut të normave të interesit dhe shmangien e fragmentimit të kërkesës për titujt me maturitet të ngjashëm. Ndërkohë</w:t>
      </w:r>
      <w:r w:rsidR="000B188C" w:rsidRPr="00EE038F">
        <w:t>,</w:t>
      </w:r>
      <w:r w:rsidRPr="00EE038F">
        <w:t xml:space="preserve"> borxhi i jashtëm përbëhet kryesisht nga kredi afatgjata, si dhe instrumente afatgjata (eurobond 5</w:t>
      </w:r>
      <w:r w:rsidR="000B188C" w:rsidRPr="00EE038F">
        <w:t>-</w:t>
      </w:r>
      <w:r w:rsidRPr="00EE038F">
        <w:t>, 7</w:t>
      </w:r>
      <w:r w:rsidR="000B188C" w:rsidRPr="00EE038F">
        <w:t>-</w:t>
      </w:r>
      <w:r w:rsidRPr="00EE038F">
        <w:t xml:space="preserve"> dhe 10-vjeçare të emetuara në tregjet ndërkombëtare).</w:t>
      </w:r>
    </w:p>
    <w:p w14:paraId="355CA121" w14:textId="77777777" w:rsidR="00C50585" w:rsidRPr="00EE038F" w:rsidRDefault="00C50585" w:rsidP="00C50585">
      <w:pPr>
        <w:spacing w:after="0" w:line="240" w:lineRule="auto"/>
        <w:jc w:val="both"/>
        <w:rPr>
          <w:rFonts w:ascii="Garamond" w:hAnsi="Garamond"/>
        </w:rPr>
      </w:pPr>
    </w:p>
    <w:p w14:paraId="3D9E3546" w14:textId="25E98BE8" w:rsidR="00C50585" w:rsidRPr="00EE038F" w:rsidRDefault="00AB66F8" w:rsidP="003914B0">
      <w:pPr>
        <w:spacing w:after="0" w:line="240" w:lineRule="auto"/>
        <w:jc w:val="center"/>
        <w:rPr>
          <w:rFonts w:ascii="Garamond" w:hAnsi="Garamond"/>
          <w:i/>
          <w:sz w:val="24"/>
          <w:szCs w:val="24"/>
        </w:rPr>
      </w:pPr>
      <w:r w:rsidRPr="00EE038F">
        <w:rPr>
          <w:rFonts w:ascii="Garamond" w:hAnsi="Garamond"/>
          <w:i/>
          <w:noProof/>
          <w:sz w:val="24"/>
          <w:szCs w:val="24"/>
          <w:lang w:eastAsia="en-GB"/>
        </w:rPr>
        <w:drawing>
          <wp:anchor distT="0" distB="0" distL="114300" distR="114300" simplePos="0" relativeHeight="251658241" behindDoc="1" locked="0" layoutInCell="1" allowOverlap="1" wp14:anchorId="28C37184" wp14:editId="255D3659">
            <wp:simplePos x="0" y="0"/>
            <wp:positionH relativeFrom="margin">
              <wp:posOffset>2875280</wp:posOffset>
            </wp:positionH>
            <wp:positionV relativeFrom="paragraph">
              <wp:posOffset>298450</wp:posOffset>
            </wp:positionV>
            <wp:extent cx="2832735" cy="1813560"/>
            <wp:effectExtent l="0" t="0" r="5715" b="15240"/>
            <wp:wrapTight wrapText="bothSides">
              <wp:wrapPolygon edited="0">
                <wp:start x="0" y="0"/>
                <wp:lineTo x="0" y="21555"/>
                <wp:lineTo x="21498" y="21555"/>
                <wp:lineTo x="21498" y="0"/>
                <wp:lineTo x="0" y="0"/>
              </wp:wrapPolygon>
            </wp:wrapTight>
            <wp:docPr id="1185345293" name="Chart 1">
              <a:extLst xmlns:a="http://schemas.openxmlformats.org/drawingml/2006/main">
                <a:ext uri="{FF2B5EF4-FFF2-40B4-BE49-F238E27FC236}">
                  <a16:creationId xmlns:a16="http://schemas.microsoft.com/office/drawing/2014/main"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margin">
              <wp14:pctWidth>0</wp14:pctWidth>
            </wp14:sizeRelH>
            <wp14:sizeRelV relativeFrom="margin">
              <wp14:pctHeight>0</wp14:pctHeight>
            </wp14:sizeRelV>
          </wp:anchor>
        </w:drawing>
      </w:r>
      <w:r w:rsidR="00C50585" w:rsidRPr="00EE038F">
        <w:rPr>
          <w:rFonts w:ascii="Garamond" w:hAnsi="Garamond"/>
          <w:i/>
          <w:noProof/>
          <w:sz w:val="24"/>
          <w:szCs w:val="24"/>
          <w:lang w:eastAsia="en-GB"/>
        </w:rPr>
        <w:drawing>
          <wp:anchor distT="0" distB="0" distL="114300" distR="114300" simplePos="0" relativeHeight="251658242" behindDoc="1" locked="0" layoutInCell="1" allowOverlap="1" wp14:anchorId="66C9EA91" wp14:editId="6B389EE8">
            <wp:simplePos x="0" y="0"/>
            <wp:positionH relativeFrom="column">
              <wp:posOffset>50800</wp:posOffset>
            </wp:positionH>
            <wp:positionV relativeFrom="paragraph">
              <wp:posOffset>299720</wp:posOffset>
            </wp:positionV>
            <wp:extent cx="2735580" cy="1813560"/>
            <wp:effectExtent l="0" t="0" r="7620" b="15240"/>
            <wp:wrapTight wrapText="bothSides">
              <wp:wrapPolygon edited="0">
                <wp:start x="0" y="0"/>
                <wp:lineTo x="0" y="21555"/>
                <wp:lineTo x="21510" y="21555"/>
                <wp:lineTo x="21510" y="0"/>
                <wp:lineTo x="0" y="0"/>
              </wp:wrapPolygon>
            </wp:wrapTight>
            <wp:docPr id="473226913"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margin">
              <wp14:pctWidth>0</wp14:pctWidth>
            </wp14:sizeRelH>
            <wp14:sizeRelV relativeFrom="margin">
              <wp14:pctHeight>0</wp14:pctHeight>
            </wp14:sizeRelV>
          </wp:anchor>
        </w:drawing>
      </w:r>
      <w:r w:rsidR="00C50585" w:rsidRPr="00EE038F">
        <w:rPr>
          <w:rFonts w:ascii="Garamond" w:hAnsi="Garamond"/>
          <w:i/>
          <w:sz w:val="24"/>
          <w:szCs w:val="24"/>
        </w:rPr>
        <w:t xml:space="preserve">Grafiku 4.6.2: Përbërja e borxhit të qeverisë (2019 – </w:t>
      </w:r>
      <w:r w:rsidR="000B188C" w:rsidRPr="00EE038F">
        <w:rPr>
          <w:rFonts w:ascii="Garamond" w:hAnsi="Garamond"/>
          <w:i/>
          <w:sz w:val="24"/>
          <w:szCs w:val="24"/>
        </w:rPr>
        <w:t xml:space="preserve">shtator </w:t>
      </w:r>
      <w:r w:rsidR="00C50585" w:rsidRPr="00EE038F">
        <w:rPr>
          <w:rFonts w:ascii="Garamond" w:hAnsi="Garamond"/>
          <w:i/>
          <w:sz w:val="24"/>
          <w:szCs w:val="24"/>
        </w:rPr>
        <w:t>2024)</w:t>
      </w:r>
    </w:p>
    <w:p w14:paraId="796E8070" w14:textId="1896BD2A" w:rsidR="00C50585" w:rsidRPr="00EE038F" w:rsidRDefault="00C50585" w:rsidP="003914B0">
      <w:pPr>
        <w:spacing w:after="0" w:line="240" w:lineRule="auto"/>
        <w:jc w:val="center"/>
        <w:rPr>
          <w:rFonts w:ascii="Garamond" w:hAnsi="Garamond"/>
          <w:i/>
          <w:sz w:val="24"/>
          <w:szCs w:val="24"/>
        </w:rPr>
      </w:pPr>
      <w:r w:rsidRPr="00EE038F">
        <w:rPr>
          <w:rFonts w:ascii="Garamond" w:hAnsi="Garamond"/>
          <w:i/>
          <w:sz w:val="24"/>
          <w:szCs w:val="24"/>
        </w:rPr>
        <w:t>Burimi: Ministria e Financave, 2024</w:t>
      </w:r>
    </w:p>
    <w:p w14:paraId="1F4249DE" w14:textId="77777777" w:rsidR="00C50585" w:rsidRPr="00EE038F" w:rsidRDefault="00C50585" w:rsidP="00C50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eastAsia="Times New Roman" w:hAnsi="Garamond"/>
          <w:b/>
          <w:i/>
          <w:lang w:eastAsia="en-GB"/>
        </w:rPr>
      </w:pPr>
    </w:p>
    <w:p w14:paraId="4D1882D1" w14:textId="77777777" w:rsidR="00C50585" w:rsidRPr="00EE038F" w:rsidRDefault="00C50585" w:rsidP="00AB66F8">
      <w:pPr>
        <w:pStyle w:val="TEKSTIIIIII"/>
        <w:rPr>
          <w:rFonts w:eastAsia="Times New Roman"/>
          <w:i/>
          <w:lang w:eastAsia="en-GB"/>
        </w:rPr>
      </w:pPr>
      <w:r w:rsidRPr="00EE038F">
        <w:rPr>
          <w:rFonts w:eastAsia="Times New Roman"/>
          <w:i/>
          <w:lang w:eastAsia="en-GB"/>
        </w:rPr>
        <w:t>Nevojat për financim</w:t>
      </w:r>
    </w:p>
    <w:p w14:paraId="405F7C78" w14:textId="74F90D30" w:rsidR="00C50585" w:rsidRPr="00EE038F" w:rsidRDefault="00C50585" w:rsidP="00AB66F8">
      <w:pPr>
        <w:pStyle w:val="TEKSTIIIIII"/>
        <w:rPr>
          <w:rFonts w:eastAsia="Times New Roman"/>
          <w:lang w:eastAsia="en-GB"/>
        </w:rPr>
      </w:pPr>
      <w:r w:rsidRPr="00EE038F">
        <w:rPr>
          <w:rFonts w:eastAsia="Times New Roman"/>
          <w:lang w:eastAsia="en-GB"/>
        </w:rPr>
        <w:t xml:space="preserve">Gjatë viteve të fundit, huamarrja është realizuar në përputhje me nevojat buxhetore dhe në përputhje me objektivat strategjikë për ruajtjen e stabilitetit të marrëdhënies ndërmjet raporteve të kostos dhe </w:t>
      </w:r>
      <w:r w:rsidR="00D45E1E" w:rsidRPr="00EE038F">
        <w:rPr>
          <w:rFonts w:eastAsia="Times New Roman"/>
          <w:lang w:eastAsia="en-GB"/>
        </w:rPr>
        <w:t xml:space="preserve">të </w:t>
      </w:r>
      <w:r w:rsidRPr="00EE038F">
        <w:rPr>
          <w:rFonts w:eastAsia="Times New Roman"/>
          <w:lang w:eastAsia="en-GB"/>
        </w:rPr>
        <w:t>risqeve, krahas nevojave të rritura për financim.</w:t>
      </w:r>
    </w:p>
    <w:p w14:paraId="2A36DAB1" w14:textId="0C685EA9" w:rsidR="00C50585" w:rsidRPr="00EE038F" w:rsidRDefault="00C50585" w:rsidP="00AB66F8">
      <w:pPr>
        <w:pStyle w:val="TEKSTIIIIII"/>
        <w:rPr>
          <w:rFonts w:eastAsia="Times New Roman"/>
          <w:lang w:eastAsia="en-GB"/>
        </w:rPr>
      </w:pPr>
      <w:r w:rsidRPr="00EE038F">
        <w:rPr>
          <w:rFonts w:eastAsia="Times New Roman"/>
          <w:lang w:eastAsia="en-GB"/>
        </w:rPr>
        <w:t>Nëntëmujori i vitit 2024 ka qenë një periudhë pozitive për</w:t>
      </w:r>
      <w:r w:rsidR="00D45E1E" w:rsidRPr="00EE038F">
        <w:rPr>
          <w:rFonts w:eastAsia="Times New Roman"/>
          <w:lang w:eastAsia="en-GB"/>
        </w:rPr>
        <w:t xml:space="preserve"> </w:t>
      </w:r>
      <w:r w:rsidRPr="00EE038F">
        <w:rPr>
          <w:rFonts w:eastAsia="Times New Roman"/>
          <w:lang w:eastAsia="en-GB"/>
        </w:rPr>
        <w:t>sa i përket sigurimit të financimit, si në tregun e brendshëm dhe në atë të huaj. Huamarrja gjatë periudhës janar</w:t>
      </w:r>
      <w:r w:rsidR="00D45E1E" w:rsidRPr="00EE038F">
        <w:rPr>
          <w:rFonts w:eastAsia="Times New Roman"/>
          <w:lang w:eastAsia="en-GB"/>
        </w:rPr>
        <w:t>–</w:t>
      </w:r>
      <w:r w:rsidRPr="00EE038F">
        <w:rPr>
          <w:rFonts w:eastAsia="Times New Roman"/>
          <w:lang w:eastAsia="en-GB"/>
        </w:rPr>
        <w:t>shtator 2024 u realizua në linjë me buxhetin e vitit 2024</w:t>
      </w:r>
      <w:r w:rsidR="00961647" w:rsidRPr="00EE038F">
        <w:rPr>
          <w:rFonts w:eastAsia="Times New Roman"/>
          <w:lang w:eastAsia="en-GB"/>
        </w:rPr>
        <w:t>,</w:t>
      </w:r>
      <w:r w:rsidRPr="00EE038F">
        <w:rPr>
          <w:rFonts w:eastAsia="Times New Roman"/>
          <w:lang w:eastAsia="en-GB"/>
        </w:rPr>
        <w:t xml:space="preserve"> si edhe në linjë me </w:t>
      </w:r>
      <w:r w:rsidR="00961647" w:rsidRPr="00EE038F">
        <w:rPr>
          <w:rFonts w:eastAsia="Times New Roman"/>
          <w:lang w:eastAsia="en-GB"/>
        </w:rPr>
        <w:t xml:space="preserve">planin e huamarrjes </w:t>
      </w:r>
      <w:r w:rsidRPr="00EE038F">
        <w:rPr>
          <w:rFonts w:eastAsia="Times New Roman"/>
          <w:lang w:eastAsia="en-GB"/>
        </w:rPr>
        <w:t>së vitit 2024. Huamarrja në terma bruto u realizua në vlerën 325.0 miliard</w:t>
      </w:r>
      <w:r w:rsidR="00961647" w:rsidRPr="00EE038F">
        <w:rPr>
          <w:rFonts w:eastAsia="Times New Roman"/>
          <w:lang w:eastAsia="en-GB"/>
        </w:rPr>
        <w:t>ë</w:t>
      </w:r>
      <w:r w:rsidRPr="00EE038F">
        <w:rPr>
          <w:rFonts w:eastAsia="Times New Roman"/>
          <w:lang w:eastAsia="en-GB"/>
        </w:rPr>
        <w:t xml:space="preserve"> </w:t>
      </w:r>
      <w:r w:rsidR="00961647" w:rsidRPr="00EE038F">
        <w:rPr>
          <w:rFonts w:eastAsia="Times New Roman"/>
          <w:lang w:eastAsia="en-GB"/>
        </w:rPr>
        <w:t>lekë</w:t>
      </w:r>
      <w:r w:rsidRPr="00EE038F">
        <w:rPr>
          <w:rFonts w:eastAsia="Times New Roman"/>
          <w:lang w:eastAsia="en-GB"/>
        </w:rPr>
        <w:t xml:space="preserve">, nga të cilat 95.6% (ose 310.7 </w:t>
      </w:r>
      <w:r w:rsidR="00961647" w:rsidRPr="00EE038F">
        <w:rPr>
          <w:rFonts w:eastAsia="Times New Roman"/>
          <w:lang w:eastAsia="en-GB"/>
        </w:rPr>
        <w:t>miliardë lekë</w:t>
      </w:r>
      <w:r w:rsidRPr="00EE038F">
        <w:rPr>
          <w:rFonts w:eastAsia="Times New Roman"/>
          <w:lang w:eastAsia="en-GB"/>
        </w:rPr>
        <w:t xml:space="preserve">) </w:t>
      </w:r>
      <w:r w:rsidRPr="00EE038F">
        <w:rPr>
          <w:rFonts w:eastAsia="Times New Roman"/>
          <w:lang w:eastAsia="en-GB"/>
        </w:rPr>
        <w:lastRenderedPageBreak/>
        <w:t xml:space="preserve">u financuan nëpërmjet burimeve të brendshme dhe 4.4% (ose 14.3 </w:t>
      </w:r>
      <w:r w:rsidR="0000795D" w:rsidRPr="00EE038F">
        <w:rPr>
          <w:rFonts w:eastAsia="Times New Roman"/>
          <w:lang w:eastAsia="en-GB"/>
        </w:rPr>
        <w:t>miliardë l</w:t>
      </w:r>
      <w:r w:rsidRPr="00EE038F">
        <w:rPr>
          <w:rFonts w:eastAsia="Times New Roman"/>
          <w:lang w:eastAsia="en-GB"/>
        </w:rPr>
        <w:t>ekë) nëpërmjet burimeve të huaja.</w:t>
      </w:r>
    </w:p>
    <w:p w14:paraId="15707CA3" w14:textId="77777777" w:rsidR="00C50585" w:rsidRPr="00EE038F" w:rsidRDefault="00C50585" w:rsidP="00AB66F8">
      <w:pPr>
        <w:pStyle w:val="TEKSTIIIIII"/>
        <w:rPr>
          <w:rFonts w:eastAsia="Times New Roman"/>
          <w:lang w:eastAsia="en-GB"/>
        </w:rPr>
      </w:pPr>
    </w:p>
    <w:p w14:paraId="176A45DF" w14:textId="4E28F4B4" w:rsidR="00C50585" w:rsidRPr="00EE038F" w:rsidRDefault="00C50585" w:rsidP="00066DFC">
      <w:pPr>
        <w:tabs>
          <w:tab w:val="left" w:pos="8789"/>
        </w:tabs>
        <w:spacing w:after="0" w:line="240" w:lineRule="auto"/>
        <w:jc w:val="center"/>
        <w:rPr>
          <w:rFonts w:ascii="Garamond" w:eastAsia="Times New Roman" w:hAnsi="Garamond"/>
          <w:i/>
          <w:iCs/>
          <w:sz w:val="24"/>
          <w:szCs w:val="24"/>
          <w:lang w:eastAsia="en-GB"/>
        </w:rPr>
      </w:pPr>
      <w:r w:rsidRPr="00EE038F">
        <w:rPr>
          <w:rFonts w:ascii="Garamond" w:eastAsia="Times New Roman" w:hAnsi="Garamond"/>
          <w:i/>
          <w:iCs/>
          <w:sz w:val="24"/>
          <w:szCs w:val="24"/>
          <w:lang w:eastAsia="en-GB"/>
        </w:rPr>
        <w:t>Grafiku 4.6.3: Financimi total 2019</w:t>
      </w:r>
      <w:r w:rsidR="0000795D" w:rsidRPr="00EE038F">
        <w:rPr>
          <w:rFonts w:ascii="Garamond" w:eastAsia="Times New Roman" w:hAnsi="Garamond"/>
          <w:i/>
          <w:iCs/>
          <w:sz w:val="24"/>
          <w:szCs w:val="24"/>
          <w:lang w:eastAsia="en-GB"/>
        </w:rPr>
        <w:t>–</w:t>
      </w:r>
      <w:r w:rsidRPr="00EE038F">
        <w:rPr>
          <w:rFonts w:ascii="Garamond" w:eastAsia="Times New Roman" w:hAnsi="Garamond"/>
          <w:i/>
          <w:iCs/>
          <w:sz w:val="24"/>
          <w:szCs w:val="24"/>
          <w:lang w:eastAsia="en-GB"/>
        </w:rPr>
        <w:t>2024</w:t>
      </w:r>
    </w:p>
    <w:p w14:paraId="63072884" w14:textId="77777777" w:rsidR="00C50585" w:rsidRPr="00EE038F" w:rsidRDefault="00C50585" w:rsidP="00F32F3C">
      <w:pPr>
        <w:spacing w:after="0" w:line="240" w:lineRule="auto"/>
        <w:jc w:val="center"/>
        <w:rPr>
          <w:rFonts w:ascii="Garamond" w:hAnsi="Garamond"/>
          <w:i/>
        </w:rPr>
      </w:pPr>
      <w:r w:rsidRPr="00EE038F">
        <w:rPr>
          <w:rFonts w:ascii="Garamond" w:hAnsi="Garamond"/>
          <w:i/>
          <w:noProof/>
          <w:lang w:eastAsia="en-GB"/>
        </w:rPr>
        <w:drawing>
          <wp:inline distT="0" distB="0" distL="0" distR="0" wp14:anchorId="76350923" wp14:editId="00C81B29">
            <wp:extent cx="5515661" cy="1821484"/>
            <wp:effectExtent l="0" t="0" r="8890" b="7620"/>
            <wp:docPr id="1231454132" name="Chart 1">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24AA4C1C" w14:textId="77777777" w:rsidR="00C50585" w:rsidRPr="00EE038F" w:rsidRDefault="00C50585" w:rsidP="00066DFC">
      <w:pPr>
        <w:spacing w:after="0" w:line="240" w:lineRule="auto"/>
        <w:jc w:val="center"/>
        <w:rPr>
          <w:rFonts w:ascii="Garamond" w:hAnsi="Garamond"/>
          <w:b/>
          <w:sz w:val="24"/>
          <w:szCs w:val="24"/>
        </w:rPr>
      </w:pPr>
      <w:r w:rsidRPr="00EE038F">
        <w:rPr>
          <w:rFonts w:ascii="Garamond" w:hAnsi="Garamond"/>
          <w:i/>
          <w:sz w:val="24"/>
          <w:szCs w:val="24"/>
        </w:rPr>
        <w:t>Burimi: Ministria e Financave, 2024</w:t>
      </w:r>
    </w:p>
    <w:p w14:paraId="3436A730" w14:textId="25F61AA7" w:rsidR="00C50585" w:rsidRPr="00EE038F" w:rsidRDefault="002C7A38" w:rsidP="002C7A38">
      <w:pPr>
        <w:tabs>
          <w:tab w:val="left" w:pos="6760"/>
        </w:tabs>
        <w:spacing w:after="0" w:line="240" w:lineRule="auto"/>
        <w:jc w:val="both"/>
        <w:rPr>
          <w:rFonts w:ascii="Garamond" w:eastAsia="MS Mincho" w:hAnsi="Garamond"/>
        </w:rPr>
      </w:pPr>
      <w:r>
        <w:rPr>
          <w:rFonts w:ascii="Garamond" w:eastAsia="MS Mincho" w:hAnsi="Garamond"/>
        </w:rPr>
        <w:tab/>
      </w:r>
    </w:p>
    <w:p w14:paraId="2FB8AE30" w14:textId="21825A26" w:rsidR="00C50585" w:rsidRPr="00EE038F" w:rsidRDefault="00C50585" w:rsidP="003C1C9C">
      <w:pPr>
        <w:pStyle w:val="TEKSTIIIIII"/>
        <w:rPr>
          <w:rFonts w:eastAsia="MS Mincho"/>
        </w:rPr>
      </w:pPr>
      <w:r w:rsidRPr="00EE038F">
        <w:rPr>
          <w:rFonts w:eastAsia="MS Mincho"/>
        </w:rPr>
        <w:t xml:space="preserve">Gjatë nëntëmujorit të </w:t>
      </w:r>
      <w:r w:rsidRPr="00EE038F">
        <w:rPr>
          <w:lang w:eastAsia="ja-JP"/>
        </w:rPr>
        <w:t>vitit 2024</w:t>
      </w:r>
      <w:r w:rsidRPr="00EE038F">
        <w:rPr>
          <w:rFonts w:eastAsia="MS Mincho"/>
        </w:rPr>
        <w:t>, Ministria e Financave ka emetuar në tregun e brendshëm tituj shtetërorë në vlerën 310.7 miliard</w:t>
      </w:r>
      <w:r w:rsidR="00B106A4" w:rsidRPr="00EE038F">
        <w:rPr>
          <w:rFonts w:eastAsia="MS Mincho"/>
        </w:rPr>
        <w:t>ë</w:t>
      </w:r>
      <w:r w:rsidRPr="00EE038F">
        <w:rPr>
          <w:rFonts w:eastAsia="MS Mincho"/>
        </w:rPr>
        <w:t xml:space="preserve"> </w:t>
      </w:r>
      <w:r w:rsidR="00B106A4" w:rsidRPr="00EE038F">
        <w:rPr>
          <w:rFonts w:eastAsia="MS Mincho"/>
        </w:rPr>
        <w:t>lekë</w:t>
      </w:r>
      <w:r w:rsidRPr="00EE038F">
        <w:rPr>
          <w:rFonts w:eastAsia="MS Mincho"/>
        </w:rPr>
        <w:t>, nga të cilat 165.9 miliard</w:t>
      </w:r>
      <w:r w:rsidR="00B106A4" w:rsidRPr="00EE038F">
        <w:rPr>
          <w:rFonts w:eastAsia="MS Mincho"/>
        </w:rPr>
        <w:t>ë</w:t>
      </w:r>
      <w:r w:rsidRPr="00EE038F">
        <w:rPr>
          <w:rFonts w:eastAsia="MS Mincho"/>
        </w:rPr>
        <w:t xml:space="preserve"> </w:t>
      </w:r>
      <w:r w:rsidR="00B106A4" w:rsidRPr="00EE038F">
        <w:rPr>
          <w:rFonts w:eastAsia="MS Mincho"/>
        </w:rPr>
        <w:t>lekë u</w:t>
      </w:r>
      <w:r w:rsidRPr="00EE038F">
        <w:rPr>
          <w:rFonts w:eastAsia="MS Mincho"/>
        </w:rPr>
        <w:t xml:space="preserve"> përkasin titujve afatshkurtër dhe 144.8 miliard</w:t>
      </w:r>
      <w:r w:rsidR="00B106A4" w:rsidRPr="00EE038F">
        <w:rPr>
          <w:rFonts w:eastAsia="MS Mincho"/>
        </w:rPr>
        <w:t>ë</w:t>
      </w:r>
      <w:r w:rsidRPr="00EE038F">
        <w:rPr>
          <w:rFonts w:eastAsia="MS Mincho"/>
        </w:rPr>
        <w:t xml:space="preserve"> </w:t>
      </w:r>
      <w:r w:rsidR="00B106A4" w:rsidRPr="00EE038F">
        <w:rPr>
          <w:rFonts w:eastAsia="MS Mincho"/>
        </w:rPr>
        <w:t xml:space="preserve">lekë </w:t>
      </w:r>
      <w:r w:rsidRPr="00EE038F">
        <w:rPr>
          <w:rFonts w:eastAsia="MS Mincho"/>
        </w:rPr>
        <w:t xml:space="preserve">titujve afatgjatë. Në përputhje me </w:t>
      </w:r>
      <w:r w:rsidR="00E534C6" w:rsidRPr="00EE038F">
        <w:rPr>
          <w:rFonts w:eastAsia="MS Mincho"/>
        </w:rPr>
        <w:t>strategjinë afatmesme të menaxhimit të borxhit, gjatë n</w:t>
      </w:r>
      <w:r w:rsidRPr="00EE038F">
        <w:rPr>
          <w:rFonts w:eastAsia="MS Mincho"/>
        </w:rPr>
        <w:t xml:space="preserve">ëntëmujorit të vitit 2024 është rritur frekuenca dhe vlera e emetimeve të instrumenteve afatgjata. Kërkesa për tituj shtetërorë ka qenë më e lartë se oferta e </w:t>
      </w:r>
      <w:r w:rsidR="00F54612" w:rsidRPr="00EE038F">
        <w:rPr>
          <w:rFonts w:eastAsia="MS Mincho"/>
        </w:rPr>
        <w:t>qeverisë</w:t>
      </w:r>
      <w:r w:rsidR="00E50EC1" w:rsidRPr="00EE038F">
        <w:rPr>
          <w:rFonts w:eastAsia="MS Mincho"/>
        </w:rPr>
        <w:t>,</w:t>
      </w:r>
      <w:r w:rsidR="00F54612" w:rsidRPr="00EE038F">
        <w:rPr>
          <w:rFonts w:eastAsia="MS Mincho"/>
        </w:rPr>
        <w:t xml:space="preserve"> </w:t>
      </w:r>
      <w:r w:rsidRPr="00EE038F">
        <w:rPr>
          <w:rFonts w:eastAsia="MS Mincho"/>
        </w:rPr>
        <w:t>pothuajse në të gjitha ankandet e realizuara gjatë këtij nëntëmujori. Huamarrja neto në tregun e brendshëm në fund të nëntëmujorit të vitit 2024 rezultoi në nivel prej 37.0 miliard</w:t>
      </w:r>
      <w:r w:rsidR="00E50EC1" w:rsidRPr="00EE038F">
        <w:rPr>
          <w:rFonts w:eastAsia="MS Mincho"/>
        </w:rPr>
        <w:t>ë</w:t>
      </w:r>
      <w:r w:rsidRPr="00EE038F">
        <w:rPr>
          <w:rFonts w:eastAsia="MS Mincho"/>
        </w:rPr>
        <w:t xml:space="preserve"> </w:t>
      </w:r>
      <w:r w:rsidR="00E50EC1" w:rsidRPr="00EE038F">
        <w:rPr>
          <w:rFonts w:eastAsia="MS Mincho"/>
        </w:rPr>
        <w:t>lekë</w:t>
      </w:r>
      <w:r w:rsidRPr="00EE038F">
        <w:rPr>
          <w:rFonts w:eastAsia="MS Mincho"/>
        </w:rPr>
        <w:t>, dhe u arrit plotësisht nëpërmjet instrumenteve afatgjata.</w:t>
      </w:r>
      <w:r w:rsidR="00AD3D9C" w:rsidRPr="00EE038F">
        <w:rPr>
          <w:rFonts w:eastAsia="MS Mincho"/>
        </w:rPr>
        <w:t xml:space="preserve"> </w:t>
      </w:r>
    </w:p>
    <w:p w14:paraId="3212DC35" w14:textId="77777777" w:rsidR="00066DFC" w:rsidRPr="00EE038F" w:rsidRDefault="00066DFC" w:rsidP="00066DFC">
      <w:pPr>
        <w:pStyle w:val="TEKSTIIIIII"/>
        <w:jc w:val="center"/>
        <w:rPr>
          <w:rFonts w:eastAsia="Times New Roman"/>
          <w:lang w:eastAsia="en-GB"/>
        </w:rPr>
      </w:pPr>
    </w:p>
    <w:p w14:paraId="5AFF216E" w14:textId="358F7509" w:rsidR="00C50585" w:rsidRPr="00EE038F" w:rsidRDefault="00C50585" w:rsidP="00066DFC">
      <w:pPr>
        <w:pStyle w:val="TEKSTIIIIII"/>
        <w:jc w:val="center"/>
        <w:rPr>
          <w:rFonts w:eastAsia="Times New Roman"/>
          <w:i/>
          <w:iCs/>
          <w:lang w:eastAsia="en-GB"/>
        </w:rPr>
      </w:pPr>
      <w:r w:rsidRPr="00EE038F">
        <w:rPr>
          <w:rFonts w:eastAsia="Times New Roman"/>
          <w:i/>
          <w:iCs/>
          <w:lang w:eastAsia="en-GB"/>
        </w:rPr>
        <w:t>Tabela 4.6.2: Huamarrja e brendshme (</w:t>
      </w:r>
      <w:r w:rsidR="00E50EC1" w:rsidRPr="00EE038F">
        <w:rPr>
          <w:rFonts w:eastAsia="Times New Roman"/>
          <w:i/>
          <w:iCs/>
          <w:lang w:eastAsia="en-GB"/>
        </w:rPr>
        <w:t xml:space="preserve">janar–shtator </w:t>
      </w:r>
      <w:r w:rsidRPr="00EE038F">
        <w:rPr>
          <w:rFonts w:eastAsia="Times New Roman"/>
          <w:i/>
          <w:iCs/>
          <w:lang w:eastAsia="en-GB"/>
        </w:rPr>
        <w:t>2024)</w:t>
      </w:r>
    </w:p>
    <w:p w14:paraId="08B2696F" w14:textId="77777777" w:rsidR="00C50585" w:rsidRPr="00EE038F" w:rsidRDefault="00C50585" w:rsidP="00066DFC">
      <w:pPr>
        <w:spacing w:after="0" w:line="240" w:lineRule="auto"/>
        <w:jc w:val="center"/>
        <w:rPr>
          <w:rFonts w:ascii="Garamond" w:eastAsia="Times New Roman" w:hAnsi="Garamond"/>
          <w:sz w:val="24"/>
          <w:szCs w:val="24"/>
          <w:lang w:eastAsia="en-GB"/>
        </w:rPr>
      </w:pPr>
      <w:r w:rsidRPr="00EE038F">
        <w:rPr>
          <w:rFonts w:ascii="Garamond" w:hAnsi="Garamond"/>
          <w:noProof/>
          <w:lang w:eastAsia="en-GB"/>
        </w:rPr>
        <w:drawing>
          <wp:inline distT="0" distB="0" distL="0" distR="0" wp14:anchorId="541422B4" wp14:editId="23843985">
            <wp:extent cx="5698541" cy="2060977"/>
            <wp:effectExtent l="0" t="0" r="0" b="0"/>
            <wp:docPr id="2783288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54003" cy="2081036"/>
                    </a:xfrm>
                    <a:prstGeom prst="rect">
                      <a:avLst/>
                    </a:prstGeom>
                    <a:noFill/>
                    <a:ln>
                      <a:noFill/>
                    </a:ln>
                  </pic:spPr>
                </pic:pic>
              </a:graphicData>
            </a:graphic>
          </wp:inline>
        </w:drawing>
      </w:r>
      <w:r w:rsidRPr="00EE038F">
        <w:rPr>
          <w:rFonts w:ascii="Garamond" w:hAnsi="Garamond"/>
          <w:i/>
          <w:sz w:val="24"/>
          <w:szCs w:val="24"/>
        </w:rPr>
        <w:t>Burimi: Ministria e Financave, 2024</w:t>
      </w:r>
    </w:p>
    <w:p w14:paraId="3F836D17" w14:textId="77777777" w:rsidR="00C50585" w:rsidRPr="00EE038F" w:rsidRDefault="00C50585" w:rsidP="00C50585">
      <w:pPr>
        <w:spacing w:after="0" w:line="240" w:lineRule="auto"/>
        <w:jc w:val="both"/>
        <w:rPr>
          <w:rFonts w:ascii="Garamond" w:hAnsi="Garamond"/>
          <w:sz w:val="24"/>
          <w:szCs w:val="24"/>
          <w:lang w:eastAsia="en-GB"/>
        </w:rPr>
      </w:pPr>
    </w:p>
    <w:p w14:paraId="2FFCD3D0" w14:textId="4C83358F" w:rsidR="00C50585" w:rsidRPr="00EE038F" w:rsidRDefault="00C50585" w:rsidP="003C1C9C">
      <w:pPr>
        <w:pStyle w:val="TEKSTIIIIII"/>
      </w:pPr>
      <w:r w:rsidRPr="00EE038F">
        <w:rPr>
          <w:lang w:eastAsia="en-GB"/>
        </w:rPr>
        <w:t>Për</w:t>
      </w:r>
      <w:r w:rsidR="00066DFC" w:rsidRPr="00EE038F">
        <w:rPr>
          <w:lang w:eastAsia="en-GB"/>
        </w:rPr>
        <w:t xml:space="preserve"> </w:t>
      </w:r>
      <w:r w:rsidRPr="00EE038F">
        <w:rPr>
          <w:lang w:eastAsia="en-GB"/>
        </w:rPr>
        <w:t xml:space="preserve">sa i përket huamarrjes së huaj, </w:t>
      </w:r>
      <w:r w:rsidRPr="00EE038F">
        <w:t>gjatë nëntëmujori</w:t>
      </w:r>
      <w:r w:rsidRPr="00EE038F">
        <w:rPr>
          <w:rStyle w:val="normaltextrun"/>
        </w:rPr>
        <w:t>t</w:t>
      </w:r>
      <w:r w:rsidRPr="00EE038F">
        <w:t xml:space="preserve"> të </w:t>
      </w:r>
      <w:r w:rsidRPr="00EE038F">
        <w:rPr>
          <w:lang w:eastAsia="ja-JP"/>
        </w:rPr>
        <w:t>vitit 2024</w:t>
      </w:r>
      <w:r w:rsidRPr="00EE038F">
        <w:rPr>
          <w:lang w:eastAsia="en-GB"/>
        </w:rPr>
        <w:t>, huamarrja e huaj bruto u realizua n</w:t>
      </w:r>
      <w:r w:rsidR="00C91045">
        <w:rPr>
          <w:lang w:eastAsia="en-GB"/>
        </w:rPr>
        <w:t>ë</w:t>
      </w:r>
      <w:r w:rsidRPr="00EE038F">
        <w:rPr>
          <w:lang w:eastAsia="en-GB"/>
        </w:rPr>
        <w:t xml:space="preserve"> nivelin 14.3 miliard</w:t>
      </w:r>
      <w:r w:rsidR="002E3958" w:rsidRPr="00EE038F">
        <w:rPr>
          <w:lang w:eastAsia="en-GB"/>
        </w:rPr>
        <w:t>ë</w:t>
      </w:r>
      <w:r w:rsidRPr="00EE038F">
        <w:rPr>
          <w:lang w:eastAsia="en-GB"/>
        </w:rPr>
        <w:t xml:space="preserve"> </w:t>
      </w:r>
      <w:r w:rsidR="002E3958" w:rsidRPr="00EE038F">
        <w:rPr>
          <w:lang w:eastAsia="en-GB"/>
        </w:rPr>
        <w:t>lekë</w:t>
      </w:r>
      <w:r w:rsidRPr="00EE038F">
        <w:rPr>
          <w:lang w:eastAsia="en-GB"/>
        </w:rPr>
        <w:t xml:space="preserve">. Peshën kryesore në huamarrjen e huaj gjatë këtij </w:t>
      </w:r>
      <w:r w:rsidRPr="00EE038F">
        <w:t>nëntëmujori</w:t>
      </w:r>
      <w:r w:rsidRPr="00EE038F">
        <w:rPr>
          <w:lang w:eastAsia="en-GB"/>
        </w:rPr>
        <w:t xml:space="preserve"> e mbajnë </w:t>
      </w:r>
      <w:r w:rsidRPr="00EE038F">
        <w:rPr>
          <w:shd w:val="clear" w:color="auto" w:fill="FFFFFF"/>
        </w:rPr>
        <w:t xml:space="preserve">kreditë për financim projektesh dhe </w:t>
      </w:r>
      <w:r w:rsidRPr="00EE038F">
        <w:rPr>
          <w:lang w:eastAsia="en-GB"/>
        </w:rPr>
        <w:t xml:space="preserve">kreditë në formën e </w:t>
      </w:r>
      <w:r w:rsidRPr="00EE038F">
        <w:rPr>
          <w:shd w:val="clear" w:color="auto" w:fill="FFFFFF"/>
        </w:rPr>
        <w:t xml:space="preserve">mbështetjes buxhetore. </w:t>
      </w:r>
    </w:p>
    <w:p w14:paraId="11569ED8" w14:textId="77777777" w:rsidR="00C50585" w:rsidRPr="00EE038F" w:rsidRDefault="00C50585" w:rsidP="003C1C9C">
      <w:pPr>
        <w:pStyle w:val="TEKSTIIIIII"/>
        <w:rPr>
          <w:rFonts w:eastAsia="Times New Roman"/>
          <w:lang w:eastAsia="en-GB"/>
        </w:rPr>
      </w:pPr>
    </w:p>
    <w:p w14:paraId="1EEB347E" w14:textId="77777777" w:rsidR="00FB5945" w:rsidRPr="00EE038F" w:rsidRDefault="00FB5945" w:rsidP="00066DFC">
      <w:pPr>
        <w:spacing w:after="0" w:line="240" w:lineRule="auto"/>
        <w:jc w:val="center"/>
        <w:rPr>
          <w:rFonts w:ascii="Garamond" w:eastAsia="Times New Roman" w:hAnsi="Garamond"/>
          <w:lang w:eastAsia="en-GB"/>
        </w:rPr>
      </w:pPr>
    </w:p>
    <w:p w14:paraId="62C2441D" w14:textId="77777777" w:rsidR="00FB5945" w:rsidRPr="00EE038F" w:rsidRDefault="00FB5945" w:rsidP="00066DFC">
      <w:pPr>
        <w:spacing w:after="0" w:line="240" w:lineRule="auto"/>
        <w:jc w:val="center"/>
        <w:rPr>
          <w:rFonts w:ascii="Garamond" w:eastAsia="Times New Roman" w:hAnsi="Garamond"/>
          <w:lang w:eastAsia="en-GB"/>
        </w:rPr>
      </w:pPr>
    </w:p>
    <w:p w14:paraId="3056A47D" w14:textId="77777777" w:rsidR="00FB5945" w:rsidRPr="00EE038F" w:rsidRDefault="00FB5945" w:rsidP="00066DFC">
      <w:pPr>
        <w:spacing w:after="0" w:line="240" w:lineRule="auto"/>
        <w:jc w:val="center"/>
        <w:rPr>
          <w:rFonts w:ascii="Garamond" w:eastAsia="Times New Roman" w:hAnsi="Garamond"/>
          <w:lang w:eastAsia="en-GB"/>
        </w:rPr>
      </w:pPr>
    </w:p>
    <w:p w14:paraId="6A7B086E" w14:textId="77777777" w:rsidR="00FB5945" w:rsidRPr="00EE038F" w:rsidRDefault="00FB5945" w:rsidP="00066DFC">
      <w:pPr>
        <w:spacing w:after="0" w:line="240" w:lineRule="auto"/>
        <w:jc w:val="center"/>
        <w:rPr>
          <w:rFonts w:ascii="Garamond" w:eastAsia="Times New Roman" w:hAnsi="Garamond"/>
          <w:lang w:eastAsia="en-GB"/>
        </w:rPr>
      </w:pPr>
    </w:p>
    <w:p w14:paraId="3CC0D049" w14:textId="77777777" w:rsidR="00FB5945" w:rsidRPr="00EE038F" w:rsidRDefault="00FB5945" w:rsidP="00066DFC">
      <w:pPr>
        <w:spacing w:after="0" w:line="240" w:lineRule="auto"/>
        <w:jc w:val="center"/>
        <w:rPr>
          <w:rFonts w:ascii="Garamond" w:eastAsia="Times New Roman" w:hAnsi="Garamond"/>
          <w:lang w:eastAsia="en-GB"/>
        </w:rPr>
      </w:pPr>
    </w:p>
    <w:p w14:paraId="3486916F" w14:textId="77777777" w:rsidR="00FB5945" w:rsidRPr="00EE038F" w:rsidRDefault="00FB5945" w:rsidP="00066DFC">
      <w:pPr>
        <w:spacing w:after="0" w:line="240" w:lineRule="auto"/>
        <w:jc w:val="center"/>
        <w:rPr>
          <w:rFonts w:ascii="Garamond" w:eastAsia="Times New Roman" w:hAnsi="Garamond"/>
          <w:lang w:eastAsia="en-GB"/>
        </w:rPr>
      </w:pPr>
    </w:p>
    <w:p w14:paraId="1BE5D66C" w14:textId="77777777" w:rsidR="00FB5945" w:rsidRPr="00EE038F" w:rsidRDefault="00FB5945" w:rsidP="00066DFC">
      <w:pPr>
        <w:spacing w:after="0" w:line="240" w:lineRule="auto"/>
        <w:jc w:val="center"/>
        <w:rPr>
          <w:rFonts w:ascii="Garamond" w:eastAsia="Times New Roman" w:hAnsi="Garamond"/>
          <w:lang w:eastAsia="en-GB"/>
        </w:rPr>
      </w:pPr>
    </w:p>
    <w:p w14:paraId="4318747F" w14:textId="5B5FB11E" w:rsidR="00C50585" w:rsidRPr="00EE038F" w:rsidRDefault="00C50585" w:rsidP="00C42028">
      <w:pPr>
        <w:spacing w:after="0" w:line="240" w:lineRule="auto"/>
        <w:jc w:val="center"/>
        <w:rPr>
          <w:rFonts w:ascii="Garamond" w:eastAsia="Times New Roman" w:hAnsi="Garamond"/>
          <w:i/>
          <w:sz w:val="24"/>
          <w:szCs w:val="24"/>
          <w:lang w:eastAsia="en-GB"/>
        </w:rPr>
      </w:pPr>
      <w:r w:rsidRPr="00EE038F">
        <w:rPr>
          <w:rFonts w:ascii="Garamond" w:eastAsia="Times New Roman" w:hAnsi="Garamond"/>
          <w:i/>
          <w:sz w:val="24"/>
          <w:szCs w:val="24"/>
          <w:lang w:eastAsia="en-GB"/>
        </w:rPr>
        <w:lastRenderedPageBreak/>
        <w:t>Tabela 4.6.3: Huamarrja e jashtme</w:t>
      </w:r>
    </w:p>
    <w:p w14:paraId="1C3A168A" w14:textId="77777777" w:rsidR="00C50585" w:rsidRPr="00EE038F" w:rsidRDefault="00C50585" w:rsidP="00C42028">
      <w:pPr>
        <w:spacing w:after="0" w:line="240" w:lineRule="auto"/>
        <w:jc w:val="center"/>
        <w:rPr>
          <w:rFonts w:ascii="Garamond" w:eastAsia="Times New Roman" w:hAnsi="Garamond"/>
          <w:i/>
          <w:sz w:val="24"/>
          <w:szCs w:val="24"/>
          <w:lang w:eastAsia="en-GB"/>
        </w:rPr>
      </w:pPr>
      <w:r w:rsidRPr="00EE038F">
        <w:rPr>
          <w:rFonts w:ascii="Garamond" w:hAnsi="Garamond"/>
          <w:noProof/>
          <w:lang w:eastAsia="en-GB"/>
        </w:rPr>
        <w:drawing>
          <wp:inline distT="0" distB="0" distL="0" distR="0" wp14:anchorId="229F6CE6" wp14:editId="59217544">
            <wp:extent cx="5625389" cy="1139760"/>
            <wp:effectExtent l="0" t="0" r="0" b="3810"/>
            <wp:docPr id="14557919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76560" cy="1150128"/>
                    </a:xfrm>
                    <a:prstGeom prst="rect">
                      <a:avLst/>
                    </a:prstGeom>
                    <a:noFill/>
                    <a:ln>
                      <a:noFill/>
                    </a:ln>
                  </pic:spPr>
                </pic:pic>
              </a:graphicData>
            </a:graphic>
          </wp:inline>
        </w:drawing>
      </w:r>
      <w:r w:rsidRPr="00EE038F">
        <w:rPr>
          <w:rFonts w:ascii="Garamond" w:hAnsi="Garamond"/>
          <w:i/>
          <w:sz w:val="24"/>
          <w:szCs w:val="24"/>
        </w:rPr>
        <w:t>Burimi: Ministria e Financave, 2024</w:t>
      </w:r>
    </w:p>
    <w:p w14:paraId="7B7F5CE8" w14:textId="77777777" w:rsidR="00C50585" w:rsidRPr="00EE038F" w:rsidRDefault="00C50585" w:rsidP="00C50585">
      <w:pPr>
        <w:spacing w:after="0" w:line="240" w:lineRule="auto"/>
        <w:jc w:val="both"/>
        <w:rPr>
          <w:rFonts w:ascii="Garamond" w:hAnsi="Garamond"/>
          <w:bCs/>
          <w:i/>
          <w:iCs/>
        </w:rPr>
      </w:pPr>
    </w:p>
    <w:p w14:paraId="601C39FF" w14:textId="432815C7" w:rsidR="00C50585" w:rsidRPr="00EE038F" w:rsidRDefault="00C50585" w:rsidP="003C1C9C">
      <w:pPr>
        <w:pStyle w:val="TEKSTIIIIII"/>
        <w:rPr>
          <w:i/>
        </w:rPr>
      </w:pPr>
      <w:r w:rsidRPr="00EE038F">
        <w:rPr>
          <w:i/>
        </w:rPr>
        <w:t>Kosto</w:t>
      </w:r>
      <w:r w:rsidR="00C42028" w:rsidRPr="00EE038F">
        <w:rPr>
          <w:i/>
        </w:rPr>
        <w:t>t</w:t>
      </w:r>
      <w:r w:rsidRPr="00EE038F">
        <w:rPr>
          <w:i/>
        </w:rPr>
        <w:t xml:space="preserve"> dhe </w:t>
      </w:r>
      <w:r w:rsidR="00C42028" w:rsidRPr="00EE038F">
        <w:rPr>
          <w:i/>
        </w:rPr>
        <w:t>risqet</w:t>
      </w:r>
    </w:p>
    <w:p w14:paraId="35E9E672" w14:textId="36EDEB60" w:rsidR="00C50585" w:rsidRPr="00EE038F" w:rsidRDefault="00C50585" w:rsidP="003C1C9C">
      <w:pPr>
        <w:pStyle w:val="TEKSTIIIIII"/>
        <w:rPr>
          <w:rFonts w:eastAsia="SimSun"/>
          <w:lang w:eastAsia="en-GB"/>
        </w:rPr>
      </w:pPr>
      <w:r w:rsidRPr="00EE038F">
        <w:rPr>
          <w:rFonts w:eastAsia="SimSun"/>
          <w:lang w:eastAsia="en-GB"/>
        </w:rPr>
        <w:t xml:space="preserve">Për sa </w:t>
      </w:r>
      <w:r w:rsidR="00C42028" w:rsidRPr="00EE038F">
        <w:rPr>
          <w:rFonts w:eastAsia="SimSun"/>
          <w:lang w:eastAsia="en-GB"/>
        </w:rPr>
        <w:t>u</w:t>
      </w:r>
      <w:r w:rsidRPr="00EE038F">
        <w:rPr>
          <w:rFonts w:eastAsia="SimSun"/>
          <w:lang w:eastAsia="en-GB"/>
        </w:rPr>
        <w:t xml:space="preserve"> përket raporteve të kostos dhe riskut, Ministria e Financave</w:t>
      </w:r>
      <w:r w:rsidR="008709C0" w:rsidRPr="00EE038F">
        <w:rPr>
          <w:rFonts w:eastAsia="SimSun"/>
          <w:lang w:eastAsia="en-GB"/>
        </w:rPr>
        <w:t>,</w:t>
      </w:r>
      <w:r w:rsidRPr="00EE038F">
        <w:rPr>
          <w:rFonts w:eastAsia="SimSun"/>
          <w:lang w:eastAsia="en-GB"/>
        </w:rPr>
        <w:t xml:space="preserve"> në kuadër të mirëmenaxhimit të portofolit të borxhit</w:t>
      </w:r>
      <w:r w:rsidR="008709C0" w:rsidRPr="00EE038F">
        <w:rPr>
          <w:rFonts w:eastAsia="SimSun"/>
          <w:lang w:eastAsia="en-GB"/>
        </w:rPr>
        <w:t>,</w:t>
      </w:r>
      <w:r w:rsidRPr="00EE038F">
        <w:rPr>
          <w:rFonts w:eastAsia="SimSun"/>
          <w:lang w:eastAsia="en-GB"/>
        </w:rPr>
        <w:t xml:space="preserve"> ka vijuar përpjekjet në drejtim të reduktimit të ekspozimit ndaj risqeve</w:t>
      </w:r>
      <w:r w:rsidR="008709C0" w:rsidRPr="00EE038F">
        <w:rPr>
          <w:rFonts w:eastAsia="SimSun"/>
          <w:lang w:eastAsia="en-GB"/>
        </w:rPr>
        <w:t>,</w:t>
      </w:r>
      <w:r w:rsidRPr="00EE038F">
        <w:rPr>
          <w:rFonts w:eastAsia="SimSun"/>
          <w:lang w:eastAsia="en-GB"/>
        </w:rPr>
        <w:t xml:space="preserve"> duke mbajtur koston në nivelin më të ulët të mundshëm</w:t>
      </w:r>
      <w:r w:rsidR="008709C0" w:rsidRPr="00EE038F">
        <w:rPr>
          <w:rFonts w:eastAsia="SimSun"/>
          <w:lang w:eastAsia="en-GB"/>
        </w:rPr>
        <w:t>,</w:t>
      </w:r>
      <w:r w:rsidRPr="00EE038F">
        <w:rPr>
          <w:rFonts w:eastAsia="SimSun"/>
          <w:lang w:eastAsia="en-GB"/>
        </w:rPr>
        <w:t xml:space="preserve"> sipas kushteve aktuale të tregut.</w:t>
      </w:r>
    </w:p>
    <w:p w14:paraId="693A7216" w14:textId="21A06663" w:rsidR="00C50585" w:rsidRPr="00EE038F" w:rsidRDefault="00C50585" w:rsidP="003C1C9C">
      <w:pPr>
        <w:pStyle w:val="TEKSTIIIIII"/>
        <w:rPr>
          <w:rFonts w:eastAsia="SimSun"/>
        </w:rPr>
      </w:pPr>
      <w:r w:rsidRPr="00EE038F">
        <w:rPr>
          <w:rFonts w:eastAsia="SimSun"/>
        </w:rPr>
        <w:t xml:space="preserve">Strategjia </w:t>
      </w:r>
      <w:r w:rsidR="00E534C6" w:rsidRPr="00EE038F">
        <w:rPr>
          <w:rFonts w:eastAsia="SimSun"/>
        </w:rPr>
        <w:t xml:space="preserve">afatmesme e menaxhimit të borxhit </w:t>
      </w:r>
      <w:r w:rsidRPr="00EE038F">
        <w:rPr>
          <w:rFonts w:eastAsia="SimSun"/>
        </w:rPr>
        <w:t>synon të përmirësojë më tej strukturën e borxhit (kryesisht strukturën e portofolit të borxhit të brendshëm), në drejtim të uljes së ekspozimit ndaj risqeve, si dhe mbajtjes së kostos në nivelet më të ulëta të mundshme, bazuar në kushtet aktuale të tregut. Gjatë nëntëmujorit të vitit 2024, strukturat pranë Ministrisë së Financave përgjegjëse për menaxhimin e portofolit të borxhit, kanë vazhduar përpjekjet në kuadër të mirëmenaxhimit të portofolit të borxhit, dhe të gjithë indikatorët e riskut kanë evoluar në drejtim të objektivave strategjik</w:t>
      </w:r>
      <w:r w:rsidR="008709C0" w:rsidRPr="00EE038F">
        <w:rPr>
          <w:rFonts w:eastAsia="SimSun"/>
        </w:rPr>
        <w:t>ë</w:t>
      </w:r>
      <w:r w:rsidRPr="00EE038F">
        <w:rPr>
          <w:rFonts w:eastAsia="SimSun"/>
        </w:rPr>
        <w:t>. Përzgjedhja e titujv</w:t>
      </w:r>
      <w:r w:rsidR="008709C0" w:rsidRPr="00EE038F">
        <w:rPr>
          <w:rFonts w:eastAsia="SimSun"/>
        </w:rPr>
        <w:t>e</w:t>
      </w:r>
      <w:r w:rsidRPr="00EE038F">
        <w:rPr>
          <w:rFonts w:eastAsia="SimSun"/>
        </w:rPr>
        <w:t xml:space="preserve"> dhe orientimi i huamarrjes drejt titujve afatgjatë me norma interesi fikse, ka favorizuar evolimin e infikatorëve të riskut drejt objektivave strategjik</w:t>
      </w:r>
      <w:r w:rsidR="006C0565" w:rsidRPr="00EE038F">
        <w:rPr>
          <w:rFonts w:eastAsia="SimSun"/>
        </w:rPr>
        <w:t>ë</w:t>
      </w:r>
      <w:r w:rsidRPr="00EE038F">
        <w:rPr>
          <w:rFonts w:eastAsia="SimSun"/>
        </w:rPr>
        <w:t>.</w:t>
      </w:r>
    </w:p>
    <w:p w14:paraId="0237AB8F" w14:textId="527F259E" w:rsidR="00C50585" w:rsidRPr="00EE038F" w:rsidRDefault="00C50585" w:rsidP="003C1C9C">
      <w:pPr>
        <w:pStyle w:val="TEKSTIIIIII"/>
        <w:rPr>
          <w:rFonts w:eastAsia="SimSun"/>
        </w:rPr>
      </w:pPr>
      <w:r w:rsidRPr="00EE038F">
        <w:rPr>
          <w:rFonts w:eastAsia="SimSun"/>
        </w:rPr>
        <w:t>Jetëgjatësia e borxhit të brendshëm (ditët mesatare në maturim) janë rritur me 93 ditë, nga 835 ditë (2.32 v</w:t>
      </w:r>
      <w:r w:rsidR="006C0565" w:rsidRPr="00EE038F">
        <w:rPr>
          <w:rFonts w:eastAsia="SimSun"/>
        </w:rPr>
        <w:t>jet</w:t>
      </w:r>
      <w:r w:rsidRPr="00EE038F">
        <w:rPr>
          <w:rFonts w:eastAsia="SimSun"/>
        </w:rPr>
        <w:t>) në fund të vitit 2023 në 928 ditë (2.58 v</w:t>
      </w:r>
      <w:r w:rsidR="000C2797" w:rsidRPr="00EE038F">
        <w:rPr>
          <w:rFonts w:eastAsia="SimSun"/>
        </w:rPr>
        <w:t>jet</w:t>
      </w:r>
      <w:r w:rsidRPr="00EE038F">
        <w:rPr>
          <w:rFonts w:eastAsia="SimSun"/>
        </w:rPr>
        <w:t>) në fund të muajit shtator 2024. Gjithashtu, pesha e borxhit që maturohet brenda një viti është reduktuar nga 44.7% në fund të vitit 2023, në 41.1% në shtator 2024.</w:t>
      </w:r>
    </w:p>
    <w:p w14:paraId="2CBD4034" w14:textId="1A707D3C" w:rsidR="00C50585" w:rsidRPr="00EE038F" w:rsidRDefault="00C50585" w:rsidP="003C1C9C">
      <w:pPr>
        <w:pStyle w:val="TEKSTIIIIII"/>
        <w:rPr>
          <w:rFonts w:eastAsia="SimSun"/>
        </w:rPr>
      </w:pPr>
      <w:r w:rsidRPr="00EE038F">
        <w:rPr>
          <w:rFonts w:eastAsia="SimSun"/>
        </w:rPr>
        <w:t>Për sa i përket riskut të normave të interesit, është rritur koha mesatare në rifiksim nga 2.33 v</w:t>
      </w:r>
      <w:r w:rsidR="00F26A5E" w:rsidRPr="00EE038F">
        <w:rPr>
          <w:rFonts w:eastAsia="SimSun"/>
        </w:rPr>
        <w:t>jet</w:t>
      </w:r>
      <w:r w:rsidRPr="00EE038F">
        <w:rPr>
          <w:rFonts w:eastAsia="SimSun"/>
        </w:rPr>
        <w:t xml:space="preserve"> në dhjetor 2023 në 2.59 v</w:t>
      </w:r>
      <w:r w:rsidR="00F26A5E" w:rsidRPr="00EE038F">
        <w:rPr>
          <w:rFonts w:eastAsia="SimSun"/>
        </w:rPr>
        <w:t>jet</w:t>
      </w:r>
      <w:r w:rsidRPr="00EE038F">
        <w:rPr>
          <w:rFonts w:eastAsia="SimSun"/>
        </w:rPr>
        <w:t xml:space="preserve"> në muajin shtator 2024, ndërkohë që është reduktuar pesha e instrumenteve që rifiksojnë normën e interesit nga 45.4% në fund të vitit 2023, në 41.5% në shtator 2024. </w:t>
      </w:r>
    </w:p>
    <w:p w14:paraId="7354C7A8" w14:textId="464CBBFA" w:rsidR="00C50585" w:rsidRPr="00EE038F" w:rsidRDefault="00C50585" w:rsidP="003C1C9C">
      <w:pPr>
        <w:pStyle w:val="TEKSTIIIIII"/>
        <w:rPr>
          <w:rFonts w:eastAsia="SimSun"/>
        </w:rPr>
      </w:pPr>
      <w:r w:rsidRPr="00EE038F">
        <w:rPr>
          <w:rFonts w:eastAsia="SimSun"/>
        </w:rPr>
        <w:t>Risku i kursit të këmbimit është mbajtur nën kontroll</w:t>
      </w:r>
      <w:r w:rsidR="00871CE2" w:rsidRPr="00EE038F">
        <w:rPr>
          <w:rFonts w:eastAsia="SimSun"/>
        </w:rPr>
        <w:t>,</w:t>
      </w:r>
      <w:r w:rsidRPr="00EE038F">
        <w:rPr>
          <w:rFonts w:eastAsia="SimSun"/>
        </w:rPr>
        <w:t xml:space="preserve"> duke qëndruar nën tavanin e përcaktuar në strategji. Konkretisht, totali i stokut të borxhit në valutë ndaj stokut të borxhit total rezultoi 42.0% në fund të shtator 2024.</w:t>
      </w:r>
    </w:p>
    <w:p w14:paraId="167C74CA" w14:textId="77777777" w:rsidR="00C50585" w:rsidRPr="00EE038F" w:rsidRDefault="00C50585" w:rsidP="00C50585">
      <w:pPr>
        <w:tabs>
          <w:tab w:val="left" w:pos="265"/>
          <w:tab w:val="center" w:pos="4666"/>
          <w:tab w:val="left" w:pos="9356"/>
        </w:tabs>
        <w:spacing w:after="0" w:line="240" w:lineRule="auto"/>
        <w:jc w:val="both"/>
        <w:rPr>
          <w:rFonts w:ascii="Garamond" w:eastAsia="SimSun" w:hAnsi="Garamond"/>
        </w:rPr>
      </w:pPr>
    </w:p>
    <w:p w14:paraId="3F992D7E" w14:textId="608687DC" w:rsidR="00C50585" w:rsidRPr="00EE038F" w:rsidRDefault="00C50585" w:rsidP="00871CE2">
      <w:pPr>
        <w:spacing w:after="0" w:line="240" w:lineRule="auto"/>
        <w:jc w:val="center"/>
        <w:rPr>
          <w:rFonts w:ascii="Garamond" w:eastAsia="SimSun" w:hAnsi="Garamond"/>
          <w:bCs/>
          <w:i/>
        </w:rPr>
      </w:pPr>
      <w:r w:rsidRPr="00EE038F">
        <w:rPr>
          <w:rFonts w:ascii="Garamond" w:eastAsia="SimSun" w:hAnsi="Garamond"/>
          <w:bCs/>
          <w:i/>
          <w:iCs/>
          <w:sz w:val="24"/>
          <w:szCs w:val="24"/>
        </w:rPr>
        <w:t>Ta</w:t>
      </w:r>
      <w:r w:rsidRPr="00EE038F">
        <w:rPr>
          <w:rFonts w:ascii="Garamond" w:eastAsia="SimSun" w:hAnsi="Garamond"/>
          <w:bCs/>
          <w:i/>
          <w:sz w:val="24"/>
          <w:szCs w:val="24"/>
        </w:rPr>
        <w:t>bela 4.6.4: Treguesit e riskut të borxhit të brendshëm shtetëror</w:t>
      </w:r>
    </w:p>
    <w:p w14:paraId="727318E1" w14:textId="77777777" w:rsidR="00C50585" w:rsidRPr="00EE038F" w:rsidRDefault="00C50585" w:rsidP="00986479">
      <w:pPr>
        <w:spacing w:after="0" w:line="240" w:lineRule="auto"/>
        <w:jc w:val="center"/>
        <w:rPr>
          <w:rFonts w:ascii="Garamond" w:hAnsi="Garamond"/>
        </w:rPr>
      </w:pPr>
      <w:r w:rsidRPr="00EE038F">
        <w:rPr>
          <w:rFonts w:ascii="Garamond" w:hAnsi="Garamond"/>
          <w:noProof/>
          <w:lang w:eastAsia="en-GB"/>
        </w:rPr>
        <w:drawing>
          <wp:inline distT="0" distB="0" distL="0" distR="0" wp14:anchorId="739C9701" wp14:editId="5959F161">
            <wp:extent cx="5713171" cy="1122985"/>
            <wp:effectExtent l="0" t="0" r="1905" b="1270"/>
            <wp:docPr id="20178731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56411" cy="1131484"/>
                    </a:xfrm>
                    <a:prstGeom prst="rect">
                      <a:avLst/>
                    </a:prstGeom>
                    <a:noFill/>
                    <a:ln>
                      <a:noFill/>
                    </a:ln>
                  </pic:spPr>
                </pic:pic>
              </a:graphicData>
            </a:graphic>
          </wp:inline>
        </w:drawing>
      </w:r>
    </w:p>
    <w:p w14:paraId="448E7556" w14:textId="77777777" w:rsidR="00C50585" w:rsidRPr="00EE038F" w:rsidRDefault="00C50585" w:rsidP="00871CE2">
      <w:pPr>
        <w:spacing w:after="0" w:line="240" w:lineRule="auto"/>
        <w:jc w:val="center"/>
        <w:rPr>
          <w:rFonts w:ascii="Garamond" w:hAnsi="Garamond"/>
          <w:i/>
          <w:sz w:val="24"/>
          <w:szCs w:val="24"/>
        </w:rPr>
      </w:pPr>
      <w:r w:rsidRPr="00EE038F">
        <w:rPr>
          <w:rFonts w:ascii="Garamond" w:hAnsi="Garamond"/>
          <w:i/>
          <w:sz w:val="24"/>
          <w:szCs w:val="24"/>
        </w:rPr>
        <w:t>Burimi: Ministria e Financave, 2024</w:t>
      </w:r>
    </w:p>
    <w:p w14:paraId="283838FD" w14:textId="77777777" w:rsidR="003C1C9C" w:rsidRPr="00EE038F" w:rsidRDefault="003C1C9C" w:rsidP="00C50585">
      <w:pPr>
        <w:tabs>
          <w:tab w:val="left" w:pos="360"/>
        </w:tabs>
        <w:spacing w:after="0" w:line="240" w:lineRule="auto"/>
        <w:jc w:val="both"/>
        <w:rPr>
          <w:rFonts w:ascii="Garamond" w:eastAsia="SimSun" w:hAnsi="Garamond"/>
          <w:color w:val="000000"/>
        </w:rPr>
      </w:pPr>
    </w:p>
    <w:p w14:paraId="0FEF0619" w14:textId="79CCFACD" w:rsidR="00C50585" w:rsidRPr="00EE038F" w:rsidRDefault="00C50585" w:rsidP="003C1C9C">
      <w:pPr>
        <w:pStyle w:val="TEKSTIIIIII"/>
        <w:rPr>
          <w:rFonts w:eastAsia="SimSun"/>
        </w:rPr>
      </w:pPr>
      <w:r w:rsidRPr="00EE038F">
        <w:rPr>
          <w:rFonts w:eastAsia="SimSun"/>
        </w:rPr>
        <w:t>Gjatë nëntëmujorit të vitit 2024, shpenzimet për interesa të borxhit përllogariten në vlerën prej 44.7 miliard</w:t>
      </w:r>
      <w:r w:rsidR="00B92A5D" w:rsidRPr="00EE038F">
        <w:rPr>
          <w:rFonts w:eastAsia="SimSun"/>
        </w:rPr>
        <w:t>ë</w:t>
      </w:r>
      <w:r w:rsidRPr="00EE038F">
        <w:rPr>
          <w:rFonts w:eastAsia="SimSun"/>
        </w:rPr>
        <w:t xml:space="preserve"> </w:t>
      </w:r>
      <w:r w:rsidR="00B92A5D" w:rsidRPr="00EE038F">
        <w:rPr>
          <w:rFonts w:eastAsia="SimSun"/>
        </w:rPr>
        <w:t>lekësh</w:t>
      </w:r>
      <w:r w:rsidRPr="00EE038F">
        <w:rPr>
          <w:rFonts w:eastAsia="SimSun"/>
        </w:rPr>
        <w:t>, përkatësisht 29.4 miliard</w:t>
      </w:r>
      <w:r w:rsidR="00396FC0" w:rsidRPr="00EE038F">
        <w:rPr>
          <w:rFonts w:eastAsia="SimSun"/>
        </w:rPr>
        <w:t>ë</w:t>
      </w:r>
      <w:r w:rsidRPr="00EE038F">
        <w:rPr>
          <w:rFonts w:eastAsia="SimSun"/>
        </w:rPr>
        <w:t xml:space="preserve"> </w:t>
      </w:r>
      <w:r w:rsidR="00396FC0" w:rsidRPr="00EE038F">
        <w:rPr>
          <w:rFonts w:eastAsia="SimSun"/>
        </w:rPr>
        <w:t xml:space="preserve">lekë </w:t>
      </w:r>
      <w:r w:rsidRPr="00EE038F">
        <w:rPr>
          <w:rFonts w:eastAsia="SimSun"/>
        </w:rPr>
        <w:t>për interesa të borxhit të brendshëm dhe 15.3 miliard</w:t>
      </w:r>
      <w:r w:rsidR="00396FC0" w:rsidRPr="00EE038F">
        <w:rPr>
          <w:rFonts w:eastAsia="SimSun"/>
        </w:rPr>
        <w:t>ë</w:t>
      </w:r>
      <w:r w:rsidRPr="00EE038F">
        <w:rPr>
          <w:rFonts w:eastAsia="SimSun"/>
        </w:rPr>
        <w:t xml:space="preserve"> </w:t>
      </w:r>
      <w:r w:rsidR="00396FC0" w:rsidRPr="00EE038F">
        <w:rPr>
          <w:rFonts w:eastAsia="SimSun"/>
        </w:rPr>
        <w:t xml:space="preserve">lekë </w:t>
      </w:r>
      <w:r w:rsidRPr="00EE038F">
        <w:rPr>
          <w:rFonts w:eastAsia="SimSun"/>
        </w:rPr>
        <w:t>për interesa të borxhit të jashtëm. Ripagesat e borxhit të jashtëm për nëntëmujorin e vitit 2024 ishin 29.7 miliard</w:t>
      </w:r>
      <w:r w:rsidR="00396FC0" w:rsidRPr="00EE038F">
        <w:rPr>
          <w:rFonts w:eastAsia="SimSun"/>
        </w:rPr>
        <w:t>ë</w:t>
      </w:r>
      <w:r w:rsidRPr="00EE038F">
        <w:rPr>
          <w:rFonts w:eastAsia="SimSun"/>
        </w:rPr>
        <w:t xml:space="preserve"> </w:t>
      </w:r>
      <w:r w:rsidR="00396FC0" w:rsidRPr="00EE038F">
        <w:rPr>
          <w:rFonts w:eastAsia="SimSun"/>
        </w:rPr>
        <w:t xml:space="preserve">lekë </w:t>
      </w:r>
      <w:r w:rsidRPr="00EE038F">
        <w:rPr>
          <w:rFonts w:eastAsia="SimSun"/>
        </w:rPr>
        <w:t xml:space="preserve">(pagesa për principalin). </w:t>
      </w:r>
    </w:p>
    <w:p w14:paraId="5FC9ABCC" w14:textId="6732238E" w:rsidR="00C50585" w:rsidRPr="00EE038F" w:rsidRDefault="00C50585" w:rsidP="003C1C9C">
      <w:pPr>
        <w:pStyle w:val="TEKSTIIIIII"/>
        <w:rPr>
          <w:rFonts w:eastAsia="SimSun"/>
        </w:rPr>
      </w:pPr>
      <w:r w:rsidRPr="00EE038F">
        <w:rPr>
          <w:rFonts w:eastAsia="SimSun"/>
          <w:i/>
          <w:iCs/>
        </w:rPr>
        <w:t>Yield</w:t>
      </w:r>
      <w:r w:rsidRPr="00EE038F">
        <w:rPr>
          <w:rFonts w:eastAsia="SimSun"/>
        </w:rPr>
        <w:t xml:space="preserve">-i mesatar i ponderuar për </w:t>
      </w:r>
      <w:r w:rsidR="00396FC0" w:rsidRPr="00EE038F">
        <w:rPr>
          <w:rFonts w:eastAsia="SimSun"/>
        </w:rPr>
        <w:t xml:space="preserve">borxhin e brendshëm </w:t>
      </w:r>
      <w:r w:rsidRPr="00EE038F">
        <w:rPr>
          <w:rFonts w:eastAsia="SimSun"/>
        </w:rPr>
        <w:t xml:space="preserve">në fund të muajit shtator 2024 rezultoi në nivelin 4.58% nga niveli 4.48% në fundin e vitit 2023 (rritje me 0.1 pikë </w:t>
      </w:r>
      <w:r w:rsidR="009242F9" w:rsidRPr="00EE038F">
        <w:rPr>
          <w:rFonts w:eastAsia="SimSun"/>
        </w:rPr>
        <w:t>përqindje</w:t>
      </w:r>
      <w:r w:rsidR="00162532" w:rsidRPr="00EE038F">
        <w:rPr>
          <w:rFonts w:eastAsia="SimSun"/>
        </w:rPr>
        <w:t>je</w:t>
      </w:r>
      <w:r w:rsidRPr="00EE038F">
        <w:rPr>
          <w:rFonts w:eastAsia="SimSun"/>
        </w:rPr>
        <w:t xml:space="preserve">). Rritja ka ardhur në kategorinë e </w:t>
      </w:r>
      <w:r w:rsidR="00162532" w:rsidRPr="00EE038F">
        <w:rPr>
          <w:rFonts w:eastAsia="SimSun"/>
        </w:rPr>
        <w:t>instrumenteve</w:t>
      </w:r>
      <w:r w:rsidRPr="00EE038F">
        <w:rPr>
          <w:rFonts w:eastAsia="SimSun"/>
        </w:rPr>
        <w:t xml:space="preserve"> afatgjata</w:t>
      </w:r>
      <w:r w:rsidR="00162532" w:rsidRPr="00EE038F">
        <w:rPr>
          <w:rFonts w:eastAsia="SimSun"/>
        </w:rPr>
        <w:t>,</w:t>
      </w:r>
      <w:r w:rsidRPr="00EE038F">
        <w:rPr>
          <w:rFonts w:eastAsia="SimSun"/>
        </w:rPr>
        <w:t xml:space="preserve"> kryesisht si rrjedhojë e zëvendësimit të titujve me </w:t>
      </w:r>
      <w:r w:rsidRPr="00EE038F">
        <w:rPr>
          <w:rFonts w:eastAsia="SimSun"/>
        </w:rPr>
        <w:lastRenderedPageBreak/>
        <w:t>norma interesi të ulëta që maturohen, me tituj me norma interesi më të larta. Në portofolin e borxhit të huaj, kosto</w:t>
      </w:r>
      <w:r w:rsidR="004E321E" w:rsidRPr="00EE038F">
        <w:rPr>
          <w:rFonts w:eastAsia="SimSun"/>
        </w:rPr>
        <w:t>ja</w:t>
      </w:r>
      <w:r w:rsidRPr="00EE038F">
        <w:rPr>
          <w:rFonts w:eastAsia="SimSun"/>
        </w:rPr>
        <w:t xml:space="preserve"> mesatare për vitin 2024 parashikohet të rezultojë në vlerën 3.71% nga niveli 3.07% në fundin e vitit 2023 rritje me 0.64 pikë </w:t>
      </w:r>
      <w:r w:rsidR="009242F9" w:rsidRPr="00EE038F">
        <w:rPr>
          <w:rFonts w:eastAsia="SimSun"/>
        </w:rPr>
        <w:t>përqindje</w:t>
      </w:r>
      <w:r w:rsidR="004E321E" w:rsidRPr="00EE038F">
        <w:rPr>
          <w:rFonts w:eastAsia="SimSun"/>
        </w:rPr>
        <w:t>je</w:t>
      </w:r>
      <w:r w:rsidRPr="00EE038F">
        <w:rPr>
          <w:rFonts w:eastAsia="SimSun"/>
        </w:rPr>
        <w:t xml:space="preserve">), si rrjedhojë e po të njëjtit fenomen, atij të zëvendësimit të instrumenteve të borxhit të siguruara në periudha ku normat e interesit ishin në nivele të ulëta, me instrumente borxhi të siguruara në rrethana me norma interesi më të larta. </w:t>
      </w:r>
    </w:p>
    <w:p w14:paraId="56D08C39" w14:textId="2ED8FF78" w:rsidR="00C50585" w:rsidRPr="00EE038F" w:rsidRDefault="00C50585" w:rsidP="003C1C9C">
      <w:pPr>
        <w:pStyle w:val="TEKSTIIIIII"/>
        <w:rPr>
          <w:rFonts w:eastAsia="SimSun"/>
        </w:rPr>
      </w:pPr>
      <w:r w:rsidRPr="00EE038F">
        <w:rPr>
          <w:rFonts w:eastAsia="SimSun"/>
        </w:rPr>
        <w:t>Kjo ishte një rritje e pritshme që në fazën e përgatitjes së projektbuxhetit, ndaj edhe në zërin e shpenzimeve për interesa të borxhit ishin parashikuar fonde të cilat kanë rezultuar të mjaftueshme për vitin 2024. Efekti i rritjes së normave të interesit është reflektuar shumë i zbutur në koston reale të borxhit, kjo</w:t>
      </w:r>
      <w:r w:rsidR="0013352A" w:rsidRPr="00EE038F">
        <w:rPr>
          <w:rFonts w:eastAsia="SimSun"/>
        </w:rPr>
        <w:t>,</w:t>
      </w:r>
      <w:r w:rsidRPr="00EE038F">
        <w:rPr>
          <w:rFonts w:eastAsia="SimSun"/>
        </w:rPr>
        <w:t xml:space="preserve"> falë përmirësimit të strukturës së borxhit, rritjes vazhdueshme të peshës së borxhit me norma fikse dhe rritjes</w:t>
      </w:r>
      <w:r w:rsidR="0013352A" w:rsidRPr="00EE038F">
        <w:rPr>
          <w:rFonts w:eastAsia="SimSun"/>
        </w:rPr>
        <w:t>,</w:t>
      </w:r>
      <w:r w:rsidRPr="00EE038F">
        <w:rPr>
          <w:rFonts w:eastAsia="SimSun"/>
        </w:rPr>
        <w:t xml:space="preserve"> gjithashtu</w:t>
      </w:r>
      <w:r w:rsidR="0013352A" w:rsidRPr="00EE038F">
        <w:rPr>
          <w:rFonts w:eastAsia="SimSun"/>
        </w:rPr>
        <w:t>,</w:t>
      </w:r>
      <w:r w:rsidRPr="00EE038F">
        <w:rPr>
          <w:rFonts w:eastAsia="SimSun"/>
        </w:rPr>
        <w:t xml:space="preserve"> të peshës së borxhit afatgjatë.</w:t>
      </w:r>
    </w:p>
    <w:p w14:paraId="19A03BC1" w14:textId="77777777" w:rsidR="00C50585" w:rsidRPr="00EE038F" w:rsidRDefault="00C50585" w:rsidP="00C50585">
      <w:pPr>
        <w:tabs>
          <w:tab w:val="left" w:pos="360"/>
        </w:tabs>
        <w:spacing w:after="0" w:line="240" w:lineRule="auto"/>
        <w:contextualSpacing/>
        <w:jc w:val="both"/>
        <w:rPr>
          <w:rFonts w:ascii="Garamond" w:eastAsia="SimSun" w:hAnsi="Garamond"/>
          <w:color w:val="000000"/>
        </w:rPr>
      </w:pPr>
    </w:p>
    <w:p w14:paraId="332114CF" w14:textId="77777777" w:rsidR="00C50585" w:rsidRPr="00EE038F" w:rsidRDefault="00C50585" w:rsidP="00C50585">
      <w:pPr>
        <w:spacing w:after="0" w:line="240" w:lineRule="auto"/>
        <w:jc w:val="both"/>
        <w:rPr>
          <w:rFonts w:ascii="Garamond" w:hAnsi="Garamond"/>
          <w:i/>
          <w:iCs/>
        </w:rPr>
      </w:pPr>
    </w:p>
    <w:p w14:paraId="17281DCC" w14:textId="3DA17CD4" w:rsidR="00C50585" w:rsidRPr="00EE038F" w:rsidRDefault="00C50585" w:rsidP="00066DFC">
      <w:pPr>
        <w:spacing w:after="0" w:line="240" w:lineRule="auto"/>
        <w:jc w:val="center"/>
        <w:rPr>
          <w:rFonts w:ascii="Garamond" w:hAnsi="Garamond"/>
          <w:i/>
          <w:iCs/>
          <w:sz w:val="24"/>
          <w:szCs w:val="24"/>
        </w:rPr>
      </w:pPr>
      <w:r w:rsidRPr="00EE038F">
        <w:rPr>
          <w:rFonts w:ascii="Garamond" w:hAnsi="Garamond"/>
          <w:i/>
          <w:iCs/>
          <w:sz w:val="24"/>
          <w:szCs w:val="24"/>
        </w:rPr>
        <w:t>Grafiku 4.6.4: Shërbimi i borxhit 2019</w:t>
      </w:r>
      <w:r w:rsidR="0013352A" w:rsidRPr="00EE038F">
        <w:rPr>
          <w:rFonts w:ascii="Garamond" w:hAnsi="Garamond"/>
          <w:i/>
          <w:iCs/>
          <w:sz w:val="24"/>
          <w:szCs w:val="24"/>
        </w:rPr>
        <w:t>–</w:t>
      </w:r>
      <w:r w:rsidRPr="00EE038F">
        <w:rPr>
          <w:rFonts w:ascii="Garamond" w:hAnsi="Garamond"/>
          <w:i/>
          <w:iCs/>
          <w:sz w:val="24"/>
          <w:szCs w:val="24"/>
        </w:rPr>
        <w:t>2026</w:t>
      </w:r>
    </w:p>
    <w:p w14:paraId="790BD15B" w14:textId="77777777" w:rsidR="00C50585" w:rsidRPr="00EE038F" w:rsidRDefault="00C50585" w:rsidP="0066452A">
      <w:pPr>
        <w:spacing w:after="0" w:line="240" w:lineRule="auto"/>
        <w:jc w:val="center"/>
        <w:rPr>
          <w:rFonts w:ascii="Garamond" w:hAnsi="Garamond"/>
          <w:i/>
        </w:rPr>
      </w:pPr>
      <w:r w:rsidRPr="00EE038F">
        <w:rPr>
          <w:rFonts w:ascii="Garamond" w:hAnsi="Garamond"/>
          <w:i/>
          <w:noProof/>
          <w:lang w:eastAsia="en-GB"/>
        </w:rPr>
        <w:drawing>
          <wp:inline distT="0" distB="0" distL="0" distR="0" wp14:anchorId="6A8E055B" wp14:editId="65705C35">
            <wp:extent cx="5552237" cy="1623975"/>
            <wp:effectExtent l="0" t="0" r="10795" b="14605"/>
            <wp:docPr id="1475789737" name="Chart 1">
              <a:extLst xmlns:a="http://schemas.openxmlformats.org/drawingml/2006/main">
                <a:ext uri="{FF2B5EF4-FFF2-40B4-BE49-F238E27FC236}">
                  <a16:creationId xmlns:a16="http://schemas.microsoft.com/office/drawing/2014/main" id="{E3891FBC-6B5E-417C-BA7C-F76E616BE6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556B7D61" w14:textId="77777777" w:rsidR="00C50585" w:rsidRPr="00EE038F" w:rsidRDefault="00C50585" w:rsidP="00066DFC">
      <w:pPr>
        <w:spacing w:after="0" w:line="240" w:lineRule="auto"/>
        <w:jc w:val="center"/>
        <w:rPr>
          <w:rFonts w:ascii="Garamond" w:hAnsi="Garamond"/>
          <w:sz w:val="24"/>
          <w:szCs w:val="24"/>
        </w:rPr>
      </w:pPr>
      <w:r w:rsidRPr="00EE038F">
        <w:rPr>
          <w:rFonts w:ascii="Garamond" w:hAnsi="Garamond"/>
          <w:i/>
          <w:sz w:val="24"/>
          <w:szCs w:val="24"/>
        </w:rPr>
        <w:t>Burimi: Ministria e Financave, 2024</w:t>
      </w:r>
    </w:p>
    <w:p w14:paraId="17B5CCAE" w14:textId="77777777" w:rsidR="00C50585" w:rsidRPr="00EE038F" w:rsidRDefault="00C50585" w:rsidP="00C50585">
      <w:pPr>
        <w:spacing w:after="0" w:line="240" w:lineRule="auto"/>
        <w:jc w:val="both"/>
        <w:rPr>
          <w:rFonts w:ascii="Garamond" w:eastAsia="Times New Roman" w:hAnsi="Garamond"/>
          <w:bCs/>
          <w:i/>
          <w:iCs/>
          <w:lang w:eastAsia="en-GB"/>
        </w:rPr>
      </w:pPr>
    </w:p>
    <w:p w14:paraId="3479EBE7" w14:textId="77777777" w:rsidR="00C50585" w:rsidRPr="00EE038F" w:rsidRDefault="00C50585" w:rsidP="003C1C9C">
      <w:pPr>
        <w:pStyle w:val="TEKSTIIIIII"/>
        <w:rPr>
          <w:i/>
        </w:rPr>
      </w:pPr>
      <w:r w:rsidRPr="00EE038F">
        <w:rPr>
          <w:rFonts w:eastAsia="Times New Roman"/>
          <w:i/>
          <w:lang w:eastAsia="en-GB"/>
        </w:rPr>
        <w:t>Zhvillimi i normave të interesit</w:t>
      </w:r>
    </w:p>
    <w:p w14:paraId="445BDBB4" w14:textId="168DB1A1" w:rsidR="00C50585" w:rsidRPr="00EE038F" w:rsidRDefault="00C50585" w:rsidP="003C1C9C">
      <w:pPr>
        <w:pStyle w:val="TEKSTIIIIII"/>
      </w:pPr>
      <w:r w:rsidRPr="00EE038F">
        <w:t>Normat mesatare të ponderuara gjatë nëntëmujorit të parë vitit 2024, përgjithësisht kanë shënuar ulje krahasuar me fundin e vitit 2023, duke ndjekur dhe politikën e Bankës së Shqipërisë e cila ka ulur normanë bazë të interesit gjate vitit 2024. Përjashtim bëjnë instrumentet 5</w:t>
      </w:r>
      <w:r w:rsidR="00BC4090" w:rsidRPr="00EE038F">
        <w:t>-</w:t>
      </w:r>
      <w:r w:rsidRPr="00EE038F">
        <w:t>, 7</w:t>
      </w:r>
      <w:r w:rsidR="00BC4090" w:rsidRPr="00EE038F">
        <w:t>-</w:t>
      </w:r>
      <w:r w:rsidRPr="00EE038F">
        <w:t xml:space="preserve"> dhe 15</w:t>
      </w:r>
      <w:r w:rsidR="00BC4090" w:rsidRPr="00EE038F">
        <w:t>-vjeçare</w:t>
      </w:r>
      <w:r w:rsidRPr="00EE038F">
        <w:t>, te të cilët është vërejtur një rritje e lehtë e normës së ponderuar të interesit, si kryesisht</w:t>
      </w:r>
      <w:r w:rsidR="00AB1C04" w:rsidRPr="00EE038F">
        <w:t>,</w:t>
      </w:r>
      <w:r w:rsidRPr="00EE038F">
        <w:t xml:space="preserve"> si rrjedhojë e zëvendësimit të titujve me norma interesi të ulëta që maturohen, me tituj të siguruara në rrethana me norma interesi më të larta. Norma bazë e Bankës së Shqipërisë në muajin </w:t>
      </w:r>
      <w:r w:rsidR="0035149B" w:rsidRPr="00EE038F">
        <w:t xml:space="preserve">dhjetor </w:t>
      </w:r>
      <w:r w:rsidRPr="00EE038F">
        <w:t>2024 ishte 2.75%</w:t>
      </w:r>
    </w:p>
    <w:p w14:paraId="1308599E" w14:textId="77777777" w:rsidR="00C50585" w:rsidRPr="00EE038F" w:rsidRDefault="00C50585" w:rsidP="003C1C9C">
      <w:pPr>
        <w:pStyle w:val="TEKSTIIIIII"/>
      </w:pPr>
    </w:p>
    <w:p w14:paraId="4262B1FA" w14:textId="77777777" w:rsidR="00C50585" w:rsidRPr="00EE038F" w:rsidRDefault="00C50585" w:rsidP="00066DFC">
      <w:pPr>
        <w:spacing w:after="0" w:line="240" w:lineRule="auto"/>
        <w:jc w:val="center"/>
        <w:rPr>
          <w:rFonts w:ascii="Garamond" w:hAnsi="Garamond"/>
          <w:i/>
          <w:iCs/>
          <w:sz w:val="24"/>
          <w:szCs w:val="24"/>
        </w:rPr>
      </w:pPr>
      <w:r w:rsidRPr="00EE038F">
        <w:rPr>
          <w:rFonts w:ascii="Garamond" w:hAnsi="Garamond"/>
          <w:i/>
          <w:iCs/>
          <w:sz w:val="24"/>
          <w:szCs w:val="24"/>
        </w:rPr>
        <w:t>Grafiku 4.6.5: Yield-i mesatar i ponderuar për letrat me vlerë të qeverisë</w:t>
      </w:r>
    </w:p>
    <w:p w14:paraId="5F52AAC5" w14:textId="77777777" w:rsidR="00C50585" w:rsidRPr="00EE038F" w:rsidRDefault="00C50585" w:rsidP="00C50585">
      <w:pPr>
        <w:spacing w:after="0" w:line="240" w:lineRule="auto"/>
        <w:jc w:val="both"/>
        <w:rPr>
          <w:rFonts w:ascii="Garamond" w:hAnsi="Garamond"/>
        </w:rPr>
      </w:pPr>
      <w:r w:rsidRPr="00EE038F">
        <w:rPr>
          <w:rFonts w:ascii="Garamond" w:hAnsi="Garamond"/>
          <w:noProof/>
          <w:lang w:eastAsia="en-GB"/>
        </w:rPr>
        <w:drawing>
          <wp:inline distT="0" distB="0" distL="0" distR="0" wp14:anchorId="228E4987" wp14:editId="47A78594">
            <wp:extent cx="5603443" cy="1656249"/>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609249" cy="1657965"/>
                    </a:xfrm>
                    <a:prstGeom prst="rect">
                      <a:avLst/>
                    </a:prstGeom>
                    <a:noFill/>
                    <a:ln>
                      <a:noFill/>
                    </a:ln>
                  </pic:spPr>
                </pic:pic>
              </a:graphicData>
            </a:graphic>
          </wp:inline>
        </w:drawing>
      </w:r>
    </w:p>
    <w:p w14:paraId="016E3770" w14:textId="77777777" w:rsidR="00C50585" w:rsidRPr="00EE038F" w:rsidRDefault="00C50585" w:rsidP="00066DFC">
      <w:pPr>
        <w:spacing w:after="0" w:line="240" w:lineRule="auto"/>
        <w:jc w:val="center"/>
        <w:rPr>
          <w:rFonts w:ascii="Garamond" w:hAnsi="Garamond"/>
          <w:i/>
          <w:iCs/>
          <w:sz w:val="24"/>
          <w:szCs w:val="24"/>
        </w:rPr>
      </w:pPr>
      <w:r w:rsidRPr="00EE038F">
        <w:rPr>
          <w:rFonts w:ascii="Garamond" w:hAnsi="Garamond"/>
          <w:i/>
          <w:iCs/>
          <w:sz w:val="24"/>
          <w:szCs w:val="24"/>
        </w:rPr>
        <w:t>Burimi: Ministria e Financave, 2024</w:t>
      </w:r>
    </w:p>
    <w:p w14:paraId="7C517E6E" w14:textId="77777777" w:rsidR="00C50585" w:rsidRPr="00EE038F" w:rsidRDefault="00C50585" w:rsidP="00C50585">
      <w:pPr>
        <w:spacing w:after="0" w:line="240" w:lineRule="auto"/>
        <w:jc w:val="both"/>
        <w:rPr>
          <w:rFonts w:ascii="Garamond" w:hAnsi="Garamond"/>
          <w:b/>
        </w:rPr>
      </w:pPr>
    </w:p>
    <w:p w14:paraId="5D6C2B62" w14:textId="77777777" w:rsidR="00C50585" w:rsidRPr="00EE038F" w:rsidRDefault="00C50585" w:rsidP="000D7AD9">
      <w:pPr>
        <w:pStyle w:val="TEKSTIIIIII"/>
        <w:rPr>
          <w:i/>
        </w:rPr>
      </w:pPr>
      <w:r w:rsidRPr="00EE038F">
        <w:rPr>
          <w:i/>
        </w:rPr>
        <w:t>Detyrimet kontigjente</w:t>
      </w:r>
    </w:p>
    <w:p w14:paraId="19C949DC" w14:textId="1EB585DA" w:rsidR="00C50585" w:rsidRPr="00EE038F" w:rsidRDefault="00C50585" w:rsidP="000D7AD9">
      <w:pPr>
        <w:pStyle w:val="TEKSTIIIIII"/>
      </w:pPr>
      <w:bookmarkStart w:id="34" w:name="_Toc9249203"/>
      <w:r w:rsidRPr="00EE038F">
        <w:t>Në fund të muajit shtator</w:t>
      </w:r>
      <w:r w:rsidRPr="00EE038F">
        <w:rPr>
          <w:lang w:eastAsia="ja-JP"/>
        </w:rPr>
        <w:t xml:space="preserve"> 2024</w:t>
      </w:r>
      <w:r w:rsidRPr="00EE038F">
        <w:t>, portofoli i borxhit të garantuar vlerësohet në 35.6 miliard</w:t>
      </w:r>
      <w:r w:rsidR="008A5CD3" w:rsidRPr="00EE038F">
        <w:t>ë</w:t>
      </w:r>
      <w:r w:rsidRPr="00EE038F">
        <w:t xml:space="preserve"> </w:t>
      </w:r>
      <w:r w:rsidR="008A5CD3" w:rsidRPr="00EE038F">
        <w:t xml:space="preserve">lekë </w:t>
      </w:r>
      <w:r w:rsidRPr="00EE038F">
        <w:t>(1.5% e PBB) ose 2.6% e portofolit të borxhit të qeverisjes qendrore, duke shënuar një rënie me 5.8 miliard</w:t>
      </w:r>
      <w:r w:rsidR="008A5CD3" w:rsidRPr="00EE038F">
        <w:t>ë</w:t>
      </w:r>
      <w:r w:rsidRPr="00EE038F">
        <w:t xml:space="preserve"> </w:t>
      </w:r>
      <w:r w:rsidR="008A5CD3" w:rsidRPr="00EE038F">
        <w:t xml:space="preserve">lekë </w:t>
      </w:r>
      <w:r w:rsidRPr="00EE038F">
        <w:t xml:space="preserve">krahasuar me fundin e vitit 2023. Garancitë në tregun e brendshëm zënë rreth </w:t>
      </w:r>
      <w:r w:rsidRPr="00EE038F">
        <w:lastRenderedPageBreak/>
        <w:t>40.7% të stokut total të borxhit të garantuar ose 14.5 miliardë lekë, ndërsa garancitë e dhëna në favor të kreditorëve të huaj përfaqësojnë 59.3% të stokut të borxhit të garantuar ose 21.1 miliardë lekë</w:t>
      </w:r>
      <w:r w:rsidR="00075C99" w:rsidRPr="00EE038F">
        <w:t>.</w:t>
      </w:r>
    </w:p>
    <w:p w14:paraId="5A234F0B" w14:textId="77777777" w:rsidR="000D7AD9" w:rsidRPr="00EE038F" w:rsidRDefault="000D7AD9" w:rsidP="00C50585">
      <w:pPr>
        <w:pStyle w:val="Caption"/>
        <w:spacing w:after="0"/>
        <w:jc w:val="both"/>
        <w:rPr>
          <w:rFonts w:ascii="Garamond" w:eastAsiaTheme="minorHAnsi" w:hAnsi="Garamond"/>
          <w:b w:val="0"/>
          <w:bCs w:val="0"/>
          <w:color w:val="auto"/>
          <w:sz w:val="24"/>
          <w:szCs w:val="24"/>
          <w:lang w:val="sq-AL"/>
        </w:rPr>
      </w:pPr>
    </w:p>
    <w:p w14:paraId="179C35D6" w14:textId="05093513" w:rsidR="00C50585" w:rsidRPr="00EE038F" w:rsidRDefault="000D7AD9" w:rsidP="00066DFC">
      <w:pPr>
        <w:pStyle w:val="Caption"/>
        <w:spacing w:after="0"/>
        <w:jc w:val="center"/>
        <w:rPr>
          <w:rFonts w:ascii="Garamond" w:hAnsi="Garamond"/>
          <w:i/>
          <w:color w:val="auto"/>
          <w:sz w:val="24"/>
          <w:szCs w:val="24"/>
          <w:lang w:val="sq-AL"/>
        </w:rPr>
      </w:pPr>
      <w:r w:rsidRPr="00EE038F">
        <w:rPr>
          <w:rFonts w:ascii="Garamond" w:hAnsi="Garamond"/>
          <w:i/>
          <w:noProof/>
          <w:color w:val="auto"/>
          <w:sz w:val="24"/>
          <w:szCs w:val="24"/>
          <w:lang w:val="sq-AL" w:eastAsia="en-GB"/>
        </w:rPr>
        <w:drawing>
          <wp:anchor distT="0" distB="0" distL="114300" distR="114300" simplePos="0" relativeHeight="251658244" behindDoc="1" locked="0" layoutInCell="1" allowOverlap="1" wp14:anchorId="00BC47D3" wp14:editId="521C20F3">
            <wp:simplePos x="0" y="0"/>
            <wp:positionH relativeFrom="column">
              <wp:posOffset>2830830</wp:posOffset>
            </wp:positionH>
            <wp:positionV relativeFrom="paragraph">
              <wp:posOffset>182245</wp:posOffset>
            </wp:positionV>
            <wp:extent cx="2815590" cy="2033270"/>
            <wp:effectExtent l="0" t="0" r="3810" b="5080"/>
            <wp:wrapTight wrapText="bothSides">
              <wp:wrapPolygon edited="0">
                <wp:start x="0" y="0"/>
                <wp:lineTo x="0" y="21452"/>
                <wp:lineTo x="21483" y="21452"/>
                <wp:lineTo x="21483" y="0"/>
                <wp:lineTo x="0" y="0"/>
              </wp:wrapPolygon>
            </wp:wrapTight>
            <wp:docPr id="235548988" name="Chart 1">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margin">
              <wp14:pctWidth>0</wp14:pctWidth>
            </wp14:sizeRelH>
            <wp14:sizeRelV relativeFrom="margin">
              <wp14:pctHeight>0</wp14:pctHeight>
            </wp14:sizeRelV>
          </wp:anchor>
        </w:drawing>
      </w:r>
      <w:r w:rsidR="00C50585" w:rsidRPr="00EE038F">
        <w:rPr>
          <w:rFonts w:ascii="Garamond" w:eastAsiaTheme="minorHAnsi" w:hAnsi="Garamond"/>
          <w:b w:val="0"/>
          <w:bCs w:val="0"/>
          <w:i/>
          <w:color w:val="auto"/>
          <w:sz w:val="24"/>
          <w:szCs w:val="24"/>
          <w:lang w:val="sq-AL"/>
        </w:rPr>
        <w:t>Grafiku 4.6.6: Portofoli i borxhit të garantuar (2019</w:t>
      </w:r>
      <w:r w:rsidR="00075C99" w:rsidRPr="00EE038F">
        <w:rPr>
          <w:rFonts w:ascii="Garamond" w:eastAsiaTheme="minorHAnsi" w:hAnsi="Garamond"/>
          <w:b w:val="0"/>
          <w:bCs w:val="0"/>
          <w:i/>
          <w:color w:val="auto"/>
          <w:sz w:val="24"/>
          <w:szCs w:val="24"/>
          <w:lang w:val="sq-AL"/>
        </w:rPr>
        <w:t xml:space="preserve"> </w:t>
      </w:r>
      <w:r w:rsidR="00C50585" w:rsidRPr="00EE038F">
        <w:rPr>
          <w:rFonts w:ascii="Garamond" w:eastAsiaTheme="minorHAnsi" w:hAnsi="Garamond"/>
          <w:b w:val="0"/>
          <w:bCs w:val="0"/>
          <w:i/>
          <w:color w:val="auto"/>
          <w:sz w:val="24"/>
          <w:szCs w:val="24"/>
          <w:lang w:val="sq-AL"/>
        </w:rPr>
        <w:t>–</w:t>
      </w:r>
      <w:r w:rsidR="00075C99" w:rsidRPr="00EE038F">
        <w:rPr>
          <w:rFonts w:ascii="Garamond" w:eastAsiaTheme="minorHAnsi" w:hAnsi="Garamond"/>
          <w:b w:val="0"/>
          <w:bCs w:val="0"/>
          <w:i/>
          <w:color w:val="auto"/>
          <w:sz w:val="24"/>
          <w:szCs w:val="24"/>
          <w:lang w:val="sq-AL"/>
        </w:rPr>
        <w:t xml:space="preserve"> shtator </w:t>
      </w:r>
      <w:r w:rsidR="00C50585" w:rsidRPr="00EE038F">
        <w:rPr>
          <w:rFonts w:ascii="Garamond" w:eastAsiaTheme="minorHAnsi" w:hAnsi="Garamond"/>
          <w:b w:val="0"/>
          <w:bCs w:val="0"/>
          <w:i/>
          <w:color w:val="auto"/>
          <w:sz w:val="24"/>
          <w:szCs w:val="24"/>
          <w:lang w:val="sq-AL"/>
        </w:rPr>
        <w:t>2024</w:t>
      </w:r>
      <w:r w:rsidR="00C50585" w:rsidRPr="00EE038F">
        <w:rPr>
          <w:rFonts w:ascii="Garamond" w:hAnsi="Garamond"/>
          <w:b w:val="0"/>
          <w:bCs w:val="0"/>
          <w:i/>
          <w:color w:val="auto"/>
          <w:sz w:val="24"/>
          <w:szCs w:val="24"/>
          <w:lang w:val="sq-AL"/>
        </w:rPr>
        <w:t>)</w:t>
      </w:r>
    </w:p>
    <w:p w14:paraId="5ECA083D" w14:textId="77777777" w:rsidR="00C50585" w:rsidRPr="00EE038F" w:rsidRDefault="000D7AD9" w:rsidP="00066DFC">
      <w:pPr>
        <w:pStyle w:val="ListParagraph"/>
        <w:tabs>
          <w:tab w:val="left" w:pos="270"/>
        </w:tabs>
        <w:spacing w:after="0" w:line="240" w:lineRule="auto"/>
        <w:ind w:left="0"/>
        <w:jc w:val="center"/>
        <w:rPr>
          <w:rFonts w:ascii="Garamond" w:hAnsi="Garamond" w:cs="Times New Roman"/>
          <w:i/>
          <w:iCs/>
          <w:sz w:val="24"/>
          <w:szCs w:val="24"/>
        </w:rPr>
      </w:pPr>
      <w:r w:rsidRPr="00EE038F">
        <w:rPr>
          <w:rFonts w:ascii="Garamond" w:hAnsi="Garamond"/>
          <w:i/>
          <w:iCs/>
          <w:noProof/>
          <w:sz w:val="24"/>
          <w:szCs w:val="24"/>
          <w:lang w:eastAsia="en-GB"/>
        </w:rPr>
        <w:drawing>
          <wp:anchor distT="0" distB="0" distL="114300" distR="114300" simplePos="0" relativeHeight="251658243" behindDoc="1" locked="0" layoutInCell="1" allowOverlap="1" wp14:anchorId="1C28E611" wp14:editId="680EECAB">
            <wp:simplePos x="0" y="0"/>
            <wp:positionH relativeFrom="column">
              <wp:posOffset>43815</wp:posOffset>
            </wp:positionH>
            <wp:positionV relativeFrom="paragraph">
              <wp:posOffset>10795</wp:posOffset>
            </wp:positionV>
            <wp:extent cx="2750185" cy="2033270"/>
            <wp:effectExtent l="0" t="0" r="12065" b="5080"/>
            <wp:wrapTight wrapText="bothSides">
              <wp:wrapPolygon edited="0">
                <wp:start x="0" y="0"/>
                <wp:lineTo x="0" y="21452"/>
                <wp:lineTo x="21545" y="21452"/>
                <wp:lineTo x="21545" y="0"/>
                <wp:lineTo x="0" y="0"/>
              </wp:wrapPolygon>
            </wp:wrapTight>
            <wp:docPr id="172986258" name="Chart 1">
              <a:extLst xmlns:a="http://schemas.openxmlformats.org/drawingml/2006/main">
                <a:ext uri="{FF2B5EF4-FFF2-40B4-BE49-F238E27FC236}">
                  <a16:creationId xmlns:a16="http://schemas.microsoft.com/office/drawing/2014/main" id="{00000000-0008-0000-06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margin">
              <wp14:pctWidth>0</wp14:pctWidth>
            </wp14:sizeRelH>
            <wp14:sizeRelV relativeFrom="margin">
              <wp14:pctHeight>0</wp14:pctHeight>
            </wp14:sizeRelV>
          </wp:anchor>
        </w:drawing>
      </w:r>
      <w:r w:rsidR="00C50585" w:rsidRPr="00EE038F">
        <w:rPr>
          <w:rFonts w:ascii="Garamond" w:hAnsi="Garamond" w:cs="Times New Roman"/>
          <w:i/>
          <w:iCs/>
          <w:sz w:val="24"/>
          <w:szCs w:val="24"/>
        </w:rPr>
        <w:t>Burimi: Ministria e Financave (2024)</w:t>
      </w:r>
    </w:p>
    <w:bookmarkEnd w:id="34"/>
    <w:p w14:paraId="07AB0087" w14:textId="77777777" w:rsidR="00C50585" w:rsidRPr="00EE038F" w:rsidRDefault="00C50585" w:rsidP="00C50585">
      <w:pPr>
        <w:spacing w:after="0" w:line="240" w:lineRule="auto"/>
        <w:jc w:val="both"/>
        <w:rPr>
          <w:rFonts w:ascii="Garamond" w:hAnsi="Garamond"/>
        </w:rPr>
      </w:pPr>
    </w:p>
    <w:p w14:paraId="463FF1E4" w14:textId="7F9CFA67" w:rsidR="00C50585" w:rsidRPr="00EE038F" w:rsidRDefault="00C50585" w:rsidP="000D7AD9">
      <w:pPr>
        <w:pStyle w:val="TEKSTIIIIII"/>
      </w:pPr>
      <w:r w:rsidRPr="00EE038F">
        <w:t>Rreth 80% e totalit të garancive shtetërore i përkasin sektorit të energjisë, duke reflektuar politikat e qeverisë në drejtim të mbështetjes së sektorit të energjisë</w:t>
      </w:r>
      <w:r w:rsidR="00BD50D3" w:rsidRPr="00EE038F">
        <w:t>.</w:t>
      </w:r>
      <w:r w:rsidRPr="00EE038F">
        <w:t xml:space="preserve"> </w:t>
      </w:r>
    </w:p>
    <w:p w14:paraId="1E2F902C" w14:textId="78A483E5" w:rsidR="00C50585" w:rsidRPr="00EE038F" w:rsidRDefault="00C50585" w:rsidP="000D7AD9">
      <w:pPr>
        <w:pStyle w:val="TEKSTIIIIII"/>
      </w:pPr>
      <w:r w:rsidRPr="00EE038F">
        <w:t xml:space="preserve">Në periudhën afatmesme, niveli i borxhit të garantuar është planifikuar të mbahet nën nivelin 5% të PBB-së. Për të reduktuar riskun që vjen nga detyrimet kontingjente që rrjedhin nga garancitë shtetërore, stoku i borxhit të garantuar përfshihet 100% në stokun e borxhit publik. Një rregull </w:t>
      </w:r>
      <w:r w:rsidR="00674188" w:rsidRPr="00EE038F">
        <w:t xml:space="preserve">e </w:t>
      </w:r>
      <w:r w:rsidRPr="00EE038F">
        <w:t>tillë është përcaktuar në ligjin organik të buxhetit</w:t>
      </w:r>
      <w:r w:rsidR="00674188" w:rsidRPr="00EE038F">
        <w:t>,</w:t>
      </w:r>
      <w:r w:rsidRPr="00EE038F">
        <w:t xml:space="preserve"> si një masë për të minimizuar rrezikun e aktiviteteve jashtëbuxhetore.</w:t>
      </w:r>
    </w:p>
    <w:p w14:paraId="21BAA162" w14:textId="5ABF8763" w:rsidR="00C50585" w:rsidRPr="00EE038F" w:rsidRDefault="00C50585" w:rsidP="000D7AD9">
      <w:pPr>
        <w:pStyle w:val="TEKSTIIIIII"/>
      </w:pPr>
      <w:r w:rsidRPr="00EE038F">
        <w:t>Për të kontrolluar/reduktuar riskun që vjen nga garancitë shtetërore dhe për të përfituar nga avantazhet e përdorimit</w:t>
      </w:r>
      <w:r w:rsidR="00AD3D9C" w:rsidRPr="00EE038F">
        <w:t xml:space="preserve"> </w:t>
      </w:r>
      <w:r w:rsidRPr="00EE038F">
        <w:t>të instrumentit të garancisë, kriteret e mëposhtme synohen të zbatohet për dhënien e garancive shtetërore në periudhën afatmesme:</w:t>
      </w:r>
    </w:p>
    <w:p w14:paraId="0FCDE553" w14:textId="1E71D3D4" w:rsidR="00C50585" w:rsidRPr="00EE038F" w:rsidRDefault="000D7AD9" w:rsidP="000D7AD9">
      <w:pPr>
        <w:pStyle w:val="TEKSTIIIIII"/>
      </w:pPr>
      <w:r w:rsidRPr="00EE038F">
        <w:t>-</w:t>
      </w:r>
      <w:r w:rsidR="00674188" w:rsidRPr="00EE038F">
        <w:t xml:space="preserve"> </w:t>
      </w:r>
      <w:r w:rsidR="00C50585" w:rsidRPr="00EE038F">
        <w:t>Garancitë qeveritare mund t</w:t>
      </w:r>
      <w:r w:rsidR="00674188" w:rsidRPr="00EE038F">
        <w:t>’</w:t>
      </w:r>
      <w:r w:rsidR="00C50585" w:rsidRPr="00EE038F">
        <w:t>u lëshohen ndërmarrjeve shtetërore, të cilat kanë ndërmarrë një iniciativë reformuese me ndikim në forcimin e gjendjes së tyre financiare;</w:t>
      </w:r>
    </w:p>
    <w:p w14:paraId="68E367E2" w14:textId="6FADA91A" w:rsidR="00C50585" w:rsidRPr="00EE038F" w:rsidRDefault="000D7AD9" w:rsidP="000D7AD9">
      <w:pPr>
        <w:pStyle w:val="TEKSTIIIIII"/>
      </w:pPr>
      <w:r w:rsidRPr="00EE038F">
        <w:t>-</w:t>
      </w:r>
      <w:r w:rsidR="00AD3D9C" w:rsidRPr="00EE038F">
        <w:t xml:space="preserve"> </w:t>
      </w:r>
      <w:r w:rsidR="00C50585" w:rsidRPr="00EE038F">
        <w:t>Garancitë qeveritare mund të lëshohen për financimin e projekteve investuese;</w:t>
      </w:r>
    </w:p>
    <w:p w14:paraId="771534EC" w14:textId="712E9717" w:rsidR="00C50585" w:rsidRPr="00EE038F" w:rsidRDefault="000D7AD9" w:rsidP="000D7AD9">
      <w:pPr>
        <w:pStyle w:val="TEKSTIIIIII"/>
      </w:pPr>
      <w:r w:rsidRPr="00EE038F">
        <w:t xml:space="preserve">- </w:t>
      </w:r>
      <w:r w:rsidR="00C50585" w:rsidRPr="00EE038F">
        <w:t>Garancitë qeveritare mund të lëshohen</w:t>
      </w:r>
      <w:r w:rsidR="00674188" w:rsidRPr="00EE038F">
        <w:t>,</w:t>
      </w:r>
      <w:r w:rsidR="00C50585" w:rsidRPr="00EE038F">
        <w:t xml:space="preserve"> gjithashtu</w:t>
      </w:r>
      <w:r w:rsidR="00674188" w:rsidRPr="00EE038F">
        <w:t>,</w:t>
      </w:r>
      <w:r w:rsidR="00C50585" w:rsidRPr="00EE038F">
        <w:t xml:space="preserve"> për të mbështetur masat që mund të merren në rast të një krize të sistemit financiar;</w:t>
      </w:r>
    </w:p>
    <w:p w14:paraId="039C2A30" w14:textId="23673B5A" w:rsidR="00C50585" w:rsidRPr="00EE038F" w:rsidRDefault="000D7AD9" w:rsidP="000D7AD9">
      <w:pPr>
        <w:pStyle w:val="TEKSTIIIIII"/>
      </w:pPr>
      <w:r w:rsidRPr="00EE038F">
        <w:t xml:space="preserve">- </w:t>
      </w:r>
      <w:r w:rsidR="00C50585" w:rsidRPr="00EE038F">
        <w:t>Garancitë qeveritare mund të lëshohen për qëllimin e ristrukturimit të portofolit të garancive qeveritare</w:t>
      </w:r>
      <w:r w:rsidR="00674188" w:rsidRPr="00EE038F">
        <w:t>,</w:t>
      </w:r>
      <w:r w:rsidR="00C50585" w:rsidRPr="00EE038F">
        <w:t xml:space="preserve"> duke zëvendësuar kreditë afatshkurtra përmes atyre afatgjata.</w:t>
      </w:r>
    </w:p>
    <w:p w14:paraId="190B2F02" w14:textId="77777777" w:rsidR="00C50585" w:rsidRPr="00EE038F" w:rsidRDefault="000D7AD9" w:rsidP="000D7AD9">
      <w:pPr>
        <w:pStyle w:val="TEKSTIIIIII"/>
        <w:rPr>
          <w:b/>
        </w:rPr>
      </w:pPr>
      <w:bookmarkStart w:id="35" w:name="_Toc30661222"/>
      <w:bookmarkStart w:id="36" w:name="_Toc30416398"/>
      <w:bookmarkStart w:id="37" w:name="_Toc187328211"/>
      <w:r w:rsidRPr="00EE038F">
        <w:rPr>
          <w:b/>
        </w:rPr>
        <w:t xml:space="preserve">4.7 </w:t>
      </w:r>
      <w:r w:rsidR="00C50585" w:rsidRPr="00EE038F">
        <w:rPr>
          <w:b/>
        </w:rPr>
        <w:t>Analiza e ndjeshmërisë dhe krahasimi me programin e mëparshëm</w:t>
      </w:r>
      <w:bookmarkEnd w:id="32"/>
      <w:bookmarkEnd w:id="35"/>
      <w:bookmarkEnd w:id="36"/>
      <w:bookmarkEnd w:id="37"/>
      <w:r w:rsidR="00C50585" w:rsidRPr="00EE038F">
        <w:rPr>
          <w:b/>
        </w:rPr>
        <w:t xml:space="preserve"> </w:t>
      </w:r>
    </w:p>
    <w:p w14:paraId="5D1722B6" w14:textId="77777777" w:rsidR="00C50585" w:rsidRPr="00EE038F" w:rsidRDefault="00C50585" w:rsidP="000D7AD9">
      <w:pPr>
        <w:pStyle w:val="TEKSTIIIIII"/>
        <w:rPr>
          <w:i/>
        </w:rPr>
      </w:pPr>
      <w:r w:rsidRPr="00EE038F">
        <w:rPr>
          <w:i/>
        </w:rPr>
        <w:t>Ndjeshmëria e projeksioneve buxhetore ndaj skenarëve dhe rreziqeve alternative</w:t>
      </w:r>
    </w:p>
    <w:p w14:paraId="5B9B88CA" w14:textId="4A5CB80C" w:rsidR="00C50585" w:rsidRPr="00EE038F" w:rsidRDefault="00C50585" w:rsidP="000D7AD9">
      <w:pPr>
        <w:pStyle w:val="TEKSTIIIIII"/>
      </w:pPr>
      <w:r w:rsidRPr="00EE038F">
        <w:t>Ky seksion përshkruan në mënyrë sistematike pasojat e parashikuara në kuadrin fiskal, politikën e përgjithshme fiskale dhe rregullimet e mundshme buxhetore</w:t>
      </w:r>
      <w:r w:rsidR="00674188" w:rsidRPr="00EE038F">
        <w:t>,</w:t>
      </w:r>
      <w:r w:rsidRPr="00EE038F">
        <w:t xml:space="preserve"> sipas secilit skenar alternativ, duke u përafruar me dy skenarët alternativë makroekonomikë të detajuar në seksionin 3.3.</w:t>
      </w:r>
    </w:p>
    <w:p w14:paraId="78DBA411" w14:textId="620D81B8" w:rsidR="00C50585" w:rsidRPr="00EE038F" w:rsidRDefault="00C50585" w:rsidP="000D7AD9">
      <w:pPr>
        <w:pStyle w:val="TEKSTIIIIII"/>
      </w:pPr>
      <w:r w:rsidRPr="00EE038F">
        <w:t xml:space="preserve">Në rastin e skenarit makroekonomik </w:t>
      </w:r>
      <w:r w:rsidR="00D555C7" w:rsidRPr="00EE038F">
        <w:t>“</w:t>
      </w:r>
      <w:r w:rsidRPr="00EE038F">
        <w:t>pesimist</w:t>
      </w:r>
      <w:r w:rsidR="00D555C7" w:rsidRPr="00EE038F">
        <w:t>”</w:t>
      </w:r>
      <w:r w:rsidRPr="00EE038F">
        <w:t>, i cili postulon rritje ekonomike dukshëm më të ulët çdo vit</w:t>
      </w:r>
      <w:r w:rsidR="00674188" w:rsidRPr="00EE038F">
        <w:t>,</w:t>
      </w:r>
      <w:r w:rsidRPr="00EE038F">
        <w:t xml:space="preserve"> në krahasim me skenarin bazë, një qasje e kujdesshme për këtë ushtrim ndjeshmërie përfshin supozimin e uljes së efikasitetit të mbledhjes së taksave për komponentët kryesorë të taksave. Në të kundërt, nëse skenari makroekonomik </w:t>
      </w:r>
      <w:r w:rsidR="00D555C7" w:rsidRPr="00EE038F">
        <w:t>“</w:t>
      </w:r>
      <w:r w:rsidRPr="00EE038F">
        <w:t>optimist</w:t>
      </w:r>
      <w:r w:rsidR="00D555C7" w:rsidRPr="00EE038F">
        <w:t>”</w:t>
      </w:r>
      <w:r w:rsidRPr="00EE038F">
        <w:t xml:space="preserve"> materializohet, mund të parashikohet në mënyrë të arsyeshme një rritje e efektivitetit të mbledhjes së taksave.</w:t>
      </w:r>
    </w:p>
    <w:p w14:paraId="1D321597" w14:textId="7A8665AD" w:rsidR="00C50585" w:rsidRPr="00EE038F" w:rsidRDefault="00C50585" w:rsidP="000D7AD9">
      <w:pPr>
        <w:pStyle w:val="TEKSTIIIIII"/>
      </w:pPr>
      <w:r w:rsidRPr="00EE038F">
        <w:t>Për të faktorizuar variacionet e mundshme në performancën e mbledhjes së të ardhurave</w:t>
      </w:r>
      <w:r w:rsidR="00674188" w:rsidRPr="00EE038F">
        <w:t>,</w:t>
      </w:r>
      <w:r w:rsidRPr="00EE038F">
        <w:t xml:space="preserve"> sipas secilit skenar alternativ</w:t>
      </w:r>
      <w:r w:rsidR="00674188" w:rsidRPr="00EE038F">
        <w:t>,</w:t>
      </w:r>
      <w:r w:rsidRPr="00EE038F">
        <w:t xml:space="preserve"> dhe për të akomoduar </w:t>
      </w:r>
      <w:r w:rsidR="00D555C7" w:rsidRPr="00EE038F">
        <w:t>“</w:t>
      </w:r>
      <w:r w:rsidRPr="00EE038F">
        <w:t>efektin e përgjithshëm neto</w:t>
      </w:r>
      <w:r w:rsidR="00D555C7" w:rsidRPr="00EE038F">
        <w:t>”</w:t>
      </w:r>
      <w:r w:rsidRPr="00EE038F">
        <w:t xml:space="preserve"> të stabilizuesve automatikë, skenari pesimist përfshin nënshtrimin e </w:t>
      </w:r>
      <w:r w:rsidR="00D555C7" w:rsidRPr="00EE038F">
        <w:t>“</w:t>
      </w:r>
      <w:r w:rsidRPr="00EE038F">
        <w:t>raportit të të ardhurave totale ndaj PBB-së</w:t>
      </w:r>
      <w:r w:rsidR="00D555C7" w:rsidRPr="00EE038F">
        <w:t>”</w:t>
      </w:r>
      <w:r w:rsidRPr="00EE038F">
        <w:t xml:space="preserve"> ndaj një goditjeje negative ekuivalente me një të tretën e goditjes përkatëse (në pikë </w:t>
      </w:r>
      <w:r w:rsidR="009242F9" w:rsidRPr="00EE038F">
        <w:t>përqindje</w:t>
      </w:r>
      <w:r w:rsidR="00674188" w:rsidRPr="00EE038F">
        <w:t>je</w:t>
      </w:r>
      <w:r w:rsidRPr="00EE038F">
        <w:t xml:space="preserve">) </w:t>
      </w:r>
      <w:r w:rsidRPr="00EE038F">
        <w:lastRenderedPageBreak/>
        <w:t xml:space="preserve">pasqyruar në </w:t>
      </w:r>
      <w:r w:rsidR="00D555C7" w:rsidRPr="00EE038F">
        <w:t>“</w:t>
      </w:r>
      <w:r w:rsidRPr="00EE038F">
        <w:t>rritjen reale</w:t>
      </w:r>
      <w:r w:rsidR="00D555C7" w:rsidRPr="00EE038F">
        <w:t>”</w:t>
      </w:r>
      <w:r w:rsidRPr="00EE038F">
        <w:t xml:space="preserve"> për çdo vit. Në të kundërt, skenari optimist sjell një goditje pozitive asimetrike prej një të dhjetës për goditjen përkatëse të këtij variabli në skenarin </w:t>
      </w:r>
      <w:r w:rsidR="00D555C7" w:rsidRPr="00EE038F">
        <w:t>“</w:t>
      </w:r>
      <w:r w:rsidRPr="00EE038F">
        <w:t>optimist</w:t>
      </w:r>
      <w:r w:rsidR="00D555C7" w:rsidRPr="00EE038F">
        <w:t>”</w:t>
      </w:r>
      <w:r w:rsidRPr="00EE038F">
        <w:t>.</w:t>
      </w:r>
    </w:p>
    <w:p w14:paraId="25730D9C" w14:textId="6CA8C938" w:rsidR="00C50585" w:rsidRPr="00EE038F" w:rsidRDefault="00C50585" w:rsidP="000D7AD9">
      <w:pPr>
        <w:pStyle w:val="TEKSTIIIIII"/>
      </w:pPr>
      <w:r w:rsidRPr="00EE038F">
        <w:t xml:space="preserve">Në çdo skenar alternativ, ne mbajmë të njëjtin supozim për normat efektive të interesit si në bazë (të përcaktuara si shpenzimet e interesit në vitin </w:t>
      </w:r>
      <w:r w:rsidR="00D555C7" w:rsidRPr="00EE038F">
        <w:t>“</w:t>
      </w:r>
      <w:r w:rsidRPr="00EE038F">
        <w:t>t</w:t>
      </w:r>
      <w:r w:rsidR="00D555C7" w:rsidRPr="00EE038F">
        <w:t>”</w:t>
      </w:r>
      <w:r w:rsidRPr="00EE038F">
        <w:t xml:space="preserve"> pjesëtuar me stokun e borxhit në vitin </w:t>
      </w:r>
      <w:r w:rsidR="00D555C7" w:rsidRPr="00EE038F">
        <w:t>“</w:t>
      </w:r>
      <w:r w:rsidRPr="00EE038F">
        <w:t>t-1</w:t>
      </w:r>
      <w:r w:rsidR="00D555C7" w:rsidRPr="00EE038F">
        <w:t>”</w:t>
      </w:r>
      <w:r w:rsidRPr="00EE038F">
        <w:t xml:space="preserve">). Megjithatë, ne faktorizojmë rregullimet e niveleve të shpenzimeve për interesa që rezultojnë nga huamarrja më e lartë ose më e ulët sipas secilit skenar. Kursi i supozuar nominal i këmbimit mbetet konstant në të gjithë skenarët. Është e rëndësishme të theksohet se buxheti i çdo viti përfshin një kontingjent (të mandatuar ligjërisht në </w:t>
      </w:r>
      <w:r w:rsidR="00361C15" w:rsidRPr="00EE038F">
        <w:t>ligjin organik të buxhetit</w:t>
      </w:r>
      <w:r w:rsidRPr="00EE038F">
        <w:t xml:space="preserve">) prej afërsisht 0.3 </w:t>
      </w:r>
      <w:r w:rsidR="00FD6514" w:rsidRPr="00EE038F">
        <w:t>për qind</w:t>
      </w:r>
      <w:r w:rsidRPr="00EE038F">
        <w:t xml:space="preserve"> të PBB-së, i projektuar për të mbuluar çdo shpenzim të rritur interesi</w:t>
      </w:r>
      <w:r w:rsidR="007C065E" w:rsidRPr="00EE038F">
        <w:t>,</w:t>
      </w:r>
      <w:r w:rsidRPr="00EE038F">
        <w:t xml:space="preserve"> që rrjedh nga rritja e normave të interesit ose zhvlerësimi i kursit të këmbimit.</w:t>
      </w:r>
    </w:p>
    <w:p w14:paraId="49DDE5A6" w14:textId="77A93D4A" w:rsidR="00C50585" w:rsidRPr="00EE038F" w:rsidRDefault="00C50585" w:rsidP="000D7AD9">
      <w:pPr>
        <w:pStyle w:val="TEKSTIIIIII"/>
      </w:pPr>
      <w:r w:rsidRPr="00EE038F">
        <w:t xml:space="preserve">Në përputhje me rregullat fiskale të përshkruara në </w:t>
      </w:r>
      <w:r w:rsidR="007C065E" w:rsidRPr="00EE038F">
        <w:t>ligjin organik të buxhe</w:t>
      </w:r>
      <w:r w:rsidRPr="00EE038F">
        <w:t xml:space="preserve">tit (OBL), politika e përgjithshme konsoliduese fiskale mbahet në çdo skenar makroekonomik. Megjithatë, objektivi sasior për deficitin fiskal vjetor ndryshon në secilin skenar, duke reflektuar kryesisht një përgjigje kundërciklike ndaj dinamikave të ndryshme të supozuara të ciklit ekonomik, brenda kufijve të respektimit të rregullave fiskale. Në përgjithësi, ka një pritshmëri për relaksim të deficitit fiskal në skenarin </w:t>
      </w:r>
      <w:r w:rsidR="00D555C7" w:rsidRPr="00EE038F">
        <w:t>“</w:t>
      </w:r>
      <w:r w:rsidRPr="00EE038F">
        <w:t>pesimist</w:t>
      </w:r>
      <w:r w:rsidR="00D555C7" w:rsidRPr="00EE038F">
        <w:t>”</w:t>
      </w:r>
      <w:r w:rsidRPr="00EE038F">
        <w:t xml:space="preserve"> dhe një konsolidim fiskal më të fortë në skenarin </w:t>
      </w:r>
      <w:r w:rsidR="00D555C7" w:rsidRPr="00EE038F">
        <w:t>“</w:t>
      </w:r>
      <w:r w:rsidRPr="00EE038F">
        <w:t>optimist</w:t>
      </w:r>
      <w:r w:rsidR="00D555C7" w:rsidRPr="00EE038F">
        <w:t>”</w:t>
      </w:r>
      <w:r w:rsidRPr="00EE038F">
        <w:t xml:space="preserve">. Në skenarin </w:t>
      </w:r>
      <w:r w:rsidR="00D555C7" w:rsidRPr="00EE038F">
        <w:t>“</w:t>
      </w:r>
      <w:r w:rsidRPr="00EE038F">
        <w:t>pesimist</w:t>
      </w:r>
      <w:r w:rsidR="00D555C7" w:rsidRPr="00EE038F">
        <w:t>”</w:t>
      </w:r>
      <w:r w:rsidRPr="00EE038F">
        <w:t xml:space="preserve">, lehtësimi i politikës fiskale, krahasuar me </w:t>
      </w:r>
      <w:r w:rsidR="00D555C7" w:rsidRPr="00EE038F">
        <w:t>“</w:t>
      </w:r>
      <w:r w:rsidRPr="00EE038F">
        <w:t>bazën</w:t>
      </w:r>
      <w:r w:rsidR="00D555C7" w:rsidRPr="00EE038F">
        <w:t>”</w:t>
      </w:r>
      <w:r w:rsidRPr="00EE038F">
        <w:t>, do të zbatohej në masën që parametrat kryesorë të financave publike (p.sh. raporti i borxhit ndaj PBB-së, bilanci primar dhe bilanci fiskal aktual) t</w:t>
      </w:r>
      <w:r w:rsidR="00CC64A2" w:rsidRPr="00EE038F">
        <w:t>’u</w:t>
      </w:r>
      <w:r w:rsidRPr="00EE038F">
        <w:t xml:space="preserve"> përmbahen njëkohësisht</w:t>
      </w:r>
      <w:r w:rsidR="00CC64A2" w:rsidRPr="00EE038F">
        <w:t xml:space="preserve"> </w:t>
      </w:r>
      <w:r w:rsidRPr="00EE038F">
        <w:t>rregullave fiskale në ligjin organik të buxhetit. Rregullimet e nevojshme të shpenzimeve për të siguruar respektimin e rregullave fiskale</w:t>
      </w:r>
      <w:r w:rsidR="007935F8" w:rsidRPr="00EE038F">
        <w:t>,</w:t>
      </w:r>
      <w:r w:rsidRPr="00EE038F">
        <w:t xml:space="preserve"> sipas skenarit </w:t>
      </w:r>
      <w:r w:rsidR="00D555C7" w:rsidRPr="00EE038F">
        <w:t>“</w:t>
      </w:r>
      <w:r w:rsidRPr="00EE038F">
        <w:t>pesimist</w:t>
      </w:r>
      <w:r w:rsidR="00D555C7" w:rsidRPr="00EE038F">
        <w:t>”</w:t>
      </w:r>
      <w:r w:rsidRPr="00EE038F">
        <w:t xml:space="preserve"> bëhen si në </w:t>
      </w:r>
      <w:r w:rsidR="00D555C7" w:rsidRPr="00EE038F">
        <w:t>“</w:t>
      </w:r>
      <w:r w:rsidRPr="00EE038F">
        <w:t xml:space="preserve">shpenzimet kapitale të financuara nga </w:t>
      </w:r>
      <w:r w:rsidR="007F728D" w:rsidRPr="00EE038F">
        <w:t>vendës</w:t>
      </w:r>
      <w:r w:rsidRPr="00EE038F">
        <w:t>it</w:t>
      </w:r>
      <w:r w:rsidR="00D555C7" w:rsidRPr="00EE038F">
        <w:t>”</w:t>
      </w:r>
      <w:r w:rsidRPr="00EE038F">
        <w:t xml:space="preserve"> dhe </w:t>
      </w:r>
      <w:r w:rsidR="00D555C7" w:rsidRPr="00EE038F">
        <w:t>“</w:t>
      </w:r>
      <w:r w:rsidRPr="00EE038F">
        <w:t>shpenzimet operative dhe të mirëmbajtjes</w:t>
      </w:r>
      <w:r w:rsidR="00D555C7" w:rsidRPr="00EE038F">
        <w:t>”</w:t>
      </w:r>
      <w:r w:rsidRPr="00EE038F">
        <w:t xml:space="preserve">. Konkretisht, ulja mesatare vjetore e shpenzimeve kapitale gjatë viteve </w:t>
      </w:r>
      <w:r w:rsidR="00B41EC3" w:rsidRPr="00EE038F">
        <w:t>2025–2027</w:t>
      </w:r>
      <w:r w:rsidRPr="00EE038F">
        <w:t xml:space="preserve">, sipas skenarit </w:t>
      </w:r>
      <w:r w:rsidR="00D555C7" w:rsidRPr="00EE038F">
        <w:t>“</w:t>
      </w:r>
      <w:r w:rsidRPr="00EE038F">
        <w:t>pesimist</w:t>
      </w:r>
      <w:r w:rsidR="00D555C7" w:rsidRPr="00EE038F">
        <w:t>”</w:t>
      </w:r>
      <w:r w:rsidR="007935F8" w:rsidRPr="00EE038F">
        <w:t>,</w:t>
      </w:r>
      <w:r w:rsidRPr="00EE038F">
        <w:t xml:space="preserve"> në krahasim me </w:t>
      </w:r>
      <w:r w:rsidR="00D555C7" w:rsidRPr="00EE038F">
        <w:t>“</w:t>
      </w:r>
      <w:r w:rsidRPr="00EE038F">
        <w:t>bazën</w:t>
      </w:r>
      <w:r w:rsidR="00D555C7" w:rsidRPr="00EE038F">
        <w:t>”</w:t>
      </w:r>
      <w:r w:rsidRPr="00EE038F">
        <w:t xml:space="preserve">, arrin në 27.2 miliardë lekë, ose afërsisht 0.8 për qind e PBB-së mesatarisht çdo vit. Në skenarin </w:t>
      </w:r>
      <w:r w:rsidR="00D555C7" w:rsidRPr="00EE038F">
        <w:t>“</w:t>
      </w:r>
      <w:r w:rsidRPr="00EE038F">
        <w:t>pesimist</w:t>
      </w:r>
      <w:r w:rsidR="00D555C7" w:rsidRPr="00EE038F">
        <w:t>”</w:t>
      </w:r>
      <w:r w:rsidRPr="00EE038F">
        <w:t xml:space="preserve">, niveli mesatar vjetor i totalit të shpenzimeve kapitale gjatë viteve </w:t>
      </w:r>
      <w:r w:rsidR="003F70BC" w:rsidRPr="00EE038F">
        <w:t xml:space="preserve">2025–2027 </w:t>
      </w:r>
      <w:r w:rsidRPr="00EE038F">
        <w:t xml:space="preserve">zbret në 5.3 për qind të PBB-së, nga 6.1 për qind e planifikuar e PBB-së në </w:t>
      </w:r>
      <w:r w:rsidR="00D555C7" w:rsidRPr="00EE038F">
        <w:t>“</w:t>
      </w:r>
      <w:r w:rsidRPr="00EE038F">
        <w:t>bazë</w:t>
      </w:r>
      <w:r w:rsidR="00D555C7" w:rsidRPr="00EE038F">
        <w:t>”</w:t>
      </w:r>
      <w:r w:rsidRPr="00EE038F">
        <w:t xml:space="preserve">. Shpenzimet operative dhe të mirëmbajtjes gjatë periudhës </w:t>
      </w:r>
      <w:r w:rsidR="003F70BC" w:rsidRPr="00EE038F">
        <w:t xml:space="preserve">2025–2027 </w:t>
      </w:r>
      <w:r w:rsidRPr="00EE038F">
        <w:t>reduktohen mesatarisht me 9.0 miliardë lekë në vit krahasuar me skenarin bazë, ose mesatarisht 0.2 për qind të PBB-së në vit.</w:t>
      </w:r>
    </w:p>
    <w:p w14:paraId="60BFF22F" w14:textId="6FE21533" w:rsidR="00C50585" w:rsidRPr="00EE038F" w:rsidRDefault="00C50585" w:rsidP="000D7AD9">
      <w:pPr>
        <w:pStyle w:val="TEKSTIIIIII"/>
      </w:pPr>
      <w:r w:rsidRPr="00EE038F">
        <w:t xml:space="preserve">Në skenarin </w:t>
      </w:r>
      <w:r w:rsidR="00D555C7" w:rsidRPr="00EE038F">
        <w:t>“</w:t>
      </w:r>
      <w:r w:rsidRPr="00EE038F">
        <w:t>optimist</w:t>
      </w:r>
      <w:r w:rsidR="00D555C7" w:rsidRPr="00EE038F">
        <w:t>”</w:t>
      </w:r>
      <w:r w:rsidRPr="00EE038F">
        <w:t>, shpenzimet kapitale rriten me një mesatare vjetore prej 5 miliardë</w:t>
      </w:r>
      <w:r w:rsidR="007935F8" w:rsidRPr="00EE038F">
        <w:t>sh</w:t>
      </w:r>
      <w:r w:rsidRPr="00EE038F">
        <w:t xml:space="preserve"> (ose rreth 0.1 për qind të PBB-së) gjatë periudhës </w:t>
      </w:r>
      <w:r w:rsidR="003F70BC" w:rsidRPr="00EE038F">
        <w:t xml:space="preserve">2025–2027 </w:t>
      </w:r>
      <w:r w:rsidRPr="00EE038F">
        <w:t xml:space="preserve">krahasuar me skenarin </w:t>
      </w:r>
      <w:r w:rsidR="00D555C7" w:rsidRPr="00EE038F">
        <w:t>“</w:t>
      </w:r>
      <w:r w:rsidRPr="00EE038F">
        <w:t>bazë</w:t>
      </w:r>
      <w:r w:rsidR="00D555C7" w:rsidRPr="00EE038F">
        <w:t>”</w:t>
      </w:r>
      <w:r w:rsidRPr="00EE038F">
        <w:t xml:space="preserve">, ndërsa zërat e tjerë të të gjitha shpenzimeve diskrecionale (d.m.th. shpenzimet operative dhe të mirëmbajtjes) në terma nominalë supozohen të jenë identikë me skenarin </w:t>
      </w:r>
      <w:r w:rsidR="00D555C7" w:rsidRPr="00EE038F">
        <w:t>“</w:t>
      </w:r>
      <w:r w:rsidRPr="00EE038F">
        <w:t>bazë</w:t>
      </w:r>
      <w:r w:rsidR="00D555C7" w:rsidRPr="00EE038F">
        <w:t>”</w:t>
      </w:r>
      <w:r w:rsidRPr="00EE038F">
        <w:t xml:space="preserve">. Pjesa tjetër e të ardhurave shtesë të gjeneruara reflektohet si një bilanc fiskal i përgjithshëm më i lartë (duke rezultuar në një deficit më të ulët) çdo vit krahasuar me skenarin </w:t>
      </w:r>
      <w:r w:rsidR="00D555C7" w:rsidRPr="00EE038F">
        <w:t>“</w:t>
      </w:r>
      <w:r w:rsidRPr="00EE038F">
        <w:t>bazë</w:t>
      </w:r>
      <w:r w:rsidR="00D555C7" w:rsidRPr="00EE038F">
        <w:t>”</w:t>
      </w:r>
      <w:r w:rsidRPr="00EE038F">
        <w:t xml:space="preserve"> dhe rrjedhimisht një trajektore më e pjerrët në rënie të borxhit publik.</w:t>
      </w:r>
    </w:p>
    <w:p w14:paraId="3EBAEFF5" w14:textId="4C8CC616" w:rsidR="00C50585" w:rsidRPr="00EE038F" w:rsidRDefault="00C50585" w:rsidP="000D7AD9">
      <w:pPr>
        <w:pStyle w:val="TEKSTIIIIII"/>
      </w:pPr>
      <w:r w:rsidRPr="00EE038F">
        <w:t>Për të adresuar në mënyrë efektive të gjitha kërkesat e buxhetit dhe shërbimit të borxhit (d.m.th., nevojat për financim) gjatë horizontit kohor trevjeçar (përfshirë vitin 2027), tre zëra financimi, konkretisht</w:t>
      </w:r>
      <w:r w:rsidR="00AC39AF" w:rsidRPr="00EE038F">
        <w:t>:</w:t>
      </w:r>
      <w:r w:rsidRPr="00EE038F">
        <w:t xml:space="preserve"> </w:t>
      </w:r>
      <w:r w:rsidR="00D555C7" w:rsidRPr="00EE038F">
        <w:t>“</w:t>
      </w:r>
      <w:r w:rsidRPr="00EE038F">
        <w:t>huamarrja e brendshme neto</w:t>
      </w:r>
      <w:r w:rsidR="00D555C7" w:rsidRPr="00EE038F">
        <w:t>”</w:t>
      </w:r>
      <w:r w:rsidRPr="00EE038F">
        <w:t xml:space="preserve">, </w:t>
      </w:r>
      <w:r w:rsidR="00D555C7" w:rsidRPr="00EE038F">
        <w:t>“</w:t>
      </w:r>
      <w:r w:rsidRPr="00EE038F">
        <w:t>ndryshimi i stokut të likuiditetit në TSA</w:t>
      </w:r>
      <w:r w:rsidR="00D555C7" w:rsidRPr="00EE038F">
        <w:t>”</w:t>
      </w:r>
      <w:r w:rsidRPr="00EE038F">
        <w:t xml:space="preserve"> dhe </w:t>
      </w:r>
      <w:r w:rsidR="00D555C7" w:rsidRPr="00EE038F">
        <w:t>“</w:t>
      </w:r>
      <w:r w:rsidRPr="00EE038F">
        <w:t>likuiditeti i stokut në TSA</w:t>
      </w:r>
      <w:r w:rsidR="00D555C7" w:rsidRPr="00EE038F">
        <w:t>”</w:t>
      </w:r>
      <w:r w:rsidRPr="00EE038F">
        <w:t xml:space="preserve">, janë optimizuar njëkohësisht në çdo skenar alternativ, me theks të veçantë në atë </w:t>
      </w:r>
      <w:r w:rsidR="00D555C7" w:rsidRPr="00EE038F">
        <w:t>“</w:t>
      </w:r>
      <w:r w:rsidRPr="00EE038F">
        <w:t>pesimist</w:t>
      </w:r>
      <w:r w:rsidR="00D555C7" w:rsidRPr="00EE038F">
        <w:t>”</w:t>
      </w:r>
      <w:r w:rsidRPr="00EE038F">
        <w:t xml:space="preserve">. Ndërkohë, </w:t>
      </w:r>
      <w:r w:rsidR="00D555C7" w:rsidRPr="00EE038F">
        <w:t>“</w:t>
      </w:r>
      <w:r w:rsidRPr="00EE038F">
        <w:t>huamarrja e huaj neto</w:t>
      </w:r>
      <w:r w:rsidR="00D555C7" w:rsidRPr="00EE038F">
        <w:t>”</w:t>
      </w:r>
      <w:r w:rsidRPr="00EE038F">
        <w:t>, që përfshin si huamarrjen komerciale</w:t>
      </w:r>
      <w:r w:rsidR="00BD0FBC" w:rsidRPr="00EE038F">
        <w:t>,</w:t>
      </w:r>
      <w:r w:rsidRPr="00EE038F">
        <w:t xml:space="preserve"> ashtu edhe atë koncesionale, supozohet të jetë saktësisht i njëjtë me atë të skenarit </w:t>
      </w:r>
      <w:r w:rsidR="00D555C7" w:rsidRPr="00EE038F">
        <w:t>“</w:t>
      </w:r>
      <w:r w:rsidRPr="00EE038F">
        <w:t>bazës</w:t>
      </w:r>
      <w:r w:rsidR="00D555C7" w:rsidRPr="00EE038F">
        <w:t>”</w:t>
      </w:r>
      <w:r w:rsidRPr="00EE038F">
        <w:t>.</w:t>
      </w:r>
    </w:p>
    <w:p w14:paraId="24945FA6" w14:textId="7710C7C8" w:rsidR="00C50585" w:rsidRPr="00EE038F" w:rsidRDefault="00C50585" w:rsidP="00C50585">
      <w:pPr>
        <w:spacing w:after="0" w:line="240" w:lineRule="auto"/>
        <w:jc w:val="both"/>
        <w:rPr>
          <w:rFonts w:ascii="Garamond" w:hAnsi="Garamond"/>
          <w:color w:val="0D0D0D" w:themeColor="text1" w:themeTint="F2"/>
          <w:sz w:val="24"/>
          <w:szCs w:val="24"/>
        </w:rPr>
      </w:pPr>
      <w:r w:rsidRPr="00EE038F">
        <w:rPr>
          <w:rFonts w:ascii="Garamond" w:hAnsi="Garamond"/>
          <w:color w:val="0D0D0D" w:themeColor="text1" w:themeTint="F2"/>
          <w:sz w:val="24"/>
          <w:szCs w:val="24"/>
        </w:rPr>
        <w:t>Grafikët dhe tabelat e mëposhtme paraqesin implikimet kryesore fiskale të skenarëve alternativë.</w:t>
      </w:r>
    </w:p>
    <w:p w14:paraId="6B262E61" w14:textId="77777777" w:rsidR="000D7AD9" w:rsidRPr="00EE038F" w:rsidRDefault="000D7AD9" w:rsidP="00C50585">
      <w:pPr>
        <w:spacing w:after="0" w:line="240" w:lineRule="auto"/>
        <w:jc w:val="both"/>
        <w:rPr>
          <w:rFonts w:ascii="Garamond" w:hAnsi="Garamond"/>
          <w:b/>
          <w:i/>
          <w:color w:val="0D0D0D" w:themeColor="text1" w:themeTint="F2"/>
        </w:rPr>
      </w:pPr>
    </w:p>
    <w:p w14:paraId="1EEE962F" w14:textId="77777777" w:rsidR="00066DFC" w:rsidRPr="00EE038F" w:rsidRDefault="00066DFC" w:rsidP="00C50585">
      <w:pPr>
        <w:spacing w:after="0" w:line="240" w:lineRule="auto"/>
        <w:jc w:val="both"/>
        <w:rPr>
          <w:rFonts w:ascii="Garamond" w:hAnsi="Garamond"/>
          <w:b/>
          <w:i/>
          <w:color w:val="0D0D0D" w:themeColor="text1" w:themeTint="F2"/>
        </w:rPr>
      </w:pPr>
    </w:p>
    <w:p w14:paraId="3857361A" w14:textId="77777777" w:rsidR="00066DFC" w:rsidRPr="00EE038F" w:rsidRDefault="00066DFC" w:rsidP="00C50585">
      <w:pPr>
        <w:spacing w:after="0" w:line="240" w:lineRule="auto"/>
        <w:jc w:val="both"/>
        <w:rPr>
          <w:rFonts w:ascii="Garamond" w:hAnsi="Garamond"/>
          <w:b/>
          <w:i/>
          <w:color w:val="0D0D0D" w:themeColor="text1" w:themeTint="F2"/>
        </w:rPr>
      </w:pPr>
    </w:p>
    <w:p w14:paraId="540CE024" w14:textId="77777777" w:rsidR="00066DFC" w:rsidRPr="00EE038F" w:rsidRDefault="00066DFC" w:rsidP="00C50585">
      <w:pPr>
        <w:spacing w:after="0" w:line="240" w:lineRule="auto"/>
        <w:jc w:val="both"/>
        <w:rPr>
          <w:rFonts w:ascii="Garamond" w:hAnsi="Garamond"/>
          <w:b/>
          <w:i/>
          <w:color w:val="0D0D0D" w:themeColor="text1" w:themeTint="F2"/>
        </w:rPr>
      </w:pPr>
    </w:p>
    <w:p w14:paraId="47BF552D" w14:textId="77777777" w:rsidR="00066DFC" w:rsidRPr="00EE038F" w:rsidRDefault="00066DFC" w:rsidP="00C50585">
      <w:pPr>
        <w:spacing w:after="0" w:line="240" w:lineRule="auto"/>
        <w:jc w:val="both"/>
        <w:rPr>
          <w:rFonts w:ascii="Garamond" w:hAnsi="Garamond"/>
          <w:b/>
          <w:i/>
          <w:color w:val="0D0D0D" w:themeColor="text1" w:themeTint="F2"/>
        </w:rPr>
      </w:pPr>
    </w:p>
    <w:p w14:paraId="5EA296BE" w14:textId="77777777" w:rsidR="00066DFC" w:rsidRPr="00EE038F" w:rsidRDefault="00066DFC" w:rsidP="00C50585">
      <w:pPr>
        <w:spacing w:after="0" w:line="240" w:lineRule="auto"/>
        <w:jc w:val="both"/>
        <w:rPr>
          <w:rFonts w:ascii="Garamond" w:hAnsi="Garamond"/>
          <w:b/>
          <w:i/>
          <w:color w:val="0D0D0D" w:themeColor="text1" w:themeTint="F2"/>
        </w:rPr>
      </w:pPr>
    </w:p>
    <w:p w14:paraId="5D54EDDA" w14:textId="77777777" w:rsidR="00066DFC" w:rsidRPr="00EE038F" w:rsidRDefault="00066DFC" w:rsidP="00C50585">
      <w:pPr>
        <w:spacing w:after="0" w:line="240" w:lineRule="auto"/>
        <w:jc w:val="both"/>
        <w:rPr>
          <w:rFonts w:ascii="Garamond" w:hAnsi="Garamond"/>
          <w:b/>
          <w:i/>
          <w:color w:val="0D0D0D" w:themeColor="text1" w:themeTint="F2"/>
        </w:rPr>
      </w:pPr>
    </w:p>
    <w:p w14:paraId="09B1D44F" w14:textId="77777777" w:rsidR="00066DFC" w:rsidRPr="00EE038F" w:rsidRDefault="00066DFC" w:rsidP="00C50585">
      <w:pPr>
        <w:spacing w:after="0" w:line="240" w:lineRule="auto"/>
        <w:jc w:val="both"/>
        <w:rPr>
          <w:rFonts w:ascii="Garamond" w:hAnsi="Garamond"/>
          <w:b/>
          <w:i/>
          <w:color w:val="0D0D0D" w:themeColor="text1" w:themeTint="F2"/>
        </w:rPr>
      </w:pPr>
    </w:p>
    <w:p w14:paraId="285B3481" w14:textId="77777777" w:rsidR="00066DFC" w:rsidRPr="00EE038F" w:rsidRDefault="00066DFC" w:rsidP="00C50585">
      <w:pPr>
        <w:spacing w:after="0" w:line="240" w:lineRule="auto"/>
        <w:jc w:val="both"/>
        <w:rPr>
          <w:rFonts w:ascii="Garamond" w:hAnsi="Garamond"/>
          <w:b/>
          <w:i/>
          <w:color w:val="0D0D0D" w:themeColor="text1" w:themeTint="F2"/>
        </w:rPr>
      </w:pPr>
    </w:p>
    <w:p w14:paraId="32CE3F97" w14:textId="2EA7E03A" w:rsidR="00C50585" w:rsidRPr="00EE038F" w:rsidRDefault="00C50585" w:rsidP="00066DFC">
      <w:pPr>
        <w:spacing w:after="0" w:line="240" w:lineRule="auto"/>
        <w:jc w:val="center"/>
        <w:rPr>
          <w:rFonts w:ascii="Garamond" w:hAnsi="Garamond"/>
          <w:bCs/>
          <w:i/>
          <w:color w:val="0D0D0D" w:themeColor="text1" w:themeTint="F2"/>
          <w:sz w:val="24"/>
          <w:szCs w:val="24"/>
        </w:rPr>
      </w:pPr>
      <w:r w:rsidRPr="00EE038F">
        <w:rPr>
          <w:rFonts w:ascii="Garamond" w:hAnsi="Garamond"/>
          <w:bCs/>
          <w:i/>
          <w:color w:val="0D0D0D" w:themeColor="text1" w:themeTint="F2"/>
          <w:sz w:val="24"/>
          <w:szCs w:val="24"/>
        </w:rPr>
        <w:lastRenderedPageBreak/>
        <w:t>Grafik 4.7.1</w:t>
      </w:r>
      <w:r w:rsidR="000703DD" w:rsidRPr="00EE038F">
        <w:rPr>
          <w:rFonts w:ascii="Garamond" w:hAnsi="Garamond"/>
          <w:bCs/>
          <w:i/>
          <w:color w:val="0D0D0D" w:themeColor="text1" w:themeTint="F2"/>
          <w:sz w:val="24"/>
          <w:szCs w:val="24"/>
        </w:rPr>
        <w:t>:</w:t>
      </w:r>
      <w:r w:rsidRPr="00EE038F">
        <w:rPr>
          <w:rFonts w:ascii="Garamond" w:hAnsi="Garamond"/>
          <w:bCs/>
          <w:i/>
          <w:color w:val="0D0D0D" w:themeColor="text1" w:themeTint="F2"/>
          <w:sz w:val="24"/>
          <w:szCs w:val="24"/>
        </w:rPr>
        <w:t xml:space="preserve"> Dinamika e treguesve kryesorë në skenarë të ndryshëm</w:t>
      </w:r>
    </w:p>
    <w:p w14:paraId="2D6A638A" w14:textId="77777777" w:rsidR="00C50585" w:rsidRPr="00EE038F" w:rsidRDefault="00C50585" w:rsidP="00C50585">
      <w:pPr>
        <w:spacing w:after="0" w:line="240" w:lineRule="auto"/>
        <w:jc w:val="both"/>
        <w:rPr>
          <w:rFonts w:ascii="Garamond" w:hAnsi="Garamond"/>
          <w:color w:val="0D0D0D" w:themeColor="text1" w:themeTint="F2"/>
        </w:rPr>
      </w:pPr>
    </w:p>
    <w:p w14:paraId="65797D3F" w14:textId="77777777" w:rsidR="00C50585" w:rsidRPr="00EE038F" w:rsidRDefault="00C50585" w:rsidP="00C50585">
      <w:pPr>
        <w:tabs>
          <w:tab w:val="left" w:pos="435"/>
        </w:tabs>
        <w:spacing w:after="0" w:line="240" w:lineRule="auto"/>
        <w:jc w:val="both"/>
        <w:rPr>
          <w:rFonts w:ascii="Garamond" w:hAnsi="Garamond"/>
          <w:i/>
          <w:color w:val="0D0D0D" w:themeColor="text1" w:themeTint="F2"/>
        </w:rPr>
      </w:pPr>
      <w:r w:rsidRPr="00EE038F">
        <w:rPr>
          <w:rFonts w:ascii="Garamond" w:hAnsi="Garamond"/>
          <w:noProof/>
          <w:lang w:eastAsia="en-GB"/>
        </w:rPr>
        <w:drawing>
          <wp:inline distT="0" distB="0" distL="0" distR="0" wp14:anchorId="1F9A5BCD" wp14:editId="7FC08EBA">
            <wp:extent cx="5911919" cy="67738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24546" cy="6788343"/>
                    </a:xfrm>
                    <a:prstGeom prst="rect">
                      <a:avLst/>
                    </a:prstGeom>
                    <a:noFill/>
                    <a:ln>
                      <a:noFill/>
                    </a:ln>
                  </pic:spPr>
                </pic:pic>
              </a:graphicData>
            </a:graphic>
          </wp:inline>
        </w:drawing>
      </w:r>
    </w:p>
    <w:p w14:paraId="00C6CB1C" w14:textId="77777777" w:rsidR="00C50585" w:rsidRPr="00EE038F" w:rsidRDefault="00C50585" w:rsidP="00AB627F">
      <w:pPr>
        <w:tabs>
          <w:tab w:val="left" w:pos="435"/>
        </w:tabs>
        <w:spacing w:after="0" w:line="240" w:lineRule="auto"/>
        <w:jc w:val="center"/>
        <w:rPr>
          <w:rFonts w:ascii="Garamond" w:hAnsi="Garamond"/>
          <w:i/>
          <w:color w:val="0D0D0D" w:themeColor="text1" w:themeTint="F2"/>
          <w:sz w:val="24"/>
          <w:szCs w:val="24"/>
        </w:rPr>
      </w:pPr>
      <w:r w:rsidRPr="00EE038F">
        <w:rPr>
          <w:rFonts w:ascii="Garamond" w:hAnsi="Garamond"/>
          <w:i/>
          <w:color w:val="0D0D0D" w:themeColor="text1" w:themeTint="F2"/>
          <w:sz w:val="24"/>
          <w:szCs w:val="24"/>
        </w:rPr>
        <w:t>Burimi: Ministria e Financave (2024)</w:t>
      </w:r>
    </w:p>
    <w:p w14:paraId="656A8FE4" w14:textId="77777777" w:rsidR="00402934" w:rsidRPr="00EE038F" w:rsidRDefault="00402934" w:rsidP="00C50585">
      <w:pPr>
        <w:spacing w:after="0" w:line="240" w:lineRule="auto"/>
        <w:jc w:val="both"/>
        <w:rPr>
          <w:rFonts w:ascii="Garamond" w:hAnsi="Garamond"/>
          <w:b/>
          <w:i/>
          <w:color w:val="0D0D0D" w:themeColor="text1" w:themeTint="F2"/>
        </w:rPr>
      </w:pPr>
    </w:p>
    <w:p w14:paraId="441F09CD" w14:textId="77777777" w:rsidR="00402934" w:rsidRPr="00EE038F" w:rsidRDefault="00402934" w:rsidP="00C50585">
      <w:pPr>
        <w:spacing w:after="0" w:line="240" w:lineRule="auto"/>
        <w:jc w:val="both"/>
        <w:rPr>
          <w:rFonts w:ascii="Garamond" w:hAnsi="Garamond"/>
          <w:b/>
          <w:i/>
          <w:color w:val="0D0D0D" w:themeColor="text1" w:themeTint="F2"/>
        </w:rPr>
      </w:pPr>
    </w:p>
    <w:p w14:paraId="328E477C" w14:textId="77777777" w:rsidR="00066DFC" w:rsidRPr="00EE038F" w:rsidRDefault="00066DFC" w:rsidP="00C50585">
      <w:pPr>
        <w:spacing w:after="0" w:line="240" w:lineRule="auto"/>
        <w:jc w:val="both"/>
        <w:rPr>
          <w:rFonts w:ascii="Garamond" w:hAnsi="Garamond"/>
          <w:b/>
          <w:i/>
          <w:color w:val="0D0D0D" w:themeColor="text1" w:themeTint="F2"/>
        </w:rPr>
      </w:pPr>
    </w:p>
    <w:p w14:paraId="541D1600" w14:textId="77777777" w:rsidR="00066DFC" w:rsidRPr="00EE038F" w:rsidRDefault="00066DFC" w:rsidP="00C50585">
      <w:pPr>
        <w:spacing w:after="0" w:line="240" w:lineRule="auto"/>
        <w:jc w:val="both"/>
        <w:rPr>
          <w:rFonts w:ascii="Garamond" w:hAnsi="Garamond"/>
          <w:b/>
          <w:i/>
          <w:color w:val="0D0D0D" w:themeColor="text1" w:themeTint="F2"/>
        </w:rPr>
      </w:pPr>
    </w:p>
    <w:p w14:paraId="45336400" w14:textId="77777777" w:rsidR="00066DFC" w:rsidRPr="00EE038F" w:rsidRDefault="00066DFC" w:rsidP="00C50585">
      <w:pPr>
        <w:spacing w:after="0" w:line="240" w:lineRule="auto"/>
        <w:jc w:val="both"/>
        <w:rPr>
          <w:rFonts w:ascii="Garamond" w:hAnsi="Garamond"/>
          <w:b/>
          <w:i/>
          <w:color w:val="0D0D0D" w:themeColor="text1" w:themeTint="F2"/>
        </w:rPr>
      </w:pPr>
    </w:p>
    <w:p w14:paraId="3B354C04" w14:textId="77777777" w:rsidR="00066DFC" w:rsidRPr="00EE038F" w:rsidRDefault="00066DFC" w:rsidP="00C50585">
      <w:pPr>
        <w:spacing w:after="0" w:line="240" w:lineRule="auto"/>
        <w:jc w:val="both"/>
        <w:rPr>
          <w:rFonts w:ascii="Garamond" w:hAnsi="Garamond"/>
          <w:b/>
          <w:i/>
          <w:color w:val="0D0D0D" w:themeColor="text1" w:themeTint="F2"/>
        </w:rPr>
      </w:pPr>
    </w:p>
    <w:p w14:paraId="787A3C7C" w14:textId="77777777" w:rsidR="00066DFC" w:rsidRPr="00EE038F" w:rsidRDefault="00066DFC" w:rsidP="00C50585">
      <w:pPr>
        <w:spacing w:after="0" w:line="240" w:lineRule="auto"/>
        <w:jc w:val="both"/>
        <w:rPr>
          <w:rFonts w:ascii="Garamond" w:hAnsi="Garamond"/>
          <w:b/>
          <w:i/>
          <w:color w:val="0D0D0D" w:themeColor="text1" w:themeTint="F2"/>
        </w:rPr>
      </w:pPr>
    </w:p>
    <w:p w14:paraId="3CF048A8" w14:textId="77777777" w:rsidR="00066DFC" w:rsidRPr="00EE038F" w:rsidRDefault="00066DFC" w:rsidP="00C50585">
      <w:pPr>
        <w:spacing w:after="0" w:line="240" w:lineRule="auto"/>
        <w:jc w:val="both"/>
        <w:rPr>
          <w:rFonts w:ascii="Garamond" w:hAnsi="Garamond"/>
          <w:b/>
          <w:i/>
          <w:color w:val="0D0D0D" w:themeColor="text1" w:themeTint="F2"/>
        </w:rPr>
      </w:pPr>
    </w:p>
    <w:p w14:paraId="12769567" w14:textId="77777777" w:rsidR="00066DFC" w:rsidRPr="00EE038F" w:rsidRDefault="00066DFC" w:rsidP="00C50585">
      <w:pPr>
        <w:spacing w:after="0" w:line="240" w:lineRule="auto"/>
        <w:jc w:val="both"/>
        <w:rPr>
          <w:rFonts w:ascii="Garamond" w:hAnsi="Garamond"/>
          <w:b/>
          <w:i/>
          <w:color w:val="0D0D0D" w:themeColor="text1" w:themeTint="F2"/>
        </w:rPr>
      </w:pPr>
    </w:p>
    <w:p w14:paraId="58F6C9B2" w14:textId="77777777" w:rsidR="00066DFC" w:rsidRPr="00EE038F" w:rsidRDefault="00066DFC" w:rsidP="00C50585">
      <w:pPr>
        <w:spacing w:after="0" w:line="240" w:lineRule="auto"/>
        <w:jc w:val="both"/>
        <w:rPr>
          <w:rFonts w:ascii="Garamond" w:hAnsi="Garamond"/>
          <w:b/>
          <w:i/>
          <w:color w:val="0D0D0D" w:themeColor="text1" w:themeTint="F2"/>
        </w:rPr>
      </w:pPr>
    </w:p>
    <w:p w14:paraId="75C7D8F5" w14:textId="520BED9F" w:rsidR="00C50585" w:rsidRPr="00EE038F" w:rsidRDefault="00C50585" w:rsidP="00066DFC">
      <w:pPr>
        <w:spacing w:after="0" w:line="240" w:lineRule="auto"/>
        <w:jc w:val="center"/>
        <w:rPr>
          <w:rFonts w:ascii="Garamond" w:hAnsi="Garamond"/>
          <w:bCs/>
          <w:i/>
          <w:color w:val="0D0D0D" w:themeColor="text1" w:themeTint="F2"/>
          <w:sz w:val="24"/>
          <w:szCs w:val="24"/>
        </w:rPr>
      </w:pPr>
      <w:r w:rsidRPr="00EE038F">
        <w:rPr>
          <w:rFonts w:ascii="Garamond" w:hAnsi="Garamond"/>
          <w:bCs/>
          <w:i/>
          <w:color w:val="0D0D0D" w:themeColor="text1" w:themeTint="F2"/>
          <w:sz w:val="24"/>
          <w:szCs w:val="24"/>
        </w:rPr>
        <w:lastRenderedPageBreak/>
        <w:t>Tabelë 4.7.1A</w:t>
      </w:r>
      <w:r w:rsidR="000703DD" w:rsidRPr="00EE038F">
        <w:rPr>
          <w:rFonts w:ascii="Garamond" w:hAnsi="Garamond"/>
          <w:bCs/>
          <w:i/>
          <w:color w:val="0D0D0D" w:themeColor="text1" w:themeTint="F2"/>
          <w:sz w:val="24"/>
          <w:szCs w:val="24"/>
        </w:rPr>
        <w:t>:</w:t>
      </w:r>
      <w:r w:rsidRPr="00EE038F">
        <w:rPr>
          <w:rFonts w:ascii="Garamond" w:hAnsi="Garamond"/>
          <w:bCs/>
          <w:i/>
          <w:color w:val="0D0D0D" w:themeColor="text1" w:themeTint="F2"/>
          <w:sz w:val="24"/>
          <w:szCs w:val="24"/>
        </w:rPr>
        <w:t xml:space="preserve"> Të ardhurat dhe shpenzimet kryesore për secilin skenar (miliardë lekë)</w:t>
      </w:r>
    </w:p>
    <w:p w14:paraId="0EDB26E4" w14:textId="02E9A5BB" w:rsidR="00C50585" w:rsidRPr="00EE038F" w:rsidRDefault="00C50585" w:rsidP="00066DFC">
      <w:pPr>
        <w:tabs>
          <w:tab w:val="left" w:pos="435"/>
        </w:tabs>
        <w:spacing w:after="0" w:line="240" w:lineRule="auto"/>
        <w:jc w:val="center"/>
        <w:rPr>
          <w:rFonts w:ascii="Garamond" w:hAnsi="Garamond"/>
          <w:i/>
          <w:color w:val="0D0D0D" w:themeColor="text1" w:themeTint="F2"/>
        </w:rPr>
      </w:pPr>
      <w:r w:rsidRPr="00EE038F">
        <w:rPr>
          <w:rFonts w:ascii="Garamond" w:hAnsi="Garamond"/>
          <w:noProof/>
          <w:lang w:eastAsia="en-GB"/>
        </w:rPr>
        <w:drawing>
          <wp:inline distT="0" distB="0" distL="0" distR="0" wp14:anchorId="19306BCF" wp14:editId="71A4AFF3">
            <wp:extent cx="5528357" cy="4016045"/>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535298" cy="4021087"/>
                    </a:xfrm>
                    <a:prstGeom prst="rect">
                      <a:avLst/>
                    </a:prstGeom>
                    <a:noFill/>
                    <a:ln>
                      <a:noFill/>
                    </a:ln>
                  </pic:spPr>
                </pic:pic>
              </a:graphicData>
            </a:graphic>
          </wp:inline>
        </w:drawing>
      </w:r>
      <w:r w:rsidRPr="00EE038F">
        <w:rPr>
          <w:rFonts w:ascii="Garamond" w:hAnsi="Garamond"/>
          <w:i/>
          <w:color w:val="0D0D0D" w:themeColor="text1" w:themeTint="F2"/>
        </w:rPr>
        <w:t>Burimi: Ministria e Financave (2024)</w:t>
      </w:r>
    </w:p>
    <w:p w14:paraId="086FC449" w14:textId="77777777" w:rsidR="00C50585" w:rsidRPr="00EE038F" w:rsidRDefault="00C50585" w:rsidP="00C50585">
      <w:pPr>
        <w:tabs>
          <w:tab w:val="left" w:pos="435"/>
        </w:tabs>
        <w:spacing w:after="0" w:line="240" w:lineRule="auto"/>
        <w:jc w:val="both"/>
        <w:rPr>
          <w:rFonts w:ascii="Garamond" w:hAnsi="Garamond"/>
          <w:i/>
        </w:rPr>
      </w:pPr>
    </w:p>
    <w:p w14:paraId="42C9D4A0" w14:textId="77777777" w:rsidR="00C50585" w:rsidRPr="00EE038F" w:rsidRDefault="00C50585" w:rsidP="00C50585">
      <w:pPr>
        <w:spacing w:after="0" w:line="240" w:lineRule="auto"/>
        <w:jc w:val="both"/>
        <w:rPr>
          <w:rFonts w:ascii="Garamond" w:hAnsi="Garamond"/>
          <w:color w:val="0D0D0D" w:themeColor="text1" w:themeTint="F2"/>
        </w:rPr>
      </w:pPr>
    </w:p>
    <w:p w14:paraId="66F4D794" w14:textId="77777777" w:rsidR="00066DFC" w:rsidRPr="00EE038F" w:rsidRDefault="00066DFC" w:rsidP="00066DFC">
      <w:pPr>
        <w:spacing w:after="0" w:line="240" w:lineRule="auto"/>
        <w:jc w:val="center"/>
        <w:rPr>
          <w:rFonts w:ascii="Garamond" w:hAnsi="Garamond"/>
          <w:b/>
          <w:i/>
          <w:color w:val="0D0D0D" w:themeColor="text1" w:themeTint="F2"/>
        </w:rPr>
      </w:pPr>
    </w:p>
    <w:p w14:paraId="2C1043C9" w14:textId="77777777" w:rsidR="00066DFC" w:rsidRPr="00EE038F" w:rsidRDefault="00066DFC" w:rsidP="00066DFC">
      <w:pPr>
        <w:spacing w:after="0" w:line="240" w:lineRule="auto"/>
        <w:jc w:val="center"/>
        <w:rPr>
          <w:rFonts w:ascii="Garamond" w:hAnsi="Garamond"/>
          <w:b/>
          <w:i/>
          <w:color w:val="0D0D0D" w:themeColor="text1" w:themeTint="F2"/>
        </w:rPr>
      </w:pPr>
    </w:p>
    <w:p w14:paraId="6D045412" w14:textId="77777777" w:rsidR="00066DFC" w:rsidRPr="00EE038F" w:rsidRDefault="00066DFC" w:rsidP="00066DFC">
      <w:pPr>
        <w:spacing w:after="0" w:line="240" w:lineRule="auto"/>
        <w:jc w:val="center"/>
        <w:rPr>
          <w:rFonts w:ascii="Garamond" w:hAnsi="Garamond"/>
          <w:b/>
          <w:i/>
          <w:color w:val="0D0D0D" w:themeColor="text1" w:themeTint="F2"/>
        </w:rPr>
      </w:pPr>
    </w:p>
    <w:p w14:paraId="3B1D43E9" w14:textId="77777777" w:rsidR="00066DFC" w:rsidRPr="00EE038F" w:rsidRDefault="00066DFC" w:rsidP="00066DFC">
      <w:pPr>
        <w:spacing w:after="0" w:line="240" w:lineRule="auto"/>
        <w:jc w:val="center"/>
        <w:rPr>
          <w:rFonts w:ascii="Garamond" w:hAnsi="Garamond"/>
          <w:b/>
          <w:i/>
          <w:color w:val="0D0D0D" w:themeColor="text1" w:themeTint="F2"/>
        </w:rPr>
      </w:pPr>
    </w:p>
    <w:p w14:paraId="141654D1" w14:textId="77777777" w:rsidR="00066DFC" w:rsidRPr="00EE038F" w:rsidRDefault="00066DFC" w:rsidP="00066DFC">
      <w:pPr>
        <w:spacing w:after="0" w:line="240" w:lineRule="auto"/>
        <w:jc w:val="center"/>
        <w:rPr>
          <w:rFonts w:ascii="Garamond" w:hAnsi="Garamond"/>
          <w:b/>
          <w:i/>
          <w:color w:val="0D0D0D" w:themeColor="text1" w:themeTint="F2"/>
        </w:rPr>
      </w:pPr>
    </w:p>
    <w:p w14:paraId="71C2B64F" w14:textId="77777777" w:rsidR="00066DFC" w:rsidRPr="00EE038F" w:rsidRDefault="00066DFC" w:rsidP="00066DFC">
      <w:pPr>
        <w:spacing w:after="0" w:line="240" w:lineRule="auto"/>
        <w:jc w:val="center"/>
        <w:rPr>
          <w:rFonts w:ascii="Garamond" w:hAnsi="Garamond"/>
          <w:b/>
          <w:i/>
          <w:color w:val="0D0D0D" w:themeColor="text1" w:themeTint="F2"/>
        </w:rPr>
      </w:pPr>
    </w:p>
    <w:p w14:paraId="7E8B9B6C" w14:textId="77777777" w:rsidR="00066DFC" w:rsidRPr="00EE038F" w:rsidRDefault="00066DFC" w:rsidP="00066DFC">
      <w:pPr>
        <w:spacing w:after="0" w:line="240" w:lineRule="auto"/>
        <w:jc w:val="center"/>
        <w:rPr>
          <w:rFonts w:ascii="Garamond" w:hAnsi="Garamond"/>
          <w:b/>
          <w:i/>
          <w:color w:val="0D0D0D" w:themeColor="text1" w:themeTint="F2"/>
        </w:rPr>
      </w:pPr>
    </w:p>
    <w:p w14:paraId="598719FC" w14:textId="77777777" w:rsidR="00066DFC" w:rsidRPr="00EE038F" w:rsidRDefault="00066DFC" w:rsidP="00066DFC">
      <w:pPr>
        <w:spacing w:after="0" w:line="240" w:lineRule="auto"/>
        <w:jc w:val="center"/>
        <w:rPr>
          <w:rFonts w:ascii="Garamond" w:hAnsi="Garamond"/>
          <w:b/>
          <w:i/>
          <w:color w:val="0D0D0D" w:themeColor="text1" w:themeTint="F2"/>
        </w:rPr>
      </w:pPr>
    </w:p>
    <w:p w14:paraId="32484FA0" w14:textId="77777777" w:rsidR="00066DFC" w:rsidRPr="00EE038F" w:rsidRDefault="00066DFC" w:rsidP="00066DFC">
      <w:pPr>
        <w:spacing w:after="0" w:line="240" w:lineRule="auto"/>
        <w:jc w:val="center"/>
        <w:rPr>
          <w:rFonts w:ascii="Garamond" w:hAnsi="Garamond"/>
          <w:b/>
          <w:i/>
          <w:color w:val="0D0D0D" w:themeColor="text1" w:themeTint="F2"/>
        </w:rPr>
      </w:pPr>
    </w:p>
    <w:p w14:paraId="3B7974DD" w14:textId="77777777" w:rsidR="00066DFC" w:rsidRPr="00EE038F" w:rsidRDefault="00066DFC" w:rsidP="00066DFC">
      <w:pPr>
        <w:spacing w:after="0" w:line="240" w:lineRule="auto"/>
        <w:jc w:val="center"/>
        <w:rPr>
          <w:rFonts w:ascii="Garamond" w:hAnsi="Garamond"/>
          <w:b/>
          <w:i/>
          <w:color w:val="0D0D0D" w:themeColor="text1" w:themeTint="F2"/>
        </w:rPr>
      </w:pPr>
    </w:p>
    <w:p w14:paraId="33A68B0D" w14:textId="77777777" w:rsidR="00066DFC" w:rsidRPr="00EE038F" w:rsidRDefault="00066DFC" w:rsidP="00066DFC">
      <w:pPr>
        <w:spacing w:after="0" w:line="240" w:lineRule="auto"/>
        <w:jc w:val="center"/>
        <w:rPr>
          <w:rFonts w:ascii="Garamond" w:hAnsi="Garamond"/>
          <w:b/>
          <w:i/>
          <w:color w:val="0D0D0D" w:themeColor="text1" w:themeTint="F2"/>
        </w:rPr>
      </w:pPr>
    </w:p>
    <w:p w14:paraId="5952034D" w14:textId="77777777" w:rsidR="00066DFC" w:rsidRPr="00EE038F" w:rsidRDefault="00066DFC" w:rsidP="00066DFC">
      <w:pPr>
        <w:spacing w:after="0" w:line="240" w:lineRule="auto"/>
        <w:jc w:val="center"/>
        <w:rPr>
          <w:rFonts w:ascii="Garamond" w:hAnsi="Garamond"/>
          <w:b/>
          <w:i/>
          <w:color w:val="0D0D0D" w:themeColor="text1" w:themeTint="F2"/>
        </w:rPr>
      </w:pPr>
    </w:p>
    <w:p w14:paraId="7FBC480C" w14:textId="77777777" w:rsidR="00066DFC" w:rsidRPr="00EE038F" w:rsidRDefault="00066DFC" w:rsidP="00066DFC">
      <w:pPr>
        <w:spacing w:after="0" w:line="240" w:lineRule="auto"/>
        <w:jc w:val="center"/>
        <w:rPr>
          <w:rFonts w:ascii="Garamond" w:hAnsi="Garamond"/>
          <w:b/>
          <w:i/>
          <w:color w:val="0D0D0D" w:themeColor="text1" w:themeTint="F2"/>
        </w:rPr>
      </w:pPr>
    </w:p>
    <w:p w14:paraId="228E0F1A" w14:textId="77777777" w:rsidR="00066DFC" w:rsidRPr="00EE038F" w:rsidRDefault="00066DFC" w:rsidP="00066DFC">
      <w:pPr>
        <w:spacing w:after="0" w:line="240" w:lineRule="auto"/>
        <w:jc w:val="center"/>
        <w:rPr>
          <w:rFonts w:ascii="Garamond" w:hAnsi="Garamond"/>
          <w:b/>
          <w:i/>
          <w:color w:val="0D0D0D" w:themeColor="text1" w:themeTint="F2"/>
        </w:rPr>
      </w:pPr>
    </w:p>
    <w:p w14:paraId="1F1B7817" w14:textId="77777777" w:rsidR="00066DFC" w:rsidRPr="00EE038F" w:rsidRDefault="00066DFC" w:rsidP="00066DFC">
      <w:pPr>
        <w:spacing w:after="0" w:line="240" w:lineRule="auto"/>
        <w:jc w:val="center"/>
        <w:rPr>
          <w:rFonts w:ascii="Garamond" w:hAnsi="Garamond"/>
          <w:b/>
          <w:i/>
          <w:color w:val="0D0D0D" w:themeColor="text1" w:themeTint="F2"/>
        </w:rPr>
      </w:pPr>
    </w:p>
    <w:p w14:paraId="16B36C60" w14:textId="77777777" w:rsidR="00066DFC" w:rsidRPr="00EE038F" w:rsidRDefault="00066DFC" w:rsidP="00066DFC">
      <w:pPr>
        <w:spacing w:after="0" w:line="240" w:lineRule="auto"/>
        <w:jc w:val="center"/>
        <w:rPr>
          <w:rFonts w:ascii="Garamond" w:hAnsi="Garamond"/>
          <w:b/>
          <w:i/>
          <w:color w:val="0D0D0D" w:themeColor="text1" w:themeTint="F2"/>
        </w:rPr>
      </w:pPr>
    </w:p>
    <w:p w14:paraId="57441331" w14:textId="77777777" w:rsidR="00066DFC" w:rsidRPr="00EE038F" w:rsidRDefault="00066DFC" w:rsidP="00066DFC">
      <w:pPr>
        <w:spacing w:after="0" w:line="240" w:lineRule="auto"/>
        <w:jc w:val="center"/>
        <w:rPr>
          <w:rFonts w:ascii="Garamond" w:hAnsi="Garamond"/>
          <w:b/>
          <w:i/>
          <w:color w:val="0D0D0D" w:themeColor="text1" w:themeTint="F2"/>
        </w:rPr>
      </w:pPr>
    </w:p>
    <w:p w14:paraId="683A6F35" w14:textId="77777777" w:rsidR="00066DFC" w:rsidRPr="00EE038F" w:rsidRDefault="00066DFC" w:rsidP="00066DFC">
      <w:pPr>
        <w:spacing w:after="0" w:line="240" w:lineRule="auto"/>
        <w:jc w:val="center"/>
        <w:rPr>
          <w:rFonts w:ascii="Garamond" w:hAnsi="Garamond"/>
          <w:b/>
          <w:i/>
          <w:color w:val="0D0D0D" w:themeColor="text1" w:themeTint="F2"/>
        </w:rPr>
      </w:pPr>
    </w:p>
    <w:p w14:paraId="56DE5EFD" w14:textId="77777777" w:rsidR="00066DFC" w:rsidRPr="00EE038F" w:rsidRDefault="00066DFC" w:rsidP="00066DFC">
      <w:pPr>
        <w:spacing w:after="0" w:line="240" w:lineRule="auto"/>
        <w:jc w:val="center"/>
        <w:rPr>
          <w:rFonts w:ascii="Garamond" w:hAnsi="Garamond"/>
          <w:b/>
          <w:i/>
          <w:color w:val="0D0D0D" w:themeColor="text1" w:themeTint="F2"/>
        </w:rPr>
      </w:pPr>
    </w:p>
    <w:p w14:paraId="07453F88" w14:textId="77777777" w:rsidR="00066DFC" w:rsidRPr="00EE038F" w:rsidRDefault="00066DFC" w:rsidP="00066DFC">
      <w:pPr>
        <w:spacing w:after="0" w:line="240" w:lineRule="auto"/>
        <w:jc w:val="center"/>
        <w:rPr>
          <w:rFonts w:ascii="Garamond" w:hAnsi="Garamond"/>
          <w:b/>
          <w:i/>
          <w:color w:val="0D0D0D" w:themeColor="text1" w:themeTint="F2"/>
        </w:rPr>
      </w:pPr>
    </w:p>
    <w:p w14:paraId="5CC1A06B" w14:textId="77777777" w:rsidR="00066DFC" w:rsidRPr="00EE038F" w:rsidRDefault="00066DFC" w:rsidP="00066DFC">
      <w:pPr>
        <w:spacing w:after="0" w:line="240" w:lineRule="auto"/>
        <w:jc w:val="center"/>
        <w:rPr>
          <w:rFonts w:ascii="Garamond" w:hAnsi="Garamond"/>
          <w:b/>
          <w:i/>
          <w:color w:val="0D0D0D" w:themeColor="text1" w:themeTint="F2"/>
        </w:rPr>
      </w:pPr>
    </w:p>
    <w:p w14:paraId="6641A750" w14:textId="77777777" w:rsidR="00066DFC" w:rsidRPr="00EE038F" w:rsidRDefault="00066DFC" w:rsidP="00066DFC">
      <w:pPr>
        <w:spacing w:after="0" w:line="240" w:lineRule="auto"/>
        <w:jc w:val="center"/>
        <w:rPr>
          <w:rFonts w:ascii="Garamond" w:hAnsi="Garamond"/>
          <w:b/>
          <w:i/>
          <w:color w:val="0D0D0D" w:themeColor="text1" w:themeTint="F2"/>
        </w:rPr>
      </w:pPr>
    </w:p>
    <w:p w14:paraId="7F76D993" w14:textId="77777777" w:rsidR="00066DFC" w:rsidRPr="00EE038F" w:rsidRDefault="00066DFC" w:rsidP="00066DFC">
      <w:pPr>
        <w:spacing w:after="0" w:line="240" w:lineRule="auto"/>
        <w:jc w:val="center"/>
        <w:rPr>
          <w:rFonts w:ascii="Garamond" w:hAnsi="Garamond"/>
          <w:b/>
          <w:i/>
          <w:color w:val="0D0D0D" w:themeColor="text1" w:themeTint="F2"/>
        </w:rPr>
      </w:pPr>
    </w:p>
    <w:p w14:paraId="64922ADD" w14:textId="77777777" w:rsidR="00066DFC" w:rsidRPr="00EE038F" w:rsidRDefault="00066DFC" w:rsidP="00066DFC">
      <w:pPr>
        <w:spacing w:after="0" w:line="240" w:lineRule="auto"/>
        <w:jc w:val="center"/>
        <w:rPr>
          <w:rFonts w:ascii="Garamond" w:hAnsi="Garamond"/>
          <w:b/>
          <w:i/>
          <w:color w:val="0D0D0D" w:themeColor="text1" w:themeTint="F2"/>
        </w:rPr>
      </w:pPr>
    </w:p>
    <w:p w14:paraId="48D2C16E" w14:textId="77777777" w:rsidR="00066DFC" w:rsidRPr="00EE038F" w:rsidRDefault="00066DFC" w:rsidP="00066DFC">
      <w:pPr>
        <w:spacing w:after="0" w:line="240" w:lineRule="auto"/>
        <w:jc w:val="center"/>
        <w:rPr>
          <w:rFonts w:ascii="Garamond" w:hAnsi="Garamond"/>
          <w:b/>
          <w:i/>
          <w:color w:val="0D0D0D" w:themeColor="text1" w:themeTint="F2"/>
        </w:rPr>
      </w:pPr>
    </w:p>
    <w:p w14:paraId="5626A465" w14:textId="77777777" w:rsidR="000703DD" w:rsidRPr="00EE038F" w:rsidRDefault="000703DD" w:rsidP="00066DFC">
      <w:pPr>
        <w:spacing w:after="0" w:line="240" w:lineRule="auto"/>
        <w:jc w:val="center"/>
        <w:rPr>
          <w:rFonts w:ascii="Garamond" w:hAnsi="Garamond"/>
          <w:bCs/>
          <w:i/>
          <w:color w:val="0D0D0D" w:themeColor="text1" w:themeTint="F2"/>
          <w:sz w:val="24"/>
          <w:szCs w:val="24"/>
        </w:rPr>
      </w:pPr>
    </w:p>
    <w:p w14:paraId="53EEC921" w14:textId="237D9208" w:rsidR="00C50585" w:rsidRPr="00EE038F" w:rsidRDefault="00C50585" w:rsidP="00066DFC">
      <w:pPr>
        <w:spacing w:after="0" w:line="240" w:lineRule="auto"/>
        <w:jc w:val="center"/>
        <w:rPr>
          <w:rFonts w:ascii="Garamond" w:hAnsi="Garamond"/>
          <w:bCs/>
          <w:i/>
          <w:color w:val="0D0D0D" w:themeColor="text1" w:themeTint="F2"/>
          <w:sz w:val="24"/>
          <w:szCs w:val="24"/>
        </w:rPr>
      </w:pPr>
      <w:r w:rsidRPr="00EE038F">
        <w:rPr>
          <w:rFonts w:ascii="Garamond" w:hAnsi="Garamond"/>
          <w:bCs/>
          <w:i/>
          <w:color w:val="0D0D0D" w:themeColor="text1" w:themeTint="F2"/>
          <w:sz w:val="24"/>
          <w:szCs w:val="24"/>
        </w:rPr>
        <w:lastRenderedPageBreak/>
        <w:t>Tabelë 4.7.2A</w:t>
      </w:r>
      <w:r w:rsidR="000703DD" w:rsidRPr="00EE038F">
        <w:rPr>
          <w:rFonts w:ascii="Garamond" w:hAnsi="Garamond"/>
          <w:bCs/>
          <w:i/>
          <w:color w:val="0D0D0D" w:themeColor="text1" w:themeTint="F2"/>
          <w:sz w:val="24"/>
          <w:szCs w:val="24"/>
        </w:rPr>
        <w:t>:</w:t>
      </w:r>
      <w:r w:rsidRPr="00EE038F">
        <w:rPr>
          <w:rFonts w:ascii="Garamond" w:hAnsi="Garamond"/>
          <w:bCs/>
          <w:i/>
          <w:color w:val="0D0D0D" w:themeColor="text1" w:themeTint="F2"/>
          <w:sz w:val="24"/>
          <w:szCs w:val="24"/>
        </w:rPr>
        <w:t xml:space="preserve"> Parametrat kryesorë fiskalë dhe zërat e financimit për secilin skenar (miliardë lekë)</w:t>
      </w:r>
    </w:p>
    <w:p w14:paraId="0AA6CA03" w14:textId="58538635" w:rsidR="00C50585" w:rsidRPr="00EE038F" w:rsidRDefault="00C50585" w:rsidP="00066DFC">
      <w:pPr>
        <w:tabs>
          <w:tab w:val="left" w:pos="435"/>
        </w:tabs>
        <w:spacing w:after="0" w:line="240" w:lineRule="auto"/>
        <w:jc w:val="center"/>
        <w:rPr>
          <w:rFonts w:ascii="Garamond" w:hAnsi="Garamond"/>
          <w:i/>
          <w:color w:val="0D0D0D" w:themeColor="text1" w:themeTint="F2"/>
          <w:sz w:val="24"/>
          <w:szCs w:val="24"/>
        </w:rPr>
      </w:pPr>
      <w:r w:rsidRPr="00EE038F">
        <w:rPr>
          <w:rFonts w:ascii="Garamond" w:hAnsi="Garamond"/>
          <w:noProof/>
          <w:lang w:eastAsia="en-GB"/>
        </w:rPr>
        <w:drawing>
          <wp:inline distT="0" distB="0" distL="0" distR="0" wp14:anchorId="55FEEF9E" wp14:editId="303B616F">
            <wp:extent cx="5610758" cy="6896379"/>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617402" cy="6904545"/>
                    </a:xfrm>
                    <a:prstGeom prst="rect">
                      <a:avLst/>
                    </a:prstGeom>
                    <a:noFill/>
                    <a:ln>
                      <a:noFill/>
                    </a:ln>
                  </pic:spPr>
                </pic:pic>
              </a:graphicData>
            </a:graphic>
          </wp:inline>
        </w:drawing>
      </w:r>
      <w:r w:rsidRPr="00EE038F">
        <w:rPr>
          <w:rFonts w:ascii="Garamond" w:hAnsi="Garamond"/>
          <w:i/>
          <w:color w:val="0D0D0D" w:themeColor="text1" w:themeTint="F2"/>
          <w:sz w:val="24"/>
          <w:szCs w:val="24"/>
        </w:rPr>
        <w:t>Burimi: Ministria e Financave (2024)</w:t>
      </w:r>
    </w:p>
    <w:p w14:paraId="3BA09275" w14:textId="77777777" w:rsidR="00C50585" w:rsidRPr="00EE038F" w:rsidRDefault="00C50585" w:rsidP="00C50585">
      <w:pPr>
        <w:tabs>
          <w:tab w:val="left" w:pos="435"/>
        </w:tabs>
        <w:spacing w:after="0" w:line="240" w:lineRule="auto"/>
        <w:jc w:val="both"/>
        <w:rPr>
          <w:rFonts w:ascii="Garamond" w:hAnsi="Garamond"/>
          <w:i/>
        </w:rPr>
      </w:pPr>
    </w:p>
    <w:p w14:paraId="1A1F6347" w14:textId="37D1AAAA" w:rsidR="00C50585" w:rsidRPr="00EE038F" w:rsidRDefault="00AD3D9C" w:rsidP="00C50585">
      <w:pPr>
        <w:spacing w:after="0" w:line="240" w:lineRule="auto"/>
        <w:jc w:val="both"/>
        <w:rPr>
          <w:rFonts w:ascii="Garamond" w:hAnsi="Garamond"/>
          <w:color w:val="0D0D0D" w:themeColor="text1" w:themeTint="F2"/>
        </w:rPr>
      </w:pPr>
      <w:r w:rsidRPr="00EE038F">
        <w:rPr>
          <w:rFonts w:ascii="Garamond" w:hAnsi="Garamond"/>
          <w:color w:val="0D0D0D" w:themeColor="text1" w:themeTint="F2"/>
        </w:rPr>
        <w:t xml:space="preserve"> </w:t>
      </w:r>
    </w:p>
    <w:p w14:paraId="41306D4A" w14:textId="77777777" w:rsidR="00C50585" w:rsidRPr="00EE038F" w:rsidRDefault="00C50585" w:rsidP="00C50585">
      <w:pPr>
        <w:spacing w:after="0" w:line="240" w:lineRule="auto"/>
        <w:jc w:val="both"/>
        <w:rPr>
          <w:rFonts w:ascii="Garamond" w:hAnsi="Garamond"/>
          <w:color w:val="0D0D0D" w:themeColor="text1" w:themeTint="F2"/>
        </w:rPr>
      </w:pPr>
    </w:p>
    <w:p w14:paraId="79DD8932" w14:textId="77777777" w:rsidR="00C50585" w:rsidRPr="00EE038F" w:rsidRDefault="00C50585" w:rsidP="00C50585">
      <w:pPr>
        <w:spacing w:after="0" w:line="240" w:lineRule="auto"/>
        <w:jc w:val="both"/>
        <w:rPr>
          <w:rFonts w:ascii="Garamond" w:hAnsi="Garamond"/>
          <w:color w:val="0D0D0D" w:themeColor="text1" w:themeTint="F2"/>
        </w:rPr>
      </w:pPr>
    </w:p>
    <w:p w14:paraId="42E530C9" w14:textId="77777777" w:rsidR="00402934" w:rsidRPr="00EE038F" w:rsidRDefault="00402934" w:rsidP="00C50585">
      <w:pPr>
        <w:spacing w:after="0" w:line="240" w:lineRule="auto"/>
        <w:jc w:val="both"/>
        <w:rPr>
          <w:rFonts w:ascii="Garamond" w:hAnsi="Garamond"/>
          <w:color w:val="0D0D0D" w:themeColor="text1" w:themeTint="F2"/>
        </w:rPr>
      </w:pPr>
    </w:p>
    <w:p w14:paraId="6D8D5EF7" w14:textId="77777777" w:rsidR="00402934" w:rsidRPr="00EE038F" w:rsidRDefault="00402934" w:rsidP="00C50585">
      <w:pPr>
        <w:spacing w:after="0" w:line="240" w:lineRule="auto"/>
        <w:jc w:val="both"/>
        <w:rPr>
          <w:rFonts w:ascii="Garamond" w:hAnsi="Garamond"/>
          <w:color w:val="0D0D0D" w:themeColor="text1" w:themeTint="F2"/>
        </w:rPr>
      </w:pPr>
    </w:p>
    <w:p w14:paraId="638122AA" w14:textId="77777777" w:rsidR="00402934" w:rsidRPr="00EE038F" w:rsidRDefault="00402934" w:rsidP="00C50585">
      <w:pPr>
        <w:spacing w:after="0" w:line="240" w:lineRule="auto"/>
        <w:jc w:val="both"/>
        <w:rPr>
          <w:rFonts w:ascii="Garamond" w:hAnsi="Garamond"/>
          <w:color w:val="0D0D0D" w:themeColor="text1" w:themeTint="F2"/>
        </w:rPr>
      </w:pPr>
    </w:p>
    <w:p w14:paraId="6C1BB430" w14:textId="77777777" w:rsidR="00402934" w:rsidRPr="00EE038F" w:rsidRDefault="00402934" w:rsidP="00C50585">
      <w:pPr>
        <w:spacing w:after="0" w:line="240" w:lineRule="auto"/>
        <w:jc w:val="both"/>
        <w:rPr>
          <w:rFonts w:ascii="Garamond" w:hAnsi="Garamond"/>
          <w:color w:val="0D0D0D" w:themeColor="text1" w:themeTint="F2"/>
        </w:rPr>
      </w:pPr>
    </w:p>
    <w:p w14:paraId="7DDC8CDF" w14:textId="77777777" w:rsidR="00402934" w:rsidRPr="00EE038F" w:rsidRDefault="00402934" w:rsidP="00C50585">
      <w:pPr>
        <w:spacing w:after="0" w:line="240" w:lineRule="auto"/>
        <w:jc w:val="both"/>
        <w:rPr>
          <w:rFonts w:ascii="Garamond" w:hAnsi="Garamond"/>
          <w:color w:val="0D0D0D" w:themeColor="text1" w:themeTint="F2"/>
        </w:rPr>
      </w:pPr>
    </w:p>
    <w:p w14:paraId="11153589" w14:textId="77777777" w:rsidR="00402934" w:rsidRPr="00EE038F" w:rsidRDefault="00402934" w:rsidP="00C50585">
      <w:pPr>
        <w:spacing w:after="0" w:line="240" w:lineRule="auto"/>
        <w:jc w:val="both"/>
        <w:rPr>
          <w:rFonts w:ascii="Garamond" w:hAnsi="Garamond"/>
          <w:color w:val="0D0D0D" w:themeColor="text1" w:themeTint="F2"/>
        </w:rPr>
      </w:pPr>
    </w:p>
    <w:p w14:paraId="75B3793F" w14:textId="77777777" w:rsidR="00402934" w:rsidRPr="00EE038F" w:rsidRDefault="00402934" w:rsidP="00C50585">
      <w:pPr>
        <w:spacing w:after="0" w:line="240" w:lineRule="auto"/>
        <w:jc w:val="both"/>
        <w:rPr>
          <w:rFonts w:ascii="Garamond" w:hAnsi="Garamond"/>
          <w:color w:val="0D0D0D" w:themeColor="text1" w:themeTint="F2"/>
        </w:rPr>
      </w:pPr>
    </w:p>
    <w:p w14:paraId="013F53BC" w14:textId="77777777" w:rsidR="00C50585" w:rsidRPr="00EE038F" w:rsidRDefault="00C50585" w:rsidP="00C50585">
      <w:pPr>
        <w:spacing w:after="0" w:line="240" w:lineRule="auto"/>
        <w:jc w:val="both"/>
        <w:rPr>
          <w:rFonts w:ascii="Garamond" w:hAnsi="Garamond"/>
          <w:bCs/>
          <w:color w:val="0D0D0D" w:themeColor="text1" w:themeTint="F2"/>
          <w:sz w:val="24"/>
          <w:szCs w:val="24"/>
        </w:rPr>
      </w:pPr>
    </w:p>
    <w:p w14:paraId="757C11DC" w14:textId="2358007E" w:rsidR="00C50585" w:rsidRPr="00EE038F" w:rsidRDefault="00C50585" w:rsidP="00066DFC">
      <w:pPr>
        <w:spacing w:after="0" w:line="240" w:lineRule="auto"/>
        <w:jc w:val="center"/>
        <w:rPr>
          <w:rFonts w:ascii="Garamond" w:hAnsi="Garamond"/>
          <w:bCs/>
          <w:i/>
          <w:color w:val="0D0D0D" w:themeColor="text1" w:themeTint="F2"/>
          <w:sz w:val="24"/>
          <w:szCs w:val="24"/>
        </w:rPr>
      </w:pPr>
      <w:r w:rsidRPr="00EE038F">
        <w:rPr>
          <w:rFonts w:ascii="Garamond" w:hAnsi="Garamond"/>
          <w:bCs/>
          <w:i/>
          <w:color w:val="0D0D0D" w:themeColor="text1" w:themeTint="F2"/>
          <w:sz w:val="24"/>
          <w:szCs w:val="24"/>
        </w:rPr>
        <w:t>Tabelë 4.7.1B</w:t>
      </w:r>
      <w:r w:rsidR="000703DD" w:rsidRPr="00EE038F">
        <w:rPr>
          <w:rFonts w:ascii="Garamond" w:hAnsi="Garamond"/>
          <w:bCs/>
          <w:i/>
          <w:color w:val="0D0D0D" w:themeColor="text1" w:themeTint="F2"/>
          <w:sz w:val="24"/>
          <w:szCs w:val="24"/>
        </w:rPr>
        <w:t>:</w:t>
      </w:r>
      <w:r w:rsidRPr="00EE038F">
        <w:rPr>
          <w:rFonts w:ascii="Garamond" w:hAnsi="Garamond"/>
          <w:bCs/>
          <w:i/>
          <w:color w:val="0D0D0D" w:themeColor="text1" w:themeTint="F2"/>
          <w:sz w:val="24"/>
          <w:szCs w:val="24"/>
        </w:rPr>
        <w:t xml:space="preserve"> Të ardhurat dhe shpenzimet kryesore për secilin skenar (% e PBB-së)</w:t>
      </w:r>
    </w:p>
    <w:p w14:paraId="33C61877" w14:textId="175072A7" w:rsidR="00C50585" w:rsidRPr="00EE038F" w:rsidRDefault="00C50585" w:rsidP="00066DFC">
      <w:pPr>
        <w:tabs>
          <w:tab w:val="left" w:pos="435"/>
        </w:tabs>
        <w:spacing w:after="0" w:line="240" w:lineRule="auto"/>
        <w:jc w:val="center"/>
        <w:rPr>
          <w:rFonts w:ascii="Garamond" w:hAnsi="Garamond"/>
          <w:i/>
          <w:color w:val="0D0D0D" w:themeColor="text1" w:themeTint="F2"/>
          <w:sz w:val="24"/>
          <w:szCs w:val="24"/>
        </w:rPr>
      </w:pPr>
      <w:r w:rsidRPr="00EE038F">
        <w:rPr>
          <w:rFonts w:ascii="Garamond" w:hAnsi="Garamond"/>
          <w:noProof/>
          <w:lang w:eastAsia="en-GB"/>
        </w:rPr>
        <w:drawing>
          <wp:inline distT="0" distB="0" distL="0" distR="0" wp14:anchorId="71159B6A" wp14:editId="64F82545">
            <wp:extent cx="5497909" cy="4608576"/>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507562" cy="4616668"/>
                    </a:xfrm>
                    <a:prstGeom prst="rect">
                      <a:avLst/>
                    </a:prstGeom>
                    <a:noFill/>
                    <a:ln>
                      <a:noFill/>
                    </a:ln>
                  </pic:spPr>
                </pic:pic>
              </a:graphicData>
            </a:graphic>
          </wp:inline>
        </w:drawing>
      </w:r>
      <w:r w:rsidRPr="00EE038F">
        <w:rPr>
          <w:rFonts w:ascii="Garamond" w:hAnsi="Garamond"/>
          <w:i/>
          <w:color w:val="0D0D0D" w:themeColor="text1" w:themeTint="F2"/>
          <w:sz w:val="24"/>
          <w:szCs w:val="24"/>
        </w:rPr>
        <w:t>Burimi: Ministria e Financave (2024)</w:t>
      </w:r>
    </w:p>
    <w:p w14:paraId="51A54FB1" w14:textId="77777777" w:rsidR="00C50585" w:rsidRPr="00EE038F" w:rsidRDefault="00C50585" w:rsidP="00C50585">
      <w:pPr>
        <w:tabs>
          <w:tab w:val="left" w:pos="435"/>
        </w:tabs>
        <w:spacing w:after="0" w:line="240" w:lineRule="auto"/>
        <w:jc w:val="both"/>
        <w:rPr>
          <w:rFonts w:ascii="Garamond" w:hAnsi="Garamond"/>
          <w:i/>
        </w:rPr>
      </w:pPr>
    </w:p>
    <w:p w14:paraId="4DEF178F" w14:textId="77777777" w:rsidR="00402934" w:rsidRPr="00EE038F" w:rsidRDefault="00402934" w:rsidP="00C50585">
      <w:pPr>
        <w:tabs>
          <w:tab w:val="left" w:pos="435"/>
        </w:tabs>
        <w:spacing w:after="0" w:line="240" w:lineRule="auto"/>
        <w:jc w:val="both"/>
        <w:rPr>
          <w:rFonts w:ascii="Garamond" w:hAnsi="Garamond"/>
          <w:i/>
        </w:rPr>
      </w:pPr>
    </w:p>
    <w:p w14:paraId="6867B61E" w14:textId="77777777" w:rsidR="00402934" w:rsidRPr="00EE038F" w:rsidRDefault="00402934" w:rsidP="00C50585">
      <w:pPr>
        <w:tabs>
          <w:tab w:val="left" w:pos="435"/>
        </w:tabs>
        <w:spacing w:after="0" w:line="240" w:lineRule="auto"/>
        <w:jc w:val="both"/>
        <w:rPr>
          <w:rFonts w:ascii="Garamond" w:hAnsi="Garamond"/>
          <w:i/>
        </w:rPr>
      </w:pPr>
    </w:p>
    <w:p w14:paraId="6DC28FB0" w14:textId="77777777" w:rsidR="00402934" w:rsidRPr="00EE038F" w:rsidRDefault="00402934" w:rsidP="00C50585">
      <w:pPr>
        <w:tabs>
          <w:tab w:val="left" w:pos="435"/>
        </w:tabs>
        <w:spacing w:after="0" w:line="240" w:lineRule="auto"/>
        <w:jc w:val="both"/>
        <w:rPr>
          <w:rFonts w:ascii="Garamond" w:hAnsi="Garamond"/>
          <w:i/>
        </w:rPr>
      </w:pPr>
    </w:p>
    <w:p w14:paraId="5C0F3744" w14:textId="77777777" w:rsidR="00402934" w:rsidRPr="00EE038F" w:rsidRDefault="00402934" w:rsidP="00C50585">
      <w:pPr>
        <w:tabs>
          <w:tab w:val="left" w:pos="435"/>
        </w:tabs>
        <w:spacing w:after="0" w:line="240" w:lineRule="auto"/>
        <w:jc w:val="both"/>
        <w:rPr>
          <w:rFonts w:ascii="Garamond" w:hAnsi="Garamond"/>
          <w:i/>
        </w:rPr>
      </w:pPr>
    </w:p>
    <w:p w14:paraId="4EC80DEF" w14:textId="77777777" w:rsidR="00402934" w:rsidRPr="00EE038F" w:rsidRDefault="00402934" w:rsidP="00C50585">
      <w:pPr>
        <w:tabs>
          <w:tab w:val="left" w:pos="435"/>
        </w:tabs>
        <w:spacing w:after="0" w:line="240" w:lineRule="auto"/>
        <w:jc w:val="both"/>
        <w:rPr>
          <w:rFonts w:ascii="Garamond" w:hAnsi="Garamond"/>
          <w:i/>
        </w:rPr>
      </w:pPr>
    </w:p>
    <w:p w14:paraId="6BCB68AE" w14:textId="77777777" w:rsidR="00402934" w:rsidRPr="00EE038F" w:rsidRDefault="00402934" w:rsidP="00C50585">
      <w:pPr>
        <w:tabs>
          <w:tab w:val="left" w:pos="435"/>
        </w:tabs>
        <w:spacing w:after="0" w:line="240" w:lineRule="auto"/>
        <w:jc w:val="both"/>
        <w:rPr>
          <w:rFonts w:ascii="Garamond" w:hAnsi="Garamond"/>
          <w:i/>
        </w:rPr>
      </w:pPr>
    </w:p>
    <w:p w14:paraId="757BD9C3" w14:textId="77777777" w:rsidR="00402934" w:rsidRPr="00EE038F" w:rsidRDefault="00402934" w:rsidP="00C50585">
      <w:pPr>
        <w:tabs>
          <w:tab w:val="left" w:pos="435"/>
        </w:tabs>
        <w:spacing w:after="0" w:line="240" w:lineRule="auto"/>
        <w:jc w:val="both"/>
        <w:rPr>
          <w:rFonts w:ascii="Garamond" w:hAnsi="Garamond"/>
          <w:i/>
        </w:rPr>
      </w:pPr>
    </w:p>
    <w:p w14:paraId="2B5E061A" w14:textId="77777777" w:rsidR="00402934" w:rsidRPr="00EE038F" w:rsidRDefault="00402934" w:rsidP="00C50585">
      <w:pPr>
        <w:tabs>
          <w:tab w:val="left" w:pos="435"/>
        </w:tabs>
        <w:spacing w:after="0" w:line="240" w:lineRule="auto"/>
        <w:jc w:val="both"/>
        <w:rPr>
          <w:rFonts w:ascii="Garamond" w:hAnsi="Garamond"/>
          <w:i/>
        </w:rPr>
      </w:pPr>
    </w:p>
    <w:p w14:paraId="511CDB73" w14:textId="77777777" w:rsidR="00402934" w:rsidRPr="00EE038F" w:rsidRDefault="00402934" w:rsidP="00C50585">
      <w:pPr>
        <w:tabs>
          <w:tab w:val="left" w:pos="435"/>
        </w:tabs>
        <w:spacing w:after="0" w:line="240" w:lineRule="auto"/>
        <w:jc w:val="both"/>
        <w:rPr>
          <w:rFonts w:ascii="Garamond" w:hAnsi="Garamond"/>
          <w:i/>
        </w:rPr>
      </w:pPr>
    </w:p>
    <w:p w14:paraId="5B1BB9F8" w14:textId="77777777" w:rsidR="00402934" w:rsidRPr="00EE038F" w:rsidRDefault="00402934" w:rsidP="00C50585">
      <w:pPr>
        <w:tabs>
          <w:tab w:val="left" w:pos="435"/>
        </w:tabs>
        <w:spacing w:after="0" w:line="240" w:lineRule="auto"/>
        <w:jc w:val="both"/>
        <w:rPr>
          <w:rFonts w:ascii="Garamond" w:hAnsi="Garamond"/>
          <w:i/>
        </w:rPr>
      </w:pPr>
    </w:p>
    <w:p w14:paraId="51BA4E36" w14:textId="77777777" w:rsidR="00402934" w:rsidRPr="00EE038F" w:rsidRDefault="00402934" w:rsidP="00C50585">
      <w:pPr>
        <w:tabs>
          <w:tab w:val="left" w:pos="435"/>
        </w:tabs>
        <w:spacing w:after="0" w:line="240" w:lineRule="auto"/>
        <w:jc w:val="both"/>
        <w:rPr>
          <w:rFonts w:ascii="Garamond" w:hAnsi="Garamond"/>
          <w:i/>
        </w:rPr>
      </w:pPr>
    </w:p>
    <w:p w14:paraId="735755C4" w14:textId="77777777" w:rsidR="00402934" w:rsidRPr="00EE038F" w:rsidRDefault="00402934" w:rsidP="00C50585">
      <w:pPr>
        <w:tabs>
          <w:tab w:val="left" w:pos="435"/>
        </w:tabs>
        <w:spacing w:after="0" w:line="240" w:lineRule="auto"/>
        <w:jc w:val="both"/>
        <w:rPr>
          <w:rFonts w:ascii="Garamond" w:hAnsi="Garamond"/>
          <w:i/>
        </w:rPr>
      </w:pPr>
    </w:p>
    <w:p w14:paraId="78822C79" w14:textId="77777777" w:rsidR="00402934" w:rsidRPr="00EE038F" w:rsidRDefault="00402934" w:rsidP="00C50585">
      <w:pPr>
        <w:tabs>
          <w:tab w:val="left" w:pos="435"/>
        </w:tabs>
        <w:spacing w:after="0" w:line="240" w:lineRule="auto"/>
        <w:jc w:val="both"/>
        <w:rPr>
          <w:rFonts w:ascii="Garamond" w:hAnsi="Garamond"/>
          <w:i/>
        </w:rPr>
      </w:pPr>
    </w:p>
    <w:p w14:paraId="34F109EE" w14:textId="77777777" w:rsidR="00402934" w:rsidRPr="00EE038F" w:rsidRDefault="00402934" w:rsidP="00C50585">
      <w:pPr>
        <w:tabs>
          <w:tab w:val="left" w:pos="435"/>
        </w:tabs>
        <w:spacing w:after="0" w:line="240" w:lineRule="auto"/>
        <w:jc w:val="both"/>
        <w:rPr>
          <w:rFonts w:ascii="Garamond" w:hAnsi="Garamond"/>
          <w:i/>
        </w:rPr>
      </w:pPr>
    </w:p>
    <w:p w14:paraId="1E16BF90" w14:textId="77777777" w:rsidR="00402934" w:rsidRPr="00EE038F" w:rsidRDefault="00402934" w:rsidP="00C50585">
      <w:pPr>
        <w:tabs>
          <w:tab w:val="left" w:pos="435"/>
        </w:tabs>
        <w:spacing w:after="0" w:line="240" w:lineRule="auto"/>
        <w:jc w:val="both"/>
        <w:rPr>
          <w:rFonts w:ascii="Garamond" w:hAnsi="Garamond"/>
          <w:i/>
        </w:rPr>
      </w:pPr>
    </w:p>
    <w:p w14:paraId="69BFB174" w14:textId="77777777" w:rsidR="00402934" w:rsidRPr="00EE038F" w:rsidRDefault="00402934" w:rsidP="00C50585">
      <w:pPr>
        <w:tabs>
          <w:tab w:val="left" w:pos="435"/>
        </w:tabs>
        <w:spacing w:after="0" w:line="240" w:lineRule="auto"/>
        <w:jc w:val="both"/>
        <w:rPr>
          <w:rFonts w:ascii="Garamond" w:hAnsi="Garamond"/>
          <w:i/>
        </w:rPr>
      </w:pPr>
    </w:p>
    <w:p w14:paraId="7A07AD8B" w14:textId="77777777" w:rsidR="00402934" w:rsidRPr="00EE038F" w:rsidRDefault="00402934" w:rsidP="00C50585">
      <w:pPr>
        <w:tabs>
          <w:tab w:val="left" w:pos="435"/>
        </w:tabs>
        <w:spacing w:after="0" w:line="240" w:lineRule="auto"/>
        <w:jc w:val="both"/>
        <w:rPr>
          <w:rFonts w:ascii="Garamond" w:hAnsi="Garamond"/>
          <w:i/>
        </w:rPr>
      </w:pPr>
    </w:p>
    <w:p w14:paraId="139997BF" w14:textId="77777777" w:rsidR="00402934" w:rsidRPr="00EE038F" w:rsidRDefault="00402934" w:rsidP="00C50585">
      <w:pPr>
        <w:tabs>
          <w:tab w:val="left" w:pos="435"/>
        </w:tabs>
        <w:spacing w:after="0" w:line="240" w:lineRule="auto"/>
        <w:jc w:val="both"/>
        <w:rPr>
          <w:rFonts w:ascii="Garamond" w:hAnsi="Garamond"/>
          <w:i/>
        </w:rPr>
      </w:pPr>
    </w:p>
    <w:p w14:paraId="065F43BF" w14:textId="77777777" w:rsidR="00402934" w:rsidRPr="00EE038F" w:rsidRDefault="00402934" w:rsidP="00C50585">
      <w:pPr>
        <w:tabs>
          <w:tab w:val="left" w:pos="435"/>
        </w:tabs>
        <w:spacing w:after="0" w:line="240" w:lineRule="auto"/>
        <w:jc w:val="both"/>
        <w:rPr>
          <w:rFonts w:ascii="Garamond" w:hAnsi="Garamond"/>
          <w:i/>
        </w:rPr>
      </w:pPr>
    </w:p>
    <w:p w14:paraId="0FB6A332" w14:textId="77777777" w:rsidR="00402934" w:rsidRPr="00EE038F" w:rsidRDefault="00402934" w:rsidP="00C50585">
      <w:pPr>
        <w:tabs>
          <w:tab w:val="left" w:pos="435"/>
        </w:tabs>
        <w:spacing w:after="0" w:line="240" w:lineRule="auto"/>
        <w:jc w:val="both"/>
        <w:rPr>
          <w:rFonts w:ascii="Garamond" w:hAnsi="Garamond"/>
          <w:i/>
        </w:rPr>
      </w:pPr>
    </w:p>
    <w:p w14:paraId="6C9F8077" w14:textId="77777777" w:rsidR="00402934" w:rsidRPr="00EE038F" w:rsidRDefault="00402934" w:rsidP="00C50585">
      <w:pPr>
        <w:tabs>
          <w:tab w:val="left" w:pos="435"/>
        </w:tabs>
        <w:spacing w:after="0" w:line="240" w:lineRule="auto"/>
        <w:jc w:val="both"/>
        <w:rPr>
          <w:rFonts w:ascii="Garamond" w:hAnsi="Garamond"/>
          <w:i/>
        </w:rPr>
      </w:pPr>
    </w:p>
    <w:p w14:paraId="3E104420" w14:textId="77777777" w:rsidR="00402934" w:rsidRPr="00EE038F" w:rsidRDefault="00402934" w:rsidP="00C50585">
      <w:pPr>
        <w:tabs>
          <w:tab w:val="left" w:pos="435"/>
        </w:tabs>
        <w:spacing w:after="0" w:line="240" w:lineRule="auto"/>
        <w:jc w:val="both"/>
        <w:rPr>
          <w:rFonts w:ascii="Garamond" w:hAnsi="Garamond"/>
          <w:i/>
        </w:rPr>
      </w:pPr>
    </w:p>
    <w:p w14:paraId="111252E0" w14:textId="77777777" w:rsidR="00402934" w:rsidRPr="00EE038F" w:rsidRDefault="00402934" w:rsidP="00C50585">
      <w:pPr>
        <w:tabs>
          <w:tab w:val="left" w:pos="435"/>
        </w:tabs>
        <w:spacing w:after="0" w:line="240" w:lineRule="auto"/>
        <w:jc w:val="both"/>
        <w:rPr>
          <w:rFonts w:ascii="Garamond" w:hAnsi="Garamond"/>
          <w:i/>
        </w:rPr>
      </w:pPr>
    </w:p>
    <w:p w14:paraId="07020749" w14:textId="0217B579" w:rsidR="00C50585" w:rsidRPr="00EE038F" w:rsidRDefault="00C50585" w:rsidP="00066DFC">
      <w:pPr>
        <w:spacing w:after="0" w:line="240" w:lineRule="auto"/>
        <w:jc w:val="center"/>
        <w:rPr>
          <w:rFonts w:ascii="Garamond" w:hAnsi="Garamond"/>
          <w:bCs/>
          <w:i/>
          <w:color w:val="0D0D0D" w:themeColor="text1" w:themeTint="F2"/>
          <w:sz w:val="24"/>
          <w:szCs w:val="24"/>
        </w:rPr>
      </w:pPr>
      <w:r w:rsidRPr="00EE038F">
        <w:rPr>
          <w:rFonts w:ascii="Garamond" w:hAnsi="Garamond"/>
          <w:bCs/>
          <w:i/>
          <w:color w:val="0D0D0D" w:themeColor="text1" w:themeTint="F2"/>
          <w:sz w:val="24"/>
          <w:szCs w:val="24"/>
        </w:rPr>
        <w:t>Tabelë 4.7.2B</w:t>
      </w:r>
      <w:r w:rsidR="000703DD" w:rsidRPr="00EE038F">
        <w:rPr>
          <w:rFonts w:ascii="Garamond" w:hAnsi="Garamond"/>
          <w:bCs/>
          <w:i/>
          <w:color w:val="0D0D0D" w:themeColor="text1" w:themeTint="F2"/>
          <w:sz w:val="24"/>
          <w:szCs w:val="24"/>
        </w:rPr>
        <w:t>:</w:t>
      </w:r>
      <w:r w:rsidRPr="00EE038F">
        <w:rPr>
          <w:rFonts w:ascii="Garamond" w:hAnsi="Garamond"/>
          <w:bCs/>
          <w:i/>
          <w:color w:val="0D0D0D" w:themeColor="text1" w:themeTint="F2"/>
          <w:sz w:val="24"/>
          <w:szCs w:val="24"/>
        </w:rPr>
        <w:t xml:space="preserve"> Parametrat kryesorë fiskalë dhe zërat e financimit në secilin skenar (% e PBB-së)</w:t>
      </w:r>
    </w:p>
    <w:p w14:paraId="73DE3FED" w14:textId="77777777" w:rsidR="00402934" w:rsidRPr="00EE038F" w:rsidRDefault="00C50585" w:rsidP="00C50585">
      <w:pPr>
        <w:tabs>
          <w:tab w:val="left" w:pos="435"/>
        </w:tabs>
        <w:spacing w:after="0" w:line="240" w:lineRule="auto"/>
        <w:jc w:val="both"/>
        <w:rPr>
          <w:rFonts w:ascii="Garamond" w:hAnsi="Garamond"/>
          <w:i/>
          <w:color w:val="0D0D0D" w:themeColor="text1" w:themeTint="F2"/>
        </w:rPr>
      </w:pPr>
      <w:r w:rsidRPr="00EE038F">
        <w:rPr>
          <w:rFonts w:ascii="Garamond" w:hAnsi="Garamond"/>
          <w:noProof/>
          <w:lang w:eastAsia="en-GB"/>
        </w:rPr>
        <w:drawing>
          <wp:inline distT="0" distB="0" distL="0" distR="0" wp14:anchorId="1EBABA56" wp14:editId="7C8B28CA">
            <wp:extent cx="5896051" cy="672455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12302" cy="6743087"/>
                    </a:xfrm>
                    <a:prstGeom prst="rect">
                      <a:avLst/>
                    </a:prstGeom>
                    <a:noFill/>
                    <a:ln>
                      <a:noFill/>
                    </a:ln>
                  </pic:spPr>
                </pic:pic>
              </a:graphicData>
            </a:graphic>
          </wp:inline>
        </w:drawing>
      </w:r>
      <w:r w:rsidRPr="00EE038F">
        <w:rPr>
          <w:rFonts w:ascii="Garamond" w:hAnsi="Garamond"/>
          <w:i/>
          <w:color w:val="0D0D0D" w:themeColor="text1" w:themeTint="F2"/>
        </w:rPr>
        <w:t xml:space="preserve"> </w:t>
      </w:r>
    </w:p>
    <w:p w14:paraId="30476115" w14:textId="77777777" w:rsidR="00C50585" w:rsidRPr="00EE038F" w:rsidRDefault="00C50585" w:rsidP="00066DFC">
      <w:pPr>
        <w:tabs>
          <w:tab w:val="left" w:pos="435"/>
        </w:tabs>
        <w:spacing w:after="0" w:line="240" w:lineRule="auto"/>
        <w:jc w:val="center"/>
        <w:rPr>
          <w:rFonts w:ascii="Garamond" w:hAnsi="Garamond"/>
          <w:i/>
          <w:color w:val="0D0D0D" w:themeColor="text1" w:themeTint="F2"/>
          <w:sz w:val="24"/>
          <w:szCs w:val="24"/>
        </w:rPr>
      </w:pPr>
      <w:r w:rsidRPr="00EE038F">
        <w:rPr>
          <w:rFonts w:ascii="Garamond" w:hAnsi="Garamond"/>
          <w:i/>
          <w:color w:val="0D0D0D" w:themeColor="text1" w:themeTint="F2"/>
          <w:sz w:val="24"/>
          <w:szCs w:val="24"/>
        </w:rPr>
        <w:t>Burimi: Ministria e Financave (2024)</w:t>
      </w:r>
    </w:p>
    <w:p w14:paraId="3D643161" w14:textId="77777777" w:rsidR="00C50585" w:rsidRPr="00EE038F" w:rsidRDefault="00C50585" w:rsidP="00C50585">
      <w:pPr>
        <w:snapToGrid w:val="0"/>
        <w:spacing w:after="0" w:line="240" w:lineRule="auto"/>
        <w:jc w:val="both"/>
        <w:rPr>
          <w:rFonts w:ascii="Garamond" w:hAnsi="Garamond"/>
        </w:rPr>
      </w:pPr>
    </w:p>
    <w:p w14:paraId="47C72C68" w14:textId="77777777" w:rsidR="00402934" w:rsidRPr="00EE038F" w:rsidRDefault="00402934" w:rsidP="00C50585">
      <w:pPr>
        <w:snapToGrid w:val="0"/>
        <w:spacing w:after="0" w:line="240" w:lineRule="auto"/>
        <w:jc w:val="both"/>
        <w:rPr>
          <w:rFonts w:ascii="Garamond" w:hAnsi="Garamond"/>
        </w:rPr>
      </w:pPr>
    </w:p>
    <w:p w14:paraId="3EFF6746" w14:textId="77777777" w:rsidR="00402934" w:rsidRPr="00EE038F" w:rsidRDefault="00402934" w:rsidP="00C50585">
      <w:pPr>
        <w:snapToGrid w:val="0"/>
        <w:spacing w:after="0" w:line="240" w:lineRule="auto"/>
        <w:jc w:val="both"/>
        <w:rPr>
          <w:rFonts w:ascii="Garamond" w:hAnsi="Garamond"/>
        </w:rPr>
      </w:pPr>
    </w:p>
    <w:p w14:paraId="6729CBEF" w14:textId="77777777" w:rsidR="00402934" w:rsidRPr="00EE038F" w:rsidRDefault="00402934" w:rsidP="00C50585">
      <w:pPr>
        <w:snapToGrid w:val="0"/>
        <w:spacing w:after="0" w:line="240" w:lineRule="auto"/>
        <w:jc w:val="both"/>
        <w:rPr>
          <w:rFonts w:ascii="Garamond" w:hAnsi="Garamond"/>
        </w:rPr>
      </w:pPr>
    </w:p>
    <w:p w14:paraId="4981720E" w14:textId="77777777" w:rsidR="00402934" w:rsidRPr="00EE038F" w:rsidRDefault="00402934" w:rsidP="00C50585">
      <w:pPr>
        <w:snapToGrid w:val="0"/>
        <w:spacing w:after="0" w:line="240" w:lineRule="auto"/>
        <w:jc w:val="both"/>
        <w:rPr>
          <w:rFonts w:ascii="Garamond" w:hAnsi="Garamond"/>
        </w:rPr>
      </w:pPr>
    </w:p>
    <w:p w14:paraId="060161F3" w14:textId="77777777" w:rsidR="00402934" w:rsidRPr="00EE038F" w:rsidRDefault="00402934" w:rsidP="00C50585">
      <w:pPr>
        <w:snapToGrid w:val="0"/>
        <w:spacing w:after="0" w:line="240" w:lineRule="auto"/>
        <w:jc w:val="both"/>
        <w:rPr>
          <w:rFonts w:ascii="Garamond" w:hAnsi="Garamond"/>
        </w:rPr>
      </w:pPr>
    </w:p>
    <w:p w14:paraId="7E17591A" w14:textId="6299924F" w:rsidR="00402934" w:rsidRPr="00EE038F" w:rsidRDefault="00402934" w:rsidP="00C50585">
      <w:pPr>
        <w:snapToGrid w:val="0"/>
        <w:spacing w:after="0" w:line="240" w:lineRule="auto"/>
        <w:jc w:val="both"/>
        <w:rPr>
          <w:rFonts w:ascii="Garamond" w:hAnsi="Garamond"/>
        </w:rPr>
      </w:pPr>
    </w:p>
    <w:p w14:paraId="388ED91D" w14:textId="77777777" w:rsidR="000703DD" w:rsidRPr="00EE038F" w:rsidRDefault="000703DD" w:rsidP="00C50585">
      <w:pPr>
        <w:snapToGrid w:val="0"/>
        <w:spacing w:after="0" w:line="240" w:lineRule="auto"/>
        <w:jc w:val="both"/>
        <w:rPr>
          <w:rFonts w:ascii="Garamond" w:hAnsi="Garamond"/>
        </w:rPr>
      </w:pPr>
    </w:p>
    <w:p w14:paraId="60C232A1" w14:textId="77777777" w:rsidR="00402934" w:rsidRPr="00EE038F" w:rsidRDefault="00402934" w:rsidP="00C50585">
      <w:pPr>
        <w:snapToGrid w:val="0"/>
        <w:spacing w:after="0" w:line="240" w:lineRule="auto"/>
        <w:jc w:val="both"/>
        <w:rPr>
          <w:rFonts w:ascii="Garamond" w:hAnsi="Garamond"/>
        </w:rPr>
      </w:pPr>
    </w:p>
    <w:p w14:paraId="3704F5BD" w14:textId="77777777" w:rsidR="00C50585" w:rsidRPr="00EE038F" w:rsidRDefault="00233E3C" w:rsidP="00233E3C">
      <w:pPr>
        <w:pStyle w:val="TEKSTIIIIII"/>
        <w:rPr>
          <w:b/>
        </w:rPr>
      </w:pPr>
      <w:bookmarkStart w:id="38" w:name="_Toc187328212"/>
      <w:r w:rsidRPr="00EE038F">
        <w:rPr>
          <w:b/>
        </w:rPr>
        <w:lastRenderedPageBreak/>
        <w:t xml:space="preserve">4.8 </w:t>
      </w:r>
      <w:r w:rsidR="00C50585" w:rsidRPr="00EE038F">
        <w:rPr>
          <w:b/>
        </w:rPr>
        <w:t>Cilësia e financave publike</w:t>
      </w:r>
      <w:bookmarkEnd w:id="38"/>
    </w:p>
    <w:p w14:paraId="545431B2" w14:textId="2CB40FA1" w:rsidR="00C50585" w:rsidRPr="00EE038F" w:rsidRDefault="00C50585" w:rsidP="00233E3C">
      <w:pPr>
        <w:pStyle w:val="TEKSTIIIIII"/>
      </w:pPr>
      <w:r w:rsidRPr="00EE038F">
        <w:t>Menaxhimi i financave publike në Shqipëri ka q</w:t>
      </w:r>
      <w:r w:rsidR="004F4370" w:rsidRPr="00EE038F">
        <w:t>e</w:t>
      </w:r>
      <w:r w:rsidRPr="00EE038F">
        <w:t>në në proces reformimi</w:t>
      </w:r>
      <w:r w:rsidR="009C761A" w:rsidRPr="00EE038F">
        <w:t>,</w:t>
      </w:r>
      <w:r w:rsidRPr="00EE038F">
        <w:t xml:space="preserve"> duke filluar nga viti 2014, me miratimin e </w:t>
      </w:r>
      <w:r w:rsidR="00E534C6" w:rsidRPr="00EE038F">
        <w:t xml:space="preserve">strategjisë së menaxhimit të financave publike </w:t>
      </w:r>
      <w:r w:rsidRPr="00EE038F">
        <w:t>(MFP) 2014</w:t>
      </w:r>
      <w:r w:rsidR="009C761A" w:rsidRPr="00EE038F">
        <w:t>–</w:t>
      </w:r>
      <w:r w:rsidRPr="00EE038F">
        <w:t xml:space="preserve">2020, ndjekur nga </w:t>
      </w:r>
      <w:r w:rsidR="009C761A" w:rsidRPr="00EE038F">
        <w:t xml:space="preserve">strategjia </w:t>
      </w:r>
      <w:r w:rsidRPr="00EE038F">
        <w:t>e MFP</w:t>
      </w:r>
      <w:r w:rsidR="009C761A" w:rsidRPr="00EE038F">
        <w:t>-së</w:t>
      </w:r>
      <w:r w:rsidRPr="00EE038F">
        <w:t xml:space="preserve"> 2019</w:t>
      </w:r>
      <w:r w:rsidR="009C761A" w:rsidRPr="00EE038F">
        <w:t>–</w:t>
      </w:r>
      <w:r w:rsidRPr="00EE038F">
        <w:t>2022. Përmirësimet e financave publike ndër vite dëshmojnë ecurinë e reformës gjatë këtyre viteve. Strategjia e rishikuar e MFP-së 2019</w:t>
      </w:r>
      <w:r w:rsidR="009C761A" w:rsidRPr="00EE038F">
        <w:t>–</w:t>
      </w:r>
      <w:r w:rsidRPr="00EE038F">
        <w:t>2022 ka adresuar një sërë sfidash</w:t>
      </w:r>
      <w:r w:rsidR="000E2C0D" w:rsidRPr="00EE038F">
        <w:t>,</w:t>
      </w:r>
      <w:r w:rsidRPr="00EE038F">
        <w:t xml:space="preserve"> që vendi ynë duhet të trajtojë në rrugën e tij drejt Bashkimit Evropian. Strategjia e MFP-së synon të mbështesë një ekonomi më të zhvilluar, me shërbime më të mira për qytetarët; synon rritjen e përgjegjshmërisë, </w:t>
      </w:r>
      <w:r w:rsidR="00D555C7" w:rsidRPr="00EE038F">
        <w:t>eficienc</w:t>
      </w:r>
      <w:r w:rsidRPr="00EE038F">
        <w:t>ës dhe disiplinës fiskale në planifikimin dhe shpenzimin e fondeve publike. Shqipëria ka ndërmarrë një sërë reformash për të mundësuar një buxhet më të balancuar dhe të qëndrueshëm me një raport të reduktuar të borxhit nëpërmjet kontrollit dhe menaxhimit më të fortë financiar, si dhe nëpërmjet proceseve të auditimit, ku zbatimi i buxhetit është i lidhur siç duhet me politikat e qeverisë.</w:t>
      </w:r>
    </w:p>
    <w:p w14:paraId="3D0351EE" w14:textId="54A79393" w:rsidR="00C50585" w:rsidRPr="00EE038F" w:rsidRDefault="00C50585" w:rsidP="00233E3C">
      <w:pPr>
        <w:pStyle w:val="TEKSTIIIIII"/>
      </w:pPr>
      <w:r w:rsidRPr="00EE038F">
        <w:t xml:space="preserve">Shqipëria ka zbatuar me sukses disa reforma të MFP-së gjatë dekadave të fundit. Strategjia e </w:t>
      </w:r>
      <w:r w:rsidR="00E534C6" w:rsidRPr="00EE038F">
        <w:t xml:space="preserve">reformës </w:t>
      </w:r>
      <w:r w:rsidRPr="00EE038F">
        <w:t>së MFP-së parashtron një a</w:t>
      </w:r>
      <w:r w:rsidR="00252CC8" w:rsidRPr="00EE038F">
        <w:t>gj</w:t>
      </w:r>
      <w:r w:rsidRPr="00EE038F">
        <w:t>endë reformash ambicioze për të gjithë qeverinë, jo vetëm për Ministrinë e Financave. Strategjia e MFP</w:t>
      </w:r>
      <w:r w:rsidR="002A45C0" w:rsidRPr="00EE038F">
        <w:t>-së</w:t>
      </w:r>
      <w:r w:rsidRPr="00EE038F">
        <w:t xml:space="preserve"> 2023</w:t>
      </w:r>
      <w:r w:rsidR="002A45C0" w:rsidRPr="00EE038F">
        <w:t>–</w:t>
      </w:r>
      <w:r w:rsidRPr="00EE038F">
        <w:t>2030 është miratuar me VKM</w:t>
      </w:r>
      <w:r w:rsidR="008F48D7" w:rsidRPr="00EE038F">
        <w:t>-në</w:t>
      </w:r>
      <w:r w:rsidRPr="00EE038F">
        <w:t xml:space="preserve"> nr. 390, datë 12.6.2024 dhe është botuar në Fletoren Zyrtare</w:t>
      </w:r>
      <w:r w:rsidRPr="00EE038F">
        <w:rPr>
          <w:rStyle w:val="FootnoteReference"/>
        </w:rPr>
        <w:footnoteReference w:id="11"/>
      </w:r>
      <w:r w:rsidRPr="00EE038F">
        <w:t>. Strategjia e miratuar është publikuar edhe në faqen zyrtare të MF-së</w:t>
      </w:r>
      <w:r w:rsidRPr="00EE038F">
        <w:rPr>
          <w:rStyle w:val="FootnoteReference"/>
        </w:rPr>
        <w:footnoteReference w:id="12"/>
      </w:r>
      <w:r w:rsidRPr="00EE038F">
        <w:t>. Strategjia e re ka marrë në konsideratë zhvillimet dhe progresin që rezulton nga zbatimi i strategjisë së MFP 2019</w:t>
      </w:r>
      <w:r w:rsidR="007E5A2D" w:rsidRPr="00EE038F">
        <w:t>–</w:t>
      </w:r>
      <w:r w:rsidRPr="00EE038F">
        <w:t>2022 dhe reformat përkatëse të kryera, si dhe gjetjet dhe rekomandimet e raporteve të vlerësimit në fushën e financave publike, si kombëtare ashtu edhe ndërkombëtare. Ministria e Financave ka filluar procesin për strategjinë e re të MFP-së në shtator të vitit 2022. Procesi ka ndjekur tr</w:t>
      </w:r>
      <w:r w:rsidR="00AD43A6">
        <w:t>i</w:t>
      </w:r>
      <w:r w:rsidRPr="00EE038F">
        <w:t xml:space="preserve"> faza:</w:t>
      </w:r>
    </w:p>
    <w:p w14:paraId="436AF040" w14:textId="049F7CCE" w:rsidR="00C50585" w:rsidRPr="00EE038F" w:rsidRDefault="00233E3C" w:rsidP="00233E3C">
      <w:pPr>
        <w:pStyle w:val="TEKSTIIIIII"/>
      </w:pPr>
      <w:r w:rsidRPr="00EE038F">
        <w:t xml:space="preserve">- </w:t>
      </w:r>
      <w:r w:rsidR="00C50585" w:rsidRPr="00EE038F">
        <w:t xml:space="preserve">Faza I </w:t>
      </w:r>
      <w:r w:rsidR="00D555C7" w:rsidRPr="00EE038F">
        <w:t>–</w:t>
      </w:r>
      <w:r w:rsidR="00C50585" w:rsidRPr="00EE038F">
        <w:t xml:space="preserve"> Hartimi, konsultimi dhe miratimi i dokumentit të </w:t>
      </w:r>
      <w:r w:rsidR="00396FE1" w:rsidRPr="00EE038F">
        <w:t>“</w:t>
      </w:r>
      <w:r w:rsidR="00C50585" w:rsidRPr="00EE038F">
        <w:t>menusë së sfidave</w:t>
      </w:r>
      <w:r w:rsidR="00396FE1" w:rsidRPr="00EE038F">
        <w:t>”</w:t>
      </w:r>
      <w:r w:rsidR="00C50585" w:rsidRPr="00EE038F">
        <w:t xml:space="preserve">; </w:t>
      </w:r>
    </w:p>
    <w:p w14:paraId="788FAA74" w14:textId="7D21001E" w:rsidR="00C50585" w:rsidRPr="00EE038F" w:rsidRDefault="00233E3C" w:rsidP="00233E3C">
      <w:pPr>
        <w:pStyle w:val="TEKSTIIIIII"/>
      </w:pPr>
      <w:r w:rsidRPr="00EE038F">
        <w:t xml:space="preserve">- </w:t>
      </w:r>
      <w:r w:rsidR="00C50585" w:rsidRPr="00EE038F">
        <w:t xml:space="preserve">Faza II – Hartimi dhe kostimi i </w:t>
      </w:r>
      <w:r w:rsidR="00E534C6" w:rsidRPr="00EE038F">
        <w:t>strategjisë së re të menaxhimit të financave publike</w:t>
      </w:r>
      <w:r w:rsidR="00C50585" w:rsidRPr="00EE038F">
        <w:t xml:space="preserve">; </w:t>
      </w:r>
    </w:p>
    <w:p w14:paraId="3A8B10DD" w14:textId="38E58E70" w:rsidR="00C50585" w:rsidRPr="00EE038F" w:rsidRDefault="00233E3C" w:rsidP="00233E3C">
      <w:pPr>
        <w:pStyle w:val="TEKSTIIIIII"/>
      </w:pPr>
      <w:r w:rsidRPr="00EE038F">
        <w:t xml:space="preserve">- </w:t>
      </w:r>
      <w:r w:rsidR="00C50585" w:rsidRPr="00EE038F">
        <w:t xml:space="preserve">Faza III – Lancimi dhe miratimi i </w:t>
      </w:r>
      <w:r w:rsidR="00E534C6" w:rsidRPr="00EE038F">
        <w:t>strategjisë së re të menaxhimit të financave publike</w:t>
      </w:r>
      <w:r w:rsidR="00C50585" w:rsidRPr="00EE038F">
        <w:t>.</w:t>
      </w:r>
    </w:p>
    <w:p w14:paraId="0412B758" w14:textId="1CA4509E" w:rsidR="00C50585" w:rsidRPr="00EE038F" w:rsidRDefault="00C50585" w:rsidP="00233E3C">
      <w:pPr>
        <w:pStyle w:val="TEKSTIIIIII"/>
      </w:pPr>
      <w:r w:rsidRPr="00EE038F">
        <w:t>Dokumenti i strategjisë së MFP-së 2023</w:t>
      </w:r>
      <w:r w:rsidR="009A0CAE" w:rsidRPr="00EE038F">
        <w:t>–</w:t>
      </w:r>
      <w:r w:rsidRPr="00EE038F">
        <w:t xml:space="preserve">2030 është hedhur në Regjistrin Elektronik për Njoftimet dhe Konsultimet Publike. Në datë 3 </w:t>
      </w:r>
      <w:r w:rsidR="001A2449" w:rsidRPr="00EE038F">
        <w:t xml:space="preserve">maj </w:t>
      </w:r>
      <w:r w:rsidRPr="00EE038F">
        <w:t xml:space="preserve">2024 u organizua Komiteti Drejtues i Menaxhimit të Financave Publike. Pjesë e këtij eventi ishin të gjithë aktorët e përfshirë në planifikimin e reformës së MFP-së (anëtarët e Komitetit Teknik dhe Drejtues), partnerët ndërkombëtarë dhe përfaqësues të </w:t>
      </w:r>
      <w:r w:rsidR="001A2449" w:rsidRPr="00EE038F">
        <w:t xml:space="preserve">organizatave të shoqërisë civile. </w:t>
      </w:r>
      <w:r w:rsidRPr="00EE038F">
        <w:t>Në vijim, dokumenti strategjik mori në konsideratë komentet e marra nga partnerë ndërkombëtarë</w:t>
      </w:r>
      <w:r w:rsidR="00ED6EAA" w:rsidRPr="00EE038F">
        <w:t>,</w:t>
      </w:r>
      <w:r w:rsidRPr="00EE038F">
        <w:t xml:space="preserve"> si</w:t>
      </w:r>
      <w:r w:rsidR="00ED6EAA" w:rsidRPr="00EE038F">
        <w:t>:</w:t>
      </w:r>
      <w:r w:rsidRPr="00EE038F">
        <w:t xml:space="preserve"> </w:t>
      </w:r>
      <w:r w:rsidR="00ED6EAA" w:rsidRPr="00EE038F">
        <w:t xml:space="preserve">delegacioni </w:t>
      </w:r>
      <w:r w:rsidRPr="00EE038F">
        <w:t xml:space="preserve">i BE-së, UN </w:t>
      </w:r>
      <w:r w:rsidR="00ED6EAA" w:rsidRPr="00EE038F">
        <w:t>W</w:t>
      </w:r>
      <w:r w:rsidRPr="00EE038F">
        <w:t xml:space="preserve">omen, FMN, BB dhe Ambasada Suedeze. Pas marrjes së konfirmimit nga institucionet nëpërmjet </w:t>
      </w:r>
      <w:r w:rsidRPr="00EE038F">
        <w:rPr>
          <w:i/>
          <w:iCs/>
        </w:rPr>
        <w:t>e-</w:t>
      </w:r>
      <w:r w:rsidR="00ED6EAA" w:rsidRPr="00EE038F">
        <w:rPr>
          <w:i/>
          <w:iCs/>
        </w:rPr>
        <w:t>Akteve</w:t>
      </w:r>
      <w:r w:rsidRPr="00EE038F">
        <w:rPr>
          <w:i/>
          <w:iCs/>
        </w:rPr>
        <w:t>,</w:t>
      </w:r>
      <w:r w:rsidRPr="00EE038F">
        <w:t xml:space="preserve"> paketa e plotë i është dërguar Këshillit të Ministrave.</w:t>
      </w:r>
    </w:p>
    <w:p w14:paraId="5D106244" w14:textId="30469ACA" w:rsidR="00C50585" w:rsidRPr="00EE038F" w:rsidRDefault="00C50585" w:rsidP="00233E3C">
      <w:pPr>
        <w:pStyle w:val="TEKSTIIIIII"/>
      </w:pPr>
      <w:r w:rsidRPr="00EE038F">
        <w:t>Raporti vjetor i progresit të raportit të MFP-së ofron një vlerësim të kritereve të pranueshmërisë së MFP-së për Bashkimin Evropian (BE) për të ofruar mbështetje buxhetore për Shqipërinë. Kriteri i pranueshmërisë së MFP-së kërkon ekzistencën e një programi të besueshëm dhe të përshtatshëm për të përmirësuar menaxhimin e financave publike</w:t>
      </w:r>
      <w:r w:rsidR="00ED6EAA" w:rsidRPr="00EE038F">
        <w:t>,</w:t>
      </w:r>
      <w:r w:rsidRPr="00EE038F">
        <w:t xml:space="preserve"> si dhe progres të kënaqshëm në zbatimin e programit. Ministria e Financave ka hartuar raportin vjetor të monitorimit për vitin 2023, i cili është diskutuar në Komitetin Teknik të MFP-së të mbajtur m</w:t>
      </w:r>
      <w:r w:rsidR="00ED6EAA" w:rsidRPr="00EE038F">
        <w:t>ë</w:t>
      </w:r>
      <w:r w:rsidRPr="00EE038F">
        <w:t xml:space="preserve"> datë 10.10.2024 dhe u miratua në Komitetin Drejtues të MFP-së </w:t>
      </w:r>
      <w:r w:rsidR="00ED6EAA" w:rsidRPr="00EE038F">
        <w:t>m</w:t>
      </w:r>
      <w:r w:rsidRPr="00EE038F">
        <w:t>ë datë 31.10.2024.</w:t>
      </w:r>
    </w:p>
    <w:p w14:paraId="5896A67D" w14:textId="77777777" w:rsidR="00C50585" w:rsidRPr="00EE038F" w:rsidRDefault="00C50585" w:rsidP="00233E3C">
      <w:pPr>
        <w:pStyle w:val="TEKSTIIIIII"/>
        <w:rPr>
          <w:iCs/>
        </w:rPr>
      </w:pPr>
      <w:r w:rsidRPr="00EE038F">
        <w:rPr>
          <w:iCs/>
        </w:rPr>
        <w:t xml:space="preserve">Për të rritur efektivitetin e shpenzimeve buxhetore dhe për të krijuar një mjedis më produktiv për shpenzime në afat të mesëm dhe afatgjatë, vazhdimi i reformave të MFP-së është thelbësor. </w:t>
      </w:r>
    </w:p>
    <w:p w14:paraId="267DF6CF" w14:textId="77777777" w:rsidR="00C50585" w:rsidRPr="00EE038F" w:rsidRDefault="00233E3C" w:rsidP="00233E3C">
      <w:pPr>
        <w:pStyle w:val="TEKSTIIIIII"/>
        <w:rPr>
          <w:b/>
        </w:rPr>
      </w:pPr>
      <w:bookmarkStart w:id="39" w:name="_Toc187328213"/>
      <w:r w:rsidRPr="00EE038F">
        <w:rPr>
          <w:b/>
        </w:rPr>
        <w:t xml:space="preserve">4.9 </w:t>
      </w:r>
      <w:r w:rsidR="00C50585" w:rsidRPr="00EE038F">
        <w:rPr>
          <w:b/>
        </w:rPr>
        <w:t>Qeverisja fiskale dhe kornizat buxhetore</w:t>
      </w:r>
      <w:bookmarkEnd w:id="39"/>
    </w:p>
    <w:p w14:paraId="49721E2B" w14:textId="3275BEE5" w:rsidR="00C50585" w:rsidRPr="00EE038F" w:rsidRDefault="00C50585" w:rsidP="00233E3C">
      <w:pPr>
        <w:pStyle w:val="TEKSTIIIIII"/>
      </w:pPr>
      <w:r w:rsidRPr="00EE038F">
        <w:t>Në përputhje me SKZHIE 2022</w:t>
      </w:r>
      <w:r w:rsidR="00850898" w:rsidRPr="00EE038F">
        <w:t>–</w:t>
      </w:r>
      <w:r w:rsidRPr="00EE038F">
        <w:t>2030, qëllimi i përgjithshëm është krijimi i një sistemi të menaxhimit të financave publike që garanton transparencë, llogaridhënie, disiplinë fiskale, efikasitet dhe barazi në përdorimin e burimeve publike për ofrimin e shërbimeve publike të përmirësuara dhe zhvillimit ekonomik dhe që siguron një integrim të lehtë të Shqipërisë në Bashkimin Evropian. Strategjia shërben si një kuadër që do të udhëheqë zbatimin e të gjith</w:t>
      </w:r>
      <w:r w:rsidR="00850898" w:rsidRPr="00EE038F">
        <w:t>a</w:t>
      </w:r>
      <w:r w:rsidRPr="00EE038F">
        <w:t xml:space="preserve"> reformave të QSH</w:t>
      </w:r>
      <w:r w:rsidR="00850898" w:rsidRPr="00EE038F">
        <w:t>-së</w:t>
      </w:r>
      <w:r w:rsidRPr="00EE038F">
        <w:t xml:space="preserve"> për MFP-në deri në fund të vitit 2030.</w:t>
      </w:r>
    </w:p>
    <w:p w14:paraId="39FC2F96" w14:textId="77777777" w:rsidR="00C50585" w:rsidRPr="00EE038F" w:rsidRDefault="00C50585" w:rsidP="00233E3C">
      <w:pPr>
        <w:pStyle w:val="TEKSTIIIIII"/>
      </w:pPr>
      <w:r w:rsidRPr="00EE038F">
        <w:lastRenderedPageBreak/>
        <w:t>Kjo strategji është e strukturuar në gjashtë shtylla, me disa komponentë në secilën shtyllë, si vijon:</w:t>
      </w:r>
    </w:p>
    <w:p w14:paraId="1ABA70C6" w14:textId="2390BE34" w:rsidR="00C50585" w:rsidRPr="00EE038F" w:rsidRDefault="00C50585" w:rsidP="00233E3C">
      <w:pPr>
        <w:pStyle w:val="TEKSTIIIIII"/>
        <w:rPr>
          <w:iCs/>
        </w:rPr>
      </w:pPr>
      <w:r w:rsidRPr="00EE038F">
        <w:rPr>
          <w:b/>
          <w:bCs/>
          <w:iCs/>
        </w:rPr>
        <w:t>Shtylla 1</w:t>
      </w:r>
      <w:r w:rsidR="00801403" w:rsidRPr="00EE038F">
        <w:rPr>
          <w:b/>
          <w:bCs/>
          <w:iCs/>
        </w:rPr>
        <w:t xml:space="preserve">. </w:t>
      </w:r>
      <w:r w:rsidRPr="00EE038F">
        <w:rPr>
          <w:b/>
          <w:bCs/>
          <w:iCs/>
        </w:rPr>
        <w:t xml:space="preserve">Programimi </w:t>
      </w:r>
      <w:r w:rsidR="00820F34" w:rsidRPr="00EE038F">
        <w:rPr>
          <w:b/>
          <w:bCs/>
          <w:iCs/>
        </w:rPr>
        <w:t xml:space="preserve">makroekonomik </w:t>
      </w:r>
      <w:r w:rsidRPr="00EE038F">
        <w:rPr>
          <w:b/>
          <w:bCs/>
          <w:iCs/>
        </w:rPr>
        <w:t>dhe Monitorimi i Riskut:</w:t>
      </w:r>
      <w:r w:rsidRPr="00EE038F">
        <w:rPr>
          <w:iCs/>
        </w:rPr>
        <w:t xml:space="preserve"> </w:t>
      </w:r>
      <w:r w:rsidRPr="00EE038F">
        <w:rPr>
          <w:i/>
          <w:iCs/>
        </w:rPr>
        <w:t>Sistemet për zhvillimin dhe monitorimin e një politike të shëndoshë fiskale të bazuar në rregulla fiskale, parashikime të avancuara makroekonomike dhe praktika solide të menaxhimit të riskut fiskal mirëmbahen dhe përmirësohen më tej. Krijohet Këshilli Fiskal</w:t>
      </w:r>
    </w:p>
    <w:p w14:paraId="7D852941" w14:textId="0BC666CD" w:rsidR="00C50585" w:rsidRPr="00EE038F" w:rsidRDefault="00C50585" w:rsidP="00233E3C">
      <w:pPr>
        <w:pStyle w:val="TEKSTIIIIII"/>
        <w:rPr>
          <w:b/>
          <w:i/>
        </w:rPr>
      </w:pPr>
      <w:r w:rsidRPr="00EE038F">
        <w:rPr>
          <w:b/>
        </w:rPr>
        <w:t>Shtylla 2</w:t>
      </w:r>
      <w:r w:rsidR="00801403" w:rsidRPr="00EE038F">
        <w:rPr>
          <w:b/>
        </w:rPr>
        <w:t xml:space="preserve">. </w:t>
      </w:r>
      <w:r w:rsidRPr="00EE038F">
        <w:rPr>
          <w:b/>
        </w:rPr>
        <w:t>Planifikimi i integruar strategjik dhe buxhetor, monitorimi dhe raportimi transparent:</w:t>
      </w:r>
      <w:r w:rsidR="00AD3D9C" w:rsidRPr="00EE038F">
        <w:rPr>
          <w:b/>
        </w:rPr>
        <w:t xml:space="preserve"> </w:t>
      </w:r>
      <w:r w:rsidRPr="00EE038F">
        <w:rPr>
          <w:i/>
        </w:rPr>
        <w:t>Ekziston një sistem i avancuar për planifikimin strategjik të integruar dhe planifikimin buxhetor afatmesëm në të gjitha nivelet e qeverisjes. Praktikat për planifikimin e investimeve publike janë të profesionalizuara. Sigurohet monitorim dhe raportim transparent dhe pjesëmarrja e publikut në proceset buxhetore</w:t>
      </w:r>
      <w:r w:rsidR="002A3AD0" w:rsidRPr="00EE038F">
        <w:rPr>
          <w:i/>
        </w:rPr>
        <w:t>,</w:t>
      </w:r>
      <w:r w:rsidRPr="00EE038F">
        <w:rPr>
          <w:i/>
        </w:rPr>
        <w:t xml:space="preserve"> në përputhje me standardet përkatëse.</w:t>
      </w:r>
    </w:p>
    <w:p w14:paraId="788C8DD5" w14:textId="78188898" w:rsidR="00C50585" w:rsidRPr="00EE038F" w:rsidRDefault="00C50585" w:rsidP="00233E3C">
      <w:pPr>
        <w:pStyle w:val="TEKSTIIIIII"/>
        <w:rPr>
          <w:b/>
          <w:i/>
        </w:rPr>
      </w:pPr>
      <w:r w:rsidRPr="00EE038F">
        <w:rPr>
          <w:b/>
        </w:rPr>
        <w:t>Shtylla 3</w:t>
      </w:r>
      <w:r w:rsidR="00801403" w:rsidRPr="00EE038F">
        <w:rPr>
          <w:b/>
        </w:rPr>
        <w:t xml:space="preserve">. </w:t>
      </w:r>
      <w:r w:rsidRPr="00EE038F">
        <w:rPr>
          <w:b/>
        </w:rPr>
        <w:t xml:space="preserve">Menaxhimi dhe mobilizimi i të ardhurave: </w:t>
      </w:r>
      <w:r w:rsidRPr="00EE038F">
        <w:rPr>
          <w:i/>
        </w:rPr>
        <w:t xml:space="preserve">Mobilizimi i të ardhurave </w:t>
      </w:r>
      <w:r w:rsidR="007F728D" w:rsidRPr="00EE038F">
        <w:rPr>
          <w:i/>
        </w:rPr>
        <w:t>vendës</w:t>
      </w:r>
      <w:r w:rsidRPr="00EE038F">
        <w:rPr>
          <w:i/>
        </w:rPr>
        <w:t xml:space="preserve">e është rritur përmes zhvillimit dhe zbatimit të politikave të avancuara tatimore; sistemet për menaxhimin e taksave dhe doganave janë përmirësuar më tej dhe aty ku është e aplikueshme janë në përputhje me kërkesat ligjore të BE-së. Strategjia </w:t>
      </w:r>
      <w:r w:rsidR="00E534C6" w:rsidRPr="00EE038F">
        <w:rPr>
          <w:i/>
        </w:rPr>
        <w:t xml:space="preserve">afatmesme e të ardhurave </w:t>
      </w:r>
      <w:r w:rsidRPr="00EE038F">
        <w:rPr>
          <w:i/>
        </w:rPr>
        <w:t>(SAA) zbatohet, përditësohet rregullisht dhe reformat tatimore menaxhohen në mënyrë adekuate.</w:t>
      </w:r>
    </w:p>
    <w:p w14:paraId="432A21E2" w14:textId="15997FCE" w:rsidR="00C50585" w:rsidRPr="00EE038F" w:rsidRDefault="00C50585" w:rsidP="00233E3C">
      <w:pPr>
        <w:pStyle w:val="TEKSTIIIIII"/>
        <w:rPr>
          <w:b/>
          <w:i/>
        </w:rPr>
      </w:pPr>
      <w:r w:rsidRPr="00EE038F">
        <w:rPr>
          <w:b/>
        </w:rPr>
        <w:t>Shtylla 4</w:t>
      </w:r>
      <w:r w:rsidR="00801403" w:rsidRPr="00EE038F">
        <w:rPr>
          <w:b/>
        </w:rPr>
        <w:t xml:space="preserve">. </w:t>
      </w:r>
      <w:r w:rsidRPr="00EE038F">
        <w:rPr>
          <w:b/>
        </w:rPr>
        <w:t xml:space="preserve">Kontabiliteti dhe </w:t>
      </w:r>
      <w:r w:rsidR="00820F34" w:rsidRPr="00EE038F">
        <w:rPr>
          <w:b/>
        </w:rPr>
        <w:t>menaxhimi i zbatimit të buxhetit</w:t>
      </w:r>
      <w:r w:rsidRPr="00EE038F">
        <w:rPr>
          <w:b/>
        </w:rPr>
        <w:t xml:space="preserve">: </w:t>
      </w:r>
      <w:r w:rsidRPr="00EE038F">
        <w:rPr>
          <w:i/>
        </w:rPr>
        <w:t>Praktikat e menaxhimit të zbatimit të buxhetit janë forcuar, duke përfshirë përmirësimin dhe rritjen e përdorimit të Sistemit Informativ Financiar Qeveritar (SIFQ), zbatimin e reformave të Standardeve Ndërkombëtare të Kontabilitetit Publik, duke lehtësuar kalimin në kontabilitetin në bazë të drejtash dhe detyrimesh të konstatuara. Sistemet e prokurimit janë përmirësuar dhe</w:t>
      </w:r>
      <w:r w:rsidR="002A3AD0" w:rsidRPr="00EE038F">
        <w:rPr>
          <w:i/>
        </w:rPr>
        <w:t>,</w:t>
      </w:r>
      <w:r w:rsidRPr="00EE038F">
        <w:rPr>
          <w:i/>
        </w:rPr>
        <w:t xml:space="preserve"> në veçanti</w:t>
      </w:r>
      <w:r w:rsidR="002A3AD0" w:rsidRPr="00EE038F">
        <w:rPr>
          <w:i/>
        </w:rPr>
        <w:t>,</w:t>
      </w:r>
      <w:r w:rsidRPr="00EE038F">
        <w:rPr>
          <w:i/>
        </w:rPr>
        <w:t xml:space="preserve"> është siguruar pajtueshmëria me legjislacionin e prokurimit. Praktikat e menaxhimit të borxhit dhe </w:t>
      </w:r>
      <w:r w:rsidR="006F4534" w:rsidRPr="00EE038F">
        <w:rPr>
          <w:i/>
        </w:rPr>
        <w:t xml:space="preserve">të </w:t>
      </w:r>
      <w:r w:rsidRPr="00EE038F">
        <w:rPr>
          <w:i/>
        </w:rPr>
        <w:t>parasë janë përmirësuar më tej dhe sistemet e menaxhimit të aseteve janë përmirësuar.</w:t>
      </w:r>
    </w:p>
    <w:p w14:paraId="4262BE88" w14:textId="7C72FDA0" w:rsidR="00C50585" w:rsidRPr="00EE038F" w:rsidRDefault="00C50585" w:rsidP="00233E3C">
      <w:pPr>
        <w:pStyle w:val="TEKSTIIIIII"/>
        <w:rPr>
          <w:b/>
          <w:i/>
        </w:rPr>
      </w:pPr>
      <w:r w:rsidRPr="00EE038F">
        <w:rPr>
          <w:b/>
        </w:rPr>
        <w:t>Shtylla 5</w:t>
      </w:r>
      <w:r w:rsidR="00801403" w:rsidRPr="00EE038F">
        <w:rPr>
          <w:b/>
        </w:rPr>
        <w:t xml:space="preserve">. </w:t>
      </w:r>
      <w:r w:rsidRPr="00EE038F">
        <w:rPr>
          <w:b/>
        </w:rPr>
        <w:t xml:space="preserve">Kontrolli i </w:t>
      </w:r>
      <w:r w:rsidR="00820F34" w:rsidRPr="00EE038F">
        <w:rPr>
          <w:b/>
        </w:rPr>
        <w:t>brendshëm financiar publik</w:t>
      </w:r>
      <w:r w:rsidRPr="00EE038F">
        <w:rPr>
          <w:b/>
        </w:rPr>
        <w:t xml:space="preserve">: </w:t>
      </w:r>
      <w:r w:rsidRPr="00EE038F">
        <w:rPr>
          <w:i/>
        </w:rPr>
        <w:t>Sistemet për Kontrollin e Brendshëm Financiar Publik janë përmirësuar më tej</w:t>
      </w:r>
      <w:r w:rsidR="00A924BC" w:rsidRPr="00EE038F">
        <w:rPr>
          <w:i/>
        </w:rPr>
        <w:t>,</w:t>
      </w:r>
      <w:r w:rsidRPr="00EE038F">
        <w:rPr>
          <w:i/>
        </w:rPr>
        <w:t xml:space="preserve"> në përputhje me praktikat e pranuara nga BE-ja për menaxhim të shëndoshë financiar. Koncepti i llogaridhënies menaxheriale dhe </w:t>
      </w:r>
      <w:r w:rsidR="00A924BC" w:rsidRPr="00EE038F">
        <w:rPr>
          <w:i/>
        </w:rPr>
        <w:t xml:space="preserve">i </w:t>
      </w:r>
      <w:r w:rsidRPr="00EE038F">
        <w:rPr>
          <w:i/>
        </w:rPr>
        <w:t xml:space="preserve">delegimit të autoriteteve është forcuar dhe janë adresuar të gjitha mangësitë e </w:t>
      </w:r>
      <w:r w:rsidR="00E57CE0" w:rsidRPr="00EE038F">
        <w:rPr>
          <w:i/>
        </w:rPr>
        <w:t xml:space="preserve">menaxhimit financiar dhe kontrollit në institucionet </w:t>
      </w:r>
      <w:r w:rsidRPr="00EE038F">
        <w:rPr>
          <w:i/>
        </w:rPr>
        <w:t>publike. Auditimet e brendshme me vlerë të shtuar zbatohen në të gjitha institucionet publike</w:t>
      </w:r>
      <w:r w:rsidR="008364BE" w:rsidRPr="00EE038F">
        <w:rPr>
          <w:i/>
        </w:rPr>
        <w:t xml:space="preserve">, </w:t>
      </w:r>
      <w:r w:rsidRPr="00EE038F">
        <w:rPr>
          <w:i/>
        </w:rPr>
        <w:t>në përputhje me standardet në fuqi. Rastet e mashtrimit dhe parregullsive trajtohen në mënyrë efektive nga inspektimi financiar publik dhe rrjeti i shërbimit të koordinimit kundër mashtrimit (AFCOS) zbaton strategjinë kundër mashtrimit. Janë krijuar sisteme adekuate të menaxhimit financiar për të absorbuar mbështetjen financiare të IPA-III dhe të ardhshme të BE-së.</w:t>
      </w:r>
    </w:p>
    <w:p w14:paraId="613442AB" w14:textId="526B22A0" w:rsidR="00C50585" w:rsidRPr="00EE038F" w:rsidRDefault="00C50585" w:rsidP="00233E3C">
      <w:pPr>
        <w:pStyle w:val="TEKSTIIIIII"/>
        <w:rPr>
          <w:i/>
        </w:rPr>
      </w:pPr>
      <w:r w:rsidRPr="00EE038F">
        <w:rPr>
          <w:b/>
        </w:rPr>
        <w:t>Shtylla 6</w:t>
      </w:r>
      <w:r w:rsidR="00801403" w:rsidRPr="00EE038F">
        <w:rPr>
          <w:b/>
        </w:rPr>
        <w:t xml:space="preserve">. </w:t>
      </w:r>
      <w:r w:rsidRPr="00EE038F">
        <w:rPr>
          <w:b/>
        </w:rPr>
        <w:t xml:space="preserve">Mbikëqyrja e </w:t>
      </w:r>
      <w:r w:rsidR="00820F34" w:rsidRPr="00EE038F">
        <w:rPr>
          <w:b/>
        </w:rPr>
        <w:t>jashtme</w:t>
      </w:r>
      <w:r w:rsidRPr="00EE038F">
        <w:t xml:space="preserve">: </w:t>
      </w:r>
      <w:r w:rsidRPr="00EE038F">
        <w:rPr>
          <w:i/>
        </w:rPr>
        <w:t>Funksioni i pavarur i Kontrollit të Lartë është profesionalizuar më tej në përputhje me parimet e ONISA-s dhe standardet ndërkombëtare të auditimit dhe funksioni mbështetës për parlamentin është forcuar për t</w:t>
      </w:r>
      <w:r w:rsidR="00AC2649" w:rsidRPr="00EE038F">
        <w:rPr>
          <w:i/>
        </w:rPr>
        <w:t>’</w:t>
      </w:r>
      <w:r w:rsidRPr="00EE038F">
        <w:rPr>
          <w:i/>
        </w:rPr>
        <w:t>i mundësuar Komisionit Parlamentar për Ekonominë dhe Financat të zbatojë në mënyrë adekuate rolin e tij mbikëqyrës.</w:t>
      </w:r>
    </w:p>
    <w:p w14:paraId="2CEE7D1A" w14:textId="4106410F" w:rsidR="00C50585" w:rsidRPr="00EE038F" w:rsidRDefault="00D20C71" w:rsidP="00D20C71">
      <w:pPr>
        <w:pStyle w:val="TEKSTIIIIII"/>
        <w:rPr>
          <w:b/>
        </w:rPr>
      </w:pPr>
      <w:bookmarkStart w:id="40" w:name="_Toc187328214"/>
      <w:r w:rsidRPr="00EE038F">
        <w:rPr>
          <w:b/>
        </w:rPr>
        <w:t xml:space="preserve">4.10 </w:t>
      </w:r>
      <w:r w:rsidR="00C50585" w:rsidRPr="00EE038F">
        <w:rPr>
          <w:b/>
        </w:rPr>
        <w:t>Qëndrueshmëria e financave publike</w:t>
      </w:r>
      <w:bookmarkEnd w:id="40"/>
    </w:p>
    <w:p w14:paraId="54422643" w14:textId="628D8FAC" w:rsidR="00C50585" w:rsidRPr="00EE038F" w:rsidRDefault="00C50585" w:rsidP="00D20C71">
      <w:pPr>
        <w:pStyle w:val="TEKSTIIIIII"/>
      </w:pPr>
      <w:r w:rsidRPr="00EE038F">
        <w:t>Zbatimi i reformës së MFP-së shërben si udhërrëfyes për Shqipërinë, për të ruajtur qëndrueshmërinë e financave publike. Strategjia sektoriale e MFP-së 2023</w:t>
      </w:r>
      <w:r w:rsidR="00C65FAC" w:rsidRPr="00EE038F">
        <w:t>–</w:t>
      </w:r>
      <w:r w:rsidRPr="00EE038F">
        <w:t>2030 dhe plani i veprimit për periudhën 2023</w:t>
      </w:r>
      <w:r w:rsidR="00C65FAC" w:rsidRPr="00EE038F">
        <w:t>–</w:t>
      </w:r>
      <w:r w:rsidRPr="00EE038F">
        <w:t xml:space="preserve">2026 paraqet një vizion të funksionit të MFP-së deri në vitin 2030 dhe një plan veprimi që identifikon një sërë masash dhe aktivitetesh shoqëruese dhe tregues të performancës për të vazhduar reformat në sistemet e MFP-së deri në vitin 2026. Kjo strategji fokusohet në përmirësimin e sistemeve të MFP-së. Në përputhje me </w:t>
      </w:r>
      <w:r w:rsidR="00E534C6">
        <w:t>“</w:t>
      </w:r>
      <w:r w:rsidR="00E534C6" w:rsidRPr="00EE038F">
        <w:t>Strategjinë kombëtare për zhvillim dhe integrim evr</w:t>
      </w:r>
      <w:r w:rsidRPr="00EE038F">
        <w:t>opian (SKZHIE) 2022</w:t>
      </w:r>
      <w:r w:rsidR="000B1F9A" w:rsidRPr="00EE038F">
        <w:t>–</w:t>
      </w:r>
      <w:r w:rsidRPr="00EE038F">
        <w:t>2030</w:t>
      </w:r>
      <w:r w:rsidR="00E534C6">
        <w:t>”</w:t>
      </w:r>
      <w:r w:rsidRPr="00EE038F">
        <w:t>, qëllimi i përgjithshëm i strategjisë është të krijojë një sistem të menaxhimit të financave publike që garanton transparencë, llogaridhënie, disiplinë fiskale, efikasitet dhe barazi në përdorimin e burimeve publike për ofrimin e shërbimeve publike të përmirësuara dhe zhvillimit ekonomik që të sigurojë një integrim të lehtë dhe të shpejtë të Shqipërisë në Bashkimin Evropian (BE).</w:t>
      </w:r>
    </w:p>
    <w:p w14:paraId="08C2ADB0" w14:textId="41998CB3" w:rsidR="00C50585" w:rsidRPr="00EE038F" w:rsidRDefault="00D555C7" w:rsidP="00D20C71">
      <w:pPr>
        <w:pStyle w:val="TEKSTIIIIII"/>
      </w:pPr>
      <w:r w:rsidRPr="00EE038F">
        <w:t>“</w:t>
      </w:r>
      <w:r w:rsidR="00C50585" w:rsidRPr="00EE038F">
        <w:t xml:space="preserve">Udhërrëfyesi për </w:t>
      </w:r>
      <w:r w:rsidR="0074181C" w:rsidRPr="00EE038F">
        <w:t xml:space="preserve">reformën në administratën publike </w:t>
      </w:r>
      <w:r w:rsidR="00C50585" w:rsidRPr="00EE038F">
        <w:t>2023–2030</w:t>
      </w:r>
      <w:r w:rsidRPr="00EE038F">
        <w:t>”</w:t>
      </w:r>
      <w:r w:rsidR="00C50585" w:rsidRPr="00EE038F">
        <w:t xml:space="preserve"> është një dokument që mbështet reformën në administratën publike, me një plan masash konkrete prioritare, për periudhën kohore 2023–2030. Qëllimi i hartimit të tij është adresimi i sfidave të identifikuara në kuadër të reformës së administratës publike, si dhe prioritizimi i masave në këtë drejtim, për të siguruar përmbushjen e standardeve dhe progresin në procesin e integrimit evropian</w:t>
      </w:r>
      <w:r w:rsidR="006F50FD" w:rsidRPr="00EE038F">
        <w:t xml:space="preserve">. </w:t>
      </w:r>
      <w:r w:rsidR="00C50585" w:rsidRPr="00EE038F">
        <w:t xml:space="preserve">Ministria e </w:t>
      </w:r>
      <w:r w:rsidR="00C50585" w:rsidRPr="00EE038F">
        <w:lastRenderedPageBreak/>
        <w:t>Financave/</w:t>
      </w:r>
      <w:r w:rsidR="00D821BA" w:rsidRPr="00EE038F">
        <w:t xml:space="preserve">Drejtoria </w:t>
      </w:r>
      <w:r w:rsidR="00C50585" w:rsidRPr="00EE038F">
        <w:t xml:space="preserve">e MFP ndjek dhe raporton pranë Departamentit të Administratës Publike statusin e realizimit të masave prioritare të përfshira në shtyllën e pestë </w:t>
      </w:r>
      <w:r w:rsidRPr="00EE038F">
        <w:t>“</w:t>
      </w:r>
      <w:r w:rsidR="00C50585" w:rsidRPr="00EE038F">
        <w:t xml:space="preserve">Menaxhimi i </w:t>
      </w:r>
      <w:r w:rsidR="00D821BA" w:rsidRPr="00EE038F">
        <w:t>financave publike</w:t>
      </w:r>
      <w:r w:rsidRPr="00EE038F">
        <w:t>”</w:t>
      </w:r>
      <w:r w:rsidR="00C50585" w:rsidRPr="00EE038F">
        <w:t xml:space="preserve">. </w:t>
      </w:r>
    </w:p>
    <w:p w14:paraId="2F8DE825" w14:textId="490F4E5B" w:rsidR="00C50585" w:rsidRPr="00EE038F" w:rsidRDefault="00D20C71" w:rsidP="00D20C71">
      <w:pPr>
        <w:pStyle w:val="TEKSTIIIIII"/>
        <w:rPr>
          <w:color w:val="0D0D0D" w:themeColor="text1" w:themeTint="F2"/>
        </w:rPr>
      </w:pPr>
      <w:bookmarkStart w:id="41" w:name="_Toc187328215"/>
      <w:r w:rsidRPr="00EE038F">
        <w:rPr>
          <w:color w:val="0D0D0D" w:themeColor="text1" w:themeTint="F2"/>
        </w:rPr>
        <w:t xml:space="preserve">5. </w:t>
      </w:r>
      <w:r w:rsidR="00C50585" w:rsidRPr="00EE038F">
        <w:rPr>
          <w:color w:val="0D0D0D" w:themeColor="text1" w:themeTint="F2"/>
        </w:rPr>
        <w:t>KONSISTENCA E AGJENDËS SË REFORMAVE ME KUADRIN MAKR</w:t>
      </w:r>
      <w:r w:rsidR="006946AE" w:rsidRPr="00EE038F">
        <w:rPr>
          <w:color w:val="0D0D0D" w:themeColor="text1" w:themeTint="F2"/>
        </w:rPr>
        <w:t>O</w:t>
      </w:r>
      <w:r w:rsidR="00C50585" w:rsidRPr="00EE038F">
        <w:rPr>
          <w:color w:val="0D0D0D" w:themeColor="text1" w:themeTint="F2"/>
        </w:rPr>
        <w:t>FISKAL</w:t>
      </w:r>
      <w:bookmarkEnd w:id="41"/>
    </w:p>
    <w:p w14:paraId="720F978C" w14:textId="383BEAE1" w:rsidR="00C50585" w:rsidRPr="00EE038F" w:rsidRDefault="00C50585" w:rsidP="00D20C71">
      <w:pPr>
        <w:pStyle w:val="TEKSTIIIIII"/>
      </w:pPr>
      <w:r w:rsidRPr="00EE038F">
        <w:t>Agjenda e Reformave 2024</w:t>
      </w:r>
      <w:r w:rsidR="006946AE" w:rsidRPr="00EE038F">
        <w:t>–</w:t>
      </w:r>
      <w:r w:rsidRPr="00EE038F">
        <w:t>2027 (AR) përfaqëson një kuadër transformues politikash që shënon një moment të rëndësishëm në trajektoren e zhvillimit ekonomik të Shqipërisë. Ky program gjithëpërfshirës reformash është hartuar me kujdes për të përshpejtuar konvergjencën ekonomike të Shqipërisë me BE-në, duke mbështetur njëkohësisht rrugëtimin e vendit drejt anëtarësimit në BE. Agjenda nuk përfaqëson thjesht një përmbledhje të reformave individuale, por një tërësi të integruar dhe reciprokisht përforcuese masash politikash</w:t>
      </w:r>
      <w:r w:rsidR="00736234" w:rsidRPr="00EE038F">
        <w:t>,</w:t>
      </w:r>
      <w:r w:rsidRPr="00EE038F">
        <w:t xml:space="preserve"> që së bashku synojnë të forcojnë në mënyrë thelbësore themelet e ekonomisë shqiptare.</w:t>
      </w:r>
    </w:p>
    <w:p w14:paraId="5B35DA55" w14:textId="0480879F" w:rsidR="00C50585" w:rsidRPr="00EE038F" w:rsidRDefault="00C50585" w:rsidP="00D20C71">
      <w:pPr>
        <w:pStyle w:val="TEKSTIIIIII"/>
      </w:pPr>
      <w:r w:rsidRPr="00EE038F">
        <w:t>Ky seksion paraqet një analizë të thelluar të mënyrës se si reformat e përshkruara në AR përputhen dhe përforcojnë objektivat makroekonomikë dhe fiskalë të paraqitur në këtë Program të Reformave Ekonomike. Është e rëndësishme të theksohet që në fillim</w:t>
      </w:r>
      <w:r w:rsidR="00025FF4" w:rsidRPr="00EE038F">
        <w:t>,</w:t>
      </w:r>
      <w:r w:rsidRPr="00EE038F">
        <w:t xml:space="preserve"> se skenari bazë makroekonomik aktual i paraqitur në këtë ERP ndjek një qasje të matur dhe nuk përfshin ende efektet e mundshme pozitive që priten nga zbatimi i kësaj agjende të re reformash të </w:t>
      </w:r>
      <w:r w:rsidR="005E7CDB" w:rsidRPr="00EE038F">
        <w:t xml:space="preserve">planit </w:t>
      </w:r>
      <w:r w:rsidRPr="00EE038F">
        <w:t xml:space="preserve">të </w:t>
      </w:r>
      <w:r w:rsidR="005E7CDB" w:rsidRPr="00EE038F">
        <w:t>rritjes</w:t>
      </w:r>
      <w:r w:rsidRPr="00EE038F">
        <w:t>. Kjo zgjedhje metodologjike pasqyron angazhimin për një planifikim realist, duke njohur njëkohësisht potencialin e konsiderueshëm pozitiv që mund të sjellë zbatimi i suksesshëm i reformave.</w:t>
      </w:r>
    </w:p>
    <w:p w14:paraId="3C05CE1D" w14:textId="3436824B" w:rsidR="00C50585" w:rsidRPr="00EE038F" w:rsidRDefault="00C50585" w:rsidP="00D20C71">
      <w:pPr>
        <w:pStyle w:val="TEKSTIIIIII"/>
      </w:pPr>
      <w:r w:rsidRPr="00EE038F">
        <w:t>Reformat e përfshira në AR janë veçanërisht të rëndësishme</w:t>
      </w:r>
      <w:r w:rsidR="00307797" w:rsidRPr="00EE038F">
        <w:t>,</w:t>
      </w:r>
      <w:r w:rsidRPr="00EE038F">
        <w:t xml:space="preserve"> pasi ato trajtojnë si sfidat e menjëhershme me të cilat përballet ekonomia shqiptare, ashtu edhe kufizimet strukturore afatgjata që historikisht kanë kufizuar potencialin e rritjes. Duke trajtuar këto sfida në mënyrë të njëkohshme dhe gjithëpërfshirëse, agjenda synon të krijojë sinergji të fuqishme që mund të përshpejtojnë transformimin ekonomik përtej asaj që reformat individuale mund të arrinin të izoluara.</w:t>
      </w:r>
    </w:p>
    <w:p w14:paraId="45C10334" w14:textId="0563D572" w:rsidR="00C50585" w:rsidRPr="00EE038F" w:rsidRDefault="00C50585" w:rsidP="00D20C71">
      <w:pPr>
        <w:pStyle w:val="TEKSTIIIIII"/>
      </w:pPr>
      <w:r w:rsidRPr="00EE038F">
        <w:t>Kuadri bazë makroekonomik aktual</w:t>
      </w:r>
      <w:r w:rsidR="00B65666" w:rsidRPr="00EE038F">
        <w:t>,</w:t>
      </w:r>
      <w:r w:rsidRPr="00EE038F">
        <w:t xml:space="preserve"> i paraqitur në </w:t>
      </w:r>
      <w:r w:rsidR="00B65666" w:rsidRPr="00EE038F">
        <w:t xml:space="preserve">seksionin </w:t>
      </w:r>
      <w:r w:rsidRPr="00EE038F">
        <w:t>3</w:t>
      </w:r>
      <w:r w:rsidR="00B65666" w:rsidRPr="00EE038F">
        <w:t>,</w:t>
      </w:r>
      <w:r w:rsidRPr="00EE038F">
        <w:t xml:space="preserve"> parashikon një rritje mesatare vjetore të PBB-së reale prej 3.9% gjatë periudhës </w:t>
      </w:r>
      <w:r w:rsidR="00B41EC3" w:rsidRPr="00EE038F">
        <w:t>2025–2027</w:t>
      </w:r>
      <w:r w:rsidRPr="00EE038F">
        <w:t>. Këto projeksione, të zhvilluara përmes një analize rigoroze dhe supozimeve të matura, reflektojnë kryesisht vazhdimësinë e tendencave ekzistuese dhe të reformave tashmë të nisura. Ato përfshijnë vlerësime standarde të faktorëve të brendshëm dhe të jashtëm, modelet e vendosura të investimeve dhe konsumit, si dhe efektet në vazhdim të politikave të zbatuara më parë.</w:t>
      </w:r>
    </w:p>
    <w:p w14:paraId="18A4C579" w14:textId="20528BD3" w:rsidR="00C50585" w:rsidRPr="00EE038F" w:rsidRDefault="00C50585" w:rsidP="00D20C71">
      <w:pPr>
        <w:pStyle w:val="TEKSTIIIIII"/>
      </w:pPr>
      <w:r w:rsidRPr="00EE038F">
        <w:t>Është e rëndësishme të theksohet se këto projeksione bazë janë formuluar qëllimisht me një qasje të matur</w:t>
      </w:r>
      <w:r w:rsidR="0061459F" w:rsidRPr="00EE038F">
        <w:t>,</w:t>
      </w:r>
      <w:r w:rsidRPr="00EE038F">
        <w:t xml:space="preserve"> që ende nuk merr parasysh potencialin shtesë të rritjes që mund të shfaqet përmes zbatimit të suksesshëm të </w:t>
      </w:r>
      <w:r w:rsidR="00AB376C" w:rsidRPr="00EE038F">
        <w:t>a</w:t>
      </w:r>
      <w:r w:rsidRPr="00EE038F">
        <w:t xml:space="preserve">gjendës gjithëpërfshirëse të </w:t>
      </w:r>
      <w:r w:rsidR="00AB376C" w:rsidRPr="00EE038F">
        <w:t>r</w:t>
      </w:r>
      <w:r w:rsidRPr="00EE038F">
        <w:t xml:space="preserve">eformave, të mbështetur nga </w:t>
      </w:r>
      <w:r w:rsidR="00AB376C" w:rsidRPr="00EE038F">
        <w:t>instrumenti i reformave dhe rritjes</w:t>
      </w:r>
      <w:r w:rsidRPr="00EE038F">
        <w:t>. Kjo zgjedhje metodologjike pasqyron disa konsiderata të rëndësishme. Së pari, ajo siguron besueshmërinë dhe qëndrueshmërinë e skenarit bazë</w:t>
      </w:r>
      <w:r w:rsidR="008966D7" w:rsidRPr="00EE038F">
        <w:t>,</w:t>
      </w:r>
      <w:r w:rsidRPr="00EE038F">
        <w:t xml:space="preserve"> duke u mbështetur kryesisht në marrëdhënie ekonomike të mirëkuptuara dhe tashmë të vëzhgueshme. Së dyti, ajo njeh kompleksitetin e brendshëm të reformave strukturore dhe kohën që zakonisht nevojitet që efektet e tyre të materializohen plotësisht. Së treti, ajo ofron një bazë të qëndrueshme për planifikimin e politikave, duke ruajtur njëkohësisht potencialin e lartë që mund të vijë nga zbatimi i suksesshëm i reformave.</w:t>
      </w:r>
    </w:p>
    <w:p w14:paraId="043875CC" w14:textId="081CB608" w:rsidR="00C50585" w:rsidRPr="00EE038F" w:rsidRDefault="00C50585" w:rsidP="00D20C71">
      <w:pPr>
        <w:pStyle w:val="TEKSTIIIIII"/>
      </w:pPr>
      <w:r w:rsidRPr="00EE038F">
        <w:t xml:space="preserve">Kjo qasje e matur ndaj projeksioneve bazë nuk duhet të interpretohet si një nënvlerësim i potencialit transformues të </w:t>
      </w:r>
      <w:r w:rsidR="004312AB" w:rsidRPr="00EE038F">
        <w:t>agjendës së reformave</w:t>
      </w:r>
      <w:r w:rsidRPr="00EE038F">
        <w:t>. Përkundrazi, ajo pasqyron një angazhim për planifikim realist, duke njohur njëkohësisht se zbatimi i suksesshëm i këtyre reformave gjithëpërfshirëse mund të përmirësojë ndjeshëm trajektoren e rritjes së Shqipërisë përtej skenarit bazë. Potenciali i reformave për të përshpejtuar rritjen buron nga aftësia e tyre për të adresuar kufizimet themelore në ekonomi, për të krijuar mundësi të reja për zhvillimin e sektorit privat dhe për të forcuar bazat institucionale për zhvillim të qëndrueshëm ekonomik.</w:t>
      </w:r>
    </w:p>
    <w:p w14:paraId="050BC77D" w14:textId="7B57FF77" w:rsidR="00C50585" w:rsidRPr="00EE038F" w:rsidRDefault="00C50585" w:rsidP="00D20C71">
      <w:pPr>
        <w:pStyle w:val="TEKSTIIIIII"/>
      </w:pPr>
      <w:r w:rsidRPr="00EE038F">
        <w:t>Koha dhe sekuencimi i ndikimit të reformave është veçanërisht i rëndësishëm për t</w:t>
      </w:r>
      <w:r w:rsidR="004312AB" w:rsidRPr="00EE038F">
        <w:t>’</w:t>
      </w:r>
      <w:r w:rsidRPr="00EE038F">
        <w:t xml:space="preserve">u marrë në konsideratë. Ndërsa disa reforma mund të sjellin përfitime relativisht të shpejta përmes rritjes së </w:t>
      </w:r>
      <w:r w:rsidR="00D555C7" w:rsidRPr="00EE038F">
        <w:t>eficienc</w:t>
      </w:r>
      <w:r w:rsidRPr="00EE038F">
        <w:t xml:space="preserve">ës ose përmirësimit të funksionimit të tregut, të tjerat ka të ngjarë të gjenerojnë ndikimin e tyre të plotë në një periudhë më të gjatë kohore, pasi përfshijnë ndryshime më thelbësore në </w:t>
      </w:r>
      <w:r w:rsidRPr="00EE038F">
        <w:lastRenderedPageBreak/>
        <w:t>strukturat ekonomike dhe kuadrin institucional. Kjo ndryshueshmëri në kohën e ndikimit përforcon qasjen e matur për të mos përfshirë plotësisht përfitimet potenciale të reformave në projeksionet bazë, duke ruajtur njëkohësisht fokusin në zbatimin e tyre të suksesshëm.</w:t>
      </w:r>
    </w:p>
    <w:p w14:paraId="2FF0B89D" w14:textId="1F563143" w:rsidR="00C50585" w:rsidRPr="00EE038F" w:rsidRDefault="00C50585" w:rsidP="00D20C71">
      <w:pPr>
        <w:pStyle w:val="TEKSTIIIIII"/>
        <w:rPr>
          <w:i/>
          <w:iCs/>
        </w:rPr>
      </w:pPr>
      <w:r w:rsidRPr="00EE038F">
        <w:rPr>
          <w:i/>
          <w:iCs/>
        </w:rPr>
        <w:t xml:space="preserve">Lidhjet me </w:t>
      </w:r>
      <w:r w:rsidR="007B6878" w:rsidRPr="00EE038F">
        <w:rPr>
          <w:i/>
          <w:iCs/>
        </w:rPr>
        <w:t>kuadrin makroekonomik</w:t>
      </w:r>
    </w:p>
    <w:p w14:paraId="40E72D56" w14:textId="286B2724" w:rsidR="00C50585" w:rsidRPr="00EE038F" w:rsidRDefault="00C50585" w:rsidP="00D20C71">
      <w:pPr>
        <w:pStyle w:val="TEKSTIIIIII"/>
      </w:pPr>
      <w:r w:rsidRPr="00EE038F">
        <w:t xml:space="preserve">Agjenda e </w:t>
      </w:r>
      <w:r w:rsidR="000C1070" w:rsidRPr="00EE038F">
        <w:t xml:space="preserve">reformave </w:t>
      </w:r>
      <w:r w:rsidRPr="00EE038F">
        <w:t>përfshin një grup ambicioz dhe të strukturuar me kujdes reformash përgjatë pesë fushave të ndërlidhura të politikave, të cilat pritet të rrisin potencialin e rritjes së Shqipërisë</w:t>
      </w:r>
      <w:r w:rsidR="00CF6E77" w:rsidRPr="00EE038F">
        <w:t>,</w:t>
      </w:r>
      <w:r w:rsidRPr="00EE038F">
        <w:t xml:space="preserve"> përmes shumë kanaleve që përforcojnë njëra-tjetrën. Këto fusha politikash </w:t>
      </w:r>
      <w:r w:rsidR="00BC78EE" w:rsidRPr="00EE038F">
        <w:t>–</w:t>
      </w:r>
      <w:r w:rsidRPr="00EE038F">
        <w:t xml:space="preserve"> klima e biznesit, zhvillimi i kapitalit njerëzor, transformimi di</w:t>
      </w:r>
      <w:r w:rsidR="000E4B58" w:rsidRPr="00EE038F">
        <w:t>gj</w:t>
      </w:r>
      <w:r w:rsidRPr="00EE038F">
        <w:t xml:space="preserve">ital, tranzicioni energjetik dhe sundimi i ligjit </w:t>
      </w:r>
      <w:r w:rsidR="00FB4889" w:rsidRPr="00EE038F">
        <w:t>–</w:t>
      </w:r>
      <w:r w:rsidRPr="00EE038F">
        <w:t xml:space="preserve"> janë përzgjedhur dhe hartuar bazuar në një analizë të kujdesshme të nevojave dhe mundësive të zhvillimit të Shqipërisë, si dhe në përvojat e suksesshme të reformave nga ekonomi të tjera evropiane.</w:t>
      </w:r>
    </w:p>
    <w:p w14:paraId="7FC30EF6" w14:textId="347627AC" w:rsidR="00C50585" w:rsidRPr="00EE038F" w:rsidRDefault="00C50585" w:rsidP="00B87386">
      <w:pPr>
        <w:spacing w:after="0" w:line="240" w:lineRule="auto"/>
        <w:ind w:firstLine="284"/>
        <w:jc w:val="both"/>
        <w:rPr>
          <w:rFonts w:ascii="Garamond" w:hAnsi="Garamond"/>
          <w:sz w:val="24"/>
          <w:szCs w:val="24"/>
        </w:rPr>
      </w:pPr>
      <w:r w:rsidRPr="00EE038F">
        <w:rPr>
          <w:rFonts w:ascii="Garamond" w:hAnsi="Garamond"/>
          <w:sz w:val="24"/>
          <w:szCs w:val="24"/>
        </w:rPr>
        <w:t>Ndërlidhjet midis këtyre fushave të politikave janë veçanërisht të rëndësishme për t</w:t>
      </w:r>
      <w:r w:rsidR="00785653" w:rsidRPr="00EE038F">
        <w:rPr>
          <w:rFonts w:ascii="Garamond" w:hAnsi="Garamond"/>
          <w:sz w:val="24"/>
          <w:szCs w:val="24"/>
        </w:rPr>
        <w:t>’</w:t>
      </w:r>
      <w:r w:rsidRPr="00EE038F">
        <w:rPr>
          <w:rFonts w:ascii="Garamond" w:hAnsi="Garamond"/>
          <w:sz w:val="24"/>
          <w:szCs w:val="24"/>
        </w:rPr>
        <w:t>u theksuar. Përmirësimet në një fushë janë hartuar për të katalizuar dhe përforcuar progresin në fushat e tjera, duke krijuar cikle virtuale të zhvillimit ekonomik. Për shembull, nismat e transformimit di</w:t>
      </w:r>
      <w:r w:rsidR="000E4B58" w:rsidRPr="00EE038F">
        <w:rPr>
          <w:rFonts w:ascii="Garamond" w:hAnsi="Garamond"/>
          <w:sz w:val="24"/>
          <w:szCs w:val="24"/>
        </w:rPr>
        <w:t>gj</w:t>
      </w:r>
      <w:r w:rsidRPr="00EE038F">
        <w:rPr>
          <w:rFonts w:ascii="Garamond" w:hAnsi="Garamond"/>
          <w:sz w:val="24"/>
          <w:szCs w:val="24"/>
        </w:rPr>
        <w:t>ital mbështesin si përmirësimet e klimës së biznesit</w:t>
      </w:r>
      <w:r w:rsidR="00785653" w:rsidRPr="00EE038F">
        <w:rPr>
          <w:rFonts w:ascii="Garamond" w:hAnsi="Garamond"/>
          <w:sz w:val="24"/>
          <w:szCs w:val="24"/>
        </w:rPr>
        <w:t>,</w:t>
      </w:r>
      <w:r w:rsidRPr="00EE038F">
        <w:rPr>
          <w:rFonts w:ascii="Garamond" w:hAnsi="Garamond"/>
          <w:sz w:val="24"/>
          <w:szCs w:val="24"/>
        </w:rPr>
        <w:t xml:space="preserve"> ashtu edhe zhvillimin e kapitalit njerëzor, ndërkohë që forcimi i sundimit të ligjit mbështet të gjitha fushat e tjera të reformës</w:t>
      </w:r>
      <w:r w:rsidR="001521E6" w:rsidRPr="00EE038F">
        <w:rPr>
          <w:rFonts w:ascii="Garamond" w:hAnsi="Garamond"/>
          <w:sz w:val="24"/>
          <w:szCs w:val="24"/>
        </w:rPr>
        <w:t>,</w:t>
      </w:r>
      <w:r w:rsidRPr="00EE038F">
        <w:rPr>
          <w:rFonts w:ascii="Garamond" w:hAnsi="Garamond"/>
          <w:sz w:val="24"/>
          <w:szCs w:val="24"/>
        </w:rPr>
        <w:t xml:space="preserve"> duke siguruar bazën institucionale për suksesin e tyre.</w:t>
      </w:r>
    </w:p>
    <w:p w14:paraId="7921E195" w14:textId="6C513880" w:rsidR="00C50585" w:rsidRPr="00EE038F" w:rsidRDefault="00C50585" w:rsidP="00B87386">
      <w:pPr>
        <w:spacing w:after="0" w:line="240" w:lineRule="auto"/>
        <w:ind w:firstLine="284"/>
        <w:jc w:val="both"/>
        <w:rPr>
          <w:rFonts w:ascii="Garamond" w:hAnsi="Garamond"/>
          <w:sz w:val="24"/>
          <w:szCs w:val="24"/>
        </w:rPr>
      </w:pPr>
      <w:r w:rsidRPr="00EE038F">
        <w:rPr>
          <w:rFonts w:ascii="Garamond" w:hAnsi="Garamond"/>
          <w:sz w:val="24"/>
          <w:szCs w:val="24"/>
        </w:rPr>
        <w:t xml:space="preserve">Analiza në vijim shqyrton në detaje se si secila fushë e reformës lidhet dhe mbështet kuadrin makroekonomik, duke vënë në dukje se ndikimi i tyre i plotë ka të ngjarë të shtrihet përtej projeksioneve aktuale bazë. Kjo analizë </w:t>
      </w:r>
      <w:r w:rsidR="00483231" w:rsidRPr="00EE038F">
        <w:rPr>
          <w:rFonts w:ascii="Garamond" w:hAnsi="Garamond"/>
          <w:sz w:val="24"/>
          <w:szCs w:val="24"/>
        </w:rPr>
        <w:t>u</w:t>
      </w:r>
      <w:r w:rsidRPr="00EE038F">
        <w:rPr>
          <w:rFonts w:ascii="Garamond" w:hAnsi="Garamond"/>
          <w:sz w:val="24"/>
          <w:szCs w:val="24"/>
        </w:rPr>
        <w:t xml:space="preserve"> kushton vëmendje të veçantë si efekteve të drejtpërdrejta të reformave, ashtu edhe ndikimeve të tyre të tërthorta përmes ndryshimeve në sjellje, përgjigjeve të tregut dhe zhvillimit institucional. Kuptimi i këtyre ndërlidhjeve komplekse është thelbësor për të vlerësuar potencialin transformues të </w:t>
      </w:r>
      <w:r w:rsidR="00BA5E9D" w:rsidRPr="00EE038F">
        <w:rPr>
          <w:rFonts w:ascii="Garamond" w:hAnsi="Garamond"/>
          <w:sz w:val="24"/>
          <w:szCs w:val="24"/>
        </w:rPr>
        <w:t>agjendës së reformave.</w:t>
      </w:r>
    </w:p>
    <w:p w14:paraId="23D818D3" w14:textId="082AC369" w:rsidR="00C50585" w:rsidRPr="00EE038F" w:rsidRDefault="00C50585" w:rsidP="00850177">
      <w:pPr>
        <w:pStyle w:val="TEKSTIIIIII"/>
        <w:rPr>
          <w:i/>
        </w:rPr>
      </w:pPr>
      <w:r w:rsidRPr="00EE038F">
        <w:rPr>
          <w:i/>
        </w:rPr>
        <w:t xml:space="preserve">Reformat e </w:t>
      </w:r>
      <w:r w:rsidR="00BA5E9D" w:rsidRPr="00EE038F">
        <w:rPr>
          <w:i/>
        </w:rPr>
        <w:t>klimës së biznesit dhe rritja ekonomike</w:t>
      </w:r>
    </w:p>
    <w:p w14:paraId="343D2EB2" w14:textId="6F0AA785" w:rsidR="00C50585" w:rsidRPr="00EE038F" w:rsidRDefault="00C50585" w:rsidP="00850177">
      <w:pPr>
        <w:pStyle w:val="TEKSTIIIIII"/>
      </w:pPr>
      <w:r w:rsidRPr="00EE038F">
        <w:t xml:space="preserve">Shtylla e reformave të klimës së biznesit në </w:t>
      </w:r>
      <w:r w:rsidR="00CE060D" w:rsidRPr="00EE038F">
        <w:t>agjendën e ref</w:t>
      </w:r>
      <w:r w:rsidRPr="00EE038F">
        <w:t>ormave synon të transformojë në mënyrë thelbësore mjedisin për zhvillimin e sektorit privat në Shqipëri përmes një serie të ndërlidhur dhe të sekuencuar me kujdes reformash. Kjo qasje gjithëpërfshirëse njeh se përmirësimet e qëndrueshme në mjedisin e biznesit kërkojnë ndryshime të koordinuara në dimensione të shumëfishta të marrëdhënies biznes</w:t>
      </w:r>
      <w:r w:rsidR="00AE78D4" w:rsidRPr="00EE038F">
        <w:t>–</w:t>
      </w:r>
      <w:r w:rsidRPr="00EE038F">
        <w:t>qeveri, kuadrit rregullator dhe institucioneve të tregut.</w:t>
      </w:r>
    </w:p>
    <w:p w14:paraId="2A35268D" w14:textId="77777777" w:rsidR="00C50585" w:rsidRPr="00EE038F" w:rsidRDefault="00C50585" w:rsidP="00850177">
      <w:pPr>
        <w:pStyle w:val="TEKSTIIIIII"/>
      </w:pPr>
      <w:r w:rsidRPr="00EE038F">
        <w:t>Në thelbin e saj, kjo shtyllë fokusohet në modernizimin e marrëdhënies midis bizneseve dhe qeverisë, reduktimin e barrierave administrative dhe krijimin e kushteve të favorshme për rritjen e investimeve dhe produktivitetit. Reformat në këtë fushë janë hartuar për të adresuar si kufizimet operacionale të menjëhershme me të cilat përballen bizneset, ashtu edhe çështjet më të thella strukturore që historikisht kanë kufizuar zhvillimin e sektorit privat në Shqipëri.</w:t>
      </w:r>
    </w:p>
    <w:p w14:paraId="5414B86D" w14:textId="40F100C2" w:rsidR="00C50585" w:rsidRPr="00EE038F" w:rsidRDefault="00C50585" w:rsidP="00850177">
      <w:pPr>
        <w:pStyle w:val="TEKSTIIIIII"/>
      </w:pPr>
      <w:r w:rsidRPr="00EE038F">
        <w:t xml:space="preserve">Një element qendror i këtyre reformave është zbatimi i </w:t>
      </w:r>
      <w:r w:rsidR="00E534C6" w:rsidRPr="00EE038F">
        <w:t>strategjisë afatmesme të të ardhurave</w:t>
      </w:r>
      <w:r w:rsidRPr="00EE038F">
        <w:t>, e cila përfaqëson një rikoncpetim themelor të administrimit tatimor në Shqipëri. Kjo strategji shkon shumë përtej qasjeve tradicionale të mbledhjes së të ardhurave, duke përfshirë një transformim gjithëpërfshirës të mënyrës së ndërveprimit të autoriteteve tatimore me bizneset dhe individët. Strategjia thekson di</w:t>
      </w:r>
      <w:r w:rsidR="000E4B58" w:rsidRPr="00EE038F">
        <w:t>gj</w:t>
      </w:r>
      <w:r w:rsidRPr="00EE038F">
        <w:t>italizimin e shërbimeve tatimore, thjeshtëzimin e proceseve dhe përmirësimin e shërbimeve ndaj tatimpaguesve, të plotësuara këto me përmirësimin e menaxhimit të riskut dhe kapaciteteve zbatuese.</w:t>
      </w:r>
    </w:p>
    <w:p w14:paraId="39F41932" w14:textId="79B3096B" w:rsidR="00C50585" w:rsidRPr="00EE038F" w:rsidRDefault="00C50585" w:rsidP="00850177">
      <w:pPr>
        <w:pStyle w:val="TEKSTIIIIII"/>
      </w:pPr>
      <w:r w:rsidRPr="00EE038F">
        <w:t>Modernizimi i administratës tatimore sipas kësaj strategjie pritet të gjenerojë efekte të shumëfishta përfituese. Në periudhën afatshkurtër, procedurat e thjeshtuara dhe shërbimet e përmirësuara di</w:t>
      </w:r>
      <w:r w:rsidR="000E4B58" w:rsidRPr="00EE038F">
        <w:t>gj</w:t>
      </w:r>
      <w:r w:rsidRPr="00EE038F">
        <w:t>itale duhet të reduktojnë kostot e përputhshmërisë për bizneset, duke favorizuar veçanërisht ndërmarrjet e vogla dhe të mesme</w:t>
      </w:r>
      <w:r w:rsidR="005B2652" w:rsidRPr="00EE038F">
        <w:t>,</w:t>
      </w:r>
      <w:r w:rsidRPr="00EE038F">
        <w:t xml:space="preserve"> që shpesh përballen me barriera administrative joproporcionale. Me kalimin e kohës, kombinimi i shërbimeve më të mira dhe </w:t>
      </w:r>
      <w:r w:rsidR="007D729A" w:rsidRPr="00EE038F">
        <w:t xml:space="preserve">i </w:t>
      </w:r>
      <w:r w:rsidRPr="00EE038F">
        <w:t>kapaciteteve të përmirësuara të zbatimit duhet të ndihmojë në luftën kundër informalitetit</w:t>
      </w:r>
      <w:r w:rsidR="007D729A" w:rsidRPr="00EE038F">
        <w:t>,</w:t>
      </w:r>
      <w:r w:rsidRPr="00EE038F">
        <w:t xml:space="preserve"> duke e bërë operimin formal më tërheqës se qëndrimi në sektorin informal. Ky efekt formalizimi është veçanërisht i rëndësishëm për zhvillimin ekonomik të Shqipërisë, pasi mund të ndihmojë në thyerjen e ciklit të </w:t>
      </w:r>
      <w:r w:rsidRPr="00EE038F">
        <w:lastRenderedPageBreak/>
        <w:t>produktivitetit dhe investimeve të kufizuara që shpesh karakterizon ekonomitë me sektorë të mëdhenj informalë.</w:t>
      </w:r>
    </w:p>
    <w:p w14:paraId="647766B5" w14:textId="7EB45E8D" w:rsidR="00C50585" w:rsidRPr="00EE038F" w:rsidRDefault="00C50585" w:rsidP="00850177">
      <w:pPr>
        <w:pStyle w:val="TEKSTIIIIII"/>
      </w:pPr>
      <w:r w:rsidRPr="00EE038F">
        <w:t xml:space="preserve">Reformat që synojnë të sigurojnë transparencë dhe </w:t>
      </w:r>
      <w:r w:rsidR="00D555C7" w:rsidRPr="00EE038F">
        <w:t>eficienc</w:t>
      </w:r>
      <w:r w:rsidRPr="00EE038F">
        <w:t xml:space="preserve">ë të shërbimeve kadastrale përfaqësojnë një element tjetër thelbësor dhe me ndikim të gjerë për përmirësimin e mjedisit të biznesit. Këto reforma adresojnë një nga parakushtet themelore për zhvillimin e tregut </w:t>
      </w:r>
      <w:r w:rsidR="007D729A" w:rsidRPr="00EE038F">
        <w:t>–</w:t>
      </w:r>
      <w:r w:rsidRPr="00EE038F">
        <w:t xml:space="preserve"> të drejtat e qarta dhe të sigurta të pronës. Përmirësimet në sistemet e regjistrimit të pronës shkojnë përtej modernizimit teknik për të përfshirë ndryshime themelore në mënyrën se si të drejtat e pronës dokumentohen, mbrohen dhe transferohen.</w:t>
      </w:r>
    </w:p>
    <w:p w14:paraId="53AC1BE6" w14:textId="12AED5D5" w:rsidR="00C50585" w:rsidRPr="00EE038F" w:rsidRDefault="00C50585" w:rsidP="00850177">
      <w:pPr>
        <w:pStyle w:val="TEKSTIIIIII"/>
      </w:pPr>
      <w:r w:rsidRPr="00EE038F">
        <w:t xml:space="preserve">Rëndësia e reformave kadastrale shtrihet në dimensione të shumëfishta të aktivitetit ekonomik. Të drejtat e qarta të pronës dhe sistemet </w:t>
      </w:r>
      <w:r w:rsidR="00D555C7" w:rsidRPr="00EE038F">
        <w:t>eficient</w:t>
      </w:r>
      <w:r w:rsidRPr="00EE038F">
        <w:t xml:space="preserve">e të regjistrimit reduktojnë kostot e transaksioneve në tregjet e pronave, duke mundësuar një shpërndarje më </w:t>
      </w:r>
      <w:r w:rsidR="00D555C7" w:rsidRPr="00EE038F">
        <w:t>eficient</w:t>
      </w:r>
      <w:r w:rsidRPr="00EE038F">
        <w:t xml:space="preserve">e të burimeve të tokës dhe pasurive të paluajtshme. Ato ofrojnë bazën për përdorimin e pronës si kolateral, duke zgjeruar potencialisht aksesin në financim, veçanërisht për ndërmarrjet e vogla dhe të mesme. Ndoshta më e rëndësishmja, ato krijojnë sigurinë e nevojshme për vendime investimi afatgjata, si </w:t>
      </w:r>
      <w:r w:rsidR="007F728D" w:rsidRPr="00EE038F">
        <w:t>vendës</w:t>
      </w:r>
      <w:r w:rsidRPr="00EE038F">
        <w:t>e ashtu edhe të huaja.</w:t>
      </w:r>
    </w:p>
    <w:p w14:paraId="0CB720D9" w14:textId="77777777" w:rsidR="00C50585" w:rsidRPr="00EE038F" w:rsidRDefault="00C50585" w:rsidP="00850177">
      <w:pPr>
        <w:pStyle w:val="TEKSTIIIIII"/>
      </w:pPr>
      <w:r w:rsidRPr="00EE038F">
        <w:t>Reformat e kuadrit të investimeve, veçanërisht ato që targetojnë tërheqjen e investimeve të huaja direkte, përfaqësojnë një qasje të sofistikuar për të pozicionuar Shqipërinë si një destinacion më konkurrues për kapitalin ndërkombëtar. Këto reforma përfshijnë jo vetëm procedura të thjeshtuara dhe mbrojtje të përmirësuar për investitorët, por edhe përmirësime thelbësore në promovimin e investimeve dhe shërbimet mbështetëse pas investimit. Reformat njohin se tërheqja e suksesshme e investimeve kërkon si heqjen e barrierave për investime, ashtu edhe lehtësimin proaktiv të mundësive të reja për investime.</w:t>
      </w:r>
    </w:p>
    <w:p w14:paraId="6873D396" w14:textId="4E586D42" w:rsidR="00C50585" w:rsidRPr="00EE038F" w:rsidRDefault="00C50585" w:rsidP="00850177">
      <w:pPr>
        <w:pStyle w:val="TEKSTIIIIII"/>
      </w:pPr>
      <w:r w:rsidRPr="00EE038F">
        <w:t xml:space="preserve">Reformat e promovimit të investimeve plotësohen nga përmirësime të sofistikuara në lehtësimin e tregtisë dhe </w:t>
      </w:r>
      <w:r w:rsidR="005D6FC7" w:rsidRPr="00EE038F">
        <w:t xml:space="preserve">në </w:t>
      </w:r>
      <w:r w:rsidRPr="00EE038F">
        <w:t xml:space="preserve">logjistikë. Vendosja e sistemeve </w:t>
      </w:r>
      <w:r w:rsidRPr="00EE038F">
        <w:rPr>
          <w:i/>
          <w:iCs/>
        </w:rPr>
        <w:t>e-freight</w:t>
      </w:r>
      <w:r w:rsidRPr="00EE038F">
        <w:t xml:space="preserve"> dhe </w:t>
      </w:r>
      <w:r w:rsidR="00BB0249" w:rsidRPr="00EE038F">
        <w:t xml:space="preserve">sistemeve inteligjente të transportit </w:t>
      </w:r>
      <w:r w:rsidRPr="00EE038F">
        <w:t xml:space="preserve">përfaqëson një modernizim themelor të infrastrukturës së lidhur me tregtinë që shkon shumë përtej përmirësimeve tradicionale të infrastrukturës fizike. Këto zgjidhje </w:t>
      </w:r>
      <w:r w:rsidR="00C44033" w:rsidRPr="00EE038F">
        <w:t>digjital</w:t>
      </w:r>
      <w:r w:rsidRPr="00EE038F">
        <w:t xml:space="preserve">e synojnë të transformojnë mënyrën se si mallrat lëvizin përmes kufijve dhe brenda vendit, duke sjellë nivele të reja </w:t>
      </w:r>
      <w:r w:rsidR="00D555C7" w:rsidRPr="00EE038F">
        <w:t>eficienc</w:t>
      </w:r>
      <w:r w:rsidRPr="00EE038F">
        <w:t>e dhe besueshmërie në operacionet logjistike.</w:t>
      </w:r>
    </w:p>
    <w:p w14:paraId="3E890885" w14:textId="5D69A66B" w:rsidR="00C50585" w:rsidRPr="00EE038F" w:rsidRDefault="00C50585" w:rsidP="00850177">
      <w:pPr>
        <w:pStyle w:val="TEKSTIIIIII"/>
      </w:pPr>
      <w:r w:rsidRPr="00EE038F">
        <w:t xml:space="preserve">Zbatimi i sistemeve </w:t>
      </w:r>
      <w:r w:rsidRPr="00EE038F">
        <w:rPr>
          <w:i/>
          <w:iCs/>
        </w:rPr>
        <w:t>e-freight</w:t>
      </w:r>
      <w:r w:rsidRPr="00EE038F">
        <w:t xml:space="preserve"> do të revolucionarizojë dokumentacionin dhe procedurat doganore, duke reduktuar si barrën e kohës</w:t>
      </w:r>
      <w:r w:rsidR="005767B6" w:rsidRPr="00EE038F">
        <w:t>,</w:t>
      </w:r>
      <w:r w:rsidRPr="00EE038F">
        <w:t xml:space="preserve"> ashtu edhe atë të kostove për tregtarët. Ky transformim </w:t>
      </w:r>
      <w:r w:rsidR="00C44033" w:rsidRPr="00EE038F">
        <w:t>digjital</w:t>
      </w:r>
      <w:r w:rsidRPr="00EE038F">
        <w:t xml:space="preserve"> i procedurave tregtare do të përfitojë veçanërisht ndërmarrjet e vogla dhe të mesme, të cilat shpesh nuk kanë burimet e mjaftueshme për të naviguar në sistemet komplekse të bazuara në letër. Prezantimi i </w:t>
      </w:r>
      <w:r w:rsidR="005767B6" w:rsidRPr="00EE038F">
        <w:t xml:space="preserve">sistemeve inteligjente të transportit do të </w:t>
      </w:r>
      <w:r w:rsidRPr="00EE038F">
        <w:t>optimizojë flukset e trafikut dhe do të rrisë besueshmërinë e zinxhirit të furnizimit, duke krijuar efekte pozitive të shpërndarjes në të gjithë ekonominë.</w:t>
      </w:r>
    </w:p>
    <w:p w14:paraId="2A18A6CB" w14:textId="43AF247D" w:rsidR="00C50585" w:rsidRPr="00EE038F" w:rsidRDefault="00C50585" w:rsidP="00850177">
      <w:pPr>
        <w:pStyle w:val="TEKSTIIIIII"/>
      </w:pPr>
      <w:r w:rsidRPr="00EE038F">
        <w:t>Kur kombinohen me masat e targetuara të promovimit të eksporteve dhe mbështetjen për ndërkombëtarizimin e ndërmarrjeve, këto reforma të lehtësimit të tregtisë duhet të rrisin ndjeshëm konkurrueshmërinë e eksporteve të Shqipërisë. Reformat njohin se rritja e suksesshme e eksporteve kërkon si reduktimin e kostove të tregtisë</w:t>
      </w:r>
      <w:r w:rsidR="0021331A" w:rsidRPr="00EE038F">
        <w:t>,</w:t>
      </w:r>
      <w:r w:rsidRPr="00EE038F">
        <w:t xml:space="preserve"> ashtu edhe mbështetjen aktive të bizneseve në aksesin në tregjet ndërkombëtare. Programi i promovimit të eksporteve përfshin shërbime të sofistikuara të inteligjencës së tregut, mbështetje të targetuar për eksportuesit potencialë dhe asistencë në përmbushjen e standardeve dhe certifikimeve ndërkombëtare.</w:t>
      </w:r>
    </w:p>
    <w:p w14:paraId="0EC3705F" w14:textId="3AC9D351" w:rsidR="00C50585" w:rsidRPr="00EE038F" w:rsidRDefault="00C50585" w:rsidP="00850177">
      <w:pPr>
        <w:pStyle w:val="TEKSTIIIIII"/>
      </w:pPr>
      <w:r w:rsidRPr="00EE038F">
        <w:t xml:space="preserve">Reformat e klimës së biznesit janë hartuar me kujdes për të krijuar si përfitime të menjëhershme në </w:t>
      </w:r>
      <w:r w:rsidR="00D555C7" w:rsidRPr="00EE038F">
        <w:t>eficienc</w:t>
      </w:r>
      <w:r w:rsidRPr="00EE038F">
        <w:t xml:space="preserve">ë, ashtu edhe përmirësime strukturore afatgjata në funksionimin e tregut. Efektet e menjëhershme do të vijnë përmes reduktimit të kostove të përputhshmërisë, procedurave administrative më të shpejta dhe shërbimeve qeveritare të përmirësuara. Ndikimet afatgjata do të shfaqen përmes rritjes së konkurrencës, përhapjes së njohurive dhe efekteve demonstruese ndërsa praktikat më </w:t>
      </w:r>
      <w:r w:rsidR="00D555C7" w:rsidRPr="00EE038F">
        <w:t>eficient</w:t>
      </w:r>
      <w:r w:rsidRPr="00EE038F">
        <w:t xml:space="preserve">e dhe inovative të biznesit përhapen në ekonomi. Veçanërisht i rëndësishëm është potenciali i këtyre reformave për të krijuar cikle virtuale përmirësimi. Për shembull, mbrojtja më e mirë e të drejtave të pronësisë nxit investimet, të cilat rrisin kërkesën për shërbime qeveritare të përmirësuara, që nga ana tjetër mbështet investime të mëtejshme. Në mënyrë të ngjashme, </w:t>
      </w:r>
      <w:r w:rsidRPr="00EE038F">
        <w:lastRenderedPageBreak/>
        <w:t>lehtësimi i përmirësuar i tregtisë tërheq investime të orientuara drejt eksportit, të cilat krijojnë kërkesë për shërbime më të mira logjistike, që më pas mbështesin rritje të mëtejshme të eksporteve.</w:t>
      </w:r>
    </w:p>
    <w:p w14:paraId="7ABAAFF2" w14:textId="7323D529" w:rsidR="00C50585" w:rsidRPr="00EE038F" w:rsidRDefault="00C50585" w:rsidP="00850177">
      <w:pPr>
        <w:pStyle w:val="TEKSTIIIIII"/>
      </w:pPr>
      <w:r w:rsidRPr="00EE038F">
        <w:t>Reformat</w:t>
      </w:r>
      <w:r w:rsidR="0021331A" w:rsidRPr="00EE038F">
        <w:t>,</w:t>
      </w:r>
      <w:r w:rsidRPr="00EE038F">
        <w:t xml:space="preserve"> gjithashtu</w:t>
      </w:r>
      <w:r w:rsidR="0021331A" w:rsidRPr="00EE038F">
        <w:t>,</w:t>
      </w:r>
      <w:r w:rsidRPr="00EE038F">
        <w:t xml:space="preserve"> njohin rëndësinë e integrimit ekonomik rajonal dhe mundësitë që paraqiten nga lidhjet më të ngushta me tregjet e BE-së. Harmonizimi i procedurave dhe standardeve me praktikat e BE-së do të lehtësojë integrimin më të thellë në zinxhirët evropianë të vlerës, ndërsa lidhjet e përmirësuara logjistike do të forcojnë pozicionin e Shqipërisë si një qendër rajonale tregtie.</w:t>
      </w:r>
    </w:p>
    <w:p w14:paraId="66FCC309" w14:textId="6ACE905D" w:rsidR="00C50585" w:rsidRPr="00EE038F" w:rsidRDefault="00C50585" w:rsidP="00850177">
      <w:pPr>
        <w:pStyle w:val="TEKSTIIIIII"/>
      </w:pPr>
      <w:r w:rsidRPr="00EE038F">
        <w:t>Zbatimi i këtyre reformave për mjedisin e biznesit do të koordinohet me kujdes për të maksimizuar efektivitetin e tyre dhe menaxhuar kostot e tranzicionit. Fokusi fillestar do të jetë në reformat themelore</w:t>
      </w:r>
      <w:r w:rsidR="00126AEA" w:rsidRPr="00EE038F">
        <w:t>,</w:t>
      </w:r>
      <w:r w:rsidRPr="00EE038F">
        <w:t xml:space="preserve"> në fusha si të drejtat e pronësisë dhe shërbimet bazë të biznesit, të ndjekura nga reforma më komplekse në zona si nxitja e investimeve dhe lehtësimi i tregtisë. Ky sekuencim njeh nevojën për ndërtimin e kapaciteteve institucionale dhe gatishmërinë e tregut për reforma më të sofistikuara.</w:t>
      </w:r>
    </w:p>
    <w:p w14:paraId="09D30E4F" w14:textId="23FB27A3"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i/>
          <w:iCs/>
          <w:sz w:val="24"/>
          <w:szCs w:val="24"/>
        </w:rPr>
        <w:t xml:space="preserve">Zhvillimi </w:t>
      </w:r>
      <w:r w:rsidR="00EC0561" w:rsidRPr="00EE038F">
        <w:rPr>
          <w:rFonts w:ascii="Garamond" w:hAnsi="Garamond"/>
          <w:i/>
          <w:iCs/>
          <w:sz w:val="24"/>
          <w:szCs w:val="24"/>
        </w:rPr>
        <w:t>i kapitalit njerëzor dhe transformimi i tregut të punës</w:t>
      </w:r>
      <w:r w:rsidR="00EC0561" w:rsidRPr="00EE038F">
        <w:rPr>
          <w:rFonts w:ascii="Garamond" w:hAnsi="Garamond"/>
          <w:sz w:val="24"/>
          <w:szCs w:val="24"/>
        </w:rPr>
        <w:t xml:space="preserve"> </w:t>
      </w:r>
    </w:p>
    <w:p w14:paraId="00D89E9B" w14:textId="38D6D960"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Shtylla e zhvillimit të kapitalit njerëzor e </w:t>
      </w:r>
      <w:r w:rsidR="00EC0561" w:rsidRPr="00EE038F">
        <w:rPr>
          <w:rFonts w:ascii="Garamond" w:hAnsi="Garamond"/>
          <w:sz w:val="24"/>
          <w:szCs w:val="24"/>
        </w:rPr>
        <w:t xml:space="preserve">agjendës së reformës </w:t>
      </w:r>
      <w:r w:rsidRPr="00EE038F">
        <w:rPr>
          <w:rFonts w:ascii="Garamond" w:hAnsi="Garamond"/>
          <w:sz w:val="24"/>
          <w:szCs w:val="24"/>
        </w:rPr>
        <w:t>përfaqëson një qasje gjithëpërfshirëse dhe ambicioze për transformimin e bazës së kapitalit njerëzor të Shqipërisë. Ky transformim është vendimtar për zhvillimin afatgjatë ekonomik</w:t>
      </w:r>
      <w:r w:rsidR="00EC0561" w:rsidRPr="00EE038F">
        <w:rPr>
          <w:rFonts w:ascii="Garamond" w:hAnsi="Garamond"/>
          <w:sz w:val="24"/>
          <w:szCs w:val="24"/>
        </w:rPr>
        <w:t>,</w:t>
      </w:r>
      <w:r w:rsidRPr="00EE038F">
        <w:rPr>
          <w:rFonts w:ascii="Garamond" w:hAnsi="Garamond"/>
          <w:sz w:val="24"/>
          <w:szCs w:val="24"/>
        </w:rPr>
        <w:t xml:space="preserve"> pasi adreson një nga përcaktuesit themelorë të rritjes së produktivitetit dhe konvergjencës ekonomike me nivelet e BE-së. Reformat në këtë fushë janë projektuar me kujdes për të krijuar një sistem dinamik dhe reaktiv të zhvillimit të kapitalit njerëzor që mund t</w:t>
      </w:r>
      <w:r w:rsidR="00C122AB" w:rsidRPr="00EE038F">
        <w:rPr>
          <w:rFonts w:ascii="Garamond" w:hAnsi="Garamond"/>
          <w:sz w:val="24"/>
          <w:szCs w:val="24"/>
        </w:rPr>
        <w:t>’</w:t>
      </w:r>
      <w:r w:rsidRPr="00EE038F">
        <w:rPr>
          <w:rFonts w:ascii="Garamond" w:hAnsi="Garamond"/>
          <w:sz w:val="24"/>
          <w:szCs w:val="24"/>
        </w:rPr>
        <w:t>u përshtatet nevojave ekonomike në zhvillim duke siguruar njëkohësisht qasje gjithëpërfshirëse në mundësi.</w:t>
      </w:r>
    </w:p>
    <w:p w14:paraId="114952BD" w14:textId="55972DC2"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Gur themeli i kësaj shtylle është rishikimi gjithëpërfshirës i sistemit të Arsimit dhe Trajnimit Profesional (AAP). Kjo reformë shkon shumë përtej qasjeve tradicionale të modernizimit të AAP-së, duke përfaqësuar një rikonceptim themelor të mënyrës se si arsimi profesional mund t</w:t>
      </w:r>
      <w:r w:rsidR="00C122AB" w:rsidRPr="00EE038F">
        <w:rPr>
          <w:rFonts w:ascii="Garamond" w:hAnsi="Garamond"/>
          <w:sz w:val="24"/>
          <w:szCs w:val="24"/>
        </w:rPr>
        <w:t>’</w:t>
      </w:r>
      <w:r w:rsidRPr="00EE038F">
        <w:rPr>
          <w:rFonts w:ascii="Garamond" w:hAnsi="Garamond"/>
          <w:sz w:val="24"/>
          <w:szCs w:val="24"/>
        </w:rPr>
        <w:t>u shërbejë qëllimeve të zhvillimit ekonomik dhe social. Krijimi i Komiteteve të Aftësive Sektoriale bashkon ofruesit e arsimit, punëdhënësit dhe politikëbërësit në një dialog të strukturuar mbi nevojat për aftësi dhe qasjet e trajnimit. Ky novacion institucional siguron që programet e trajnimit të mbeten të rëndësishme për nevojat e tregut</w:t>
      </w:r>
      <w:r w:rsidR="00C122AB" w:rsidRPr="00EE038F">
        <w:rPr>
          <w:rFonts w:ascii="Garamond" w:hAnsi="Garamond"/>
          <w:sz w:val="24"/>
          <w:szCs w:val="24"/>
        </w:rPr>
        <w:t>,</w:t>
      </w:r>
      <w:r w:rsidRPr="00EE038F">
        <w:rPr>
          <w:rFonts w:ascii="Garamond" w:hAnsi="Garamond"/>
          <w:sz w:val="24"/>
          <w:szCs w:val="24"/>
        </w:rPr>
        <w:t xml:space="preserve"> duke ofruar njëkohësisht rrugë të qarta për zhvillimin profesional.</w:t>
      </w:r>
    </w:p>
    <w:p w14:paraId="44F7D981" w14:textId="4CA02A03"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Theksi i reformës në trajnimin praktik dhe të </w:t>
      </w:r>
      <w:r w:rsidR="00EE038F" w:rsidRPr="00EE038F">
        <w:rPr>
          <w:rFonts w:ascii="Garamond" w:hAnsi="Garamond"/>
          <w:sz w:val="24"/>
          <w:szCs w:val="24"/>
        </w:rPr>
        <w:t>nxënit</w:t>
      </w:r>
      <w:r w:rsidRPr="00EE038F">
        <w:rPr>
          <w:rFonts w:ascii="Garamond" w:hAnsi="Garamond"/>
          <w:sz w:val="24"/>
          <w:szCs w:val="24"/>
        </w:rPr>
        <w:t xml:space="preserve"> bazuar në punë përfaqëson një ndryshi</w:t>
      </w:r>
      <w:r w:rsidR="00EE038F" w:rsidRPr="00EE038F">
        <w:rPr>
          <w:rFonts w:ascii="Garamond" w:hAnsi="Garamond"/>
          <w:sz w:val="24"/>
          <w:szCs w:val="24"/>
        </w:rPr>
        <w:t xml:space="preserve">m </w:t>
      </w:r>
      <w:r w:rsidRPr="00EE038F">
        <w:rPr>
          <w:rFonts w:ascii="Garamond" w:hAnsi="Garamond"/>
          <w:sz w:val="24"/>
          <w:szCs w:val="24"/>
        </w:rPr>
        <w:t>të rëndësishëm në metodologjinë arsimore. Duke integruar njohuritë teorike me përvojën praktike, sistemi i reformuar i AAP-së do të përgatitë më mirë studentët për mjediset reale të punës. Kjo qasje është veçanërisht e rëndësishme për sektorët në zhvillim</w:t>
      </w:r>
      <w:r w:rsidR="000A073D">
        <w:rPr>
          <w:rFonts w:ascii="Garamond" w:hAnsi="Garamond"/>
          <w:sz w:val="24"/>
          <w:szCs w:val="24"/>
        </w:rPr>
        <w:t>,</w:t>
      </w:r>
      <w:r w:rsidRPr="00EE038F">
        <w:rPr>
          <w:rFonts w:ascii="Garamond" w:hAnsi="Garamond"/>
          <w:sz w:val="24"/>
          <w:szCs w:val="24"/>
        </w:rPr>
        <w:t xml:space="preserve"> ku njohuritë teorike duhet të plotësohen me përvojë praktike me teknologjitë dhe praktikat aktuale të punës.</w:t>
      </w:r>
    </w:p>
    <w:p w14:paraId="735FFBB8" w14:textId="1CFA02BE"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Krijimi i partneriteteve midis institucioneve arsimore dhe </w:t>
      </w:r>
      <w:r w:rsidR="000A073D">
        <w:rPr>
          <w:rFonts w:ascii="Garamond" w:hAnsi="Garamond"/>
          <w:sz w:val="24"/>
          <w:szCs w:val="24"/>
        </w:rPr>
        <w:t xml:space="preserve">i </w:t>
      </w:r>
      <w:r w:rsidRPr="00EE038F">
        <w:rPr>
          <w:rFonts w:ascii="Garamond" w:hAnsi="Garamond"/>
          <w:sz w:val="24"/>
          <w:szCs w:val="24"/>
        </w:rPr>
        <w:t>punëdhënësve të sektorit privat përfaqëson një risi tjetër thelbësore në reformën e AAP-së. Këto partneritete shkojnë përtej programeve tradicionale të praktikës për të përfshirë zhvillimin e kurrikulës, trajnimin e mësuesve dhe pajisjet e përbashkëta. Ky bashkëpunim i thellë siguron që programet e trajnimit të mbeten aktuale me nevojat e industrisë</w:t>
      </w:r>
      <w:r w:rsidR="000A073D">
        <w:rPr>
          <w:rFonts w:ascii="Garamond" w:hAnsi="Garamond"/>
          <w:sz w:val="24"/>
          <w:szCs w:val="24"/>
        </w:rPr>
        <w:t>,</w:t>
      </w:r>
      <w:r w:rsidRPr="00EE038F">
        <w:rPr>
          <w:rFonts w:ascii="Garamond" w:hAnsi="Garamond"/>
          <w:sz w:val="24"/>
          <w:szCs w:val="24"/>
        </w:rPr>
        <w:t xml:space="preserve"> duke u ofruar njëkohësisht punëdhënësve mundësinë e kontributit të drejtpërdrejtë në zhvillimin e aftësive.</w:t>
      </w:r>
    </w:p>
    <w:p w14:paraId="4448BFE0" w14:textId="77777777"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Në plotësim të reformave të AAP-së vjen përditësimi gjithëpërfshirës i kurrikulave të arsimit fillor dhe të mesëm. Kjo reformë kurrikulare njeh se aftësitë themelore janë vendimtare për përshtatjen afatgjatë në një ekonomi me ndryshime të shpejta. Kurrikulat e reja theksojnë mendimin kritik, zgjidhjen e problemeve dhe alfabetizmin digjital përveç lëndëve tradicionale akademike. Kjo qasje e balancuar synon zhvillimin e aftësive të menjëhershme të nevojshme për punën dhe kapacitetin e të nxënit gjatë gjithë jetës.</w:t>
      </w:r>
    </w:p>
    <w:p w14:paraId="35F5BBEF" w14:textId="684CF579"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Përfshirja e aftësive digjitale në të gjithë sistemin arsimor përfaqëson një aspekt veçanërisht me parashikim. Programi kombinon investimet në infrastrukturë për lidhjen e shkollave me laboratorë të mençur, trajnimin e mësuesve dhe përditësimet e kurrikulës. Kjo qasje gjithëpërfshirëse siguron që zhvillimi i aftësive digjitale të mbështetet nga infrastruktura përkatëse dhe të integrohet në objektiva të gjerë mësimor</w:t>
      </w:r>
      <w:r w:rsidR="00462484">
        <w:rPr>
          <w:rFonts w:ascii="Garamond" w:hAnsi="Garamond"/>
          <w:sz w:val="24"/>
          <w:szCs w:val="24"/>
        </w:rPr>
        <w:t>ë</w:t>
      </w:r>
      <w:r w:rsidRPr="00EE038F">
        <w:rPr>
          <w:rFonts w:ascii="Garamond" w:hAnsi="Garamond"/>
          <w:sz w:val="24"/>
          <w:szCs w:val="24"/>
        </w:rPr>
        <w:t>.</w:t>
      </w:r>
    </w:p>
    <w:p w14:paraId="2F378536" w14:textId="6FACF4D0"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lastRenderedPageBreak/>
        <w:t>Zhvillimit profesional të mësuesve i kushtohet vëmendje e veçantë brenda paketës së reformës. Programi përfshin si trajnimin fillestar të mësuesve</w:t>
      </w:r>
      <w:r w:rsidR="00133E7D">
        <w:rPr>
          <w:rFonts w:ascii="Garamond" w:hAnsi="Garamond"/>
          <w:sz w:val="24"/>
          <w:szCs w:val="24"/>
        </w:rPr>
        <w:t>,</w:t>
      </w:r>
      <w:r w:rsidRPr="00EE038F">
        <w:rPr>
          <w:rFonts w:ascii="Garamond" w:hAnsi="Garamond"/>
          <w:sz w:val="24"/>
          <w:szCs w:val="24"/>
        </w:rPr>
        <w:t xml:space="preserve"> ashtu edhe zhvillimin e vazhdueshëm profesional, duke njohur se cilësia e mësuesve është vendimtare për rezultatet arsimore. Programet e trajnimit janë projektuar për t</w:t>
      </w:r>
      <w:r w:rsidR="00133E7D">
        <w:rPr>
          <w:rFonts w:ascii="Garamond" w:hAnsi="Garamond"/>
          <w:sz w:val="24"/>
          <w:szCs w:val="24"/>
        </w:rPr>
        <w:t>’</w:t>
      </w:r>
      <w:r w:rsidRPr="00EE038F">
        <w:rPr>
          <w:rFonts w:ascii="Garamond" w:hAnsi="Garamond"/>
          <w:sz w:val="24"/>
          <w:szCs w:val="24"/>
        </w:rPr>
        <w:t>u ndihmuar mësuesve të përfshijnë metodologji të reja mësimdhënieje, mjete digjitale dhe përmbajtje me rëndësi për industrinë.</w:t>
      </w:r>
    </w:p>
    <w:p w14:paraId="7FFE23BB" w14:textId="10B3B578"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Reformat në politikën e punësimit dhe masat aktive të tregut të punës janë projektuar me kujdes për të plotësuar reformat arsimore. Këto masa ndjekin një qasje të diferencuar për t</w:t>
      </w:r>
      <w:r w:rsidR="009A4F8D">
        <w:rPr>
          <w:rFonts w:ascii="Garamond" w:hAnsi="Garamond"/>
          <w:sz w:val="24"/>
          <w:szCs w:val="24"/>
        </w:rPr>
        <w:t>’</w:t>
      </w:r>
      <w:r w:rsidRPr="00EE038F">
        <w:rPr>
          <w:rFonts w:ascii="Garamond" w:hAnsi="Garamond"/>
          <w:sz w:val="24"/>
          <w:szCs w:val="24"/>
        </w:rPr>
        <w:t>u përballur me nevojat e grupeve të ndryshme, duke përfshirë të rinjtë që hyjnë në tregun e punës, personat e papunë afatgjatë që kërkojnë t</w:t>
      </w:r>
      <w:r w:rsidR="009A4F8D">
        <w:rPr>
          <w:rFonts w:ascii="Garamond" w:hAnsi="Garamond"/>
          <w:sz w:val="24"/>
          <w:szCs w:val="24"/>
        </w:rPr>
        <w:t>’</w:t>
      </w:r>
      <w:r w:rsidRPr="00EE038F">
        <w:rPr>
          <w:rFonts w:ascii="Garamond" w:hAnsi="Garamond"/>
          <w:sz w:val="24"/>
          <w:szCs w:val="24"/>
        </w:rPr>
        <w:t>u kthehen punës dhe punëtorët e punësuar që kanë nevojë të përmirësojnë aftësitë e tyre. Forcimi i shërbimeve të punësimit përfshin si modernizimin teknologjik</w:t>
      </w:r>
      <w:r w:rsidR="009A4F8D">
        <w:rPr>
          <w:rFonts w:ascii="Garamond" w:hAnsi="Garamond"/>
          <w:sz w:val="24"/>
          <w:szCs w:val="24"/>
        </w:rPr>
        <w:t>,</w:t>
      </w:r>
      <w:r w:rsidRPr="00EE038F">
        <w:rPr>
          <w:rFonts w:ascii="Garamond" w:hAnsi="Garamond"/>
          <w:sz w:val="24"/>
          <w:szCs w:val="24"/>
        </w:rPr>
        <w:t xml:space="preserve"> ashtu edhe modele të përmirësuara të ofrimit të shërbimeve. Platformat digjitale do të përmirësojnë përputhjen e vendeve të punës dhe vlerësimin e aftësive, ndërsa shërbimet e këshillimit personal do t</w:t>
      </w:r>
      <w:r w:rsidR="009A4F8D">
        <w:rPr>
          <w:rFonts w:ascii="Garamond" w:hAnsi="Garamond"/>
          <w:sz w:val="24"/>
          <w:szCs w:val="24"/>
        </w:rPr>
        <w:t>’</w:t>
      </w:r>
      <w:r w:rsidRPr="00EE038F">
        <w:rPr>
          <w:rFonts w:ascii="Garamond" w:hAnsi="Garamond"/>
          <w:sz w:val="24"/>
          <w:szCs w:val="24"/>
        </w:rPr>
        <w:t>u ndihmojnë kërkuesve të punës të navigojnë nëpër tranzicionet profesionale. Vëmendje e veçantë i kushtohet mbështetjes së kalimit nga shkolla në punë për të rinjtë dhe lehtësimit të riintegrimit të personave të papunë afatgjatë në tregun e punës.</w:t>
      </w:r>
    </w:p>
    <w:p w14:paraId="53ADC933" w14:textId="7D393E63" w:rsidR="00C50585" w:rsidRPr="00EE038F" w:rsidRDefault="00C50585" w:rsidP="009A4F8D">
      <w:pPr>
        <w:spacing w:after="0" w:line="240" w:lineRule="auto"/>
        <w:ind w:firstLine="284"/>
        <w:jc w:val="both"/>
        <w:rPr>
          <w:rFonts w:ascii="Garamond" w:hAnsi="Garamond"/>
          <w:sz w:val="24"/>
          <w:szCs w:val="24"/>
        </w:rPr>
      </w:pPr>
      <w:r w:rsidRPr="00EE038F">
        <w:rPr>
          <w:rFonts w:ascii="Garamond" w:hAnsi="Garamond"/>
          <w:sz w:val="24"/>
          <w:szCs w:val="24"/>
        </w:rPr>
        <w:t xml:space="preserve">Masat për ndërtimin e kapaciteteve të kërkimit dhe inovacionit përfaqësojnë një investim vendimtar në potencialin afatgjatë të inovacionit të Shqipërisë. Zbatimi i </w:t>
      </w:r>
      <w:r w:rsidR="00E534C6" w:rsidRPr="00EE038F">
        <w:rPr>
          <w:rFonts w:ascii="Garamond" w:hAnsi="Garamond"/>
          <w:sz w:val="24"/>
          <w:szCs w:val="24"/>
        </w:rPr>
        <w:t>strategjisë së specializimit të mençur siguro</w:t>
      </w:r>
      <w:r w:rsidRPr="00EE038F">
        <w:rPr>
          <w:rFonts w:ascii="Garamond" w:hAnsi="Garamond"/>
          <w:sz w:val="24"/>
          <w:szCs w:val="24"/>
        </w:rPr>
        <w:t xml:space="preserve">n një kuadër për përqendrimin e investimeve në kërkim dhe </w:t>
      </w:r>
      <w:r w:rsidR="002354B6">
        <w:rPr>
          <w:rFonts w:ascii="Garamond" w:hAnsi="Garamond"/>
          <w:sz w:val="24"/>
          <w:szCs w:val="24"/>
        </w:rPr>
        <w:t xml:space="preserve">në </w:t>
      </w:r>
      <w:r w:rsidRPr="00EE038F">
        <w:rPr>
          <w:rFonts w:ascii="Garamond" w:hAnsi="Garamond"/>
          <w:sz w:val="24"/>
          <w:szCs w:val="24"/>
        </w:rPr>
        <w:t>inovacion</w:t>
      </w:r>
      <w:r w:rsidR="00040B3E">
        <w:rPr>
          <w:rFonts w:ascii="Garamond" w:hAnsi="Garamond"/>
          <w:sz w:val="24"/>
          <w:szCs w:val="24"/>
        </w:rPr>
        <w:t>,</w:t>
      </w:r>
      <w:r w:rsidRPr="00EE038F">
        <w:rPr>
          <w:rFonts w:ascii="Garamond" w:hAnsi="Garamond"/>
          <w:sz w:val="24"/>
          <w:szCs w:val="24"/>
        </w:rPr>
        <w:t xml:space="preserve"> në fushat ku Shqipëria ka avantazhe konkurruese ose potencial zhvillimi. Kjo qasje e synuar ndihmon në sigurimin e kontributit të investimeve në kërkim ndaj zhvillimit ekonomik dhe në ndërtimin e lidhjeve midis akademisë dhe industrisë. Zhvillimit të ekosistemit të inovacionit i kushtohet vëmendje e veçantë brenda paketës së reformës. Mbështetja për zyrat e transferimit të teknologjisë, qendrat e inovacionit dhe </w:t>
      </w:r>
      <w:r w:rsidR="00040B3E">
        <w:rPr>
          <w:rFonts w:ascii="Garamond" w:hAnsi="Garamond"/>
          <w:sz w:val="24"/>
          <w:szCs w:val="24"/>
        </w:rPr>
        <w:t xml:space="preserve">të </w:t>
      </w:r>
      <w:r w:rsidRPr="00EE038F">
        <w:rPr>
          <w:rFonts w:ascii="Garamond" w:hAnsi="Garamond"/>
          <w:sz w:val="24"/>
          <w:szCs w:val="24"/>
        </w:rPr>
        <w:t>komercializimin e kërkimit ndihmon në mbylljen e hendekut midis kërkimit dhe aplikimit në treg. Këto risi institucionale janë thelbësore për shndërrimin e rezultateve të kërkimit në përfitime ekonomike. Paketa e reformës trajton</w:t>
      </w:r>
      <w:r w:rsidR="003B2200">
        <w:rPr>
          <w:rFonts w:ascii="Garamond" w:hAnsi="Garamond"/>
          <w:sz w:val="24"/>
          <w:szCs w:val="24"/>
        </w:rPr>
        <w:t>,</w:t>
      </w:r>
      <w:r w:rsidRPr="00EE038F">
        <w:rPr>
          <w:rFonts w:ascii="Garamond" w:hAnsi="Garamond"/>
          <w:sz w:val="24"/>
          <w:szCs w:val="24"/>
        </w:rPr>
        <w:t xml:space="preserve"> gjithashtu</w:t>
      </w:r>
      <w:r w:rsidR="003B2200">
        <w:rPr>
          <w:rFonts w:ascii="Garamond" w:hAnsi="Garamond"/>
          <w:sz w:val="24"/>
          <w:szCs w:val="24"/>
        </w:rPr>
        <w:t>,</w:t>
      </w:r>
      <w:r w:rsidRPr="00EE038F">
        <w:rPr>
          <w:rFonts w:ascii="Garamond" w:hAnsi="Garamond"/>
          <w:sz w:val="24"/>
          <w:szCs w:val="24"/>
        </w:rPr>
        <w:t xml:space="preserve"> qeverisjen e sistemit të kërkimit dhe </w:t>
      </w:r>
      <w:r w:rsidR="003B2200">
        <w:rPr>
          <w:rFonts w:ascii="Garamond" w:hAnsi="Garamond"/>
          <w:sz w:val="24"/>
          <w:szCs w:val="24"/>
        </w:rPr>
        <w:t xml:space="preserve">të </w:t>
      </w:r>
      <w:r w:rsidRPr="00EE038F">
        <w:rPr>
          <w:rFonts w:ascii="Garamond" w:hAnsi="Garamond"/>
          <w:sz w:val="24"/>
          <w:szCs w:val="24"/>
        </w:rPr>
        <w:t>inovacionit. Mekanizmat e përmirësuar të financimit, sistemet e përforcuara të sigurimit të cilësisë dhe koordinimi më i mirë midis aktorëve të ndryshëm në sistemin e inovacionit do të ndihmojnë në sigurimin e përdorimit më efektiv të burimeve dhe përshtatjes më të mirë me nevojat e zhvillimit ekonomik.</w:t>
      </w:r>
    </w:p>
    <w:p w14:paraId="4D0C8491" w14:textId="1D6C3F9B" w:rsidR="00C50585" w:rsidRPr="00EE038F" w:rsidRDefault="00C50585" w:rsidP="00850177">
      <w:pPr>
        <w:spacing w:after="0" w:line="240" w:lineRule="auto"/>
        <w:ind w:firstLine="284"/>
        <w:jc w:val="both"/>
        <w:rPr>
          <w:rFonts w:ascii="Garamond" w:hAnsi="Garamond"/>
          <w:i/>
          <w:iCs/>
          <w:sz w:val="24"/>
          <w:szCs w:val="24"/>
        </w:rPr>
      </w:pPr>
      <w:r w:rsidRPr="00EE038F">
        <w:rPr>
          <w:rFonts w:ascii="Garamond" w:hAnsi="Garamond"/>
          <w:i/>
          <w:iCs/>
          <w:sz w:val="24"/>
          <w:szCs w:val="24"/>
        </w:rPr>
        <w:t xml:space="preserve">Transformimi </w:t>
      </w:r>
      <w:r w:rsidR="005B7C08" w:rsidRPr="00EE038F">
        <w:rPr>
          <w:rFonts w:ascii="Garamond" w:hAnsi="Garamond"/>
          <w:i/>
          <w:iCs/>
          <w:sz w:val="24"/>
          <w:szCs w:val="24"/>
        </w:rPr>
        <w:t>digjital dhe modernizimi ekonomik</w:t>
      </w:r>
    </w:p>
    <w:p w14:paraId="74467CC0" w14:textId="17246AA9"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Shtylla e transformimit digjital e Agjendës së Reformës përfaqëson një transformim themelor dhe ndërsektorial</w:t>
      </w:r>
      <w:r w:rsidR="005B7C08">
        <w:rPr>
          <w:rFonts w:ascii="Garamond" w:hAnsi="Garamond"/>
          <w:sz w:val="24"/>
          <w:szCs w:val="24"/>
        </w:rPr>
        <w:t>,</w:t>
      </w:r>
      <w:r w:rsidRPr="00EE038F">
        <w:rPr>
          <w:rFonts w:ascii="Garamond" w:hAnsi="Garamond"/>
          <w:sz w:val="24"/>
          <w:szCs w:val="24"/>
        </w:rPr>
        <w:t xml:space="preserve"> që synon revolucionarizimin e mënyrës se si teknologjia integrohet në ekonominë dhe shoqërinë shqiptare. Kjo qasje gjithëpërfshirëse e transformimit digjital</w:t>
      </w:r>
      <w:r w:rsidR="005E3B78">
        <w:rPr>
          <w:rFonts w:ascii="Garamond" w:hAnsi="Garamond"/>
          <w:sz w:val="24"/>
          <w:szCs w:val="24"/>
        </w:rPr>
        <w:t>,</w:t>
      </w:r>
      <w:r w:rsidRPr="00EE038F">
        <w:rPr>
          <w:rFonts w:ascii="Garamond" w:hAnsi="Garamond"/>
          <w:sz w:val="24"/>
          <w:szCs w:val="24"/>
        </w:rPr>
        <w:t xml:space="preserve"> njeh se </w:t>
      </w:r>
      <w:r w:rsidR="00C44033" w:rsidRPr="00EE038F">
        <w:rPr>
          <w:rFonts w:ascii="Garamond" w:hAnsi="Garamond"/>
          <w:sz w:val="24"/>
          <w:szCs w:val="24"/>
        </w:rPr>
        <w:t>digjital</w:t>
      </w:r>
      <w:r w:rsidRPr="00EE038F">
        <w:rPr>
          <w:rFonts w:ascii="Garamond" w:hAnsi="Garamond"/>
          <w:sz w:val="24"/>
          <w:szCs w:val="24"/>
        </w:rPr>
        <w:t xml:space="preserve">izimi nuk ka të bëjë thjesht me zbatimin e teknologjive të reja, por me riformësimin rrënjësor të ndërveprimeve ekonomike dhe sociale për krijimin e mundësive të reja për rritje dhe </w:t>
      </w:r>
      <w:r w:rsidR="005E3B78">
        <w:rPr>
          <w:rFonts w:ascii="Garamond" w:hAnsi="Garamond"/>
          <w:sz w:val="24"/>
          <w:szCs w:val="24"/>
        </w:rPr>
        <w:t xml:space="preserve">për </w:t>
      </w:r>
      <w:r w:rsidRPr="00EE038F">
        <w:rPr>
          <w:rFonts w:ascii="Garamond" w:hAnsi="Garamond"/>
          <w:sz w:val="24"/>
          <w:szCs w:val="24"/>
        </w:rPr>
        <w:t>zhvillim.</w:t>
      </w:r>
    </w:p>
    <w:p w14:paraId="4F2CB5EE" w14:textId="63A0DB80"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Zbatimi i rregullimit të </w:t>
      </w:r>
      <w:r w:rsidR="005B7C08" w:rsidRPr="00EE038F">
        <w:rPr>
          <w:rFonts w:ascii="Garamond" w:hAnsi="Garamond"/>
          <w:sz w:val="24"/>
          <w:szCs w:val="24"/>
        </w:rPr>
        <w:t xml:space="preserve">identitetit digjital dhe </w:t>
      </w:r>
      <w:r w:rsidR="008A7D66">
        <w:rPr>
          <w:rFonts w:ascii="Garamond" w:hAnsi="Garamond"/>
          <w:sz w:val="24"/>
          <w:szCs w:val="24"/>
        </w:rPr>
        <w:t xml:space="preserve">i </w:t>
      </w:r>
      <w:r w:rsidRPr="00EE038F">
        <w:rPr>
          <w:rFonts w:ascii="Garamond" w:hAnsi="Garamond"/>
          <w:sz w:val="24"/>
          <w:szCs w:val="24"/>
        </w:rPr>
        <w:t>sistemeve të portofolit elektronik qëndron si element themelor i këtij transformimi digjital. Kjo reformë shkon shumë përtej zbatimit të thjeshtë teknik për të vendosur një paradigmë të re të ndërveprimit digjital midis qytetarëve, bizneseve dhe qeverisë. Përputhja me rregulloren e BE-së e</w:t>
      </w:r>
      <w:r w:rsidR="005B7C08">
        <w:rPr>
          <w:rFonts w:ascii="Garamond" w:hAnsi="Garamond"/>
          <w:sz w:val="24"/>
          <w:szCs w:val="24"/>
        </w:rPr>
        <w:t xml:space="preserve"> </w:t>
      </w:r>
      <w:r w:rsidRPr="00EE038F">
        <w:rPr>
          <w:rFonts w:ascii="Garamond" w:hAnsi="Garamond"/>
          <w:sz w:val="24"/>
          <w:szCs w:val="24"/>
        </w:rPr>
        <w:t>IDAS 2 siguron që kuadri i identitetit digjital të Shqipërisë do të jetë plotësisht i përputhshëm me standardet e</w:t>
      </w:r>
      <w:r w:rsidR="00BB5712">
        <w:rPr>
          <w:rFonts w:ascii="Garamond" w:hAnsi="Garamond"/>
          <w:sz w:val="24"/>
          <w:szCs w:val="24"/>
        </w:rPr>
        <w:t>v</w:t>
      </w:r>
      <w:r w:rsidRPr="00EE038F">
        <w:rPr>
          <w:rFonts w:ascii="Garamond" w:hAnsi="Garamond"/>
          <w:sz w:val="24"/>
          <w:szCs w:val="24"/>
        </w:rPr>
        <w:t>ropiane, duke lehtësuar transaksionet dhe shërbimet digjitale ndërkufitare. Sistemi i identitetit digjital është projektuar me kujdes</w:t>
      </w:r>
      <w:r w:rsidR="00BB5712">
        <w:rPr>
          <w:rFonts w:ascii="Garamond" w:hAnsi="Garamond"/>
          <w:sz w:val="24"/>
          <w:szCs w:val="24"/>
        </w:rPr>
        <w:t>,</w:t>
      </w:r>
      <w:r w:rsidRPr="00EE038F">
        <w:rPr>
          <w:rFonts w:ascii="Garamond" w:hAnsi="Garamond"/>
          <w:sz w:val="24"/>
          <w:szCs w:val="24"/>
        </w:rPr>
        <w:t xml:space="preserve"> për të adresuar njëkohësisht objektiva të shumëfishtë. Në nivel të menjëhershëm, ai do të sigurojë identitete digjitale të sigurta dhe universalisht të njohura që mund të përdoren në një game të gjerë shërbimesh. Në mënyrë më themelore, ai krijon infrastrukturën e besimit të nevojshme për ekonominë më të gjerë digjitale, duke mundësuar gjithçka nga shërbimet e qeverisë elektronike deri në inovacionet digjitale të sektorit privat. Integrimi me kuadrin e identitetit digjital të BE-së do t</w:t>
      </w:r>
      <w:r w:rsidR="00BB5712">
        <w:rPr>
          <w:rFonts w:ascii="Garamond" w:hAnsi="Garamond"/>
          <w:sz w:val="24"/>
          <w:szCs w:val="24"/>
        </w:rPr>
        <w:t>’</w:t>
      </w:r>
      <w:r w:rsidRPr="00EE038F">
        <w:rPr>
          <w:rFonts w:ascii="Garamond" w:hAnsi="Garamond"/>
          <w:sz w:val="24"/>
          <w:szCs w:val="24"/>
        </w:rPr>
        <w:t>i pozicionojë bizneset dhe qytetarët shqiptarë për të marrë pjesë plotësisht në tregun e vetëm digjital e</w:t>
      </w:r>
      <w:r w:rsidR="00372502">
        <w:rPr>
          <w:rFonts w:ascii="Garamond" w:hAnsi="Garamond"/>
          <w:sz w:val="24"/>
          <w:szCs w:val="24"/>
        </w:rPr>
        <w:t>v</w:t>
      </w:r>
      <w:r w:rsidRPr="00EE038F">
        <w:rPr>
          <w:rFonts w:ascii="Garamond" w:hAnsi="Garamond"/>
          <w:sz w:val="24"/>
          <w:szCs w:val="24"/>
        </w:rPr>
        <w:t xml:space="preserve">ropian. </w:t>
      </w:r>
      <w:r w:rsidR="00734F88">
        <w:rPr>
          <w:rFonts w:ascii="Garamond" w:hAnsi="Garamond"/>
          <w:sz w:val="24"/>
          <w:szCs w:val="24"/>
        </w:rPr>
        <w:t>Iu</w:t>
      </w:r>
      <w:r w:rsidRPr="00EE038F">
        <w:rPr>
          <w:rFonts w:ascii="Garamond" w:hAnsi="Garamond"/>
          <w:sz w:val="24"/>
          <w:szCs w:val="24"/>
        </w:rPr>
        <w:t xml:space="preserve"> kushtu</w:t>
      </w:r>
      <w:r w:rsidR="00734F88">
        <w:rPr>
          <w:rFonts w:ascii="Garamond" w:hAnsi="Garamond"/>
          <w:sz w:val="24"/>
          <w:szCs w:val="24"/>
        </w:rPr>
        <w:t>a</w:t>
      </w:r>
      <w:r w:rsidRPr="00EE038F">
        <w:rPr>
          <w:rFonts w:ascii="Garamond" w:hAnsi="Garamond"/>
          <w:sz w:val="24"/>
          <w:szCs w:val="24"/>
        </w:rPr>
        <w:t xml:space="preserve"> vëmendje e veçantë sigurimit të përfshirjes dhe sigurisë së sistemit të identitetit digjital. Plani i zbatimit përfshin masa për të siguruar qasjen për të gjitha grupet e popullsisë, duke përfshirë ato në zonat rurale ose me alfabetizëm digjital të kufizuar.</w:t>
      </w:r>
    </w:p>
    <w:p w14:paraId="014C3FC2" w14:textId="7D28A7BF"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lastRenderedPageBreak/>
        <w:t xml:space="preserve">Njëkohësisht, janë përfshirë masa të forta sigurie dhe mbrojtjeje të privatësisë për të ndërtuar dhe </w:t>
      </w:r>
      <w:r w:rsidR="00260E37">
        <w:rPr>
          <w:rFonts w:ascii="Garamond" w:hAnsi="Garamond"/>
          <w:sz w:val="24"/>
          <w:szCs w:val="24"/>
        </w:rPr>
        <w:t xml:space="preserve">për të </w:t>
      </w:r>
      <w:r w:rsidRPr="00EE038F">
        <w:rPr>
          <w:rFonts w:ascii="Garamond" w:hAnsi="Garamond"/>
          <w:sz w:val="24"/>
          <w:szCs w:val="24"/>
        </w:rPr>
        <w:t xml:space="preserve">mbajtur besimin publik në sistem. Përditësimi i kuadrit të sigurisë kibernetike përfaqëson një dimension tjetër vendimtar të agjendës së transformimit digjital. Përputhja me </w:t>
      </w:r>
      <w:r w:rsidR="008D7F46" w:rsidRPr="00EE038F">
        <w:rPr>
          <w:rFonts w:ascii="Garamond" w:hAnsi="Garamond"/>
          <w:sz w:val="24"/>
          <w:szCs w:val="24"/>
        </w:rPr>
        <w:t xml:space="preserve">direktivën </w:t>
      </w:r>
      <w:r w:rsidRPr="00EE038F">
        <w:rPr>
          <w:rFonts w:ascii="Garamond" w:hAnsi="Garamond"/>
          <w:sz w:val="24"/>
          <w:szCs w:val="24"/>
        </w:rPr>
        <w:t>NIS2 shkon përtej pajtueshmërisë së thjeshtë rregullatore për të vendosur një qasje gjithëpërfshirëse ndaj rezistencës digjitale. Kjo përfshin jo vetëm masa teknike sigurie, por edhe ndërtimin e kapaciteteve institucionale dhe mekanizmat e bashkëpunimit ndërkufitar. Reformat e sigurisë kibernetike njohin se siguria digjitale është gjithnjë e më shumë parakusht për zhvillimin ekonomik në ekonominë moderne. Kuadri i adresuar</w:t>
      </w:r>
      <w:r w:rsidR="008D7F46">
        <w:rPr>
          <w:rFonts w:ascii="Garamond" w:hAnsi="Garamond"/>
          <w:sz w:val="24"/>
          <w:szCs w:val="24"/>
        </w:rPr>
        <w:t>,</w:t>
      </w:r>
      <w:r w:rsidRPr="00EE038F">
        <w:rPr>
          <w:rFonts w:ascii="Garamond" w:hAnsi="Garamond"/>
          <w:sz w:val="24"/>
          <w:szCs w:val="24"/>
        </w:rPr>
        <w:t xml:space="preserve"> jo vetëm nevojat aktuale të sigurisë, por edhe sfidat emergjente, me vëmendje të veçantë ndaj mbrojtjes së infrastrukturës kritike dhe sigurisë së zinxhirit të furnizimit. Krijimi i kërkesave sektoriale të sigurisë kibernetike dhe </w:t>
      </w:r>
      <w:r w:rsidR="008D7F46">
        <w:rPr>
          <w:rFonts w:ascii="Garamond" w:hAnsi="Garamond"/>
          <w:sz w:val="24"/>
          <w:szCs w:val="24"/>
        </w:rPr>
        <w:t xml:space="preserve">i </w:t>
      </w:r>
      <w:r w:rsidRPr="00EE038F">
        <w:rPr>
          <w:rFonts w:ascii="Garamond" w:hAnsi="Garamond"/>
          <w:sz w:val="24"/>
          <w:szCs w:val="24"/>
        </w:rPr>
        <w:t>mekanizmave të raportimit të incidenteve do të ndihmojë në ndërtimin e qëndrueshmërisë sistematike në të gjithë ekonominë.</w:t>
      </w:r>
    </w:p>
    <w:p w14:paraId="6536B636" w14:textId="60592EE6"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Përmirësimet në infrastrukturën digjitale kombinojnë elemente fizike dhe rregullatore për të krijuar bazën e një ekonomie moderne digjitale. Programi i zhvillimit të infrastrukturës </w:t>
      </w:r>
      <w:r w:rsidRPr="008D7F46">
        <w:rPr>
          <w:rFonts w:ascii="Garamond" w:hAnsi="Garamond"/>
          <w:i/>
          <w:iCs/>
          <w:sz w:val="24"/>
          <w:szCs w:val="24"/>
        </w:rPr>
        <w:t>broadband</w:t>
      </w:r>
      <w:r w:rsidRPr="00EE038F">
        <w:rPr>
          <w:rFonts w:ascii="Garamond" w:hAnsi="Garamond"/>
          <w:sz w:val="24"/>
          <w:szCs w:val="24"/>
        </w:rPr>
        <w:t xml:space="preserve"> merr një qasje gjithëpërfshirëse për të siguruar lidhje me shpejtësi të lartë në të gjithë vendin. Kjo përfshin jo vetëm zonat urbane, por edhe masa të synuara për t</w:t>
      </w:r>
      <w:r w:rsidR="00E64015">
        <w:rPr>
          <w:rFonts w:ascii="Garamond" w:hAnsi="Garamond"/>
          <w:sz w:val="24"/>
          <w:szCs w:val="24"/>
        </w:rPr>
        <w:t>’</w:t>
      </w:r>
      <w:r w:rsidRPr="00EE038F">
        <w:rPr>
          <w:rFonts w:ascii="Garamond" w:hAnsi="Garamond"/>
          <w:sz w:val="24"/>
          <w:szCs w:val="24"/>
        </w:rPr>
        <w:t>u përballur me hendekun digjital në rajonet rurale dhe të largëta. Kuadri rregullator për infrastrukturën digjitale është projektuar me kujdes për të inkurajuar investimet private</w:t>
      </w:r>
      <w:r w:rsidR="00E64015">
        <w:rPr>
          <w:rFonts w:ascii="Garamond" w:hAnsi="Garamond"/>
          <w:sz w:val="24"/>
          <w:szCs w:val="24"/>
        </w:rPr>
        <w:t>,</w:t>
      </w:r>
      <w:r w:rsidRPr="00EE038F">
        <w:rPr>
          <w:rFonts w:ascii="Garamond" w:hAnsi="Garamond"/>
          <w:sz w:val="24"/>
          <w:szCs w:val="24"/>
        </w:rPr>
        <w:t xml:space="preserve"> duke siguruar njëkohësisht arritjen e objektivave të interesit publik. Kjo përfshin masa për të lehtësuar ndarjen e infrastrukturës, </w:t>
      </w:r>
      <w:r w:rsidR="00E64015" w:rsidRPr="00EE038F">
        <w:rPr>
          <w:rFonts w:ascii="Garamond" w:hAnsi="Garamond"/>
          <w:sz w:val="24"/>
          <w:szCs w:val="24"/>
        </w:rPr>
        <w:t xml:space="preserve">për të </w:t>
      </w:r>
      <w:r w:rsidRPr="00EE038F">
        <w:rPr>
          <w:rFonts w:ascii="Garamond" w:hAnsi="Garamond"/>
          <w:sz w:val="24"/>
          <w:szCs w:val="24"/>
        </w:rPr>
        <w:t xml:space="preserve">thjeshtuar proceset e lejeve dhe </w:t>
      </w:r>
      <w:r w:rsidR="00E64015" w:rsidRPr="00EE038F">
        <w:rPr>
          <w:rFonts w:ascii="Garamond" w:hAnsi="Garamond"/>
          <w:sz w:val="24"/>
          <w:szCs w:val="24"/>
        </w:rPr>
        <w:t xml:space="preserve">për të </w:t>
      </w:r>
      <w:r w:rsidRPr="00EE038F">
        <w:rPr>
          <w:rFonts w:ascii="Garamond" w:hAnsi="Garamond"/>
          <w:sz w:val="24"/>
          <w:szCs w:val="24"/>
        </w:rPr>
        <w:t>siguruar konkurrencë të drejtë në tregjet digjitale. Kuadri</w:t>
      </w:r>
      <w:r w:rsidR="00242DB7">
        <w:rPr>
          <w:rFonts w:ascii="Garamond" w:hAnsi="Garamond"/>
          <w:sz w:val="24"/>
          <w:szCs w:val="24"/>
        </w:rPr>
        <w:t>,</w:t>
      </w:r>
      <w:r w:rsidRPr="00EE038F">
        <w:rPr>
          <w:rFonts w:ascii="Garamond" w:hAnsi="Garamond"/>
          <w:sz w:val="24"/>
          <w:szCs w:val="24"/>
        </w:rPr>
        <w:t xml:space="preserve"> gjithashtu</w:t>
      </w:r>
      <w:r w:rsidR="00242DB7">
        <w:rPr>
          <w:rFonts w:ascii="Garamond" w:hAnsi="Garamond"/>
          <w:sz w:val="24"/>
          <w:szCs w:val="24"/>
        </w:rPr>
        <w:t>,</w:t>
      </w:r>
      <w:r w:rsidRPr="00EE038F">
        <w:rPr>
          <w:rFonts w:ascii="Garamond" w:hAnsi="Garamond"/>
          <w:sz w:val="24"/>
          <w:szCs w:val="24"/>
        </w:rPr>
        <w:t xml:space="preserve"> përfshin dispozita për trajtimin e dështimeve të tregut në zonat ku investimi privat mund të jetë i pamjaftueshëm.</w:t>
      </w:r>
    </w:p>
    <w:p w14:paraId="7EF9336B" w14:textId="77777777"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Mbështetja për bizneset inovative në tranzicionin digjital përfaqëson një qasje sofistikuar për stimulimin e adoptimit digjital në të gjithë ekonominë. Programi përfshin masa në anën e ofertës për mbështetjen e zhvillimit teknologjik dhe iniciativa në anën e kërkesës për të inkurajuar adoptimin digjital nga bizneset tradicionale. Kjo qasje e balancuar njeh se transformimi i suksesshëm digjital kërkon si disponueshmërinë e zgjidhjeve digjitale, ashtu edhe kapacitetin për zbatimin e tyre efektiv.</w:t>
      </w:r>
    </w:p>
    <w:p w14:paraId="39369A90" w14:textId="3069E8E8"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Komponenti i zhvillimit të aftësive digjitale të programit merr një qasje gjatë gjithë ciklit të jetës, duke njohur se aftësitë digjitale duhet të përditësohen vazhdimisht gjatë karrierës. Kjo përfshin si programe të alfabetizimit digjital bazë</w:t>
      </w:r>
      <w:r w:rsidR="00227AE7">
        <w:rPr>
          <w:rFonts w:ascii="Garamond" w:hAnsi="Garamond"/>
          <w:sz w:val="24"/>
          <w:szCs w:val="24"/>
        </w:rPr>
        <w:t>,</w:t>
      </w:r>
      <w:r w:rsidRPr="00EE038F">
        <w:rPr>
          <w:rFonts w:ascii="Garamond" w:hAnsi="Garamond"/>
          <w:sz w:val="24"/>
          <w:szCs w:val="24"/>
        </w:rPr>
        <w:t xml:space="preserve"> ashtu edhe trajnim teknik të avancuar, me vëmendje të veçantë ndaj teknologjive emergjente dhe aplikimeve të tyre në sektorë të ndryshëm.</w:t>
      </w:r>
    </w:p>
    <w:p w14:paraId="7ED4688A" w14:textId="2DD488D0"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Vëmendje e veçantë </w:t>
      </w:r>
      <w:r w:rsidR="007C4163">
        <w:rPr>
          <w:rFonts w:ascii="Garamond" w:hAnsi="Garamond"/>
          <w:sz w:val="24"/>
          <w:szCs w:val="24"/>
        </w:rPr>
        <w:t xml:space="preserve">u </w:t>
      </w:r>
      <w:r w:rsidRPr="00EE038F">
        <w:rPr>
          <w:rFonts w:ascii="Garamond" w:hAnsi="Garamond"/>
          <w:sz w:val="24"/>
          <w:szCs w:val="24"/>
        </w:rPr>
        <w:t>kushtohet nevojave të ndërmarrjeve të vogla dhe të mesme në procesin e transformimit digjital. Programi përfshin masa mbështetjeje të synuara për t</w:t>
      </w:r>
      <w:r w:rsidR="00A12006">
        <w:rPr>
          <w:rFonts w:ascii="Garamond" w:hAnsi="Garamond"/>
          <w:sz w:val="24"/>
          <w:szCs w:val="24"/>
        </w:rPr>
        <w:t>’</w:t>
      </w:r>
      <w:r w:rsidRPr="00EE038F">
        <w:rPr>
          <w:rFonts w:ascii="Garamond" w:hAnsi="Garamond"/>
          <w:sz w:val="24"/>
          <w:szCs w:val="24"/>
        </w:rPr>
        <w:t xml:space="preserve">u ndihmuar NVM-ve të vlerësojnë nevojat e tyre digjitale, të zbatojnë zgjidhje të përshtatshme dhe të zhvillojnë aftësitë e nevojshme brenda fuqisë së tyre punëtore. Kjo mbështetje është vendimtare për të siguruar që </w:t>
      </w:r>
      <w:r w:rsidR="00C44033" w:rsidRPr="00EE038F">
        <w:rPr>
          <w:rFonts w:ascii="Garamond" w:hAnsi="Garamond"/>
          <w:sz w:val="24"/>
          <w:szCs w:val="24"/>
        </w:rPr>
        <w:t>digjital</w:t>
      </w:r>
      <w:r w:rsidRPr="00EE038F">
        <w:rPr>
          <w:rFonts w:ascii="Garamond" w:hAnsi="Garamond"/>
          <w:sz w:val="24"/>
          <w:szCs w:val="24"/>
        </w:rPr>
        <w:t>izimi të përfitojë të gjitha segmentet e ekonomisë, jo vetëm ndërmarrjet e mëdha.</w:t>
      </w:r>
    </w:p>
    <w:p w14:paraId="35BB7B5B" w14:textId="0FD932CD"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Paketa e reformës</w:t>
      </w:r>
      <w:r w:rsidR="00F24256">
        <w:rPr>
          <w:rFonts w:ascii="Garamond" w:hAnsi="Garamond"/>
          <w:sz w:val="24"/>
          <w:szCs w:val="24"/>
        </w:rPr>
        <w:t>,</w:t>
      </w:r>
      <w:r w:rsidRPr="00EE038F">
        <w:rPr>
          <w:rFonts w:ascii="Garamond" w:hAnsi="Garamond"/>
          <w:sz w:val="24"/>
          <w:szCs w:val="24"/>
        </w:rPr>
        <w:t xml:space="preserve"> gjithashtu</w:t>
      </w:r>
      <w:r w:rsidR="00101FF4">
        <w:rPr>
          <w:rFonts w:ascii="Garamond" w:hAnsi="Garamond"/>
          <w:sz w:val="24"/>
          <w:szCs w:val="24"/>
        </w:rPr>
        <w:t>,</w:t>
      </w:r>
      <w:r w:rsidRPr="00EE038F">
        <w:rPr>
          <w:rFonts w:ascii="Garamond" w:hAnsi="Garamond"/>
          <w:sz w:val="24"/>
          <w:szCs w:val="24"/>
        </w:rPr>
        <w:t xml:space="preserve"> trajton kuadrin rregullator për teknologjitë dhe modelet e biznesit digjital emergjente. Kjo qasje me parashikim synon krijimin e një mjedisi mundësues për inovacionin duke siguruar njëkohësisht mbrojtje të përshtatshme për konsumatorët dhe shoqërinë. Kuadri përfshin dispozita për fusha të tilla si inteligjenca artificiale, kompjuterët në re dhe platformat digjitale, të përputhura me standardet në zhvillim të BE-së në këto fusha.</w:t>
      </w:r>
    </w:p>
    <w:p w14:paraId="74782A65" w14:textId="77777777" w:rsidR="00C50585" w:rsidRPr="00EE038F" w:rsidRDefault="00C50585" w:rsidP="00850177">
      <w:pPr>
        <w:spacing w:after="0" w:line="240" w:lineRule="auto"/>
        <w:ind w:firstLine="284"/>
        <w:jc w:val="both"/>
        <w:rPr>
          <w:rFonts w:ascii="Garamond" w:hAnsi="Garamond"/>
          <w:i/>
          <w:iCs/>
          <w:sz w:val="24"/>
          <w:szCs w:val="24"/>
        </w:rPr>
      </w:pPr>
      <w:r w:rsidRPr="00EE038F">
        <w:rPr>
          <w:rFonts w:ascii="Garamond" w:hAnsi="Garamond"/>
          <w:i/>
          <w:iCs/>
          <w:sz w:val="24"/>
          <w:szCs w:val="24"/>
        </w:rPr>
        <w:t>Tranzicioni Energjetik dhe Integrimi i Tregut</w:t>
      </w:r>
    </w:p>
    <w:p w14:paraId="40FF6AD0" w14:textId="403B67C3"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Shtylla e tranzicionit energjetik e Agjendës së Reformës përfaqëson një transformim gjithëpërfshirës të sektorit energjetik të Shqipërisë që shkon shumë përtej përmirësimeve tradicionale të infrastrukturës. Kjo shtylle trajton si sfidat e menjëhershme në funksionimin e tregut të energjisë, ashtu edhe objektivat afatgjatë të qëndrueshmërisë, duke balancuar me kujdes nevojat për </w:t>
      </w:r>
      <w:r w:rsidR="00D555C7" w:rsidRPr="00EE038F">
        <w:rPr>
          <w:rFonts w:ascii="Garamond" w:hAnsi="Garamond"/>
          <w:sz w:val="24"/>
          <w:szCs w:val="24"/>
        </w:rPr>
        <w:t>eficienc</w:t>
      </w:r>
      <w:r w:rsidRPr="00EE038F">
        <w:rPr>
          <w:rFonts w:ascii="Garamond" w:hAnsi="Garamond"/>
          <w:sz w:val="24"/>
          <w:szCs w:val="24"/>
        </w:rPr>
        <w:t>ë tregu, siguri energjetike dhe mbrojtje sociale.</w:t>
      </w:r>
    </w:p>
    <w:p w14:paraId="21B18CCC" w14:textId="0EDA13E9"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Përputhja me paketën e integrimit të energjisë elektrike të BE-së përbën një ristrukturim themelor të strukturës dhe operacioneve të tregut të energjisë elektrike të Shqipërisë. Kjo reformë përfshin elemente të shumëfishta të ndërlidhura</w:t>
      </w:r>
      <w:r w:rsidR="00864EB2">
        <w:rPr>
          <w:rFonts w:ascii="Garamond" w:hAnsi="Garamond"/>
          <w:sz w:val="24"/>
          <w:szCs w:val="24"/>
        </w:rPr>
        <w:t>,</w:t>
      </w:r>
      <w:r w:rsidRPr="00EE038F">
        <w:rPr>
          <w:rFonts w:ascii="Garamond" w:hAnsi="Garamond"/>
          <w:sz w:val="24"/>
          <w:szCs w:val="24"/>
        </w:rPr>
        <w:t xml:space="preserve"> që së bashku do të krijojnë një treg energjie </w:t>
      </w:r>
      <w:r w:rsidRPr="00EE038F">
        <w:rPr>
          <w:rFonts w:ascii="Garamond" w:hAnsi="Garamond"/>
          <w:sz w:val="24"/>
          <w:szCs w:val="24"/>
        </w:rPr>
        <w:lastRenderedPageBreak/>
        <w:t xml:space="preserve">modern, </w:t>
      </w:r>
      <w:r w:rsidR="00D555C7" w:rsidRPr="00EE038F">
        <w:rPr>
          <w:rFonts w:ascii="Garamond" w:hAnsi="Garamond"/>
          <w:sz w:val="24"/>
          <w:szCs w:val="24"/>
        </w:rPr>
        <w:t>eficient</w:t>
      </w:r>
      <w:r w:rsidRPr="00EE038F">
        <w:rPr>
          <w:rFonts w:ascii="Garamond" w:hAnsi="Garamond"/>
          <w:sz w:val="24"/>
          <w:szCs w:val="24"/>
        </w:rPr>
        <w:t xml:space="preserve"> dhe të integruar. Zbatimi shtrihet nga rregullat dhe institucionet bazë të tregut deri te mekanizmat e sofistikuar të tregtimit ndërkufitar dhe operimit të sistemit.</w:t>
      </w:r>
    </w:p>
    <w:p w14:paraId="337342C8" w14:textId="1540176C"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Krijimi i tregut të energjisë elektrike brenda ditës përfaqëson një risi veçanërisht të rëndësishme në sektorin energjetik shqiptar. Ky treg do të mundësojë përputhje më </w:t>
      </w:r>
      <w:r w:rsidR="00D555C7" w:rsidRPr="00EE038F">
        <w:rPr>
          <w:rFonts w:ascii="Garamond" w:hAnsi="Garamond"/>
          <w:sz w:val="24"/>
          <w:szCs w:val="24"/>
        </w:rPr>
        <w:t>eficient</w:t>
      </w:r>
      <w:r w:rsidRPr="00EE038F">
        <w:rPr>
          <w:rFonts w:ascii="Garamond" w:hAnsi="Garamond"/>
          <w:sz w:val="24"/>
          <w:szCs w:val="24"/>
        </w:rPr>
        <w:t>e të ofertës dhe kërkesës në kohë pothuajse reale, vendimtar për menaxhimin e pjesës në rritje të burimeve të ripërtëritshme me variabilitet. Reforma përfshin jo vetëm sistemet teknike të funksionimit të tregut, por edhe zhvillimin e aftësive dhe kapaciteteve institucionale të nevojshme midis pjesëmarrësve të tregut.</w:t>
      </w:r>
    </w:p>
    <w:p w14:paraId="67D5AFDF" w14:textId="43FB5F1E"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Lidhja e tregut me vendet fqinje dhe në fund me BE-në përfaqëson një dimension tjetër vendimtar të reformave të tregut të energjisë elektrike. Ky integrim do të përmirësojë sigurinë energjetike përmes qasjes së përmirësuar në burimet rajonale, duke u ofruar gjeneruesve shqiptarë mundësi më të gjera tregu. Sekuencimi i kujdesshëm i hapave të lidhjes siguron që pjesëmarrësit e tregut </w:t>
      </w:r>
      <w:r w:rsidR="007F728D" w:rsidRPr="00EE038F">
        <w:rPr>
          <w:rFonts w:ascii="Garamond" w:hAnsi="Garamond"/>
          <w:sz w:val="24"/>
          <w:szCs w:val="24"/>
        </w:rPr>
        <w:t>vendës</w:t>
      </w:r>
      <w:r w:rsidRPr="00EE038F">
        <w:rPr>
          <w:rFonts w:ascii="Garamond" w:hAnsi="Garamond"/>
          <w:sz w:val="24"/>
          <w:szCs w:val="24"/>
        </w:rPr>
        <w:t xml:space="preserve"> të mund të përshtaten gradualisht me konkurrencën në rritje rajonale.</w:t>
      </w:r>
    </w:p>
    <w:p w14:paraId="0BC8E737" w14:textId="5EEB8D61"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Qasja ndaj reformës së tarifave demonstron vëmendje të veçantë për balancimin e </w:t>
      </w:r>
      <w:r w:rsidR="00D555C7" w:rsidRPr="00EE038F">
        <w:rPr>
          <w:rFonts w:ascii="Garamond" w:hAnsi="Garamond"/>
          <w:sz w:val="24"/>
          <w:szCs w:val="24"/>
        </w:rPr>
        <w:t>eficienc</w:t>
      </w:r>
      <w:r w:rsidRPr="00EE038F">
        <w:rPr>
          <w:rFonts w:ascii="Garamond" w:hAnsi="Garamond"/>
          <w:sz w:val="24"/>
          <w:szCs w:val="24"/>
        </w:rPr>
        <w:t>ës së tregut me konsideratat e mbrojtjes sociale. Rregullimi gradual i tarifave drejt niveleve bazuar në treg është projektuar me kujdes për të ofruar sinjale të përshtatshme çmimi</w:t>
      </w:r>
      <w:r w:rsidR="00021B4C">
        <w:rPr>
          <w:rFonts w:ascii="Garamond" w:hAnsi="Garamond"/>
          <w:sz w:val="24"/>
          <w:szCs w:val="24"/>
        </w:rPr>
        <w:t>,</w:t>
      </w:r>
      <w:r w:rsidRPr="00EE038F">
        <w:rPr>
          <w:rFonts w:ascii="Garamond" w:hAnsi="Garamond"/>
          <w:sz w:val="24"/>
          <w:szCs w:val="24"/>
        </w:rPr>
        <w:t xml:space="preserve"> duke mbrojtur njëkohësisht konsumatorët vulnerabël. Programi plotësues për trajtimin e varfërisë energjetike përfaqëson një qasje të sofistikuar për të siguruar që përfitimet e tranzicionit energjetik t</w:t>
      </w:r>
      <w:r w:rsidR="00021B4C">
        <w:rPr>
          <w:rFonts w:ascii="Garamond" w:hAnsi="Garamond"/>
          <w:sz w:val="24"/>
          <w:szCs w:val="24"/>
        </w:rPr>
        <w:t>’</w:t>
      </w:r>
      <w:r w:rsidRPr="00EE038F">
        <w:rPr>
          <w:rFonts w:ascii="Garamond" w:hAnsi="Garamond"/>
          <w:sz w:val="24"/>
          <w:szCs w:val="24"/>
        </w:rPr>
        <w:t xml:space="preserve">u shërbejnë të gjitha segmenteve të shoqërisë. Masat kundër varfërisë energjetike shkojnë përtej subvencioneve të thjeshta për të përfshirë përmirësimet e </w:t>
      </w:r>
      <w:r w:rsidR="00D555C7" w:rsidRPr="00EE038F">
        <w:rPr>
          <w:rFonts w:ascii="Garamond" w:hAnsi="Garamond"/>
          <w:sz w:val="24"/>
          <w:szCs w:val="24"/>
        </w:rPr>
        <w:t>eficienc</w:t>
      </w:r>
      <w:r w:rsidRPr="00EE038F">
        <w:rPr>
          <w:rFonts w:ascii="Garamond" w:hAnsi="Garamond"/>
          <w:sz w:val="24"/>
          <w:szCs w:val="24"/>
        </w:rPr>
        <w:t>ës energjetike dhe mbështetjen e zgjidhjeve të burimeve të ripërtëritshme të shpërndara. Kjo qasje gjithëpërfshirëse synon trajtimin e shkaqeve rrënjësore të varfërisë energjetike</w:t>
      </w:r>
      <w:r w:rsidR="00021B4C">
        <w:rPr>
          <w:rFonts w:ascii="Garamond" w:hAnsi="Garamond"/>
          <w:sz w:val="24"/>
          <w:szCs w:val="24"/>
        </w:rPr>
        <w:t>,</w:t>
      </w:r>
      <w:r w:rsidRPr="00EE038F">
        <w:rPr>
          <w:rFonts w:ascii="Garamond" w:hAnsi="Garamond"/>
          <w:sz w:val="24"/>
          <w:szCs w:val="24"/>
        </w:rPr>
        <w:t xml:space="preserve"> duke mbështetur njëkohësisht objektivat e gjerë të tranzicionit energjetik. Programi përfshin mbështetje të synuar për rinovime ndërtesash, pajisje </w:t>
      </w:r>
      <w:r w:rsidR="00D555C7" w:rsidRPr="00EE038F">
        <w:rPr>
          <w:rFonts w:ascii="Garamond" w:hAnsi="Garamond"/>
          <w:sz w:val="24"/>
          <w:szCs w:val="24"/>
        </w:rPr>
        <w:t>eficient</w:t>
      </w:r>
      <w:r w:rsidRPr="00EE038F">
        <w:rPr>
          <w:rFonts w:ascii="Garamond" w:hAnsi="Garamond"/>
          <w:sz w:val="24"/>
          <w:szCs w:val="24"/>
        </w:rPr>
        <w:t>e dhe instalime të vogla të burimeve të ripërtëritshme për ekonomitë familjare vulnerabël.</w:t>
      </w:r>
    </w:p>
    <w:p w14:paraId="355ADD5B" w14:textId="1A195CEC"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Programi i zhvillimit të burimeve të ripërtëritshme përfaqëson një gur themeli tjetër të strategjisë së tranzicionit energjetik. Krijimi i një sistemi transparent dhe konkurrues ankandi për kapacitetin e burimeve të ripërtëritshme demonstron një qasje të sofistikuar të zhvillimit të tregut. Ky sistem do të ofrojë sinjale të qarta për investime</w:t>
      </w:r>
      <w:r w:rsidR="006A63F4">
        <w:rPr>
          <w:rFonts w:ascii="Garamond" w:hAnsi="Garamond"/>
          <w:sz w:val="24"/>
          <w:szCs w:val="24"/>
        </w:rPr>
        <w:t xml:space="preserve">, </w:t>
      </w:r>
      <w:r w:rsidRPr="00EE038F">
        <w:rPr>
          <w:rFonts w:ascii="Garamond" w:hAnsi="Garamond"/>
          <w:sz w:val="24"/>
          <w:szCs w:val="24"/>
        </w:rPr>
        <w:t>duke siguruar njëkohësisht efektivitetin e kostos përmes zbulimit konkurrues të çmimit. Plani i ankandit bazuar në sasi për burimet e ripërtëritshme tregon vëmendje të kujdesshme ndaj kapacitetit</w:t>
      </w:r>
      <w:r w:rsidRPr="00EE038F">
        <w:rPr>
          <w:rFonts w:ascii="Garamond" w:hAnsi="Garamond"/>
        </w:rPr>
        <w:t xml:space="preserve"> </w:t>
      </w:r>
      <w:r w:rsidRPr="00EE038F">
        <w:rPr>
          <w:rFonts w:ascii="Garamond" w:hAnsi="Garamond"/>
          <w:sz w:val="24"/>
          <w:szCs w:val="24"/>
        </w:rPr>
        <w:t xml:space="preserve">të përthithjes së tregut dhe sfidave të integrimit të sistemit. Shtimi i planifikuar prej të paktën 600 </w:t>
      </w:r>
      <w:r w:rsidR="00E324E2" w:rsidRPr="00EE038F">
        <w:rPr>
          <w:rFonts w:ascii="Garamond" w:hAnsi="Garamond"/>
          <w:sz w:val="24"/>
          <w:szCs w:val="24"/>
        </w:rPr>
        <w:t>mw k</w:t>
      </w:r>
      <w:r w:rsidRPr="00EE038F">
        <w:rPr>
          <w:rFonts w:ascii="Garamond" w:hAnsi="Garamond"/>
          <w:sz w:val="24"/>
          <w:szCs w:val="24"/>
        </w:rPr>
        <w:t>apacitet të ri të ripërtëritshëm është kalibruar për t</w:t>
      </w:r>
      <w:r w:rsidR="00E324E2">
        <w:rPr>
          <w:rFonts w:ascii="Garamond" w:hAnsi="Garamond"/>
          <w:sz w:val="24"/>
          <w:szCs w:val="24"/>
        </w:rPr>
        <w:t>’</w:t>
      </w:r>
      <w:r w:rsidRPr="00EE038F">
        <w:rPr>
          <w:rFonts w:ascii="Garamond" w:hAnsi="Garamond"/>
          <w:sz w:val="24"/>
          <w:szCs w:val="24"/>
        </w:rPr>
        <w:t xml:space="preserve">u përputhur me zhvillimin e rrjetit dhe pjekurinë e tregut. Sekuencimi i ankandit lejon mësimin dhe rregullimin e procedurave bazuar në përvojë. Zbatimi i </w:t>
      </w:r>
      <w:r w:rsidR="00E324E2" w:rsidRPr="00EE038F">
        <w:rPr>
          <w:rFonts w:ascii="Garamond" w:hAnsi="Garamond"/>
          <w:sz w:val="24"/>
          <w:szCs w:val="24"/>
        </w:rPr>
        <w:t xml:space="preserve">direktivës </w:t>
      </w:r>
      <w:r w:rsidRPr="00EE038F">
        <w:rPr>
          <w:rFonts w:ascii="Garamond" w:hAnsi="Garamond"/>
          <w:sz w:val="24"/>
          <w:szCs w:val="24"/>
        </w:rPr>
        <w:t xml:space="preserve">së </w:t>
      </w:r>
      <w:r w:rsidR="00E324E2" w:rsidRPr="00EE038F">
        <w:rPr>
          <w:rFonts w:ascii="Garamond" w:hAnsi="Garamond"/>
          <w:sz w:val="24"/>
          <w:szCs w:val="24"/>
        </w:rPr>
        <w:t xml:space="preserve">burimeve të ripërtëritshme </w:t>
      </w:r>
      <w:r w:rsidRPr="00EE038F">
        <w:rPr>
          <w:rFonts w:ascii="Garamond" w:hAnsi="Garamond"/>
          <w:sz w:val="24"/>
          <w:szCs w:val="24"/>
        </w:rPr>
        <w:t xml:space="preserve">shkon përtej thjesht përputhjes rregullatore për të vendosur një kuadër gjithëpërfshirës për zhvillimin e qëndrueshëm energjetik. Reformat trajtojnë zona vendimtare si kriteret e qëndrueshmërisë për biokarburantet, procedurat e thjeshtëzuara të lejimit dhe mbështetjen për komunitetet e energjisë. Këto masa krijojnë një mjedis mundësues për forma të ndryshme zhvillimi të burimeve të ripërtëritshme. Krijimi i një sistemi të zbatueshëm të garancisë së origjinës përfaqëson një risi të rëndësishme të tregut. Ky sistem do të mundësojë vlerësimin e duhur të karakteristikave të energjisë së ripërtëritshme dhe </w:t>
      </w:r>
      <w:r w:rsidR="00E324E2">
        <w:rPr>
          <w:rFonts w:ascii="Garamond" w:hAnsi="Garamond"/>
          <w:sz w:val="24"/>
          <w:szCs w:val="24"/>
        </w:rPr>
        <w:t xml:space="preserve">do të </w:t>
      </w:r>
      <w:r w:rsidRPr="00EE038F">
        <w:rPr>
          <w:rFonts w:ascii="Garamond" w:hAnsi="Garamond"/>
          <w:sz w:val="24"/>
          <w:szCs w:val="24"/>
        </w:rPr>
        <w:t>lehtësojë pjesëmarrjen në tregjet e</w:t>
      </w:r>
      <w:r w:rsidR="00E41473">
        <w:rPr>
          <w:rFonts w:ascii="Garamond" w:hAnsi="Garamond"/>
          <w:sz w:val="24"/>
          <w:szCs w:val="24"/>
        </w:rPr>
        <w:t>v</w:t>
      </w:r>
      <w:r w:rsidRPr="00EE038F">
        <w:rPr>
          <w:rFonts w:ascii="Garamond" w:hAnsi="Garamond"/>
          <w:sz w:val="24"/>
          <w:szCs w:val="24"/>
        </w:rPr>
        <w:t>ropiane të energjisë së ripërtëritshme. Projektimi i kujdesshëm i këtij sistemi siguron përputhshmërinë me standardet e BE-së</w:t>
      </w:r>
      <w:r w:rsidR="00E41473">
        <w:rPr>
          <w:rFonts w:ascii="Garamond" w:hAnsi="Garamond"/>
          <w:sz w:val="24"/>
          <w:szCs w:val="24"/>
        </w:rPr>
        <w:t>,</w:t>
      </w:r>
      <w:r w:rsidRPr="00EE038F">
        <w:rPr>
          <w:rFonts w:ascii="Garamond" w:hAnsi="Garamond"/>
          <w:sz w:val="24"/>
          <w:szCs w:val="24"/>
        </w:rPr>
        <w:t xml:space="preserve"> duke u përshtatur njëkohësisht me kushtet lokale të tregut.</w:t>
      </w:r>
    </w:p>
    <w:p w14:paraId="79EAC49F" w14:textId="1601D75A"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Reformat e </w:t>
      </w:r>
      <w:r w:rsidR="00D555C7" w:rsidRPr="00EE038F">
        <w:rPr>
          <w:rFonts w:ascii="Garamond" w:hAnsi="Garamond"/>
          <w:sz w:val="24"/>
          <w:szCs w:val="24"/>
        </w:rPr>
        <w:t>eficienc</w:t>
      </w:r>
      <w:r w:rsidRPr="00EE038F">
        <w:rPr>
          <w:rFonts w:ascii="Garamond" w:hAnsi="Garamond"/>
          <w:sz w:val="24"/>
          <w:szCs w:val="24"/>
        </w:rPr>
        <w:t xml:space="preserve">ës energjetike demonstrojnë vëmendje të veçantë ndaj sfidave të zbatimit dhe nevojave të zhvillimit të tregut. Strategjia afatgjatë e rinovimit të ndërtesave kombinon objektiva ambiciozë me masa praktike zbatimi. Dedikimi i financimit të nevojshëm demonstron angazhim për arritjen e objektivit vjetor 3% të rinovimit për ndërtesat qeveritare. Reformat në standardet dhe etiketimin e </w:t>
      </w:r>
      <w:r w:rsidR="00D555C7" w:rsidRPr="00EE038F">
        <w:rPr>
          <w:rFonts w:ascii="Garamond" w:hAnsi="Garamond"/>
          <w:sz w:val="24"/>
          <w:szCs w:val="24"/>
        </w:rPr>
        <w:t>eficienc</w:t>
      </w:r>
      <w:r w:rsidRPr="00EE038F">
        <w:rPr>
          <w:rFonts w:ascii="Garamond" w:hAnsi="Garamond"/>
          <w:sz w:val="24"/>
          <w:szCs w:val="24"/>
        </w:rPr>
        <w:t>ës energjetike tregojnë vëmendje të kujdesshme ndaj gatishmërisë së tregut dhe kapacitetit të zbatimit. Përputhja me rregulloret e BE-së për produkte</w:t>
      </w:r>
      <w:r w:rsidR="008B02DF">
        <w:rPr>
          <w:rFonts w:ascii="Garamond" w:hAnsi="Garamond"/>
          <w:sz w:val="24"/>
          <w:szCs w:val="24"/>
        </w:rPr>
        <w:t>,</w:t>
      </w:r>
      <w:r w:rsidRPr="00EE038F">
        <w:rPr>
          <w:rFonts w:ascii="Garamond" w:hAnsi="Garamond"/>
          <w:sz w:val="24"/>
          <w:szCs w:val="24"/>
        </w:rPr>
        <w:t xml:space="preserve"> si</w:t>
      </w:r>
      <w:r w:rsidR="008B02DF">
        <w:rPr>
          <w:rFonts w:ascii="Garamond" w:hAnsi="Garamond"/>
          <w:sz w:val="24"/>
          <w:szCs w:val="24"/>
        </w:rPr>
        <w:t xml:space="preserve"> </w:t>
      </w:r>
      <w:r w:rsidRPr="00EE038F">
        <w:rPr>
          <w:rFonts w:ascii="Garamond" w:hAnsi="Garamond"/>
          <w:sz w:val="24"/>
          <w:szCs w:val="24"/>
        </w:rPr>
        <w:t>ngrohësit me lëndë djegëse të ngurta</w:t>
      </w:r>
      <w:r w:rsidR="008B02DF">
        <w:rPr>
          <w:rFonts w:ascii="Garamond" w:hAnsi="Garamond"/>
          <w:sz w:val="24"/>
          <w:szCs w:val="24"/>
        </w:rPr>
        <w:t>,</w:t>
      </w:r>
      <w:r w:rsidRPr="00EE038F">
        <w:rPr>
          <w:rFonts w:ascii="Garamond" w:hAnsi="Garamond"/>
          <w:sz w:val="24"/>
          <w:szCs w:val="24"/>
        </w:rPr>
        <w:t xml:space="preserve"> plotësohet me zhvillimin e aftësive të mbikëqyrjes së tregut. </w:t>
      </w:r>
      <w:r w:rsidRPr="00EE038F">
        <w:rPr>
          <w:rFonts w:ascii="Garamond" w:hAnsi="Garamond"/>
          <w:sz w:val="24"/>
          <w:szCs w:val="24"/>
        </w:rPr>
        <w:lastRenderedPageBreak/>
        <w:t xml:space="preserve">Kjo siguron se kërkesat rregullatore mund të zbatohen dhe përmbushen në mënyrë efektive. Krijimi i një skeme të detyrueshme të </w:t>
      </w:r>
      <w:r w:rsidR="00D555C7" w:rsidRPr="00EE038F">
        <w:rPr>
          <w:rFonts w:ascii="Garamond" w:hAnsi="Garamond"/>
          <w:sz w:val="24"/>
          <w:szCs w:val="24"/>
        </w:rPr>
        <w:t>eficienc</w:t>
      </w:r>
      <w:r w:rsidRPr="00EE038F">
        <w:rPr>
          <w:rFonts w:ascii="Garamond" w:hAnsi="Garamond"/>
          <w:sz w:val="24"/>
          <w:szCs w:val="24"/>
        </w:rPr>
        <w:t xml:space="preserve">ës energjetike përfaqëson një qasje të sofistikuar për shtyrjen e përmirësimeve të </w:t>
      </w:r>
      <w:r w:rsidR="00D555C7" w:rsidRPr="00EE038F">
        <w:rPr>
          <w:rFonts w:ascii="Garamond" w:hAnsi="Garamond"/>
          <w:sz w:val="24"/>
          <w:szCs w:val="24"/>
        </w:rPr>
        <w:t>eficienc</w:t>
      </w:r>
      <w:r w:rsidRPr="00EE038F">
        <w:rPr>
          <w:rFonts w:ascii="Garamond" w:hAnsi="Garamond"/>
          <w:sz w:val="24"/>
          <w:szCs w:val="24"/>
        </w:rPr>
        <w:t xml:space="preserve">ës energjetike në të gjithë ekonominë. Ky mekanizëm bazuar në treg krijon stimuj për furnizuesit e energjisë për të mbështetur përmirësimet e </w:t>
      </w:r>
      <w:r w:rsidR="00D555C7" w:rsidRPr="00EE038F">
        <w:rPr>
          <w:rFonts w:ascii="Garamond" w:hAnsi="Garamond"/>
          <w:sz w:val="24"/>
          <w:szCs w:val="24"/>
        </w:rPr>
        <w:t>eficienc</w:t>
      </w:r>
      <w:r w:rsidRPr="00EE038F">
        <w:rPr>
          <w:rFonts w:ascii="Garamond" w:hAnsi="Garamond"/>
          <w:sz w:val="24"/>
          <w:szCs w:val="24"/>
        </w:rPr>
        <w:t xml:space="preserve">ës midis klientëve të tyre. Projektimi i kujdesshëm i sistemeve të matjes dhe verifikimit siguron se kursimet e energjisë mund të dokumentohen </w:t>
      </w:r>
      <w:r w:rsidRPr="00614EFE">
        <w:rPr>
          <w:rFonts w:ascii="Garamond" w:hAnsi="Garamond"/>
          <w:sz w:val="24"/>
          <w:szCs w:val="24"/>
        </w:rPr>
        <w:t>dhe krediten në</w:t>
      </w:r>
      <w:r w:rsidRPr="00EE038F">
        <w:rPr>
          <w:rFonts w:ascii="Garamond" w:hAnsi="Garamond"/>
          <w:sz w:val="24"/>
          <w:szCs w:val="24"/>
        </w:rPr>
        <w:t xml:space="preserve"> mënyrë të përshtatshme.</w:t>
      </w:r>
    </w:p>
    <w:p w14:paraId="3E85FC6D" w14:textId="0C11F0AE" w:rsidR="00C50585" w:rsidRPr="00EE038F" w:rsidRDefault="00C50585" w:rsidP="00850177">
      <w:pPr>
        <w:spacing w:after="0" w:line="240" w:lineRule="auto"/>
        <w:ind w:firstLine="284"/>
        <w:jc w:val="both"/>
        <w:rPr>
          <w:rFonts w:ascii="Garamond" w:hAnsi="Garamond"/>
          <w:i/>
          <w:iCs/>
          <w:sz w:val="24"/>
          <w:szCs w:val="24"/>
        </w:rPr>
      </w:pPr>
      <w:r w:rsidRPr="00EE038F">
        <w:rPr>
          <w:rFonts w:ascii="Garamond" w:hAnsi="Garamond"/>
          <w:i/>
          <w:iCs/>
          <w:sz w:val="24"/>
          <w:szCs w:val="24"/>
        </w:rPr>
        <w:t xml:space="preserve">Shteti i </w:t>
      </w:r>
      <w:r w:rsidR="008B02DF" w:rsidRPr="00EE038F">
        <w:rPr>
          <w:rFonts w:ascii="Garamond" w:hAnsi="Garamond"/>
          <w:i/>
          <w:iCs/>
          <w:sz w:val="24"/>
          <w:szCs w:val="24"/>
        </w:rPr>
        <w:t>së drejtës dhe cilësia institucionale</w:t>
      </w:r>
    </w:p>
    <w:p w14:paraId="3531B465" w14:textId="77777777"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Reformat e shtetit të së drejtës përfaqësojnë përmirësime themelore të kuadrit institucional që mbështet aktivitetin ekonomik. Edhe pse ndikimet e tyre ekonomike shpesh janë jo të drejtpërdrejta, ato janë vendimtare për rritjen e qëndrueshme afatgjatë.</w:t>
      </w:r>
    </w:p>
    <w:p w14:paraId="4EE25584" w14:textId="0792BF5C"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Forcimi i masave kundër korrupsionit dhe përmirësimi i </w:t>
      </w:r>
      <w:r w:rsidR="00D555C7" w:rsidRPr="00EE038F">
        <w:rPr>
          <w:rFonts w:ascii="Garamond" w:hAnsi="Garamond"/>
          <w:sz w:val="24"/>
          <w:szCs w:val="24"/>
        </w:rPr>
        <w:t>eficienc</w:t>
      </w:r>
      <w:r w:rsidRPr="00EE038F">
        <w:rPr>
          <w:rFonts w:ascii="Garamond" w:hAnsi="Garamond"/>
          <w:sz w:val="24"/>
          <w:szCs w:val="24"/>
        </w:rPr>
        <w:t>ës gjyqësore duhet të reduktojnë kostot e transaksionit dhe të rrisin besimin e biznesit. Këto reforma duhet t</w:t>
      </w:r>
      <w:r w:rsidR="009B064E">
        <w:rPr>
          <w:rFonts w:ascii="Garamond" w:hAnsi="Garamond"/>
          <w:sz w:val="24"/>
          <w:szCs w:val="24"/>
        </w:rPr>
        <w:t>’i</w:t>
      </w:r>
      <w:r w:rsidRPr="00EE038F">
        <w:rPr>
          <w:rFonts w:ascii="Garamond" w:hAnsi="Garamond"/>
          <w:sz w:val="24"/>
          <w:szCs w:val="24"/>
        </w:rPr>
        <w:t xml:space="preserve"> përfitojnë veçanërisht ndërmarrjet e vogla dhe të mesme, të cila</w:t>
      </w:r>
      <w:r w:rsidR="00F61C81">
        <w:rPr>
          <w:rFonts w:ascii="Garamond" w:hAnsi="Garamond"/>
          <w:sz w:val="24"/>
          <w:szCs w:val="24"/>
        </w:rPr>
        <w:t>ve</w:t>
      </w:r>
      <w:r w:rsidRPr="00EE038F">
        <w:rPr>
          <w:rFonts w:ascii="Garamond" w:hAnsi="Garamond"/>
          <w:sz w:val="24"/>
          <w:szCs w:val="24"/>
        </w:rPr>
        <w:t xml:space="preserve"> shpesh</w:t>
      </w:r>
      <w:r w:rsidR="00F61C81">
        <w:rPr>
          <w:rFonts w:ascii="Garamond" w:hAnsi="Garamond"/>
          <w:sz w:val="24"/>
          <w:szCs w:val="24"/>
        </w:rPr>
        <w:t xml:space="preserve"> u</w:t>
      </w:r>
      <w:r w:rsidRPr="00EE038F">
        <w:rPr>
          <w:rFonts w:ascii="Garamond" w:hAnsi="Garamond"/>
          <w:sz w:val="24"/>
          <w:szCs w:val="24"/>
        </w:rPr>
        <w:t xml:space="preserve"> mungojnë burimet për t</w:t>
      </w:r>
      <w:r w:rsidR="00E26381">
        <w:rPr>
          <w:rFonts w:ascii="Garamond" w:hAnsi="Garamond"/>
          <w:sz w:val="24"/>
          <w:szCs w:val="24"/>
        </w:rPr>
        <w:t>’</w:t>
      </w:r>
      <w:r w:rsidRPr="00EE038F">
        <w:rPr>
          <w:rFonts w:ascii="Garamond" w:hAnsi="Garamond"/>
          <w:sz w:val="24"/>
          <w:szCs w:val="24"/>
        </w:rPr>
        <w:t>u orientuar në mjedise institucionale komplekse.</w:t>
      </w:r>
    </w:p>
    <w:p w14:paraId="5BF78616" w14:textId="77777777"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Përmirësimet në mbrojtjen e të drejtave të pronësisë dhe zbatimin e kontratave duhet të mbështesin investimet dhe zhvillimin e tregut. Këto reforma institucionale janë veçanërisht të rëndësishme për tërheqjen e investimeve të huaja me cilësi të lartë dhe mbështetjen e zhvillimit të tregjeve financiare më të sofistikuara.</w:t>
      </w:r>
    </w:p>
    <w:p w14:paraId="41DFF1BA" w14:textId="419E0ABF" w:rsidR="00C50585" w:rsidRPr="00EE038F" w:rsidRDefault="00C50585" w:rsidP="00850177">
      <w:pPr>
        <w:spacing w:after="0" w:line="240" w:lineRule="auto"/>
        <w:ind w:firstLine="284"/>
        <w:jc w:val="both"/>
        <w:rPr>
          <w:rFonts w:ascii="Garamond" w:hAnsi="Garamond"/>
          <w:b/>
          <w:bCs/>
          <w:sz w:val="24"/>
          <w:szCs w:val="24"/>
        </w:rPr>
      </w:pPr>
      <w:r w:rsidRPr="00EE038F">
        <w:rPr>
          <w:rFonts w:ascii="Garamond" w:hAnsi="Garamond"/>
          <w:b/>
          <w:bCs/>
          <w:sz w:val="24"/>
          <w:szCs w:val="24"/>
        </w:rPr>
        <w:t xml:space="preserve">Implikimet në </w:t>
      </w:r>
      <w:r w:rsidR="006D3CB1" w:rsidRPr="00EE038F">
        <w:rPr>
          <w:rFonts w:ascii="Garamond" w:hAnsi="Garamond"/>
          <w:b/>
          <w:bCs/>
          <w:sz w:val="24"/>
          <w:szCs w:val="24"/>
        </w:rPr>
        <w:t>kuadrin fiskal</w:t>
      </w:r>
    </w:p>
    <w:p w14:paraId="47495073" w14:textId="2E175CF6"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Zbatimi i </w:t>
      </w:r>
      <w:r w:rsidR="006D67C4" w:rsidRPr="00EE038F">
        <w:rPr>
          <w:rFonts w:ascii="Garamond" w:hAnsi="Garamond"/>
          <w:sz w:val="24"/>
          <w:szCs w:val="24"/>
        </w:rPr>
        <w:t xml:space="preserve">agjendës së reformës </w:t>
      </w:r>
      <w:r w:rsidRPr="00EE038F">
        <w:rPr>
          <w:rFonts w:ascii="Garamond" w:hAnsi="Garamond"/>
          <w:sz w:val="24"/>
          <w:szCs w:val="24"/>
        </w:rPr>
        <w:t>ka implikime substanciale për kuadrin fiskal të Shqipërisë, duke prekur si dimensionet e të ardhurave</w:t>
      </w:r>
      <w:r w:rsidR="00F918F2">
        <w:rPr>
          <w:rFonts w:ascii="Garamond" w:hAnsi="Garamond"/>
          <w:sz w:val="24"/>
          <w:szCs w:val="24"/>
        </w:rPr>
        <w:t>,</w:t>
      </w:r>
      <w:r w:rsidRPr="00EE038F">
        <w:rPr>
          <w:rFonts w:ascii="Garamond" w:hAnsi="Garamond"/>
          <w:sz w:val="24"/>
          <w:szCs w:val="24"/>
        </w:rPr>
        <w:t xml:space="preserve"> ashtu edhe të shpenzimeve, duke mbështetur njëkohësisht objektivat kryesorë të konsolidimit fiskal dhe qëndrueshmërisë së borxhit. Implikacionet fiskale janë analizuar me kujdes për të siguruar që zbatimi i reformës përforcon dhe jo kompromenton stabilitetin fiskal.</w:t>
      </w:r>
    </w:p>
    <w:p w14:paraId="62A02A7C" w14:textId="4DA1A56C" w:rsidR="00C50585" w:rsidRPr="00EE038F" w:rsidRDefault="00C50585" w:rsidP="00850177">
      <w:pPr>
        <w:spacing w:after="0" w:line="240" w:lineRule="auto"/>
        <w:ind w:firstLine="284"/>
        <w:jc w:val="both"/>
        <w:rPr>
          <w:rFonts w:ascii="Garamond" w:hAnsi="Garamond"/>
          <w:i/>
          <w:iCs/>
          <w:sz w:val="24"/>
          <w:szCs w:val="24"/>
        </w:rPr>
      </w:pPr>
      <w:r w:rsidRPr="00EE038F">
        <w:rPr>
          <w:rFonts w:ascii="Garamond" w:hAnsi="Garamond"/>
          <w:i/>
          <w:iCs/>
          <w:sz w:val="24"/>
          <w:szCs w:val="24"/>
        </w:rPr>
        <w:t xml:space="preserve">Dimensionet e të </w:t>
      </w:r>
      <w:r w:rsidR="00F918F2" w:rsidRPr="00EE038F">
        <w:rPr>
          <w:rFonts w:ascii="Garamond" w:hAnsi="Garamond"/>
          <w:i/>
          <w:iCs/>
          <w:sz w:val="24"/>
          <w:szCs w:val="24"/>
        </w:rPr>
        <w:t>ardhurave dhe burimet e financimit buxhetor</w:t>
      </w:r>
    </w:p>
    <w:p w14:paraId="358AC7AA" w14:textId="1B52FB1E"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Agjenda e </w:t>
      </w:r>
      <w:r w:rsidR="00F918F2" w:rsidRPr="00EE038F">
        <w:rPr>
          <w:rFonts w:ascii="Garamond" w:hAnsi="Garamond"/>
          <w:sz w:val="24"/>
          <w:szCs w:val="24"/>
        </w:rPr>
        <w:t xml:space="preserve">reformës </w:t>
      </w:r>
      <w:r w:rsidRPr="00EE038F">
        <w:rPr>
          <w:rFonts w:ascii="Garamond" w:hAnsi="Garamond"/>
          <w:sz w:val="24"/>
          <w:szCs w:val="24"/>
        </w:rPr>
        <w:t xml:space="preserve">ndikon në të ardhurat qeveritare përmes disa kanalesh të sofistikuara dhe të ndërlidhura. Kanali i drejtpërdrejtë vjen përmes mbështetjes së ofruar nga </w:t>
      </w:r>
      <w:r w:rsidR="004829CB" w:rsidRPr="00EE038F">
        <w:rPr>
          <w:rFonts w:ascii="Garamond" w:hAnsi="Garamond"/>
          <w:sz w:val="24"/>
          <w:szCs w:val="24"/>
        </w:rPr>
        <w:t>mekanizmi i reformës dhe rritjes</w:t>
      </w:r>
      <w:r w:rsidRPr="00EE038F">
        <w:rPr>
          <w:rFonts w:ascii="Garamond" w:hAnsi="Garamond"/>
          <w:sz w:val="24"/>
          <w:szCs w:val="24"/>
        </w:rPr>
        <w:t>, i cili sjell një kombinim transformues të granteve dhe huave koncesionale gjatë periudhës 2024</w:t>
      </w:r>
      <w:r w:rsidR="00CA4CE0">
        <w:rPr>
          <w:rFonts w:ascii="Garamond" w:hAnsi="Garamond"/>
          <w:sz w:val="24"/>
          <w:szCs w:val="24"/>
        </w:rPr>
        <w:t>–</w:t>
      </w:r>
      <w:r w:rsidRPr="00EE038F">
        <w:rPr>
          <w:rFonts w:ascii="Garamond" w:hAnsi="Garamond"/>
          <w:sz w:val="24"/>
          <w:szCs w:val="24"/>
        </w:rPr>
        <w:t>2027. Kjo mbështetje</w:t>
      </w:r>
      <w:r w:rsidR="00FD1BFD">
        <w:rPr>
          <w:rFonts w:ascii="Garamond" w:hAnsi="Garamond"/>
          <w:sz w:val="24"/>
          <w:szCs w:val="24"/>
        </w:rPr>
        <w:t>,</w:t>
      </w:r>
      <w:r w:rsidRPr="00EE038F">
        <w:rPr>
          <w:rFonts w:ascii="Garamond" w:hAnsi="Garamond"/>
          <w:sz w:val="24"/>
          <w:szCs w:val="24"/>
        </w:rPr>
        <w:t xml:space="preserve"> jo vetëm siguron hapësirë të rëndësishme fiskale për zbatimin e reformës, por demonstron</w:t>
      </w:r>
      <w:r w:rsidR="00FD1BFD">
        <w:rPr>
          <w:rFonts w:ascii="Garamond" w:hAnsi="Garamond"/>
          <w:sz w:val="24"/>
          <w:szCs w:val="24"/>
        </w:rPr>
        <w:t>,</w:t>
      </w:r>
      <w:r w:rsidRPr="00EE038F">
        <w:rPr>
          <w:rFonts w:ascii="Garamond" w:hAnsi="Garamond"/>
          <w:sz w:val="24"/>
          <w:szCs w:val="24"/>
        </w:rPr>
        <w:t xml:space="preserve"> gjithashtu</w:t>
      </w:r>
      <w:r w:rsidR="00FD1BFD">
        <w:rPr>
          <w:rFonts w:ascii="Garamond" w:hAnsi="Garamond"/>
          <w:sz w:val="24"/>
          <w:szCs w:val="24"/>
        </w:rPr>
        <w:t>,</w:t>
      </w:r>
      <w:r w:rsidRPr="00EE038F">
        <w:rPr>
          <w:rFonts w:ascii="Garamond" w:hAnsi="Garamond"/>
          <w:sz w:val="24"/>
          <w:szCs w:val="24"/>
        </w:rPr>
        <w:t xml:space="preserve"> besim të fortë ndërkombëtar në programin e reformave të Shqipërisë.</w:t>
      </w:r>
    </w:p>
    <w:p w14:paraId="281A9ED3" w14:textId="65094345"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Përmirësimet në administratën tatimore përmes </w:t>
      </w:r>
      <w:r w:rsidR="00E534C6" w:rsidRPr="00EE038F">
        <w:rPr>
          <w:rFonts w:ascii="Garamond" w:hAnsi="Garamond"/>
          <w:sz w:val="24"/>
          <w:szCs w:val="24"/>
        </w:rPr>
        <w:t xml:space="preserve">strategjisë afatmesme të të ardhurave </w:t>
      </w:r>
      <w:r w:rsidRPr="00EE038F">
        <w:rPr>
          <w:rFonts w:ascii="Garamond" w:hAnsi="Garamond"/>
          <w:sz w:val="24"/>
          <w:szCs w:val="24"/>
        </w:rPr>
        <w:t xml:space="preserve">përfaqësojnë modernizim themelor të kapaciteteve të mbledhjes së të ardhurave. Kjo shkon shumë përtej </w:t>
      </w:r>
      <w:r w:rsidR="00C44033" w:rsidRPr="00EE038F">
        <w:rPr>
          <w:rFonts w:ascii="Garamond" w:hAnsi="Garamond"/>
          <w:sz w:val="24"/>
          <w:szCs w:val="24"/>
        </w:rPr>
        <w:t>digjital</w:t>
      </w:r>
      <w:r w:rsidRPr="00EE038F">
        <w:rPr>
          <w:rFonts w:ascii="Garamond" w:hAnsi="Garamond"/>
          <w:sz w:val="24"/>
          <w:szCs w:val="24"/>
        </w:rPr>
        <w:t>izimit të thjeshtë për të përfshirë sisteme të sofistikuara të menaxhimit të riskut, shërbime të përmirësuara për tatimpaguesit dhe aftësi të përmirësuara monitorimi të përputhshmërisë. Zbatimi i strategjisë duhet të çojë në përmirësime të qëndrueshme të performancës së të ardhurave përmes disa kanaleve. Efektiviteti i përmirësuar i administratës tatimore pritet të manifestohet përmes disa mekanizmave. Shërbimet digjitale të përmirësuara dhe procedurat e thjeshtuara do të ulin kostot e përputhshmërisë, duke e bërë më të lehtë për bizneset përmbushjen e detyrimeve tatimore. Aftësitë e përmirësuara të analizës së të dhënave do të mundësojnë identifikim më efektiv të risqeve të mospërputhshmërisë. Shërbimet e përmirësuara për tatimpaguesit do të mbështesin përputhshmërinë vullnetare, ndërsa aftësitë më efektive të zbatimit do të trajtojnë mospërputhshmërinë të qëllimshme.</w:t>
      </w:r>
    </w:p>
    <w:p w14:paraId="204BC4DE" w14:textId="77777777"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Efektet e formalizimit të reformave të ndryshme përfaqësojnë një kanal tjetër vendimtar për përmirësimin e të ardhurave. Ndikimi i kombinuar i procedurave të thjeshtuara, shërbimeve qeveritare të përmirësuara dhe aftësive të përmirësuara të zbatimit duhet gradualisht të zhvendosin balancën e stimujve drejt operimit formal. Ky transformim strukturor duhet të çojë në zgjerim të qëndrueshëm të bazës tatimore pa kërkuar ndryshime në normat tatimore.</w:t>
      </w:r>
    </w:p>
    <w:p w14:paraId="15CC45AD" w14:textId="77777777"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Efektet e rritjes nga reformat duhet të gjenerojnë të ardhura shtesë përmes disa kanalesh të sofistikuara. Investimet e përmirësuara duhet të zgjerojnë bazën e tatimit mbi të ardhurat e korporatave dhe gjithashtu të gjenerojnë punësim shtesë dhe kështu të ardhura nga tatimi personal. </w:t>
      </w:r>
      <w:r w:rsidRPr="00EE038F">
        <w:rPr>
          <w:rFonts w:ascii="Garamond" w:hAnsi="Garamond"/>
          <w:sz w:val="24"/>
          <w:szCs w:val="24"/>
        </w:rPr>
        <w:lastRenderedPageBreak/>
        <w:t>Produktiviteti i përmirësuar duhet të mbështesë rritjen e pagave, duke zgjeruar më tej të ardhurat nga tatimi mbi të ardhurat. Aktiviteti ekonomik i përmirësuar duhet të rrisë konsumin dhe kështu të ardhurat nga TVSH-ja, ndërsa lehtësimi i përmirësuar i tregtisë duhet të mbështesë të ardhurat doganore.</w:t>
      </w:r>
    </w:p>
    <w:p w14:paraId="5899CD32" w14:textId="60DA7048" w:rsidR="00C50585" w:rsidRPr="00EE038F" w:rsidRDefault="00C50585" w:rsidP="00850177">
      <w:pPr>
        <w:spacing w:after="0" w:line="240" w:lineRule="auto"/>
        <w:ind w:firstLine="284"/>
        <w:jc w:val="both"/>
        <w:rPr>
          <w:rFonts w:ascii="Garamond" w:hAnsi="Garamond"/>
          <w:i/>
          <w:iCs/>
          <w:sz w:val="24"/>
          <w:szCs w:val="24"/>
        </w:rPr>
      </w:pPr>
      <w:r w:rsidRPr="00EE038F">
        <w:rPr>
          <w:rFonts w:ascii="Garamond" w:hAnsi="Garamond"/>
          <w:i/>
          <w:iCs/>
          <w:sz w:val="24"/>
          <w:szCs w:val="24"/>
        </w:rPr>
        <w:t xml:space="preserve">Dimensionet e </w:t>
      </w:r>
      <w:r w:rsidR="009B6678" w:rsidRPr="00EE038F">
        <w:rPr>
          <w:rFonts w:ascii="Garamond" w:hAnsi="Garamond"/>
          <w:i/>
          <w:iCs/>
          <w:sz w:val="24"/>
          <w:szCs w:val="24"/>
        </w:rPr>
        <w:t>shpenzimeve</w:t>
      </w:r>
    </w:p>
    <w:p w14:paraId="1F61DEB8" w14:textId="397C9C73"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Zbatimi i </w:t>
      </w:r>
      <w:r w:rsidR="009B6678" w:rsidRPr="00EE038F">
        <w:rPr>
          <w:rFonts w:ascii="Garamond" w:hAnsi="Garamond"/>
          <w:sz w:val="24"/>
          <w:szCs w:val="24"/>
        </w:rPr>
        <w:t>agjendës së r</w:t>
      </w:r>
      <w:r w:rsidRPr="00EE038F">
        <w:rPr>
          <w:rFonts w:ascii="Garamond" w:hAnsi="Garamond"/>
          <w:sz w:val="24"/>
          <w:szCs w:val="24"/>
        </w:rPr>
        <w:t>eformës kërkon investime publike dhe shpenzime operative të planifikuara me kujdes në disa fusha. Reformat e transformimit digjital kërkojnë investime të sofistikuara në infrastrukturë, zhvillim sistemesh dhe ndërtim kapacitetesh. Këto investime janë sekuencuar me kujdes për të siguruar përthithje efektive dhe maksimizuar ndikimin e tyre.</w:t>
      </w:r>
    </w:p>
    <w:p w14:paraId="08A9ED5F" w14:textId="0FCDCA20"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Reformat e kapitalit njerëzor kërkojnë investime substanciale në infrastrukturën arsimore, trajnimin e mësuesve dhe zhvillimin e kurrikulës. Këto investime janë projektuar me vëmendje të kujdesshme ndaj kapacitetit të zbatimit dhe nevojës për ruajtjen e standardeve të larta të cilësisë. Fokusi në </w:t>
      </w:r>
      <w:r w:rsidR="00D555C7" w:rsidRPr="00EE038F">
        <w:rPr>
          <w:rFonts w:ascii="Garamond" w:hAnsi="Garamond"/>
          <w:sz w:val="24"/>
          <w:szCs w:val="24"/>
        </w:rPr>
        <w:t>eficienc</w:t>
      </w:r>
      <w:r w:rsidRPr="00EE038F">
        <w:rPr>
          <w:rFonts w:ascii="Garamond" w:hAnsi="Garamond"/>
          <w:sz w:val="24"/>
          <w:szCs w:val="24"/>
        </w:rPr>
        <w:t>ën e zbatimit ndihmon në sigurimin e vlerës për para në këto investime vendimtare.</w:t>
      </w:r>
    </w:p>
    <w:p w14:paraId="7A0415A6" w14:textId="3E5F74AA"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Tranzicioni energjetik përfshin investime</w:t>
      </w:r>
      <w:r w:rsidR="002E7859">
        <w:rPr>
          <w:rFonts w:ascii="Garamond" w:hAnsi="Garamond"/>
          <w:sz w:val="24"/>
          <w:szCs w:val="24"/>
        </w:rPr>
        <w:t>,</w:t>
      </w:r>
      <w:r w:rsidRPr="00EE038F">
        <w:rPr>
          <w:rFonts w:ascii="Garamond" w:hAnsi="Garamond"/>
          <w:sz w:val="24"/>
          <w:szCs w:val="24"/>
        </w:rPr>
        <w:t xml:space="preserve"> veçanërisht të rëndësishme në infrastrukturë dhe përmirësime të </w:t>
      </w:r>
      <w:r w:rsidR="00D555C7" w:rsidRPr="00EE038F">
        <w:rPr>
          <w:rFonts w:ascii="Garamond" w:hAnsi="Garamond"/>
          <w:sz w:val="24"/>
          <w:szCs w:val="24"/>
        </w:rPr>
        <w:t>eficienc</w:t>
      </w:r>
      <w:r w:rsidRPr="00EE038F">
        <w:rPr>
          <w:rFonts w:ascii="Garamond" w:hAnsi="Garamond"/>
          <w:sz w:val="24"/>
          <w:szCs w:val="24"/>
        </w:rPr>
        <w:t>ës. Këto investime janë prioritizuar me kujdes bazuar në kthimet e pritshme dhe kontributin në objektivat e sigurisë energjetike. Përdorimi i mekanizmave të tregut si ankandet konkurruese ndihmon në sigurimin e kostos efektive në zhvillimin e burimeve të ripërtëritshme.</w:t>
      </w:r>
    </w:p>
    <w:p w14:paraId="09BF6DBB" w14:textId="395A88B3"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Megjithatë, reformat pritet</w:t>
      </w:r>
      <w:r w:rsidR="000E094A">
        <w:rPr>
          <w:rFonts w:ascii="Garamond" w:hAnsi="Garamond"/>
          <w:sz w:val="24"/>
          <w:szCs w:val="24"/>
        </w:rPr>
        <w:t>,</w:t>
      </w:r>
      <w:r w:rsidRPr="00EE038F">
        <w:rPr>
          <w:rFonts w:ascii="Garamond" w:hAnsi="Garamond"/>
          <w:sz w:val="24"/>
          <w:szCs w:val="24"/>
        </w:rPr>
        <w:t xml:space="preserve"> gjithashtu</w:t>
      </w:r>
      <w:r w:rsidR="000E094A">
        <w:rPr>
          <w:rFonts w:ascii="Garamond" w:hAnsi="Garamond"/>
          <w:sz w:val="24"/>
          <w:szCs w:val="24"/>
        </w:rPr>
        <w:t>,</w:t>
      </w:r>
      <w:r w:rsidRPr="00EE038F">
        <w:rPr>
          <w:rFonts w:ascii="Garamond" w:hAnsi="Garamond"/>
          <w:sz w:val="24"/>
          <w:szCs w:val="24"/>
        </w:rPr>
        <w:t xml:space="preserve"> të gjenerojnë fitime dhe kursime të konsiderueshme të </w:t>
      </w:r>
      <w:r w:rsidR="00D555C7" w:rsidRPr="00EE038F">
        <w:rPr>
          <w:rFonts w:ascii="Garamond" w:hAnsi="Garamond"/>
          <w:sz w:val="24"/>
          <w:szCs w:val="24"/>
        </w:rPr>
        <w:t>eficienc</w:t>
      </w:r>
      <w:r w:rsidRPr="00EE038F">
        <w:rPr>
          <w:rFonts w:ascii="Garamond" w:hAnsi="Garamond"/>
          <w:sz w:val="24"/>
          <w:szCs w:val="24"/>
        </w:rPr>
        <w:t xml:space="preserve">ës me kalimin e kohës. </w:t>
      </w:r>
      <w:r w:rsidR="00C44033" w:rsidRPr="00EE038F">
        <w:rPr>
          <w:rFonts w:ascii="Garamond" w:hAnsi="Garamond"/>
          <w:sz w:val="24"/>
          <w:szCs w:val="24"/>
        </w:rPr>
        <w:t>Digjital</w:t>
      </w:r>
      <w:r w:rsidRPr="00EE038F">
        <w:rPr>
          <w:rFonts w:ascii="Garamond" w:hAnsi="Garamond"/>
          <w:sz w:val="24"/>
          <w:szCs w:val="24"/>
        </w:rPr>
        <w:t>izimi i shërbimeve publike duhet të reduktojë ndjeshëm kostot administrative</w:t>
      </w:r>
      <w:r w:rsidR="000E094A">
        <w:rPr>
          <w:rFonts w:ascii="Garamond" w:hAnsi="Garamond"/>
          <w:sz w:val="24"/>
          <w:szCs w:val="24"/>
        </w:rPr>
        <w:t>,</w:t>
      </w:r>
      <w:r w:rsidRPr="00EE038F">
        <w:rPr>
          <w:rFonts w:ascii="Garamond" w:hAnsi="Garamond"/>
          <w:sz w:val="24"/>
          <w:szCs w:val="24"/>
        </w:rPr>
        <w:t xml:space="preserve"> duke përmirësuar njëkohësisht cilësinë e shërbimit. Investimet në </w:t>
      </w:r>
      <w:r w:rsidR="00D555C7" w:rsidRPr="00EE038F">
        <w:rPr>
          <w:rFonts w:ascii="Garamond" w:hAnsi="Garamond"/>
          <w:sz w:val="24"/>
          <w:szCs w:val="24"/>
        </w:rPr>
        <w:t>eficienc</w:t>
      </w:r>
      <w:r w:rsidRPr="00EE038F">
        <w:rPr>
          <w:rFonts w:ascii="Garamond" w:hAnsi="Garamond"/>
          <w:sz w:val="24"/>
          <w:szCs w:val="24"/>
        </w:rPr>
        <w:t>ën energjetike në ndërtesat publike duhet të gjenerojnë reduktime të qëndrueshme të kostove të shërbimeve komunale. Menaxhimi i përmirësuar i investimeve publike duhet të rrisë produktivitetin e shpenzimeve kapitale në të gjitha fushat.</w:t>
      </w:r>
    </w:p>
    <w:p w14:paraId="0FE14C1E" w14:textId="76F79324" w:rsidR="00C50585" w:rsidRPr="00EE038F" w:rsidRDefault="00C50585" w:rsidP="00850177">
      <w:pPr>
        <w:spacing w:after="0" w:line="240" w:lineRule="auto"/>
        <w:ind w:firstLine="284"/>
        <w:jc w:val="both"/>
        <w:rPr>
          <w:rFonts w:ascii="Garamond" w:hAnsi="Garamond"/>
          <w:i/>
          <w:iCs/>
          <w:sz w:val="24"/>
          <w:szCs w:val="24"/>
        </w:rPr>
      </w:pPr>
      <w:r w:rsidRPr="00EE038F">
        <w:rPr>
          <w:rFonts w:ascii="Garamond" w:hAnsi="Garamond"/>
          <w:i/>
          <w:iCs/>
          <w:sz w:val="24"/>
          <w:szCs w:val="24"/>
        </w:rPr>
        <w:t xml:space="preserve">Kuadri i </w:t>
      </w:r>
      <w:r w:rsidR="000E094A" w:rsidRPr="00EE038F">
        <w:rPr>
          <w:rFonts w:ascii="Garamond" w:hAnsi="Garamond"/>
          <w:i/>
          <w:iCs/>
          <w:sz w:val="24"/>
          <w:szCs w:val="24"/>
        </w:rPr>
        <w:t>zbatimit dhe monitorimit</w:t>
      </w:r>
    </w:p>
    <w:p w14:paraId="5131E2AE" w14:textId="43DF2587"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Implikacionet fiskale të </w:t>
      </w:r>
      <w:r w:rsidR="009A3B30" w:rsidRPr="00EE038F">
        <w:rPr>
          <w:rFonts w:ascii="Garamond" w:hAnsi="Garamond"/>
          <w:sz w:val="24"/>
          <w:szCs w:val="24"/>
        </w:rPr>
        <w:t xml:space="preserve">agjendës së reformës </w:t>
      </w:r>
      <w:r w:rsidRPr="00EE038F">
        <w:rPr>
          <w:rFonts w:ascii="Garamond" w:hAnsi="Garamond"/>
          <w:sz w:val="24"/>
          <w:szCs w:val="24"/>
        </w:rPr>
        <w:t>do të monitorohen me kujdes përmes një kuadri të sofistikuar që ndjek si kostot</w:t>
      </w:r>
      <w:r w:rsidR="009A3B30">
        <w:rPr>
          <w:rFonts w:ascii="Garamond" w:hAnsi="Garamond"/>
          <w:sz w:val="24"/>
          <w:szCs w:val="24"/>
        </w:rPr>
        <w:t>,</w:t>
      </w:r>
      <w:r w:rsidRPr="00EE038F">
        <w:rPr>
          <w:rFonts w:ascii="Garamond" w:hAnsi="Garamond"/>
          <w:sz w:val="24"/>
          <w:szCs w:val="24"/>
        </w:rPr>
        <w:t xml:space="preserve"> ashtu edhe përfitimet. Ky sistem monitorimi shkon përtej gjurmimit të thjeshtë buxhetor për të përfshirë ndikime ekonomike dhe sociale më të gjera. Rishikimet e rregullta do të mundësojnë rregullime në kohë të zbatimit</w:t>
      </w:r>
      <w:r w:rsidR="009A3B30">
        <w:rPr>
          <w:rFonts w:ascii="Garamond" w:hAnsi="Garamond"/>
          <w:sz w:val="24"/>
          <w:szCs w:val="24"/>
        </w:rPr>
        <w:t>,</w:t>
      </w:r>
      <w:r w:rsidRPr="00EE038F">
        <w:rPr>
          <w:rFonts w:ascii="Garamond" w:hAnsi="Garamond"/>
          <w:sz w:val="24"/>
          <w:szCs w:val="24"/>
        </w:rPr>
        <w:t xml:space="preserve"> duke ruajtur disiplinën fiskale.</w:t>
      </w:r>
    </w:p>
    <w:p w14:paraId="01D20781" w14:textId="4AAA1FBF"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Sekuencimi i kujdesshëm i reformave ndihmon në menaxhimin e implikacioneve të tyre fiskale duke maksimizuar njëkohësisht efektivitetin e tyre. Investimet fillestare në reforma themelore si infrastruktura digjitale dhe shërbimet bazë qeveritare krijojnë platformën për reforma më të sofistikuara. Ky sekuencim ndihmon në menaxhimin e risqeve të zbatimit</w:t>
      </w:r>
      <w:r w:rsidR="000A0D99">
        <w:rPr>
          <w:rFonts w:ascii="Garamond" w:hAnsi="Garamond"/>
          <w:sz w:val="24"/>
          <w:szCs w:val="24"/>
        </w:rPr>
        <w:t>,</w:t>
      </w:r>
      <w:r w:rsidRPr="00EE038F">
        <w:rPr>
          <w:rFonts w:ascii="Garamond" w:hAnsi="Garamond"/>
          <w:sz w:val="24"/>
          <w:szCs w:val="24"/>
        </w:rPr>
        <w:t xml:space="preserve"> duke ndërtuar kapacitet për reforma më komplekse.</w:t>
      </w:r>
    </w:p>
    <w:p w14:paraId="71768E9E" w14:textId="550A1281" w:rsidR="00C50585" w:rsidRPr="00EE038F" w:rsidRDefault="00C50585" w:rsidP="00850177">
      <w:pPr>
        <w:spacing w:after="0" w:line="240" w:lineRule="auto"/>
        <w:ind w:firstLine="284"/>
        <w:jc w:val="both"/>
        <w:rPr>
          <w:rFonts w:ascii="Garamond" w:hAnsi="Garamond"/>
          <w:i/>
          <w:iCs/>
          <w:sz w:val="24"/>
          <w:szCs w:val="24"/>
        </w:rPr>
      </w:pPr>
      <w:r w:rsidRPr="00EE038F">
        <w:rPr>
          <w:rFonts w:ascii="Garamond" w:hAnsi="Garamond"/>
          <w:i/>
          <w:iCs/>
          <w:sz w:val="24"/>
          <w:szCs w:val="24"/>
        </w:rPr>
        <w:t xml:space="preserve">Qëndrueshmëria </w:t>
      </w:r>
      <w:r w:rsidR="000A0D99" w:rsidRPr="00EE038F">
        <w:rPr>
          <w:rFonts w:ascii="Garamond" w:hAnsi="Garamond"/>
          <w:i/>
          <w:iCs/>
          <w:sz w:val="24"/>
          <w:szCs w:val="24"/>
        </w:rPr>
        <w:t>fiskale</w:t>
      </w:r>
    </w:p>
    <w:p w14:paraId="6C4A2A6D" w14:textId="2D2C3760"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Ndikimi i përgjithshëm fiskal i zbatimit të </w:t>
      </w:r>
      <w:r w:rsidR="000A0D99" w:rsidRPr="00EE038F">
        <w:rPr>
          <w:rFonts w:ascii="Garamond" w:hAnsi="Garamond"/>
          <w:sz w:val="24"/>
          <w:szCs w:val="24"/>
        </w:rPr>
        <w:t xml:space="preserve">agjendës së reformës </w:t>
      </w:r>
      <w:r w:rsidRPr="00EE038F">
        <w:rPr>
          <w:rFonts w:ascii="Garamond" w:hAnsi="Garamond"/>
          <w:sz w:val="24"/>
          <w:szCs w:val="24"/>
        </w:rPr>
        <w:t>është kalibruar me kujdes për të mbështetur dhe jo për të komprometuar objektivat e qëndrueshmërisë fiskale. Disa mekanizma të sofistikuar mbështesin këtë vlerësim.</w:t>
      </w:r>
    </w:p>
    <w:p w14:paraId="744A7F12" w14:textId="03E2B571"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Mekanizmi i </w:t>
      </w:r>
      <w:r w:rsidR="00002AAB" w:rsidRPr="00EE038F">
        <w:rPr>
          <w:rFonts w:ascii="Garamond" w:hAnsi="Garamond"/>
          <w:sz w:val="24"/>
          <w:szCs w:val="24"/>
        </w:rPr>
        <w:t xml:space="preserve">reformës dhe rritjes </w:t>
      </w:r>
      <w:r w:rsidRPr="00EE038F">
        <w:rPr>
          <w:rFonts w:ascii="Garamond" w:hAnsi="Garamond"/>
          <w:sz w:val="24"/>
          <w:szCs w:val="24"/>
        </w:rPr>
        <w:t>siguron mbështetje vendimtare përmes një kombinimi të mirëprojektuar të granteve dhe huave shumë koncesionale. Kjo strukturë financimi ndihmon në menaxhimin e ndikimit të borxhit nga zbatimi i reformave duke siguruar njëkohësisht burimet e nevojshme për investime transformuese.</w:t>
      </w:r>
    </w:p>
    <w:p w14:paraId="68F9CFE5" w14:textId="2943B666"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Shumë reforma pritet të gjenerojnë fitime </w:t>
      </w:r>
      <w:r w:rsidR="00D555C7" w:rsidRPr="00EE038F">
        <w:rPr>
          <w:rFonts w:ascii="Garamond" w:hAnsi="Garamond"/>
          <w:sz w:val="24"/>
          <w:szCs w:val="24"/>
        </w:rPr>
        <w:t>eficienc</w:t>
      </w:r>
      <w:r w:rsidRPr="00EE038F">
        <w:rPr>
          <w:rFonts w:ascii="Garamond" w:hAnsi="Garamond"/>
          <w:sz w:val="24"/>
          <w:szCs w:val="24"/>
        </w:rPr>
        <w:t>e dhe kursime që do të kompensojnë pjesërisht kostot e tyre të zbatimit. Sekuencimi i kujdesshëm i reformave lejon përfitimet e reformave të mëparshme të ndihmojnë në financimin e masave pasardhëse. Ky dinamizëm vetëpërforcues mbështet qëndrueshmërinë fiskale të programit të përgjithshëm të reformave.</w:t>
      </w:r>
    </w:p>
    <w:p w14:paraId="52A975DB" w14:textId="0A02AAF8"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Potenciali i përmirësuar i rritjes nga reformat duhet të përmirësojë qëndrueshmërinë fiskale</w:t>
      </w:r>
      <w:r w:rsidR="00170A26">
        <w:rPr>
          <w:rFonts w:ascii="Garamond" w:hAnsi="Garamond"/>
          <w:sz w:val="24"/>
          <w:szCs w:val="24"/>
        </w:rPr>
        <w:t>,</w:t>
      </w:r>
      <w:r w:rsidRPr="00EE038F">
        <w:rPr>
          <w:rFonts w:ascii="Garamond" w:hAnsi="Garamond"/>
          <w:sz w:val="24"/>
          <w:szCs w:val="24"/>
        </w:rPr>
        <w:t xml:space="preserve"> duke zgjeruar bazën e të ardhurave dhe duke përmirësuar kapacitetin e shërbimit të borxhit. Edhe pse këto efekte nuk janë plotësisht të pasqyruara në projektimet aktuale bazë të kujdesshme, ato përfaqësojnë potencial të rëndësishëm pozitiv për performancën fiskale.</w:t>
      </w:r>
    </w:p>
    <w:p w14:paraId="4A1B4174" w14:textId="77777777"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lastRenderedPageBreak/>
        <w:t>Reformat në menaxhimin e financave publike dhe administratën e të ardhurave duhet të përmirësojnë aftësinë e qeverisë për të ruajtur disiplinën fiskale gjatë zbatimit të agjendës së gjerë të reformave. Këto përmirësime institucionale mbështesin zbatimin e qëndrueshëm të programit të reformave.</w:t>
      </w:r>
    </w:p>
    <w:p w14:paraId="12AAD264" w14:textId="4CA0F251" w:rsidR="00C50585" w:rsidRPr="00EE038F" w:rsidRDefault="00C50585" w:rsidP="00850177">
      <w:pPr>
        <w:spacing w:after="0" w:line="240" w:lineRule="auto"/>
        <w:ind w:firstLine="284"/>
        <w:jc w:val="both"/>
        <w:rPr>
          <w:rFonts w:ascii="Garamond" w:hAnsi="Garamond"/>
          <w:i/>
          <w:iCs/>
          <w:sz w:val="24"/>
          <w:szCs w:val="24"/>
        </w:rPr>
      </w:pPr>
      <w:r w:rsidRPr="00EE038F">
        <w:rPr>
          <w:rFonts w:ascii="Garamond" w:hAnsi="Garamond"/>
          <w:i/>
          <w:iCs/>
          <w:sz w:val="24"/>
          <w:szCs w:val="24"/>
        </w:rPr>
        <w:t xml:space="preserve">Ndikimi </w:t>
      </w:r>
      <w:r w:rsidR="00170A26" w:rsidRPr="00EE038F">
        <w:rPr>
          <w:rFonts w:ascii="Garamond" w:hAnsi="Garamond"/>
          <w:i/>
          <w:iCs/>
          <w:sz w:val="24"/>
          <w:szCs w:val="24"/>
        </w:rPr>
        <w:t>fiskal neto dhe qëndrueshmëria</w:t>
      </w:r>
    </w:p>
    <w:p w14:paraId="3E55F23D" w14:textId="7CEC3241"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Ndikimi i përgjithshëm fiskal i zbatimit të </w:t>
      </w:r>
      <w:r w:rsidR="00702F7D" w:rsidRPr="00EE038F">
        <w:rPr>
          <w:rFonts w:ascii="Garamond" w:hAnsi="Garamond"/>
          <w:sz w:val="24"/>
          <w:szCs w:val="24"/>
        </w:rPr>
        <w:t xml:space="preserve">agjendës së reformës pritet </w:t>
      </w:r>
      <w:r w:rsidRPr="00EE038F">
        <w:rPr>
          <w:rFonts w:ascii="Garamond" w:hAnsi="Garamond"/>
          <w:sz w:val="24"/>
          <w:szCs w:val="24"/>
        </w:rPr>
        <w:t>të jetë plotësisht i menaxhueshëm brenda kuadrit fiskal afatmesëm dhe duke mbështetur arritjen e objektivave të politikës fiskale. Disa faktorë mbështesin këtë vlerësim:</w:t>
      </w:r>
    </w:p>
    <w:p w14:paraId="023AD293" w14:textId="0BD38329"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Së pari, </w:t>
      </w:r>
      <w:r w:rsidR="006F0233" w:rsidRPr="00EE038F">
        <w:rPr>
          <w:rFonts w:ascii="Garamond" w:hAnsi="Garamond"/>
          <w:sz w:val="24"/>
          <w:szCs w:val="24"/>
        </w:rPr>
        <w:t xml:space="preserve">mekanizmi i reformës dhe rritjes siguron </w:t>
      </w:r>
      <w:r w:rsidRPr="00EE038F">
        <w:rPr>
          <w:rFonts w:ascii="Garamond" w:hAnsi="Garamond"/>
          <w:sz w:val="24"/>
          <w:szCs w:val="24"/>
        </w:rPr>
        <w:t xml:space="preserve">mbështetje të konsiderueshme përmes granteve dhe huave shumëkoncesionale, duke ulur barrën mbi burimet </w:t>
      </w:r>
      <w:r w:rsidR="007F728D" w:rsidRPr="00EE038F">
        <w:rPr>
          <w:rFonts w:ascii="Garamond" w:hAnsi="Garamond"/>
          <w:sz w:val="24"/>
          <w:szCs w:val="24"/>
        </w:rPr>
        <w:t>vendës</w:t>
      </w:r>
      <w:r w:rsidRPr="00EE038F">
        <w:rPr>
          <w:rFonts w:ascii="Garamond" w:hAnsi="Garamond"/>
          <w:sz w:val="24"/>
          <w:szCs w:val="24"/>
        </w:rPr>
        <w:t>e. Kombinimi i granteve dhe financimit koncesional siguron që zbatimi i reformës të mos komprometojë objektivat e qëndrueshmërisë së borxhit.</w:t>
      </w:r>
    </w:p>
    <w:p w14:paraId="25ACFEA9" w14:textId="2A444861"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Së dyti, shumë nga reformat pritet të gjenerojnë fitime </w:t>
      </w:r>
      <w:r w:rsidR="00D555C7" w:rsidRPr="00EE038F">
        <w:rPr>
          <w:rFonts w:ascii="Garamond" w:hAnsi="Garamond"/>
          <w:sz w:val="24"/>
          <w:szCs w:val="24"/>
        </w:rPr>
        <w:t>eficienc</w:t>
      </w:r>
      <w:r w:rsidRPr="00EE038F">
        <w:rPr>
          <w:rFonts w:ascii="Garamond" w:hAnsi="Garamond"/>
          <w:sz w:val="24"/>
          <w:szCs w:val="24"/>
        </w:rPr>
        <w:t>e dhe kursime që do të kompensojnë pjesërisht kostot e tyre të zbatimit. Sekuencimi i reformave</w:t>
      </w:r>
      <w:r w:rsidR="00242844">
        <w:rPr>
          <w:rFonts w:ascii="Garamond" w:hAnsi="Garamond"/>
          <w:sz w:val="24"/>
          <w:szCs w:val="24"/>
        </w:rPr>
        <w:t>,</w:t>
      </w:r>
      <w:r w:rsidRPr="00EE038F">
        <w:rPr>
          <w:rFonts w:ascii="Garamond" w:hAnsi="Garamond"/>
          <w:sz w:val="24"/>
          <w:szCs w:val="24"/>
        </w:rPr>
        <w:t xml:space="preserve"> gjithashtu</w:t>
      </w:r>
      <w:r w:rsidR="00242844">
        <w:rPr>
          <w:rFonts w:ascii="Garamond" w:hAnsi="Garamond"/>
          <w:sz w:val="24"/>
          <w:szCs w:val="24"/>
        </w:rPr>
        <w:t>,</w:t>
      </w:r>
      <w:r w:rsidRPr="00EE038F">
        <w:rPr>
          <w:rFonts w:ascii="Garamond" w:hAnsi="Garamond"/>
          <w:sz w:val="24"/>
          <w:szCs w:val="24"/>
        </w:rPr>
        <w:t xml:space="preserve"> lejon përfitimet e reformave të mëparshme të ndihmojnë në financimin e masave pasardhëse.</w:t>
      </w:r>
    </w:p>
    <w:p w14:paraId="78B26825" w14:textId="18997401"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Së treti, potenciali i përmirësuar i rritjes nga reformat duhet të përmirësojë qëndrueshmërinë fiskale</w:t>
      </w:r>
      <w:r w:rsidR="00242844">
        <w:rPr>
          <w:rFonts w:ascii="Garamond" w:hAnsi="Garamond"/>
          <w:sz w:val="24"/>
          <w:szCs w:val="24"/>
        </w:rPr>
        <w:t>,</w:t>
      </w:r>
      <w:r w:rsidRPr="00EE038F">
        <w:rPr>
          <w:rFonts w:ascii="Garamond" w:hAnsi="Garamond"/>
          <w:sz w:val="24"/>
          <w:szCs w:val="24"/>
        </w:rPr>
        <w:t xml:space="preserve"> duke zgjeruar bazën e të ardhurave dhe duke përmirësuar kapacitetin e shërbimit të borxhit. Edhe pse këto efekte nuk janë plotësisht të pasqyruara në projektimet bazë, ato përfaqësojnë potencial të rëndësishëm pozitiv për performancën fiskale.</w:t>
      </w:r>
    </w:p>
    <w:p w14:paraId="6F52409C" w14:textId="77777777"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Së katërti, reformat në menaxhimin e financave publike dhe administratën e të ardhurave duhet të përmirësojnë aftësinë e qeverisë për të ruajtur disiplinën fiskale gjatë zbatimit të agjendës së reformave.</w:t>
      </w:r>
    </w:p>
    <w:p w14:paraId="4185938A" w14:textId="1E4A5909" w:rsidR="00C50585" w:rsidRPr="00EE038F" w:rsidRDefault="00C50585" w:rsidP="00850177">
      <w:pPr>
        <w:spacing w:after="0" w:line="240" w:lineRule="auto"/>
        <w:ind w:firstLine="284"/>
        <w:jc w:val="both"/>
        <w:rPr>
          <w:rFonts w:ascii="Garamond" w:hAnsi="Garamond"/>
          <w:b/>
          <w:bCs/>
          <w:sz w:val="24"/>
          <w:szCs w:val="24"/>
        </w:rPr>
      </w:pPr>
      <w:r w:rsidRPr="00EE038F">
        <w:rPr>
          <w:rFonts w:ascii="Garamond" w:hAnsi="Garamond"/>
          <w:b/>
          <w:bCs/>
          <w:sz w:val="24"/>
          <w:szCs w:val="24"/>
        </w:rPr>
        <w:t xml:space="preserve">Integrimi me </w:t>
      </w:r>
      <w:r w:rsidR="00242844" w:rsidRPr="00EE038F">
        <w:rPr>
          <w:rFonts w:ascii="Garamond" w:hAnsi="Garamond"/>
          <w:b/>
          <w:bCs/>
          <w:sz w:val="24"/>
          <w:szCs w:val="24"/>
        </w:rPr>
        <w:t>programimin makrofiskal</w:t>
      </w:r>
    </w:p>
    <w:p w14:paraId="3C79DA24" w14:textId="31F01E10"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Masat e </w:t>
      </w:r>
      <w:r w:rsidR="00855231" w:rsidRPr="00EE038F">
        <w:rPr>
          <w:rFonts w:ascii="Garamond" w:hAnsi="Garamond"/>
          <w:sz w:val="24"/>
          <w:szCs w:val="24"/>
        </w:rPr>
        <w:t xml:space="preserve">agjendës së reformës </w:t>
      </w:r>
      <w:r w:rsidRPr="00EE038F">
        <w:rPr>
          <w:rFonts w:ascii="Garamond" w:hAnsi="Garamond"/>
          <w:sz w:val="24"/>
          <w:szCs w:val="24"/>
        </w:rPr>
        <w:t xml:space="preserve">janë konsideruar me kujdes në kontekstin e kuadrit </w:t>
      </w:r>
      <w:r w:rsidR="008E298F">
        <w:rPr>
          <w:rFonts w:ascii="Garamond" w:hAnsi="Garamond"/>
          <w:sz w:val="24"/>
          <w:szCs w:val="24"/>
        </w:rPr>
        <w:t>makro</w:t>
      </w:r>
      <w:r w:rsidRPr="00EE038F">
        <w:rPr>
          <w:rFonts w:ascii="Garamond" w:hAnsi="Garamond"/>
          <w:sz w:val="24"/>
          <w:szCs w:val="24"/>
        </w:rPr>
        <w:t xml:space="preserve">fiskal afatmesëm të paraqitur në seksionet 3 dhe 4, edhe pse ndikimi i tyre i plotë potencial ende nuk është përfshirë në projektimet bazë. Kjo qasje e matur ndaj programimit </w:t>
      </w:r>
      <w:r w:rsidR="008E298F">
        <w:rPr>
          <w:rFonts w:ascii="Garamond" w:hAnsi="Garamond"/>
          <w:sz w:val="24"/>
          <w:szCs w:val="24"/>
        </w:rPr>
        <w:t>makro</w:t>
      </w:r>
      <w:r w:rsidRPr="00EE038F">
        <w:rPr>
          <w:rFonts w:ascii="Garamond" w:hAnsi="Garamond"/>
          <w:sz w:val="24"/>
          <w:szCs w:val="24"/>
        </w:rPr>
        <w:t>fiskal siguron besueshmërinë e kuadrit</w:t>
      </w:r>
      <w:r w:rsidR="00231487">
        <w:rPr>
          <w:rFonts w:ascii="Garamond" w:hAnsi="Garamond"/>
          <w:sz w:val="24"/>
          <w:szCs w:val="24"/>
        </w:rPr>
        <w:t>,</w:t>
      </w:r>
      <w:r w:rsidRPr="00EE038F">
        <w:rPr>
          <w:rFonts w:ascii="Garamond" w:hAnsi="Garamond"/>
          <w:sz w:val="24"/>
          <w:szCs w:val="24"/>
        </w:rPr>
        <w:t xml:space="preserve"> duke njohur njëkohësisht potencialin e rëndësishëm pozitiv nga zbatimi i suksesshëm i reformave.</w:t>
      </w:r>
    </w:p>
    <w:p w14:paraId="29B27C15" w14:textId="38D5F0A4"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Normat e projektuar të rritjes së PBB-së prej 3.9% në vit gjatë periudhës </w:t>
      </w:r>
      <w:r w:rsidR="003F70BC" w:rsidRPr="00EE038F">
        <w:rPr>
          <w:rFonts w:ascii="Garamond" w:hAnsi="Garamond"/>
          <w:sz w:val="24"/>
          <w:szCs w:val="24"/>
        </w:rPr>
        <w:t xml:space="preserve">2025–2027 </w:t>
      </w:r>
      <w:r w:rsidRPr="00EE038F">
        <w:rPr>
          <w:rFonts w:ascii="Garamond" w:hAnsi="Garamond"/>
          <w:sz w:val="24"/>
          <w:szCs w:val="24"/>
        </w:rPr>
        <w:t xml:space="preserve">në skenarin bazë përfaqësojnë një vlerësim të kujdesshëm bazuar në tendencat dhe politikat aktuale. Zbatimi i suksesshëm i </w:t>
      </w:r>
      <w:r w:rsidR="004C6DCE" w:rsidRPr="00EE038F">
        <w:rPr>
          <w:rFonts w:ascii="Garamond" w:hAnsi="Garamond"/>
          <w:sz w:val="24"/>
          <w:szCs w:val="24"/>
        </w:rPr>
        <w:t>agjendës së reformës</w:t>
      </w:r>
      <w:r w:rsidRPr="00EE038F">
        <w:rPr>
          <w:rFonts w:ascii="Garamond" w:hAnsi="Garamond"/>
          <w:sz w:val="24"/>
          <w:szCs w:val="24"/>
        </w:rPr>
        <w:t xml:space="preserve">, i mbështetur nga </w:t>
      </w:r>
      <w:r w:rsidR="004C6DCE" w:rsidRPr="00EE038F">
        <w:rPr>
          <w:rFonts w:ascii="Garamond" w:hAnsi="Garamond"/>
          <w:sz w:val="24"/>
          <w:szCs w:val="24"/>
        </w:rPr>
        <w:t xml:space="preserve">mekanizmi i reformës dhe </w:t>
      </w:r>
      <w:r w:rsidR="004C6DCE">
        <w:rPr>
          <w:rFonts w:ascii="Garamond" w:hAnsi="Garamond"/>
          <w:sz w:val="24"/>
          <w:szCs w:val="24"/>
        </w:rPr>
        <w:t xml:space="preserve">i </w:t>
      </w:r>
      <w:r w:rsidR="004C6DCE" w:rsidRPr="00EE038F">
        <w:rPr>
          <w:rFonts w:ascii="Garamond" w:hAnsi="Garamond"/>
          <w:sz w:val="24"/>
          <w:szCs w:val="24"/>
        </w:rPr>
        <w:t>rritjes</w:t>
      </w:r>
      <w:r w:rsidRPr="00EE038F">
        <w:rPr>
          <w:rFonts w:ascii="Garamond" w:hAnsi="Garamond"/>
          <w:sz w:val="24"/>
          <w:szCs w:val="24"/>
        </w:rPr>
        <w:t>, mund të sigurojë rritje të konsiderueshme të këtyre parashikimeve të rritjes përmes disa kanaleve.</w:t>
      </w:r>
    </w:p>
    <w:p w14:paraId="3F4F05C6" w14:textId="7635122A"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Këto kanale shtesë rritjeje do të veprojnë përmes mekanizmave përforcues të shumëfishtë. Përmirësimet në mjedisin e biznesit të kombinuara me transformimin digjital do të nxisin fitime produktiviteti në të gjithë ekonominë. Kjo do të plotësohet nga rritja e investimeve private që rrjedhin nga besimi i përmirësuar i biznesit dhe reduktimi i pengesave administrative dhe rregullatore. Reformat gjithëpërfshirëse në arsim dhe tregjet e punës do të mundësojnë shfrytëzim më të mirë të kapitalit njerëzor, duke siguruar përputhjen e aftësive me nevojat e tregut dhe duke mbështetur produktivitet më të lartë të punës. Reformat në sektorin e energjisë do të përmirësojnë si sigurinë energjetike</w:t>
      </w:r>
      <w:r w:rsidR="00AA2F9A">
        <w:rPr>
          <w:rFonts w:ascii="Garamond" w:hAnsi="Garamond"/>
          <w:sz w:val="24"/>
          <w:szCs w:val="24"/>
        </w:rPr>
        <w:t>,</w:t>
      </w:r>
      <w:r w:rsidRPr="00EE038F">
        <w:rPr>
          <w:rFonts w:ascii="Garamond" w:hAnsi="Garamond"/>
          <w:sz w:val="24"/>
          <w:szCs w:val="24"/>
        </w:rPr>
        <w:t xml:space="preserve"> ashtu edhe </w:t>
      </w:r>
      <w:r w:rsidR="00D555C7" w:rsidRPr="00EE038F">
        <w:rPr>
          <w:rFonts w:ascii="Garamond" w:hAnsi="Garamond"/>
          <w:sz w:val="24"/>
          <w:szCs w:val="24"/>
        </w:rPr>
        <w:t>eficienc</w:t>
      </w:r>
      <w:r w:rsidRPr="00EE038F">
        <w:rPr>
          <w:rFonts w:ascii="Garamond" w:hAnsi="Garamond"/>
          <w:sz w:val="24"/>
          <w:szCs w:val="24"/>
        </w:rPr>
        <w:t>ën, duke reduktuar një kufizim kryesor të rritjes ekonomike. Në themel të të gjitha këtyre ndryshimeve, cilësia e përmirësuar institucionale do të mbështesë zhvillimin e gjerë të tregut dhe modernizimin ekonomik.</w:t>
      </w:r>
    </w:p>
    <w:p w14:paraId="559D5618" w14:textId="77777777"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Në mënyrë të ngjashme, edhe pse kuadri fiskal merr parasysh kërkesat bazë të financimit të zbatimit të reformës, ai nuk përfshin plotësisht ndikimet e mundshme pozitive fiskale nga zbatimi i suksesshëm i reformës, si:</w:t>
      </w:r>
    </w:p>
    <w:p w14:paraId="0FFCB668" w14:textId="3A578044"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Përfitimet e mundshme fiskale do të lindin përmes disa kanaleve të ndërlidhura. Mbledhja e të ardhurave do të përmirësohet përmes sistemeve të modernizuara të administratës tatimore dhe mekanizmave të përmirësuar të përputhshmërisë. Formalizimi gradual i aktivitetit ekonomik do të çojë në zgjerim të bazës tatimore, duke sjellë më shumë biznese dhe transaksione në ekonominë formale. </w:t>
      </w:r>
      <w:r w:rsidR="00C44033" w:rsidRPr="00EE038F">
        <w:rPr>
          <w:rFonts w:ascii="Garamond" w:hAnsi="Garamond"/>
          <w:sz w:val="24"/>
          <w:szCs w:val="24"/>
        </w:rPr>
        <w:t>Digjital</w:t>
      </w:r>
      <w:r w:rsidRPr="00EE038F">
        <w:rPr>
          <w:rFonts w:ascii="Garamond" w:hAnsi="Garamond"/>
          <w:sz w:val="24"/>
          <w:szCs w:val="24"/>
        </w:rPr>
        <w:t xml:space="preserve">izimi dhe modernizimi i gjerë i shërbimeve publike do të gjenerojë fitime të konsiderueshme </w:t>
      </w:r>
      <w:r w:rsidR="00D555C7" w:rsidRPr="00EE038F">
        <w:rPr>
          <w:rFonts w:ascii="Garamond" w:hAnsi="Garamond"/>
          <w:sz w:val="24"/>
          <w:szCs w:val="24"/>
        </w:rPr>
        <w:t>eficienc</w:t>
      </w:r>
      <w:r w:rsidRPr="00EE038F">
        <w:rPr>
          <w:rFonts w:ascii="Garamond" w:hAnsi="Garamond"/>
          <w:sz w:val="24"/>
          <w:szCs w:val="24"/>
        </w:rPr>
        <w:t xml:space="preserve">e në të gjitha operacionet qeveritare. Potenciali i përmirësuar i rritjes </w:t>
      </w:r>
      <w:r w:rsidRPr="00EE038F">
        <w:rPr>
          <w:rFonts w:ascii="Garamond" w:hAnsi="Garamond"/>
          <w:sz w:val="24"/>
          <w:szCs w:val="24"/>
        </w:rPr>
        <w:lastRenderedPageBreak/>
        <w:t>ekonomike do të çojë në mënyrë natyrore në gjenerim më të lartë të të ardhurave në të gjitha kategoritë kryesore tatimore. Ndoshta më e rëndësishmja, potenciali i përmirësuar i rritjes do të përmirësojë treguesit e qëndrueshmërisë së borxhit</w:t>
      </w:r>
      <w:r w:rsidR="00AA2F9A">
        <w:rPr>
          <w:rFonts w:ascii="Garamond" w:hAnsi="Garamond"/>
          <w:sz w:val="24"/>
          <w:szCs w:val="24"/>
        </w:rPr>
        <w:t>,</w:t>
      </w:r>
      <w:r w:rsidRPr="00EE038F">
        <w:rPr>
          <w:rFonts w:ascii="Garamond" w:hAnsi="Garamond"/>
          <w:sz w:val="24"/>
          <w:szCs w:val="24"/>
        </w:rPr>
        <w:t xml:space="preserve"> duke zgjeruar kapacitetin e ekonomisë për shërbimin e borxhit</w:t>
      </w:r>
      <w:r w:rsidR="00AA2F9A">
        <w:rPr>
          <w:rFonts w:ascii="Garamond" w:hAnsi="Garamond"/>
          <w:sz w:val="24"/>
          <w:szCs w:val="24"/>
        </w:rPr>
        <w:t>,</w:t>
      </w:r>
      <w:r w:rsidRPr="00EE038F">
        <w:rPr>
          <w:rFonts w:ascii="Garamond" w:hAnsi="Garamond"/>
          <w:sz w:val="24"/>
          <w:szCs w:val="24"/>
        </w:rPr>
        <w:t xml:space="preserve"> duke ruajtur njëkohësisht investimet publike thelbësore.</w:t>
      </w:r>
    </w:p>
    <w:p w14:paraId="6CEE6588" w14:textId="2E8D5FA7" w:rsidR="00C50585" w:rsidRPr="00EE038F" w:rsidRDefault="00C50585" w:rsidP="00850177">
      <w:pPr>
        <w:spacing w:after="0" w:line="240" w:lineRule="auto"/>
        <w:ind w:firstLine="284"/>
        <w:jc w:val="both"/>
        <w:rPr>
          <w:rFonts w:ascii="Garamond" w:hAnsi="Garamond"/>
          <w:sz w:val="24"/>
          <w:szCs w:val="24"/>
        </w:rPr>
      </w:pPr>
      <w:r w:rsidRPr="00EE038F">
        <w:rPr>
          <w:rFonts w:ascii="Garamond" w:hAnsi="Garamond"/>
          <w:sz w:val="24"/>
          <w:szCs w:val="24"/>
        </w:rPr>
        <w:t xml:space="preserve">Kjo qasje e kujdesshme ndaj programimit </w:t>
      </w:r>
      <w:r w:rsidR="008E298F">
        <w:rPr>
          <w:rFonts w:ascii="Garamond" w:hAnsi="Garamond"/>
          <w:sz w:val="24"/>
          <w:szCs w:val="24"/>
        </w:rPr>
        <w:t>makro</w:t>
      </w:r>
      <w:r w:rsidRPr="00EE038F">
        <w:rPr>
          <w:rFonts w:ascii="Garamond" w:hAnsi="Garamond"/>
          <w:sz w:val="24"/>
          <w:szCs w:val="24"/>
        </w:rPr>
        <w:t xml:space="preserve">fiskal, e cila ende nuk i përllogarit plotësisht përfitimet e mundshme të </w:t>
      </w:r>
      <w:r w:rsidR="00AA2F9A" w:rsidRPr="00EE038F">
        <w:rPr>
          <w:rFonts w:ascii="Garamond" w:hAnsi="Garamond"/>
          <w:sz w:val="24"/>
          <w:szCs w:val="24"/>
        </w:rPr>
        <w:t>agjendës së reformës</w:t>
      </w:r>
      <w:r w:rsidRPr="00EE038F">
        <w:rPr>
          <w:rFonts w:ascii="Garamond" w:hAnsi="Garamond"/>
          <w:sz w:val="24"/>
          <w:szCs w:val="24"/>
        </w:rPr>
        <w:t>, ndihmon në sigurimin e besueshmërisë së kuadrit</w:t>
      </w:r>
      <w:r w:rsidR="00AA2F9A">
        <w:rPr>
          <w:rFonts w:ascii="Garamond" w:hAnsi="Garamond"/>
          <w:sz w:val="24"/>
          <w:szCs w:val="24"/>
        </w:rPr>
        <w:t>,</w:t>
      </w:r>
      <w:r w:rsidRPr="00EE038F">
        <w:rPr>
          <w:rFonts w:ascii="Garamond" w:hAnsi="Garamond"/>
          <w:sz w:val="24"/>
          <w:szCs w:val="24"/>
        </w:rPr>
        <w:t xml:space="preserve"> duke ruajtur fokusimin në rëndësinë e zbatimit të suksesshëm të reformave për realizimin e potencialit ekonomik të Shqipërisë.</w:t>
      </w:r>
    </w:p>
    <w:p w14:paraId="4B29D649" w14:textId="77777777" w:rsidR="00C50585" w:rsidRPr="00EE038F" w:rsidRDefault="00850177" w:rsidP="00850177">
      <w:pPr>
        <w:pStyle w:val="TEKSTIIIIII"/>
        <w:rPr>
          <w:bCs/>
        </w:rPr>
      </w:pPr>
      <w:r w:rsidRPr="00EE038F">
        <w:rPr>
          <w:bCs/>
        </w:rPr>
        <w:t xml:space="preserve">6. </w:t>
      </w:r>
      <w:bookmarkStart w:id="42" w:name="_Toc187328216"/>
      <w:r w:rsidR="00C50585" w:rsidRPr="00EE038F">
        <w:rPr>
          <w:bCs/>
        </w:rPr>
        <w:t>ÇËSHTJE INSTITUCIONALE DHE PËRFSHIRJA E AKTORËVE TË INTERESIT</w:t>
      </w:r>
      <w:bookmarkEnd w:id="42"/>
    </w:p>
    <w:p w14:paraId="1F0E7B19" w14:textId="23C16316" w:rsidR="00C50585" w:rsidRPr="00EE038F" w:rsidRDefault="00C50585" w:rsidP="00850177">
      <w:pPr>
        <w:pStyle w:val="TEKSTIIIIII"/>
      </w:pPr>
      <w:r w:rsidRPr="00EE038F">
        <w:t xml:space="preserve">Cikli i Programit të Reformës Ekonomike (ERP) 2025–2027 u lançua zyrtarisht nga Komisioni Evropian </w:t>
      </w:r>
      <w:r w:rsidR="00F24053">
        <w:t>n</w:t>
      </w:r>
      <w:r w:rsidRPr="00EE038F">
        <w:t>ë qershor 2024.</w:t>
      </w:r>
    </w:p>
    <w:p w14:paraId="099539FD" w14:textId="009B4B76" w:rsidR="00C50585" w:rsidRPr="00EE038F" w:rsidRDefault="00C50585" w:rsidP="00850177">
      <w:pPr>
        <w:pStyle w:val="TEKSTIIIIII"/>
        <w:rPr>
          <w:rStyle w:val="rynqvb"/>
          <w:rFonts w:eastAsia="Calibri"/>
        </w:rPr>
      </w:pPr>
      <w:r w:rsidRPr="00EE038F">
        <w:t>Hartimi dhe përgatitja e Programit të Reformës Ekonomike (ERP) 2025–2027 është koordinuar nga Ministria e Financave</w:t>
      </w:r>
      <w:r w:rsidR="00AA2F9A">
        <w:t>,</w:t>
      </w:r>
      <w:r w:rsidRPr="00EE038F">
        <w:t xml:space="preserve"> me kontribute nga </w:t>
      </w:r>
      <w:r w:rsidRPr="00EE038F">
        <w:rPr>
          <w:rStyle w:val="rynqvb"/>
          <w:rFonts w:eastAsia="Calibri"/>
        </w:rPr>
        <w:t>departamente të ndryshme brenda ministrisë dhe Bankës së Shqipërisë.</w:t>
      </w:r>
    </w:p>
    <w:p w14:paraId="380E5182" w14:textId="53FF3F92" w:rsidR="00C50585" w:rsidRPr="00EE038F" w:rsidRDefault="00C50585" w:rsidP="00850177">
      <w:pPr>
        <w:pStyle w:val="TEKSTIIIIII"/>
        <w:rPr>
          <w:rStyle w:val="rynqvb"/>
          <w:rFonts w:eastAsia="Calibri"/>
        </w:rPr>
      </w:pPr>
      <w:r w:rsidRPr="00EE038F">
        <w:t>Urdhri i Kryeministrit nr. 107, datë 6.8.2019</w:t>
      </w:r>
      <w:r w:rsidR="00AA2F9A">
        <w:t>,</w:t>
      </w:r>
      <w:r w:rsidRPr="00EE038F">
        <w:t xml:space="preserve"> përcakton kuadrin e koordinimit të procesit të ERP-së në nivel kombëtar dhe cakton ministrin e Financave me funksionin e </w:t>
      </w:r>
      <w:r w:rsidR="00AA2F9A" w:rsidRPr="00EE038F">
        <w:t xml:space="preserve">koordinatorit kombëtar </w:t>
      </w:r>
      <w:r w:rsidRPr="00EE038F">
        <w:t xml:space="preserve">të ERP-së. </w:t>
      </w:r>
      <w:r w:rsidRPr="00EE038F">
        <w:rPr>
          <w:rStyle w:val="rynqvb"/>
          <w:rFonts w:eastAsia="Calibri"/>
        </w:rPr>
        <w:t>Ministria e Financave udhëheq procesin e koordinimit në mënyrë institucionale me departamentet përkatëse brenda ministrisë</w:t>
      </w:r>
      <w:r w:rsidR="00AA2F9A">
        <w:rPr>
          <w:rStyle w:val="rynqvb"/>
          <w:rFonts w:eastAsia="Calibri"/>
        </w:rPr>
        <w:t>,</w:t>
      </w:r>
      <w:r w:rsidRPr="00EE038F">
        <w:rPr>
          <w:rStyle w:val="rynqvb"/>
          <w:rFonts w:eastAsia="Calibri"/>
        </w:rPr>
        <w:t xml:space="preserve"> duke marrë drejtimin për hartimin dhe përgatitjen e kapitujve të veçantë, si dhe koordinimin e përgjithshëm të procesit. </w:t>
      </w:r>
    </w:p>
    <w:p w14:paraId="45C77FBD" w14:textId="02369B1C" w:rsidR="00C50585" w:rsidRPr="00EE038F" w:rsidRDefault="00C50585" w:rsidP="00850177">
      <w:pPr>
        <w:pStyle w:val="TEKSTIIIIII"/>
      </w:pPr>
      <w:r w:rsidRPr="00EE038F">
        <w:t xml:space="preserve">Këshilli i Ministrave miratoi Programin e Reformës Ekonomike </w:t>
      </w:r>
      <w:r w:rsidR="003F70BC" w:rsidRPr="00EE038F">
        <w:t xml:space="preserve">2025–2027 </w:t>
      </w:r>
      <w:r w:rsidRPr="00EE038F">
        <w:t xml:space="preserve">në janar 2025. ERP </w:t>
      </w:r>
      <w:r w:rsidR="003F70BC" w:rsidRPr="00EE038F">
        <w:t xml:space="preserve">2025–2027 </w:t>
      </w:r>
      <w:r w:rsidRPr="00EE038F">
        <w:t>u dërgua zyrtarisht në Komisionin Evropian</w:t>
      </w:r>
      <w:r w:rsidR="00AA2F9A">
        <w:t>,</w:t>
      </w:r>
      <w:r w:rsidRPr="00EE038F">
        <w:t xml:space="preserve"> brenda 15 janarit 2025.</w:t>
      </w:r>
    </w:p>
    <w:p w14:paraId="665F3190" w14:textId="77777777" w:rsidR="00C50585" w:rsidRPr="00EE038F" w:rsidRDefault="00850177" w:rsidP="00850177">
      <w:pPr>
        <w:pStyle w:val="TEKSTIIIIII"/>
        <w:rPr>
          <w:bCs/>
        </w:rPr>
      </w:pPr>
      <w:r w:rsidRPr="00EE038F">
        <w:rPr>
          <w:bCs/>
        </w:rPr>
        <w:t xml:space="preserve">7. </w:t>
      </w:r>
      <w:bookmarkStart w:id="43" w:name="_Toc187328217"/>
      <w:r w:rsidR="00C50585" w:rsidRPr="00EE038F">
        <w:rPr>
          <w:bCs/>
        </w:rPr>
        <w:t>SHTOJCAT</w:t>
      </w:r>
      <w:bookmarkEnd w:id="43"/>
    </w:p>
    <w:p w14:paraId="338BFB82" w14:textId="77777777" w:rsidR="00280C20" w:rsidRPr="00EE038F" w:rsidRDefault="00280C20" w:rsidP="002764BC">
      <w:pPr>
        <w:pStyle w:val="TEKSTIIIIII"/>
        <w:ind w:firstLine="0"/>
        <w:jc w:val="center"/>
        <w:rPr>
          <w:bCs/>
        </w:rPr>
      </w:pPr>
      <w:bookmarkStart w:id="44" w:name="_Toc187328218"/>
    </w:p>
    <w:p w14:paraId="6CFD4411" w14:textId="4DBBAA95" w:rsidR="00C50585" w:rsidRPr="00EE038F" w:rsidRDefault="002764BC" w:rsidP="002764BC">
      <w:pPr>
        <w:pStyle w:val="TEKSTIIIIII"/>
        <w:ind w:firstLine="0"/>
        <w:jc w:val="center"/>
        <w:rPr>
          <w:bCs/>
        </w:rPr>
      </w:pPr>
      <w:r w:rsidRPr="00EE038F">
        <w:rPr>
          <w:bCs/>
        </w:rPr>
        <w:t>SHTOJCA I</w:t>
      </w:r>
      <w:bookmarkEnd w:id="44"/>
    </w:p>
    <w:p w14:paraId="4B292973" w14:textId="77777777" w:rsidR="00C50585" w:rsidRPr="00EE038F" w:rsidRDefault="00C50585" w:rsidP="00C50585">
      <w:pPr>
        <w:spacing w:after="0" w:line="240" w:lineRule="auto"/>
        <w:contextualSpacing/>
        <w:jc w:val="both"/>
        <w:rPr>
          <w:rFonts w:ascii="Garamond" w:hAnsi="Garamond"/>
          <w:color w:val="0D0D0D" w:themeColor="text1" w:themeTint="F2"/>
        </w:rPr>
      </w:pPr>
    </w:p>
    <w:p w14:paraId="05280290" w14:textId="77777777" w:rsidR="00C50585" w:rsidRPr="00EE038F" w:rsidRDefault="00C50585" w:rsidP="002764BC">
      <w:pPr>
        <w:spacing w:after="0" w:line="240" w:lineRule="auto"/>
        <w:contextualSpacing/>
        <w:jc w:val="center"/>
        <w:rPr>
          <w:rFonts w:ascii="Garamond" w:hAnsi="Garamond"/>
          <w:bCs/>
          <w:i/>
          <w:iCs/>
          <w:color w:val="0D0D0D" w:themeColor="text1" w:themeTint="F2"/>
          <w:sz w:val="24"/>
          <w:szCs w:val="24"/>
        </w:rPr>
      </w:pPr>
      <w:r w:rsidRPr="00EE038F">
        <w:rPr>
          <w:rFonts w:ascii="Garamond" w:hAnsi="Garamond"/>
          <w:bCs/>
          <w:i/>
          <w:iCs/>
          <w:color w:val="0D0D0D" w:themeColor="text1" w:themeTint="F2"/>
          <w:sz w:val="24"/>
          <w:szCs w:val="24"/>
        </w:rPr>
        <w:t>Tabela 1a: Perspektivat makroekonomike</w:t>
      </w:r>
    </w:p>
    <w:tbl>
      <w:tblPr>
        <w:tblW w:w="5000" w:type="pct"/>
        <w:jc w:val="center"/>
        <w:tblLook w:val="04A0" w:firstRow="1" w:lastRow="0" w:firstColumn="1" w:lastColumn="0" w:noHBand="0" w:noVBand="1"/>
      </w:tblPr>
      <w:tblGrid>
        <w:gridCol w:w="2521"/>
        <w:gridCol w:w="1054"/>
        <w:gridCol w:w="1260"/>
        <w:gridCol w:w="826"/>
        <w:gridCol w:w="826"/>
        <w:gridCol w:w="826"/>
        <w:gridCol w:w="826"/>
        <w:gridCol w:w="835"/>
      </w:tblGrid>
      <w:tr w:rsidR="00C50585" w:rsidRPr="00EE038F" w14:paraId="5E29AA11" w14:textId="77777777" w:rsidTr="00280C20">
        <w:trPr>
          <w:trHeight w:val="20"/>
          <w:jc w:val="center"/>
        </w:trPr>
        <w:tc>
          <w:tcPr>
            <w:tcW w:w="1405" w:type="pct"/>
            <w:vMerge w:val="restart"/>
            <w:tcBorders>
              <w:top w:val="double" w:sz="6" w:space="0" w:color="auto"/>
              <w:left w:val="double" w:sz="6" w:space="0" w:color="auto"/>
              <w:right w:val="dotted" w:sz="4" w:space="0" w:color="auto"/>
            </w:tcBorders>
            <w:shd w:val="clear" w:color="auto" w:fill="FFFFFF"/>
            <w:vAlign w:val="center"/>
            <w:hideMark/>
          </w:tcPr>
          <w:p w14:paraId="6AF7035C" w14:textId="29251605"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 xml:space="preserve">Në </w:t>
            </w:r>
            <w:r w:rsidR="009242F9" w:rsidRPr="00EE038F">
              <w:rPr>
                <w:rFonts w:ascii="Garamond" w:hAnsi="Garamond"/>
                <w:b/>
                <w:bCs/>
                <w:color w:val="0D0D0D" w:themeColor="text1" w:themeTint="F2"/>
                <w:sz w:val="18"/>
              </w:rPr>
              <w:t>përqindje</w:t>
            </w:r>
            <w:r w:rsidRPr="00EE038F">
              <w:rPr>
                <w:rFonts w:ascii="Garamond" w:hAnsi="Garamond"/>
                <w:b/>
                <w:bCs/>
                <w:color w:val="0D0D0D" w:themeColor="text1" w:themeTint="F2"/>
                <w:sz w:val="18"/>
              </w:rPr>
              <w:t>, nëse nuk tregohet ndryshe</w:t>
            </w:r>
          </w:p>
          <w:p w14:paraId="2148D157" w14:textId="58CDE0CF" w:rsidR="00C50585" w:rsidRPr="00EE038F" w:rsidRDefault="00C50585" w:rsidP="00280C20">
            <w:pPr>
              <w:spacing w:after="0" w:line="240" w:lineRule="auto"/>
              <w:contextualSpacing/>
              <w:jc w:val="center"/>
              <w:rPr>
                <w:rFonts w:ascii="Garamond" w:hAnsi="Garamond"/>
                <w:b/>
                <w:bCs/>
                <w:color w:val="0D0D0D" w:themeColor="text1" w:themeTint="F2"/>
                <w:sz w:val="18"/>
              </w:rPr>
            </w:pPr>
          </w:p>
        </w:tc>
        <w:tc>
          <w:tcPr>
            <w:tcW w:w="588" w:type="pct"/>
            <w:vMerge w:val="restart"/>
            <w:tcBorders>
              <w:top w:val="double" w:sz="6" w:space="0" w:color="auto"/>
              <w:left w:val="dotted" w:sz="4" w:space="0" w:color="auto"/>
              <w:right w:val="single" w:sz="8" w:space="0" w:color="auto"/>
            </w:tcBorders>
            <w:shd w:val="clear" w:color="auto" w:fill="FFFFFF"/>
            <w:vAlign w:val="center"/>
            <w:hideMark/>
          </w:tcPr>
          <w:p w14:paraId="0193C642"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Kodi</w:t>
            </w:r>
          </w:p>
          <w:p w14:paraId="1D2988AD"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ESA</w:t>
            </w:r>
          </w:p>
        </w:tc>
        <w:tc>
          <w:tcPr>
            <w:tcW w:w="702" w:type="pct"/>
            <w:tcBorders>
              <w:top w:val="double" w:sz="6" w:space="0" w:color="auto"/>
              <w:left w:val="nil"/>
              <w:bottom w:val="nil"/>
              <w:right w:val="single" w:sz="8" w:space="0" w:color="auto"/>
            </w:tcBorders>
            <w:shd w:val="clear" w:color="auto" w:fill="FFFFFF"/>
            <w:vAlign w:val="center"/>
            <w:hideMark/>
          </w:tcPr>
          <w:p w14:paraId="5D6D1F40"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Viti</w:t>
            </w:r>
          </w:p>
        </w:tc>
        <w:tc>
          <w:tcPr>
            <w:tcW w:w="460" w:type="pct"/>
            <w:tcBorders>
              <w:top w:val="double" w:sz="6" w:space="0" w:color="auto"/>
              <w:left w:val="nil"/>
              <w:bottom w:val="nil"/>
              <w:right w:val="dotted" w:sz="4" w:space="0" w:color="auto"/>
            </w:tcBorders>
            <w:shd w:val="clear" w:color="auto" w:fill="FFFFFF"/>
            <w:vAlign w:val="center"/>
            <w:hideMark/>
          </w:tcPr>
          <w:p w14:paraId="3E54CDC1" w14:textId="77777777" w:rsidR="00C50585" w:rsidRPr="00EE038F" w:rsidRDefault="00C50585" w:rsidP="00280C20">
            <w:pPr>
              <w:spacing w:after="0" w:line="240" w:lineRule="auto"/>
              <w:contextualSpacing/>
              <w:jc w:val="center"/>
              <w:rPr>
                <w:rFonts w:ascii="Garamond" w:eastAsia="Times New Roman" w:hAnsi="Garamond"/>
                <w:b/>
                <w:bCs/>
                <w:color w:val="0D0D0D" w:themeColor="text1" w:themeTint="F2"/>
                <w:sz w:val="18"/>
              </w:rPr>
            </w:pPr>
            <w:r w:rsidRPr="00EE038F">
              <w:rPr>
                <w:rFonts w:ascii="Garamond" w:hAnsi="Garamond"/>
                <w:b/>
                <w:bCs/>
                <w:color w:val="0D0D0D" w:themeColor="text1" w:themeTint="F2"/>
                <w:sz w:val="18"/>
              </w:rPr>
              <w:t>Viti</w:t>
            </w:r>
          </w:p>
        </w:tc>
        <w:tc>
          <w:tcPr>
            <w:tcW w:w="460" w:type="pct"/>
            <w:tcBorders>
              <w:top w:val="double" w:sz="6" w:space="0" w:color="auto"/>
              <w:left w:val="nil"/>
              <w:bottom w:val="nil"/>
              <w:right w:val="dotted" w:sz="4" w:space="0" w:color="auto"/>
            </w:tcBorders>
            <w:shd w:val="clear" w:color="auto" w:fill="FFFFFF"/>
            <w:vAlign w:val="center"/>
            <w:hideMark/>
          </w:tcPr>
          <w:p w14:paraId="56662BB2"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Viti</w:t>
            </w:r>
          </w:p>
        </w:tc>
        <w:tc>
          <w:tcPr>
            <w:tcW w:w="460" w:type="pct"/>
            <w:tcBorders>
              <w:top w:val="double" w:sz="6" w:space="0" w:color="auto"/>
              <w:left w:val="nil"/>
              <w:bottom w:val="nil"/>
              <w:right w:val="dotted" w:sz="4" w:space="0" w:color="auto"/>
            </w:tcBorders>
            <w:shd w:val="clear" w:color="auto" w:fill="FFFFFF"/>
            <w:vAlign w:val="center"/>
            <w:hideMark/>
          </w:tcPr>
          <w:p w14:paraId="28A7298D"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Viti</w:t>
            </w:r>
          </w:p>
        </w:tc>
        <w:tc>
          <w:tcPr>
            <w:tcW w:w="460" w:type="pct"/>
            <w:tcBorders>
              <w:top w:val="double" w:sz="6" w:space="0" w:color="auto"/>
              <w:left w:val="nil"/>
              <w:bottom w:val="nil"/>
              <w:right w:val="dotted" w:sz="4" w:space="0" w:color="auto"/>
            </w:tcBorders>
            <w:shd w:val="clear" w:color="auto" w:fill="FFFFFF"/>
            <w:vAlign w:val="center"/>
            <w:hideMark/>
          </w:tcPr>
          <w:p w14:paraId="2FF1D08E"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Viti</w:t>
            </w:r>
          </w:p>
        </w:tc>
        <w:tc>
          <w:tcPr>
            <w:tcW w:w="464" w:type="pct"/>
            <w:tcBorders>
              <w:top w:val="double" w:sz="6" w:space="0" w:color="auto"/>
              <w:left w:val="nil"/>
              <w:bottom w:val="nil"/>
              <w:right w:val="double" w:sz="6" w:space="0" w:color="auto"/>
            </w:tcBorders>
            <w:shd w:val="clear" w:color="auto" w:fill="FFFFFF"/>
            <w:vAlign w:val="center"/>
            <w:hideMark/>
          </w:tcPr>
          <w:p w14:paraId="6ADA9241"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Viti</w:t>
            </w:r>
          </w:p>
        </w:tc>
      </w:tr>
      <w:tr w:rsidR="00C50585" w:rsidRPr="00EE038F" w14:paraId="7DEB310A" w14:textId="77777777" w:rsidTr="00280C20">
        <w:trPr>
          <w:trHeight w:val="20"/>
          <w:jc w:val="center"/>
        </w:trPr>
        <w:tc>
          <w:tcPr>
            <w:tcW w:w="1405" w:type="pct"/>
            <w:vMerge/>
            <w:tcBorders>
              <w:left w:val="double" w:sz="6" w:space="0" w:color="auto"/>
              <w:right w:val="dotted" w:sz="4" w:space="0" w:color="auto"/>
            </w:tcBorders>
            <w:vAlign w:val="center"/>
            <w:hideMark/>
          </w:tcPr>
          <w:p w14:paraId="7F6E4216"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p>
        </w:tc>
        <w:tc>
          <w:tcPr>
            <w:tcW w:w="588" w:type="pct"/>
            <w:vMerge/>
            <w:tcBorders>
              <w:left w:val="dotted" w:sz="4" w:space="0" w:color="auto"/>
              <w:right w:val="single" w:sz="8" w:space="0" w:color="auto"/>
            </w:tcBorders>
            <w:vAlign w:val="center"/>
            <w:hideMark/>
          </w:tcPr>
          <w:p w14:paraId="43EA461F"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p>
        </w:tc>
        <w:tc>
          <w:tcPr>
            <w:tcW w:w="702" w:type="pct"/>
            <w:tcBorders>
              <w:top w:val="nil"/>
              <w:left w:val="nil"/>
              <w:bottom w:val="single" w:sz="4" w:space="0" w:color="auto"/>
              <w:right w:val="single" w:sz="8" w:space="0" w:color="auto"/>
            </w:tcBorders>
            <w:shd w:val="clear" w:color="auto" w:fill="FFFFFF"/>
            <w:vAlign w:val="center"/>
            <w:hideMark/>
          </w:tcPr>
          <w:p w14:paraId="0D90DE1E"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2023</w:t>
            </w:r>
          </w:p>
        </w:tc>
        <w:tc>
          <w:tcPr>
            <w:tcW w:w="460" w:type="pct"/>
            <w:tcBorders>
              <w:top w:val="nil"/>
              <w:left w:val="nil"/>
              <w:bottom w:val="single" w:sz="4" w:space="0" w:color="auto"/>
              <w:right w:val="dotted" w:sz="4" w:space="0" w:color="auto"/>
            </w:tcBorders>
            <w:shd w:val="clear" w:color="auto" w:fill="FFFFFF"/>
            <w:vAlign w:val="center"/>
            <w:hideMark/>
          </w:tcPr>
          <w:p w14:paraId="09A5E9FC"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2023</w:t>
            </w:r>
          </w:p>
        </w:tc>
        <w:tc>
          <w:tcPr>
            <w:tcW w:w="460" w:type="pct"/>
            <w:tcBorders>
              <w:top w:val="nil"/>
              <w:left w:val="nil"/>
              <w:bottom w:val="single" w:sz="4" w:space="0" w:color="auto"/>
              <w:right w:val="dotted" w:sz="4" w:space="0" w:color="auto"/>
            </w:tcBorders>
            <w:shd w:val="clear" w:color="auto" w:fill="FFFFFF"/>
            <w:vAlign w:val="center"/>
            <w:hideMark/>
          </w:tcPr>
          <w:p w14:paraId="3D0E2E28"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2024</w:t>
            </w:r>
          </w:p>
        </w:tc>
        <w:tc>
          <w:tcPr>
            <w:tcW w:w="460" w:type="pct"/>
            <w:tcBorders>
              <w:top w:val="nil"/>
              <w:left w:val="nil"/>
              <w:bottom w:val="single" w:sz="4" w:space="0" w:color="auto"/>
              <w:right w:val="dotted" w:sz="4" w:space="0" w:color="auto"/>
            </w:tcBorders>
            <w:shd w:val="clear" w:color="auto" w:fill="FFFFFF"/>
            <w:vAlign w:val="center"/>
            <w:hideMark/>
          </w:tcPr>
          <w:p w14:paraId="640D848E"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2025</w:t>
            </w:r>
          </w:p>
        </w:tc>
        <w:tc>
          <w:tcPr>
            <w:tcW w:w="460" w:type="pct"/>
            <w:tcBorders>
              <w:top w:val="nil"/>
              <w:left w:val="nil"/>
              <w:bottom w:val="single" w:sz="4" w:space="0" w:color="auto"/>
              <w:right w:val="dotted" w:sz="4" w:space="0" w:color="auto"/>
            </w:tcBorders>
            <w:shd w:val="clear" w:color="auto" w:fill="FFFFFF"/>
            <w:vAlign w:val="center"/>
            <w:hideMark/>
          </w:tcPr>
          <w:p w14:paraId="75A3151F"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2026</w:t>
            </w:r>
          </w:p>
        </w:tc>
        <w:tc>
          <w:tcPr>
            <w:tcW w:w="464" w:type="pct"/>
            <w:tcBorders>
              <w:top w:val="nil"/>
              <w:left w:val="nil"/>
              <w:bottom w:val="single" w:sz="4" w:space="0" w:color="auto"/>
              <w:right w:val="double" w:sz="6" w:space="0" w:color="auto"/>
            </w:tcBorders>
            <w:shd w:val="clear" w:color="auto" w:fill="FFFFFF"/>
            <w:vAlign w:val="center"/>
            <w:hideMark/>
          </w:tcPr>
          <w:p w14:paraId="0C6E48CA"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2027</w:t>
            </w:r>
          </w:p>
        </w:tc>
      </w:tr>
      <w:tr w:rsidR="00C50585" w:rsidRPr="00EE038F" w14:paraId="4B8BCDD5" w14:textId="77777777" w:rsidTr="00280C20">
        <w:trPr>
          <w:trHeight w:val="20"/>
          <w:jc w:val="center"/>
        </w:trPr>
        <w:tc>
          <w:tcPr>
            <w:tcW w:w="1405" w:type="pct"/>
            <w:vMerge/>
            <w:tcBorders>
              <w:left w:val="double" w:sz="6" w:space="0" w:color="auto"/>
              <w:bottom w:val="single" w:sz="8" w:space="0" w:color="auto"/>
              <w:right w:val="dotted" w:sz="4" w:space="0" w:color="auto"/>
            </w:tcBorders>
            <w:shd w:val="clear" w:color="auto" w:fill="FFFFFF"/>
            <w:vAlign w:val="center"/>
            <w:hideMark/>
          </w:tcPr>
          <w:p w14:paraId="42C54DA9"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p>
        </w:tc>
        <w:tc>
          <w:tcPr>
            <w:tcW w:w="588" w:type="pct"/>
            <w:vMerge/>
            <w:tcBorders>
              <w:left w:val="dotted" w:sz="4" w:space="0" w:color="auto"/>
              <w:bottom w:val="single" w:sz="8" w:space="0" w:color="auto"/>
              <w:right w:val="single" w:sz="8" w:space="0" w:color="auto"/>
            </w:tcBorders>
            <w:shd w:val="clear" w:color="auto" w:fill="FFFFFF"/>
            <w:vAlign w:val="center"/>
            <w:hideMark/>
          </w:tcPr>
          <w:p w14:paraId="26411E25"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p>
        </w:tc>
        <w:tc>
          <w:tcPr>
            <w:tcW w:w="702" w:type="pct"/>
            <w:tcBorders>
              <w:top w:val="single" w:sz="4" w:space="0" w:color="auto"/>
              <w:left w:val="nil"/>
              <w:bottom w:val="single" w:sz="8" w:space="0" w:color="auto"/>
              <w:right w:val="single" w:sz="8" w:space="0" w:color="auto"/>
            </w:tcBorders>
            <w:shd w:val="clear" w:color="auto" w:fill="FFFFFF"/>
            <w:vAlign w:val="center"/>
            <w:hideMark/>
          </w:tcPr>
          <w:p w14:paraId="2B2E2B70"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Niveli</w:t>
            </w:r>
          </w:p>
          <w:p w14:paraId="254531CB"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(mld EUR)</w:t>
            </w:r>
          </w:p>
        </w:tc>
        <w:tc>
          <w:tcPr>
            <w:tcW w:w="2305" w:type="pct"/>
            <w:gridSpan w:val="5"/>
            <w:tcBorders>
              <w:top w:val="single" w:sz="4" w:space="0" w:color="auto"/>
              <w:left w:val="nil"/>
              <w:bottom w:val="single" w:sz="8" w:space="0" w:color="auto"/>
              <w:right w:val="double" w:sz="6" w:space="0" w:color="000000"/>
            </w:tcBorders>
            <w:shd w:val="clear" w:color="auto" w:fill="FFFFFF"/>
            <w:vAlign w:val="center"/>
            <w:hideMark/>
          </w:tcPr>
          <w:p w14:paraId="6A9404DF" w14:textId="77777777" w:rsidR="00C50585" w:rsidRPr="00EE038F" w:rsidRDefault="00C50585" w:rsidP="00280C20">
            <w:pPr>
              <w:spacing w:after="0" w:line="240" w:lineRule="auto"/>
              <w:contextualSpacing/>
              <w:jc w:val="center"/>
              <w:rPr>
                <w:rFonts w:ascii="Garamond" w:hAnsi="Garamond"/>
                <w:b/>
                <w:bCs/>
                <w:color w:val="0D0D0D" w:themeColor="text1" w:themeTint="F2"/>
                <w:sz w:val="18"/>
              </w:rPr>
            </w:pPr>
            <w:r w:rsidRPr="00EE038F">
              <w:rPr>
                <w:rFonts w:ascii="Garamond" w:hAnsi="Garamond"/>
                <w:b/>
                <w:bCs/>
                <w:color w:val="0D0D0D" w:themeColor="text1" w:themeTint="F2"/>
                <w:sz w:val="18"/>
              </w:rPr>
              <w:t>Shkalla e ndryshimit</w:t>
            </w:r>
          </w:p>
        </w:tc>
      </w:tr>
      <w:tr w:rsidR="00C50585" w:rsidRPr="00EE038F" w14:paraId="5E5EAC3C" w14:textId="77777777" w:rsidTr="00280C20">
        <w:trPr>
          <w:trHeight w:val="20"/>
          <w:jc w:val="center"/>
        </w:trPr>
        <w:tc>
          <w:tcPr>
            <w:tcW w:w="1405" w:type="pct"/>
            <w:tcBorders>
              <w:top w:val="nil"/>
              <w:left w:val="double" w:sz="6" w:space="0" w:color="auto"/>
              <w:bottom w:val="dotted" w:sz="4" w:space="0" w:color="auto"/>
              <w:right w:val="dotted" w:sz="4" w:space="0" w:color="auto"/>
            </w:tcBorders>
            <w:shd w:val="clear" w:color="auto" w:fill="FFFFFF"/>
            <w:hideMark/>
          </w:tcPr>
          <w:p w14:paraId="4D6430A8" w14:textId="77777777"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1. PBB reale me çmimet e tregut</w:t>
            </w:r>
          </w:p>
        </w:tc>
        <w:tc>
          <w:tcPr>
            <w:tcW w:w="588" w:type="pct"/>
            <w:tcBorders>
              <w:top w:val="nil"/>
              <w:left w:val="nil"/>
              <w:bottom w:val="dotted" w:sz="4" w:space="0" w:color="auto"/>
              <w:right w:val="single" w:sz="8" w:space="0" w:color="auto"/>
            </w:tcBorders>
            <w:shd w:val="clear" w:color="auto" w:fill="FFFFFF"/>
            <w:vAlign w:val="center"/>
            <w:hideMark/>
          </w:tcPr>
          <w:p w14:paraId="17AB736D" w14:textId="77777777"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B1*g</w:t>
            </w:r>
          </w:p>
        </w:tc>
        <w:tc>
          <w:tcPr>
            <w:tcW w:w="702" w:type="pct"/>
            <w:tcBorders>
              <w:top w:val="nil"/>
              <w:left w:val="nil"/>
              <w:bottom w:val="dotted" w:sz="4" w:space="0" w:color="auto"/>
              <w:right w:val="single" w:sz="8" w:space="0" w:color="auto"/>
            </w:tcBorders>
            <w:shd w:val="clear" w:color="auto" w:fill="FFFFFF"/>
            <w:hideMark/>
          </w:tcPr>
          <w:p w14:paraId="2777E0A2" w14:textId="77777777" w:rsidR="00C50585" w:rsidRPr="00EE038F" w:rsidRDefault="00C50585" w:rsidP="00280C20">
            <w:pPr>
              <w:spacing w:after="0" w:line="240" w:lineRule="auto"/>
              <w:contextualSpacing/>
              <w:jc w:val="right"/>
              <w:rPr>
                <w:rFonts w:ascii="Garamond" w:eastAsia="Times New Roman" w:hAnsi="Garamond"/>
                <w:color w:val="0D0D0D" w:themeColor="text1" w:themeTint="F2"/>
                <w:sz w:val="18"/>
              </w:rPr>
            </w:pPr>
            <w:r w:rsidRPr="00EE038F">
              <w:rPr>
                <w:rFonts w:ascii="Garamond" w:hAnsi="Garamond"/>
                <w:sz w:val="18"/>
              </w:rPr>
              <w:t>20.536</w:t>
            </w:r>
          </w:p>
        </w:tc>
        <w:tc>
          <w:tcPr>
            <w:tcW w:w="460" w:type="pct"/>
            <w:tcBorders>
              <w:top w:val="nil"/>
              <w:left w:val="nil"/>
              <w:bottom w:val="dotted" w:sz="4" w:space="0" w:color="auto"/>
              <w:right w:val="dotted" w:sz="4" w:space="0" w:color="auto"/>
            </w:tcBorders>
            <w:shd w:val="clear" w:color="auto" w:fill="FFFFFF"/>
            <w:hideMark/>
          </w:tcPr>
          <w:p w14:paraId="3CF17DF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3.9</w:t>
            </w:r>
          </w:p>
        </w:tc>
        <w:tc>
          <w:tcPr>
            <w:tcW w:w="460" w:type="pct"/>
            <w:tcBorders>
              <w:top w:val="nil"/>
              <w:left w:val="nil"/>
              <w:bottom w:val="dotted" w:sz="4" w:space="0" w:color="auto"/>
              <w:right w:val="dotted" w:sz="4" w:space="0" w:color="auto"/>
            </w:tcBorders>
            <w:shd w:val="clear" w:color="auto" w:fill="FFFFFF"/>
            <w:hideMark/>
          </w:tcPr>
          <w:p w14:paraId="177B5CA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3.9</w:t>
            </w:r>
          </w:p>
        </w:tc>
        <w:tc>
          <w:tcPr>
            <w:tcW w:w="460" w:type="pct"/>
            <w:tcBorders>
              <w:top w:val="nil"/>
              <w:left w:val="nil"/>
              <w:bottom w:val="dotted" w:sz="4" w:space="0" w:color="auto"/>
              <w:right w:val="dotted" w:sz="4" w:space="0" w:color="auto"/>
            </w:tcBorders>
            <w:shd w:val="clear" w:color="auto" w:fill="FFFFFF"/>
            <w:hideMark/>
          </w:tcPr>
          <w:p w14:paraId="729D60C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3.9</w:t>
            </w:r>
          </w:p>
        </w:tc>
        <w:tc>
          <w:tcPr>
            <w:tcW w:w="460" w:type="pct"/>
            <w:tcBorders>
              <w:top w:val="nil"/>
              <w:left w:val="nil"/>
              <w:bottom w:val="dotted" w:sz="4" w:space="0" w:color="auto"/>
              <w:right w:val="dotted" w:sz="4" w:space="0" w:color="auto"/>
            </w:tcBorders>
            <w:shd w:val="clear" w:color="auto" w:fill="FFFFFF"/>
            <w:hideMark/>
          </w:tcPr>
          <w:p w14:paraId="1A96BFC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4.0</w:t>
            </w:r>
          </w:p>
        </w:tc>
        <w:tc>
          <w:tcPr>
            <w:tcW w:w="464" w:type="pct"/>
            <w:tcBorders>
              <w:top w:val="nil"/>
              <w:left w:val="nil"/>
              <w:bottom w:val="dotted" w:sz="4" w:space="0" w:color="auto"/>
              <w:right w:val="double" w:sz="6" w:space="0" w:color="auto"/>
            </w:tcBorders>
            <w:shd w:val="clear" w:color="auto" w:fill="FFFFFF"/>
            <w:hideMark/>
          </w:tcPr>
          <w:p w14:paraId="24474CE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3.9</w:t>
            </w:r>
          </w:p>
        </w:tc>
      </w:tr>
      <w:tr w:rsidR="00C50585" w:rsidRPr="00EE038F" w14:paraId="06D995DE" w14:textId="77777777" w:rsidTr="00280C20">
        <w:trPr>
          <w:trHeight w:val="20"/>
          <w:jc w:val="center"/>
        </w:trPr>
        <w:tc>
          <w:tcPr>
            <w:tcW w:w="1405" w:type="pct"/>
            <w:tcBorders>
              <w:top w:val="nil"/>
              <w:left w:val="double" w:sz="6" w:space="0" w:color="auto"/>
              <w:bottom w:val="single" w:sz="8" w:space="0" w:color="auto"/>
              <w:right w:val="dotted" w:sz="4" w:space="0" w:color="auto"/>
            </w:tcBorders>
            <w:shd w:val="clear" w:color="auto" w:fill="FFFFFF"/>
            <w:hideMark/>
          </w:tcPr>
          <w:p w14:paraId="710263F8" w14:textId="77777777"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2. PBB aktuale me çmimet e tregut</w:t>
            </w:r>
          </w:p>
        </w:tc>
        <w:tc>
          <w:tcPr>
            <w:tcW w:w="588" w:type="pct"/>
            <w:tcBorders>
              <w:top w:val="nil"/>
              <w:left w:val="nil"/>
              <w:bottom w:val="single" w:sz="8" w:space="0" w:color="auto"/>
              <w:right w:val="single" w:sz="8" w:space="0" w:color="auto"/>
            </w:tcBorders>
            <w:shd w:val="clear" w:color="auto" w:fill="FFFFFF"/>
            <w:vAlign w:val="center"/>
            <w:hideMark/>
          </w:tcPr>
          <w:p w14:paraId="03C209B3" w14:textId="77777777"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B1*g</w:t>
            </w:r>
          </w:p>
        </w:tc>
        <w:tc>
          <w:tcPr>
            <w:tcW w:w="702" w:type="pct"/>
            <w:tcBorders>
              <w:top w:val="nil"/>
              <w:left w:val="nil"/>
              <w:bottom w:val="single" w:sz="8" w:space="0" w:color="auto"/>
              <w:right w:val="single" w:sz="8" w:space="0" w:color="auto"/>
            </w:tcBorders>
            <w:shd w:val="clear" w:color="auto" w:fill="FFFFFF"/>
            <w:hideMark/>
          </w:tcPr>
          <w:p w14:paraId="45FABB05"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21.782</w:t>
            </w:r>
          </w:p>
        </w:tc>
        <w:tc>
          <w:tcPr>
            <w:tcW w:w="460" w:type="pct"/>
            <w:tcBorders>
              <w:top w:val="nil"/>
              <w:left w:val="nil"/>
              <w:bottom w:val="single" w:sz="8" w:space="0" w:color="auto"/>
              <w:right w:val="dotted" w:sz="4" w:space="0" w:color="auto"/>
            </w:tcBorders>
            <w:shd w:val="clear" w:color="auto" w:fill="FFFFFF"/>
            <w:hideMark/>
          </w:tcPr>
          <w:p w14:paraId="3EE581F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10.2</w:t>
            </w:r>
          </w:p>
        </w:tc>
        <w:tc>
          <w:tcPr>
            <w:tcW w:w="460" w:type="pct"/>
            <w:tcBorders>
              <w:top w:val="nil"/>
              <w:left w:val="nil"/>
              <w:bottom w:val="single" w:sz="8" w:space="0" w:color="auto"/>
              <w:right w:val="dotted" w:sz="4" w:space="0" w:color="auto"/>
            </w:tcBorders>
            <w:shd w:val="clear" w:color="auto" w:fill="FFFFFF"/>
            <w:hideMark/>
          </w:tcPr>
          <w:p w14:paraId="05B8923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5.2</w:t>
            </w:r>
          </w:p>
        </w:tc>
        <w:tc>
          <w:tcPr>
            <w:tcW w:w="460" w:type="pct"/>
            <w:tcBorders>
              <w:top w:val="nil"/>
              <w:left w:val="nil"/>
              <w:bottom w:val="single" w:sz="8" w:space="0" w:color="auto"/>
              <w:right w:val="dotted" w:sz="4" w:space="0" w:color="auto"/>
            </w:tcBorders>
            <w:shd w:val="clear" w:color="auto" w:fill="FFFFFF"/>
            <w:hideMark/>
          </w:tcPr>
          <w:p w14:paraId="14CE108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5.1</w:t>
            </w:r>
          </w:p>
        </w:tc>
        <w:tc>
          <w:tcPr>
            <w:tcW w:w="460" w:type="pct"/>
            <w:tcBorders>
              <w:top w:val="nil"/>
              <w:left w:val="nil"/>
              <w:bottom w:val="single" w:sz="8" w:space="0" w:color="auto"/>
              <w:right w:val="dotted" w:sz="4" w:space="0" w:color="auto"/>
            </w:tcBorders>
            <w:shd w:val="clear" w:color="auto" w:fill="FFFFFF"/>
            <w:hideMark/>
          </w:tcPr>
          <w:p w14:paraId="405C44D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5.2</w:t>
            </w:r>
          </w:p>
        </w:tc>
        <w:tc>
          <w:tcPr>
            <w:tcW w:w="464" w:type="pct"/>
            <w:tcBorders>
              <w:top w:val="nil"/>
              <w:left w:val="nil"/>
              <w:bottom w:val="single" w:sz="8" w:space="0" w:color="auto"/>
              <w:right w:val="double" w:sz="6" w:space="0" w:color="auto"/>
            </w:tcBorders>
            <w:shd w:val="clear" w:color="auto" w:fill="FFFFFF"/>
            <w:hideMark/>
          </w:tcPr>
          <w:p w14:paraId="2EC9980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5.1</w:t>
            </w:r>
          </w:p>
        </w:tc>
      </w:tr>
      <w:tr w:rsidR="00850177" w:rsidRPr="00EE038F" w14:paraId="7B7D1D07" w14:textId="77777777" w:rsidTr="007D1D2B">
        <w:trPr>
          <w:trHeight w:val="20"/>
          <w:jc w:val="center"/>
        </w:trPr>
        <w:tc>
          <w:tcPr>
            <w:tcW w:w="5000" w:type="pct"/>
            <w:gridSpan w:val="8"/>
            <w:tcBorders>
              <w:top w:val="single" w:sz="8" w:space="0" w:color="auto"/>
              <w:left w:val="double" w:sz="6" w:space="0" w:color="auto"/>
              <w:bottom w:val="single" w:sz="8" w:space="0" w:color="auto"/>
              <w:right w:val="double" w:sz="6" w:space="0" w:color="000000"/>
            </w:tcBorders>
            <w:shd w:val="clear" w:color="auto" w:fill="FFFFFF"/>
            <w:vAlign w:val="center"/>
            <w:hideMark/>
          </w:tcPr>
          <w:p w14:paraId="645712E7" w14:textId="77777777" w:rsidR="00850177" w:rsidRPr="00EE038F" w:rsidRDefault="00850177" w:rsidP="00FB2058">
            <w:pPr>
              <w:spacing w:after="0" w:line="240" w:lineRule="auto"/>
              <w:contextualSpacing/>
              <w:rPr>
                <w:rFonts w:ascii="Garamond" w:hAnsi="Garamond"/>
                <w:b/>
                <w:bCs/>
                <w:color w:val="0D0D0D" w:themeColor="text1" w:themeTint="F2"/>
                <w:sz w:val="18"/>
              </w:rPr>
            </w:pPr>
            <w:r w:rsidRPr="00EE038F">
              <w:rPr>
                <w:rFonts w:ascii="Garamond" w:hAnsi="Garamond"/>
                <w:b/>
                <w:bCs/>
                <w:color w:val="0D0D0D" w:themeColor="text1" w:themeTint="F2"/>
                <w:sz w:val="18"/>
              </w:rPr>
              <w:t>Përbërësit e PBB-së reale</w:t>
            </w:r>
          </w:p>
        </w:tc>
      </w:tr>
      <w:tr w:rsidR="00850177" w:rsidRPr="00EE038F" w14:paraId="6D7BFD1C" w14:textId="77777777" w:rsidTr="00280C20">
        <w:trPr>
          <w:trHeight w:val="20"/>
          <w:jc w:val="center"/>
        </w:trPr>
        <w:tc>
          <w:tcPr>
            <w:tcW w:w="1405" w:type="pct"/>
            <w:tcBorders>
              <w:top w:val="nil"/>
              <w:left w:val="double" w:sz="6" w:space="0" w:color="auto"/>
              <w:bottom w:val="dotted" w:sz="4" w:space="0" w:color="auto"/>
              <w:right w:val="dotted" w:sz="4" w:space="0" w:color="auto"/>
            </w:tcBorders>
            <w:shd w:val="clear" w:color="auto" w:fill="FFFFFF"/>
            <w:hideMark/>
          </w:tcPr>
          <w:p w14:paraId="09CF9214" w14:textId="77777777" w:rsidR="00850177" w:rsidRPr="00EE038F" w:rsidRDefault="00850177"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3. Shpenzimet e konsumit privat</w:t>
            </w:r>
          </w:p>
        </w:tc>
        <w:tc>
          <w:tcPr>
            <w:tcW w:w="588" w:type="pct"/>
            <w:tcBorders>
              <w:top w:val="nil"/>
              <w:left w:val="nil"/>
              <w:bottom w:val="dotted" w:sz="4" w:space="0" w:color="auto"/>
              <w:right w:val="single" w:sz="8" w:space="0" w:color="auto"/>
            </w:tcBorders>
            <w:shd w:val="clear" w:color="auto" w:fill="FFFFFF"/>
            <w:vAlign w:val="center"/>
            <w:hideMark/>
          </w:tcPr>
          <w:p w14:paraId="7B23B88B" w14:textId="77777777" w:rsidR="00850177" w:rsidRPr="00EE038F" w:rsidRDefault="00850177" w:rsidP="00850177">
            <w:pPr>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P3</w:t>
            </w:r>
          </w:p>
        </w:tc>
        <w:tc>
          <w:tcPr>
            <w:tcW w:w="702" w:type="pct"/>
            <w:tcBorders>
              <w:top w:val="nil"/>
              <w:left w:val="nil"/>
              <w:bottom w:val="dotted" w:sz="4" w:space="0" w:color="auto"/>
              <w:right w:val="single" w:sz="8" w:space="0" w:color="auto"/>
            </w:tcBorders>
            <w:shd w:val="clear" w:color="auto" w:fill="FFFFFF"/>
            <w:vAlign w:val="center"/>
            <w:hideMark/>
          </w:tcPr>
          <w:p w14:paraId="246B9DF1" w14:textId="77777777" w:rsidR="00850177" w:rsidRPr="00EE038F" w:rsidRDefault="00850177" w:rsidP="00280C20">
            <w:pPr>
              <w:spacing w:after="0" w:line="240" w:lineRule="auto"/>
              <w:contextualSpacing/>
              <w:jc w:val="right"/>
              <w:rPr>
                <w:rFonts w:ascii="Garamond" w:eastAsia="Times New Roman" w:hAnsi="Garamond"/>
                <w:color w:val="0D0D0D" w:themeColor="text1" w:themeTint="F2"/>
                <w:sz w:val="18"/>
              </w:rPr>
            </w:pPr>
            <w:r w:rsidRPr="00EE038F">
              <w:rPr>
                <w:rFonts w:ascii="Garamond" w:hAnsi="Garamond"/>
                <w:sz w:val="18"/>
              </w:rPr>
              <w:t>15</w:t>
            </w:r>
          </w:p>
        </w:tc>
        <w:tc>
          <w:tcPr>
            <w:tcW w:w="460" w:type="pct"/>
            <w:tcBorders>
              <w:top w:val="nil"/>
              <w:left w:val="nil"/>
              <w:bottom w:val="dotted" w:sz="4" w:space="0" w:color="auto"/>
              <w:right w:val="dotted" w:sz="4" w:space="0" w:color="auto"/>
            </w:tcBorders>
            <w:shd w:val="clear" w:color="auto" w:fill="FFFFFF"/>
            <w:vAlign w:val="center"/>
            <w:hideMark/>
          </w:tcPr>
          <w:p w14:paraId="4F96DA53"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2.9</w:t>
            </w:r>
          </w:p>
        </w:tc>
        <w:tc>
          <w:tcPr>
            <w:tcW w:w="460" w:type="pct"/>
            <w:tcBorders>
              <w:top w:val="nil"/>
              <w:left w:val="nil"/>
              <w:bottom w:val="dotted" w:sz="4" w:space="0" w:color="auto"/>
              <w:right w:val="dotted" w:sz="4" w:space="0" w:color="auto"/>
            </w:tcBorders>
            <w:shd w:val="clear" w:color="auto" w:fill="FFFFFF"/>
            <w:vAlign w:val="center"/>
            <w:hideMark/>
          </w:tcPr>
          <w:p w14:paraId="69428FB2"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3.6</w:t>
            </w:r>
          </w:p>
        </w:tc>
        <w:tc>
          <w:tcPr>
            <w:tcW w:w="460" w:type="pct"/>
            <w:tcBorders>
              <w:top w:val="nil"/>
              <w:left w:val="nil"/>
              <w:bottom w:val="dotted" w:sz="4" w:space="0" w:color="auto"/>
              <w:right w:val="dotted" w:sz="4" w:space="0" w:color="auto"/>
            </w:tcBorders>
            <w:shd w:val="clear" w:color="auto" w:fill="FFFFFF"/>
            <w:vAlign w:val="center"/>
            <w:hideMark/>
          </w:tcPr>
          <w:p w14:paraId="398F8EEF"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2.3</w:t>
            </w:r>
          </w:p>
        </w:tc>
        <w:tc>
          <w:tcPr>
            <w:tcW w:w="460" w:type="pct"/>
            <w:tcBorders>
              <w:top w:val="nil"/>
              <w:left w:val="nil"/>
              <w:bottom w:val="dotted" w:sz="4" w:space="0" w:color="auto"/>
              <w:right w:val="dotted" w:sz="4" w:space="0" w:color="auto"/>
            </w:tcBorders>
            <w:shd w:val="clear" w:color="auto" w:fill="FFFFFF"/>
            <w:vAlign w:val="center"/>
            <w:hideMark/>
          </w:tcPr>
          <w:p w14:paraId="536B368C"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3.0</w:t>
            </w:r>
          </w:p>
        </w:tc>
        <w:tc>
          <w:tcPr>
            <w:tcW w:w="464" w:type="pct"/>
            <w:tcBorders>
              <w:top w:val="nil"/>
              <w:left w:val="nil"/>
              <w:bottom w:val="dotted" w:sz="4" w:space="0" w:color="auto"/>
              <w:right w:val="double" w:sz="6" w:space="0" w:color="auto"/>
            </w:tcBorders>
            <w:shd w:val="clear" w:color="auto" w:fill="FFFFFF"/>
            <w:vAlign w:val="center"/>
            <w:hideMark/>
          </w:tcPr>
          <w:p w14:paraId="53187CE3"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3.0</w:t>
            </w:r>
          </w:p>
        </w:tc>
      </w:tr>
      <w:tr w:rsidR="00850177" w:rsidRPr="00EE038F" w14:paraId="54293503" w14:textId="77777777" w:rsidTr="00280C20">
        <w:trPr>
          <w:trHeight w:val="20"/>
          <w:jc w:val="center"/>
        </w:trPr>
        <w:tc>
          <w:tcPr>
            <w:tcW w:w="1405" w:type="pct"/>
            <w:tcBorders>
              <w:top w:val="nil"/>
              <w:left w:val="double" w:sz="6" w:space="0" w:color="auto"/>
              <w:bottom w:val="dotted" w:sz="4" w:space="0" w:color="auto"/>
              <w:right w:val="dotted" w:sz="4" w:space="0" w:color="auto"/>
            </w:tcBorders>
            <w:shd w:val="clear" w:color="auto" w:fill="FFFFFF"/>
            <w:hideMark/>
          </w:tcPr>
          <w:p w14:paraId="48AA038C" w14:textId="77777777" w:rsidR="00850177" w:rsidRPr="00EE038F" w:rsidRDefault="00850177"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4. Shpenzimet qeveritare për konsum</w:t>
            </w:r>
          </w:p>
        </w:tc>
        <w:tc>
          <w:tcPr>
            <w:tcW w:w="588" w:type="pct"/>
            <w:tcBorders>
              <w:top w:val="nil"/>
              <w:left w:val="nil"/>
              <w:bottom w:val="dotted" w:sz="4" w:space="0" w:color="auto"/>
              <w:right w:val="single" w:sz="8" w:space="0" w:color="auto"/>
            </w:tcBorders>
            <w:shd w:val="clear" w:color="auto" w:fill="FFFFFF"/>
            <w:vAlign w:val="center"/>
            <w:hideMark/>
          </w:tcPr>
          <w:p w14:paraId="3D56ECBF" w14:textId="77777777" w:rsidR="00850177" w:rsidRPr="00EE038F" w:rsidRDefault="00850177" w:rsidP="00850177">
            <w:pPr>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P3</w:t>
            </w:r>
          </w:p>
        </w:tc>
        <w:tc>
          <w:tcPr>
            <w:tcW w:w="702" w:type="pct"/>
            <w:tcBorders>
              <w:top w:val="nil"/>
              <w:left w:val="nil"/>
              <w:bottom w:val="dotted" w:sz="4" w:space="0" w:color="auto"/>
              <w:right w:val="single" w:sz="8" w:space="0" w:color="auto"/>
            </w:tcBorders>
            <w:shd w:val="clear" w:color="auto" w:fill="FFFFFF"/>
            <w:vAlign w:val="center"/>
            <w:hideMark/>
          </w:tcPr>
          <w:p w14:paraId="4AC541E3"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w:t>
            </w:r>
          </w:p>
        </w:tc>
        <w:tc>
          <w:tcPr>
            <w:tcW w:w="460" w:type="pct"/>
            <w:tcBorders>
              <w:top w:val="nil"/>
              <w:left w:val="nil"/>
              <w:bottom w:val="dotted" w:sz="4" w:space="0" w:color="auto"/>
              <w:right w:val="dotted" w:sz="4" w:space="0" w:color="auto"/>
            </w:tcBorders>
            <w:shd w:val="clear" w:color="auto" w:fill="FFFFFF"/>
            <w:vAlign w:val="center"/>
            <w:hideMark/>
          </w:tcPr>
          <w:p w14:paraId="0C7D8DE4"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4.9</w:t>
            </w:r>
          </w:p>
        </w:tc>
        <w:tc>
          <w:tcPr>
            <w:tcW w:w="460" w:type="pct"/>
            <w:tcBorders>
              <w:top w:val="nil"/>
              <w:left w:val="nil"/>
              <w:bottom w:val="dotted" w:sz="4" w:space="0" w:color="auto"/>
              <w:right w:val="dotted" w:sz="4" w:space="0" w:color="auto"/>
            </w:tcBorders>
            <w:shd w:val="clear" w:color="auto" w:fill="FFFFFF"/>
            <w:vAlign w:val="center"/>
            <w:hideMark/>
          </w:tcPr>
          <w:p w14:paraId="47B910EF"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6.2</w:t>
            </w:r>
          </w:p>
        </w:tc>
        <w:tc>
          <w:tcPr>
            <w:tcW w:w="460" w:type="pct"/>
            <w:tcBorders>
              <w:top w:val="nil"/>
              <w:left w:val="nil"/>
              <w:bottom w:val="dotted" w:sz="4" w:space="0" w:color="auto"/>
              <w:right w:val="dotted" w:sz="4" w:space="0" w:color="auto"/>
            </w:tcBorders>
            <w:shd w:val="clear" w:color="auto" w:fill="FFFFFF"/>
            <w:vAlign w:val="center"/>
            <w:hideMark/>
          </w:tcPr>
          <w:p w14:paraId="21CB8801"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1.8</w:t>
            </w:r>
          </w:p>
        </w:tc>
        <w:tc>
          <w:tcPr>
            <w:tcW w:w="460" w:type="pct"/>
            <w:tcBorders>
              <w:top w:val="nil"/>
              <w:left w:val="nil"/>
              <w:bottom w:val="dotted" w:sz="4" w:space="0" w:color="auto"/>
              <w:right w:val="dotted" w:sz="4" w:space="0" w:color="auto"/>
            </w:tcBorders>
            <w:shd w:val="clear" w:color="auto" w:fill="FFFFFF"/>
            <w:vAlign w:val="center"/>
            <w:hideMark/>
          </w:tcPr>
          <w:p w14:paraId="182D466A"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1.3</w:t>
            </w:r>
          </w:p>
        </w:tc>
        <w:tc>
          <w:tcPr>
            <w:tcW w:w="464" w:type="pct"/>
            <w:tcBorders>
              <w:top w:val="nil"/>
              <w:left w:val="nil"/>
              <w:bottom w:val="dotted" w:sz="4" w:space="0" w:color="auto"/>
              <w:right w:val="double" w:sz="6" w:space="0" w:color="auto"/>
            </w:tcBorders>
            <w:shd w:val="clear" w:color="auto" w:fill="FFFFFF"/>
            <w:vAlign w:val="center"/>
            <w:hideMark/>
          </w:tcPr>
          <w:p w14:paraId="1BF2FEE4"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0.8</w:t>
            </w:r>
          </w:p>
        </w:tc>
      </w:tr>
      <w:tr w:rsidR="00850177" w:rsidRPr="00EE038F" w14:paraId="607ABFC2" w14:textId="77777777" w:rsidTr="00280C20">
        <w:trPr>
          <w:trHeight w:val="20"/>
          <w:jc w:val="center"/>
        </w:trPr>
        <w:tc>
          <w:tcPr>
            <w:tcW w:w="1405" w:type="pct"/>
            <w:tcBorders>
              <w:top w:val="nil"/>
              <w:left w:val="double" w:sz="6" w:space="0" w:color="auto"/>
              <w:bottom w:val="dotted" w:sz="4" w:space="0" w:color="auto"/>
              <w:right w:val="dotted" w:sz="4" w:space="0" w:color="auto"/>
            </w:tcBorders>
            <w:shd w:val="clear" w:color="auto" w:fill="FFFFFF"/>
            <w:hideMark/>
          </w:tcPr>
          <w:p w14:paraId="4BE3992B" w14:textId="77777777" w:rsidR="00850177" w:rsidRPr="00EE038F" w:rsidRDefault="00850177"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5. Formimi i kapitalit fiks bruto</w:t>
            </w:r>
          </w:p>
        </w:tc>
        <w:tc>
          <w:tcPr>
            <w:tcW w:w="588" w:type="pct"/>
            <w:tcBorders>
              <w:top w:val="nil"/>
              <w:left w:val="nil"/>
              <w:bottom w:val="dotted" w:sz="4" w:space="0" w:color="auto"/>
              <w:right w:val="single" w:sz="8" w:space="0" w:color="auto"/>
            </w:tcBorders>
            <w:shd w:val="clear" w:color="auto" w:fill="FFFFFF"/>
            <w:vAlign w:val="center"/>
            <w:hideMark/>
          </w:tcPr>
          <w:p w14:paraId="7577E1BB" w14:textId="77777777" w:rsidR="00850177" w:rsidRPr="00EE038F" w:rsidRDefault="00850177" w:rsidP="00850177">
            <w:pPr>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P51</w:t>
            </w:r>
          </w:p>
        </w:tc>
        <w:tc>
          <w:tcPr>
            <w:tcW w:w="702" w:type="pct"/>
            <w:tcBorders>
              <w:top w:val="nil"/>
              <w:left w:val="nil"/>
              <w:bottom w:val="dotted" w:sz="4" w:space="0" w:color="auto"/>
              <w:right w:val="single" w:sz="8" w:space="0" w:color="auto"/>
            </w:tcBorders>
            <w:shd w:val="clear" w:color="auto" w:fill="FFFFFF"/>
            <w:vAlign w:val="center"/>
            <w:hideMark/>
          </w:tcPr>
          <w:p w14:paraId="131BBE58"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w:t>
            </w:r>
          </w:p>
        </w:tc>
        <w:tc>
          <w:tcPr>
            <w:tcW w:w="460" w:type="pct"/>
            <w:tcBorders>
              <w:top w:val="nil"/>
              <w:left w:val="nil"/>
              <w:bottom w:val="dotted" w:sz="4" w:space="0" w:color="auto"/>
              <w:right w:val="dotted" w:sz="4" w:space="0" w:color="auto"/>
            </w:tcBorders>
            <w:shd w:val="clear" w:color="auto" w:fill="FFFFFF"/>
            <w:vAlign w:val="center"/>
            <w:hideMark/>
          </w:tcPr>
          <w:p w14:paraId="2A61EFBD"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w:t>
            </w:r>
          </w:p>
        </w:tc>
        <w:tc>
          <w:tcPr>
            <w:tcW w:w="460" w:type="pct"/>
            <w:tcBorders>
              <w:top w:val="nil"/>
              <w:left w:val="nil"/>
              <w:bottom w:val="dotted" w:sz="4" w:space="0" w:color="auto"/>
              <w:right w:val="dotted" w:sz="4" w:space="0" w:color="auto"/>
            </w:tcBorders>
            <w:shd w:val="clear" w:color="auto" w:fill="FFFFFF"/>
            <w:vAlign w:val="center"/>
            <w:hideMark/>
          </w:tcPr>
          <w:p w14:paraId="0A37013A"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4.5</w:t>
            </w:r>
          </w:p>
        </w:tc>
        <w:tc>
          <w:tcPr>
            <w:tcW w:w="460" w:type="pct"/>
            <w:tcBorders>
              <w:top w:val="nil"/>
              <w:left w:val="nil"/>
              <w:bottom w:val="dotted" w:sz="4" w:space="0" w:color="auto"/>
              <w:right w:val="dotted" w:sz="4" w:space="0" w:color="auto"/>
            </w:tcBorders>
            <w:shd w:val="clear" w:color="auto" w:fill="FFFFFF"/>
            <w:vAlign w:val="center"/>
            <w:hideMark/>
          </w:tcPr>
          <w:p w14:paraId="7B36C032"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7.6</w:t>
            </w:r>
          </w:p>
        </w:tc>
        <w:tc>
          <w:tcPr>
            <w:tcW w:w="460" w:type="pct"/>
            <w:tcBorders>
              <w:top w:val="nil"/>
              <w:left w:val="nil"/>
              <w:bottom w:val="dotted" w:sz="4" w:space="0" w:color="auto"/>
              <w:right w:val="dotted" w:sz="4" w:space="0" w:color="auto"/>
            </w:tcBorders>
            <w:shd w:val="clear" w:color="auto" w:fill="FFFFFF"/>
            <w:vAlign w:val="center"/>
            <w:hideMark/>
          </w:tcPr>
          <w:p w14:paraId="7E782BDB"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4.5</w:t>
            </w:r>
          </w:p>
        </w:tc>
        <w:tc>
          <w:tcPr>
            <w:tcW w:w="464" w:type="pct"/>
            <w:tcBorders>
              <w:top w:val="nil"/>
              <w:left w:val="nil"/>
              <w:bottom w:val="dotted" w:sz="4" w:space="0" w:color="auto"/>
              <w:right w:val="double" w:sz="6" w:space="0" w:color="auto"/>
            </w:tcBorders>
            <w:shd w:val="clear" w:color="auto" w:fill="FFFFFF"/>
            <w:vAlign w:val="center"/>
            <w:hideMark/>
          </w:tcPr>
          <w:p w14:paraId="63376DC3"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5.5</w:t>
            </w:r>
          </w:p>
        </w:tc>
      </w:tr>
      <w:tr w:rsidR="00850177" w:rsidRPr="00EE038F" w14:paraId="7950D1CE" w14:textId="77777777" w:rsidTr="00280C20">
        <w:trPr>
          <w:trHeight w:val="20"/>
          <w:jc w:val="center"/>
        </w:trPr>
        <w:tc>
          <w:tcPr>
            <w:tcW w:w="1405" w:type="pct"/>
            <w:tcBorders>
              <w:top w:val="nil"/>
              <w:left w:val="double" w:sz="6" w:space="0" w:color="auto"/>
              <w:bottom w:val="dotted" w:sz="4" w:space="0" w:color="auto"/>
              <w:right w:val="dotted" w:sz="4" w:space="0" w:color="auto"/>
            </w:tcBorders>
            <w:shd w:val="clear" w:color="auto" w:fill="FFFFFF"/>
            <w:hideMark/>
          </w:tcPr>
          <w:p w14:paraId="601B6139" w14:textId="77777777" w:rsidR="00850177" w:rsidRPr="00EE038F" w:rsidRDefault="00850177"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6. Ndryshimet në inventarë dhe blerja neto e sendeve me vlerë (% e PBB-së)</w:t>
            </w:r>
          </w:p>
        </w:tc>
        <w:tc>
          <w:tcPr>
            <w:tcW w:w="588" w:type="pct"/>
            <w:tcBorders>
              <w:top w:val="nil"/>
              <w:left w:val="nil"/>
              <w:bottom w:val="dotted" w:sz="4" w:space="0" w:color="auto"/>
              <w:right w:val="single" w:sz="8" w:space="0" w:color="auto"/>
            </w:tcBorders>
            <w:shd w:val="clear" w:color="auto" w:fill="FFFFFF"/>
            <w:vAlign w:val="center"/>
            <w:hideMark/>
          </w:tcPr>
          <w:p w14:paraId="156DA931" w14:textId="77777777" w:rsidR="00850177" w:rsidRPr="00EE038F" w:rsidRDefault="00850177" w:rsidP="00850177">
            <w:pPr>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P52+P53</w:t>
            </w:r>
          </w:p>
        </w:tc>
        <w:tc>
          <w:tcPr>
            <w:tcW w:w="702" w:type="pct"/>
            <w:tcBorders>
              <w:top w:val="nil"/>
              <w:left w:val="nil"/>
              <w:bottom w:val="dotted" w:sz="4" w:space="0" w:color="auto"/>
              <w:right w:val="single" w:sz="8" w:space="0" w:color="auto"/>
            </w:tcBorders>
            <w:shd w:val="clear" w:color="auto" w:fill="FFFFFF"/>
            <w:vAlign w:val="center"/>
            <w:hideMark/>
          </w:tcPr>
          <w:p w14:paraId="2B007C57"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w:t>
            </w:r>
          </w:p>
        </w:tc>
        <w:tc>
          <w:tcPr>
            <w:tcW w:w="460" w:type="pct"/>
            <w:tcBorders>
              <w:top w:val="nil"/>
              <w:left w:val="nil"/>
              <w:bottom w:val="dotted" w:sz="4" w:space="0" w:color="auto"/>
              <w:right w:val="dotted" w:sz="4" w:space="0" w:color="auto"/>
            </w:tcBorders>
            <w:shd w:val="clear" w:color="auto" w:fill="FFFFFF"/>
            <w:vAlign w:val="center"/>
            <w:hideMark/>
          </w:tcPr>
          <w:p w14:paraId="4CAEF0A5"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-1.2</w:t>
            </w:r>
          </w:p>
        </w:tc>
        <w:tc>
          <w:tcPr>
            <w:tcW w:w="460" w:type="pct"/>
            <w:tcBorders>
              <w:top w:val="nil"/>
              <w:left w:val="nil"/>
              <w:bottom w:val="dotted" w:sz="4" w:space="0" w:color="auto"/>
              <w:right w:val="dotted" w:sz="4" w:space="0" w:color="auto"/>
            </w:tcBorders>
            <w:vAlign w:val="center"/>
            <w:hideMark/>
          </w:tcPr>
          <w:p w14:paraId="6E52B804"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-1.1</w:t>
            </w:r>
          </w:p>
        </w:tc>
        <w:tc>
          <w:tcPr>
            <w:tcW w:w="460" w:type="pct"/>
            <w:tcBorders>
              <w:top w:val="nil"/>
              <w:left w:val="nil"/>
              <w:bottom w:val="dotted" w:sz="4" w:space="0" w:color="auto"/>
              <w:right w:val="dotted" w:sz="4" w:space="0" w:color="auto"/>
            </w:tcBorders>
            <w:vAlign w:val="center"/>
            <w:hideMark/>
          </w:tcPr>
          <w:p w14:paraId="766A55A1"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w:t>
            </w:r>
          </w:p>
        </w:tc>
        <w:tc>
          <w:tcPr>
            <w:tcW w:w="460" w:type="pct"/>
            <w:tcBorders>
              <w:top w:val="nil"/>
              <w:left w:val="nil"/>
              <w:bottom w:val="dotted" w:sz="4" w:space="0" w:color="auto"/>
              <w:right w:val="dotted" w:sz="4" w:space="0" w:color="auto"/>
            </w:tcBorders>
            <w:shd w:val="clear" w:color="auto" w:fill="FFFFFF"/>
            <w:vAlign w:val="center"/>
            <w:hideMark/>
          </w:tcPr>
          <w:p w14:paraId="6863FC25"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w:t>
            </w:r>
          </w:p>
        </w:tc>
        <w:tc>
          <w:tcPr>
            <w:tcW w:w="464" w:type="pct"/>
            <w:tcBorders>
              <w:top w:val="nil"/>
              <w:left w:val="nil"/>
              <w:bottom w:val="dotted" w:sz="4" w:space="0" w:color="auto"/>
              <w:right w:val="double" w:sz="6" w:space="0" w:color="auto"/>
            </w:tcBorders>
            <w:shd w:val="clear" w:color="auto" w:fill="FFFFFF"/>
            <w:vAlign w:val="center"/>
            <w:hideMark/>
          </w:tcPr>
          <w:p w14:paraId="5ECCFE9E"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-0.9</w:t>
            </w:r>
          </w:p>
        </w:tc>
      </w:tr>
      <w:tr w:rsidR="00850177" w:rsidRPr="00EE038F" w14:paraId="0F3D2963" w14:textId="77777777" w:rsidTr="00280C20">
        <w:trPr>
          <w:trHeight w:val="20"/>
          <w:jc w:val="center"/>
        </w:trPr>
        <w:tc>
          <w:tcPr>
            <w:tcW w:w="1405" w:type="pct"/>
            <w:tcBorders>
              <w:top w:val="nil"/>
              <w:left w:val="double" w:sz="6" w:space="0" w:color="auto"/>
              <w:bottom w:val="dotted" w:sz="4" w:space="0" w:color="auto"/>
              <w:right w:val="dotted" w:sz="4" w:space="0" w:color="auto"/>
            </w:tcBorders>
            <w:shd w:val="clear" w:color="auto" w:fill="FFFFFF"/>
            <w:hideMark/>
          </w:tcPr>
          <w:p w14:paraId="2C8DC6F2" w14:textId="117AAC12" w:rsidR="00850177" w:rsidRPr="00EE038F" w:rsidRDefault="00850177"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 xml:space="preserve">7. Eksportet </w:t>
            </w:r>
            <w:r w:rsidR="00FB2058">
              <w:rPr>
                <w:rFonts w:ascii="Garamond" w:hAnsi="Garamond"/>
                <w:sz w:val="18"/>
              </w:rPr>
              <w:t>e mallrave dhe të shërbimeve</w:t>
            </w:r>
          </w:p>
        </w:tc>
        <w:tc>
          <w:tcPr>
            <w:tcW w:w="588" w:type="pct"/>
            <w:tcBorders>
              <w:top w:val="nil"/>
              <w:left w:val="nil"/>
              <w:bottom w:val="dotted" w:sz="4" w:space="0" w:color="auto"/>
              <w:right w:val="single" w:sz="8" w:space="0" w:color="auto"/>
            </w:tcBorders>
            <w:shd w:val="clear" w:color="auto" w:fill="FFFFFF"/>
            <w:vAlign w:val="center"/>
            <w:hideMark/>
          </w:tcPr>
          <w:p w14:paraId="5615F62C" w14:textId="77777777" w:rsidR="00850177" w:rsidRPr="00EE038F" w:rsidRDefault="00850177" w:rsidP="00850177">
            <w:pPr>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P6</w:t>
            </w:r>
          </w:p>
        </w:tc>
        <w:tc>
          <w:tcPr>
            <w:tcW w:w="702" w:type="pct"/>
            <w:tcBorders>
              <w:top w:val="nil"/>
              <w:left w:val="nil"/>
              <w:bottom w:val="dotted" w:sz="4" w:space="0" w:color="auto"/>
              <w:right w:val="single" w:sz="8" w:space="0" w:color="auto"/>
            </w:tcBorders>
            <w:shd w:val="clear" w:color="auto" w:fill="FFFFFF"/>
            <w:vAlign w:val="center"/>
            <w:hideMark/>
          </w:tcPr>
          <w:p w14:paraId="2391E208"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8</w:t>
            </w:r>
          </w:p>
        </w:tc>
        <w:tc>
          <w:tcPr>
            <w:tcW w:w="460" w:type="pct"/>
            <w:tcBorders>
              <w:top w:val="nil"/>
              <w:left w:val="nil"/>
              <w:bottom w:val="dotted" w:sz="4" w:space="0" w:color="auto"/>
              <w:right w:val="dotted" w:sz="4" w:space="0" w:color="auto"/>
            </w:tcBorders>
            <w:shd w:val="clear" w:color="auto" w:fill="FFFFFF"/>
            <w:vAlign w:val="center"/>
            <w:hideMark/>
          </w:tcPr>
          <w:p w14:paraId="2E9923E6"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9.5</w:t>
            </w:r>
          </w:p>
        </w:tc>
        <w:tc>
          <w:tcPr>
            <w:tcW w:w="460" w:type="pct"/>
            <w:tcBorders>
              <w:top w:val="nil"/>
              <w:left w:val="nil"/>
              <w:bottom w:val="dotted" w:sz="4" w:space="0" w:color="auto"/>
              <w:right w:val="dotted" w:sz="4" w:space="0" w:color="auto"/>
            </w:tcBorders>
            <w:shd w:val="clear" w:color="auto" w:fill="FFFFFF"/>
            <w:vAlign w:val="center"/>
            <w:hideMark/>
          </w:tcPr>
          <w:p w14:paraId="440303F9"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9.5</w:t>
            </w:r>
          </w:p>
        </w:tc>
        <w:tc>
          <w:tcPr>
            <w:tcW w:w="460" w:type="pct"/>
            <w:tcBorders>
              <w:top w:val="nil"/>
              <w:left w:val="nil"/>
              <w:bottom w:val="dotted" w:sz="4" w:space="0" w:color="auto"/>
              <w:right w:val="dotted" w:sz="4" w:space="0" w:color="auto"/>
            </w:tcBorders>
            <w:shd w:val="clear" w:color="auto" w:fill="FFFFFF"/>
            <w:vAlign w:val="center"/>
            <w:hideMark/>
          </w:tcPr>
          <w:p w14:paraId="42BC43FE"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3.6</w:t>
            </w:r>
          </w:p>
        </w:tc>
        <w:tc>
          <w:tcPr>
            <w:tcW w:w="460" w:type="pct"/>
            <w:tcBorders>
              <w:top w:val="nil"/>
              <w:left w:val="nil"/>
              <w:bottom w:val="dotted" w:sz="4" w:space="0" w:color="auto"/>
              <w:right w:val="dotted" w:sz="4" w:space="0" w:color="auto"/>
            </w:tcBorders>
            <w:shd w:val="clear" w:color="auto" w:fill="FFFFFF"/>
            <w:vAlign w:val="center"/>
            <w:hideMark/>
          </w:tcPr>
          <w:p w14:paraId="4B894DA0"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4.7</w:t>
            </w:r>
          </w:p>
        </w:tc>
        <w:tc>
          <w:tcPr>
            <w:tcW w:w="464" w:type="pct"/>
            <w:tcBorders>
              <w:top w:val="nil"/>
              <w:left w:val="nil"/>
              <w:bottom w:val="dotted" w:sz="4" w:space="0" w:color="auto"/>
              <w:right w:val="double" w:sz="6" w:space="0" w:color="auto"/>
            </w:tcBorders>
            <w:shd w:val="clear" w:color="auto" w:fill="FFFFFF"/>
            <w:vAlign w:val="center"/>
            <w:hideMark/>
          </w:tcPr>
          <w:p w14:paraId="6D73D19B"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4.9</w:t>
            </w:r>
          </w:p>
        </w:tc>
      </w:tr>
      <w:tr w:rsidR="00850177" w:rsidRPr="00EE038F" w14:paraId="6EC85F86" w14:textId="77777777" w:rsidTr="00280C20">
        <w:trPr>
          <w:trHeight w:val="20"/>
          <w:jc w:val="center"/>
        </w:trPr>
        <w:tc>
          <w:tcPr>
            <w:tcW w:w="1405" w:type="pct"/>
            <w:tcBorders>
              <w:top w:val="nil"/>
              <w:left w:val="double" w:sz="6" w:space="0" w:color="auto"/>
              <w:bottom w:val="single" w:sz="8" w:space="0" w:color="auto"/>
              <w:right w:val="dotted" w:sz="4" w:space="0" w:color="auto"/>
            </w:tcBorders>
            <w:shd w:val="clear" w:color="auto" w:fill="FFFFFF"/>
            <w:vAlign w:val="center"/>
            <w:hideMark/>
          </w:tcPr>
          <w:p w14:paraId="38697B08" w14:textId="59E524CB" w:rsidR="00850177" w:rsidRPr="00EE038F" w:rsidRDefault="00850177"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 xml:space="preserve">8. Importet </w:t>
            </w:r>
            <w:r w:rsidR="00FB2058">
              <w:rPr>
                <w:rFonts w:ascii="Garamond" w:hAnsi="Garamond"/>
                <w:sz w:val="18"/>
              </w:rPr>
              <w:t>e mallrave dhe të shërbimeve</w:t>
            </w:r>
          </w:p>
        </w:tc>
        <w:tc>
          <w:tcPr>
            <w:tcW w:w="588" w:type="pct"/>
            <w:tcBorders>
              <w:top w:val="nil"/>
              <w:left w:val="nil"/>
              <w:bottom w:val="single" w:sz="8" w:space="0" w:color="auto"/>
              <w:right w:val="single" w:sz="8" w:space="0" w:color="auto"/>
            </w:tcBorders>
            <w:shd w:val="clear" w:color="auto" w:fill="FFFFFF"/>
            <w:vAlign w:val="center"/>
            <w:hideMark/>
          </w:tcPr>
          <w:p w14:paraId="41A1A0FF" w14:textId="77777777" w:rsidR="00850177" w:rsidRPr="00EE038F" w:rsidRDefault="00850177" w:rsidP="00850177">
            <w:pPr>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P7</w:t>
            </w:r>
          </w:p>
        </w:tc>
        <w:tc>
          <w:tcPr>
            <w:tcW w:w="702" w:type="pct"/>
            <w:tcBorders>
              <w:top w:val="nil"/>
              <w:left w:val="nil"/>
              <w:bottom w:val="single" w:sz="8" w:space="0" w:color="auto"/>
              <w:right w:val="single" w:sz="8" w:space="0" w:color="auto"/>
            </w:tcBorders>
            <w:shd w:val="clear" w:color="auto" w:fill="FFFFFF"/>
            <w:vAlign w:val="center"/>
            <w:hideMark/>
          </w:tcPr>
          <w:p w14:paraId="70AA2E3A"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9</w:t>
            </w:r>
          </w:p>
        </w:tc>
        <w:tc>
          <w:tcPr>
            <w:tcW w:w="460" w:type="pct"/>
            <w:tcBorders>
              <w:top w:val="nil"/>
              <w:left w:val="nil"/>
              <w:bottom w:val="single" w:sz="8" w:space="0" w:color="auto"/>
              <w:right w:val="dotted" w:sz="4" w:space="0" w:color="auto"/>
            </w:tcBorders>
            <w:shd w:val="clear" w:color="auto" w:fill="FFFFFF"/>
            <w:vAlign w:val="center"/>
            <w:hideMark/>
          </w:tcPr>
          <w:p w14:paraId="4BBC4DDF"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0.2</w:t>
            </w:r>
          </w:p>
        </w:tc>
        <w:tc>
          <w:tcPr>
            <w:tcW w:w="460" w:type="pct"/>
            <w:tcBorders>
              <w:top w:val="nil"/>
              <w:left w:val="nil"/>
              <w:bottom w:val="single" w:sz="8" w:space="0" w:color="auto"/>
              <w:right w:val="dotted" w:sz="4" w:space="0" w:color="auto"/>
            </w:tcBorders>
            <w:shd w:val="clear" w:color="auto" w:fill="FFFFFF"/>
            <w:vAlign w:val="center"/>
            <w:hideMark/>
          </w:tcPr>
          <w:p w14:paraId="120445F2"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9.5</w:t>
            </w:r>
          </w:p>
        </w:tc>
        <w:tc>
          <w:tcPr>
            <w:tcW w:w="460" w:type="pct"/>
            <w:tcBorders>
              <w:top w:val="nil"/>
              <w:left w:val="nil"/>
              <w:bottom w:val="single" w:sz="8" w:space="0" w:color="auto"/>
              <w:right w:val="dotted" w:sz="4" w:space="0" w:color="auto"/>
            </w:tcBorders>
            <w:shd w:val="clear" w:color="auto" w:fill="FFFFFF"/>
            <w:vAlign w:val="center"/>
            <w:hideMark/>
          </w:tcPr>
          <w:p w14:paraId="48FC17E6"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2.7</w:t>
            </w:r>
          </w:p>
        </w:tc>
        <w:tc>
          <w:tcPr>
            <w:tcW w:w="460" w:type="pct"/>
            <w:tcBorders>
              <w:top w:val="nil"/>
              <w:left w:val="nil"/>
              <w:bottom w:val="single" w:sz="8" w:space="0" w:color="auto"/>
              <w:right w:val="dotted" w:sz="4" w:space="0" w:color="auto"/>
            </w:tcBorders>
            <w:shd w:val="clear" w:color="auto" w:fill="FFFFFF"/>
            <w:vAlign w:val="center"/>
            <w:hideMark/>
          </w:tcPr>
          <w:p w14:paraId="0A2DBB3C"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2.8</w:t>
            </w:r>
          </w:p>
        </w:tc>
        <w:tc>
          <w:tcPr>
            <w:tcW w:w="464" w:type="pct"/>
            <w:tcBorders>
              <w:top w:val="nil"/>
              <w:left w:val="nil"/>
              <w:bottom w:val="single" w:sz="8" w:space="0" w:color="auto"/>
              <w:right w:val="double" w:sz="6" w:space="0" w:color="auto"/>
            </w:tcBorders>
            <w:shd w:val="clear" w:color="auto" w:fill="FFFFFF"/>
            <w:vAlign w:val="center"/>
            <w:hideMark/>
          </w:tcPr>
          <w:p w14:paraId="177496C2" w14:textId="77777777" w:rsidR="00850177" w:rsidRPr="00EE038F" w:rsidRDefault="00850177"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3.5</w:t>
            </w:r>
          </w:p>
        </w:tc>
      </w:tr>
      <w:tr w:rsidR="00850177" w:rsidRPr="00EE038F" w14:paraId="2781435E" w14:textId="77777777" w:rsidTr="007D1D2B">
        <w:trPr>
          <w:trHeight w:val="20"/>
          <w:jc w:val="center"/>
        </w:trPr>
        <w:tc>
          <w:tcPr>
            <w:tcW w:w="5000" w:type="pct"/>
            <w:gridSpan w:val="8"/>
            <w:tcBorders>
              <w:top w:val="single" w:sz="8" w:space="0" w:color="auto"/>
              <w:left w:val="double" w:sz="6" w:space="0" w:color="auto"/>
              <w:bottom w:val="single" w:sz="8" w:space="0" w:color="auto"/>
              <w:right w:val="double" w:sz="6" w:space="0" w:color="000000"/>
            </w:tcBorders>
            <w:shd w:val="clear" w:color="auto" w:fill="FFFFFF"/>
            <w:vAlign w:val="center"/>
            <w:hideMark/>
          </w:tcPr>
          <w:p w14:paraId="180589B9" w14:textId="77777777" w:rsidR="00850177" w:rsidRPr="00EE038F" w:rsidRDefault="00850177" w:rsidP="00FB2058">
            <w:pPr>
              <w:spacing w:after="0" w:line="240" w:lineRule="auto"/>
              <w:contextualSpacing/>
              <w:rPr>
                <w:rFonts w:ascii="Garamond" w:hAnsi="Garamond"/>
                <w:b/>
                <w:bCs/>
                <w:color w:val="0D0D0D" w:themeColor="text1" w:themeTint="F2"/>
                <w:sz w:val="18"/>
              </w:rPr>
            </w:pPr>
            <w:r w:rsidRPr="00EE038F">
              <w:rPr>
                <w:rFonts w:ascii="Garamond" w:hAnsi="Garamond"/>
                <w:b/>
                <w:bCs/>
                <w:color w:val="0D0D0D" w:themeColor="text1" w:themeTint="F2"/>
                <w:sz w:val="18"/>
              </w:rPr>
              <w:t>Kontributi në rritjen reale të PBB-së</w:t>
            </w:r>
          </w:p>
        </w:tc>
      </w:tr>
      <w:tr w:rsidR="00C50585" w:rsidRPr="00EE038F" w14:paraId="1FB19FBB" w14:textId="77777777" w:rsidTr="00280C20">
        <w:trPr>
          <w:trHeight w:val="20"/>
          <w:jc w:val="center"/>
        </w:trPr>
        <w:tc>
          <w:tcPr>
            <w:tcW w:w="1405" w:type="pct"/>
            <w:tcBorders>
              <w:top w:val="nil"/>
              <w:left w:val="double" w:sz="6" w:space="0" w:color="auto"/>
              <w:bottom w:val="dotted" w:sz="4" w:space="0" w:color="auto"/>
              <w:right w:val="dotted" w:sz="4" w:space="0" w:color="auto"/>
            </w:tcBorders>
            <w:shd w:val="clear" w:color="auto" w:fill="FFFFFF"/>
            <w:vAlign w:val="center"/>
            <w:hideMark/>
          </w:tcPr>
          <w:p w14:paraId="250239BA" w14:textId="77777777"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9. Kërkesa e brendshme përfundimtare</w:t>
            </w:r>
          </w:p>
        </w:tc>
        <w:tc>
          <w:tcPr>
            <w:tcW w:w="588" w:type="pct"/>
            <w:tcBorders>
              <w:top w:val="nil"/>
              <w:left w:val="nil"/>
              <w:bottom w:val="dotted" w:sz="4" w:space="0" w:color="auto"/>
              <w:right w:val="single" w:sz="8" w:space="0" w:color="auto"/>
            </w:tcBorders>
            <w:shd w:val="clear" w:color="auto" w:fill="FFFFFF"/>
            <w:vAlign w:val="center"/>
            <w:hideMark/>
          </w:tcPr>
          <w:p w14:paraId="616D6079" w14:textId="77777777" w:rsidR="00C50585" w:rsidRPr="00EE038F" w:rsidRDefault="00C50585" w:rsidP="00850177">
            <w:pPr>
              <w:spacing w:after="0" w:line="240" w:lineRule="auto"/>
              <w:contextualSpacing/>
              <w:jc w:val="both"/>
              <w:rPr>
                <w:rFonts w:ascii="Garamond" w:hAnsi="Garamond"/>
                <w:color w:val="0D0D0D" w:themeColor="text1" w:themeTint="F2"/>
                <w:sz w:val="18"/>
              </w:rPr>
            </w:pPr>
          </w:p>
        </w:tc>
        <w:tc>
          <w:tcPr>
            <w:tcW w:w="702" w:type="pct"/>
            <w:tcBorders>
              <w:top w:val="nil"/>
              <w:left w:val="nil"/>
              <w:bottom w:val="dotted" w:sz="4" w:space="0" w:color="auto"/>
              <w:right w:val="single" w:sz="8" w:space="0" w:color="auto"/>
            </w:tcBorders>
            <w:shd w:val="clear" w:color="auto" w:fill="FFFFFF"/>
            <w:vAlign w:val="center"/>
            <w:hideMark/>
          </w:tcPr>
          <w:p w14:paraId="3C1ADBDF" w14:textId="77777777" w:rsidR="00C50585" w:rsidRPr="00EE038F" w:rsidRDefault="00C50585" w:rsidP="00280C20">
            <w:pPr>
              <w:spacing w:after="0" w:line="240" w:lineRule="auto"/>
              <w:contextualSpacing/>
              <w:jc w:val="right"/>
              <w:rPr>
                <w:rFonts w:ascii="Garamond" w:eastAsia="Times New Roman" w:hAnsi="Garamond"/>
                <w:color w:val="0D0D0D" w:themeColor="text1" w:themeTint="F2"/>
                <w:sz w:val="18"/>
              </w:rPr>
            </w:pPr>
            <w:r w:rsidRPr="00EE038F">
              <w:rPr>
                <w:rFonts w:ascii="Garamond" w:hAnsi="Garamond"/>
                <w:sz w:val="18"/>
              </w:rPr>
              <w:t>22.1</w:t>
            </w:r>
          </w:p>
        </w:tc>
        <w:tc>
          <w:tcPr>
            <w:tcW w:w="460" w:type="pct"/>
            <w:tcBorders>
              <w:top w:val="nil"/>
              <w:left w:val="nil"/>
              <w:bottom w:val="dotted" w:sz="4" w:space="0" w:color="auto"/>
              <w:right w:val="dotted" w:sz="4" w:space="0" w:color="auto"/>
            </w:tcBorders>
            <w:shd w:val="clear" w:color="auto" w:fill="FFFFFF"/>
            <w:vAlign w:val="center"/>
            <w:hideMark/>
          </w:tcPr>
          <w:p w14:paraId="6D71D2A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2.9</w:t>
            </w:r>
          </w:p>
        </w:tc>
        <w:tc>
          <w:tcPr>
            <w:tcW w:w="460" w:type="pct"/>
            <w:tcBorders>
              <w:top w:val="nil"/>
              <w:left w:val="nil"/>
              <w:bottom w:val="dotted" w:sz="4" w:space="0" w:color="auto"/>
              <w:right w:val="dotted" w:sz="4" w:space="0" w:color="auto"/>
            </w:tcBorders>
            <w:shd w:val="clear" w:color="auto" w:fill="FFFFFF"/>
            <w:vAlign w:val="center"/>
            <w:hideMark/>
          </w:tcPr>
          <w:p w14:paraId="42AB25F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4.4</w:t>
            </w:r>
          </w:p>
        </w:tc>
        <w:tc>
          <w:tcPr>
            <w:tcW w:w="460" w:type="pct"/>
            <w:tcBorders>
              <w:top w:val="nil"/>
              <w:left w:val="nil"/>
              <w:bottom w:val="dotted" w:sz="4" w:space="0" w:color="auto"/>
              <w:right w:val="dotted" w:sz="4" w:space="0" w:color="auto"/>
            </w:tcBorders>
            <w:shd w:val="clear" w:color="auto" w:fill="FFFFFF"/>
            <w:vAlign w:val="center"/>
            <w:hideMark/>
          </w:tcPr>
          <w:p w14:paraId="3ADB36F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3.7</w:t>
            </w:r>
          </w:p>
        </w:tc>
        <w:tc>
          <w:tcPr>
            <w:tcW w:w="460" w:type="pct"/>
            <w:tcBorders>
              <w:top w:val="nil"/>
              <w:left w:val="nil"/>
              <w:bottom w:val="dotted" w:sz="4" w:space="0" w:color="auto"/>
              <w:right w:val="dotted" w:sz="4" w:space="0" w:color="auto"/>
            </w:tcBorders>
            <w:shd w:val="clear" w:color="auto" w:fill="FFFFFF"/>
            <w:vAlign w:val="center"/>
            <w:hideMark/>
          </w:tcPr>
          <w:p w14:paraId="06D76B5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3.5</w:t>
            </w:r>
          </w:p>
        </w:tc>
        <w:tc>
          <w:tcPr>
            <w:tcW w:w="464" w:type="pct"/>
            <w:tcBorders>
              <w:top w:val="nil"/>
              <w:left w:val="nil"/>
              <w:bottom w:val="dotted" w:sz="4" w:space="0" w:color="auto"/>
              <w:right w:val="double" w:sz="6" w:space="0" w:color="auto"/>
            </w:tcBorders>
            <w:shd w:val="clear" w:color="auto" w:fill="FFFFFF"/>
            <w:vAlign w:val="center"/>
            <w:hideMark/>
          </w:tcPr>
          <w:p w14:paraId="113E578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3.6</w:t>
            </w:r>
          </w:p>
        </w:tc>
      </w:tr>
      <w:tr w:rsidR="00C50585" w:rsidRPr="00EE038F" w14:paraId="2F89A420" w14:textId="77777777" w:rsidTr="00280C20">
        <w:trPr>
          <w:trHeight w:val="20"/>
          <w:jc w:val="center"/>
        </w:trPr>
        <w:tc>
          <w:tcPr>
            <w:tcW w:w="1405" w:type="pct"/>
            <w:tcBorders>
              <w:top w:val="nil"/>
              <w:left w:val="double" w:sz="6" w:space="0" w:color="auto"/>
              <w:bottom w:val="dotted" w:sz="4" w:space="0" w:color="auto"/>
              <w:right w:val="dotted" w:sz="4" w:space="0" w:color="auto"/>
            </w:tcBorders>
            <w:shd w:val="clear" w:color="auto" w:fill="FFFFFF"/>
            <w:hideMark/>
          </w:tcPr>
          <w:p w14:paraId="7C4984CC" w14:textId="035A1860"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 xml:space="preserve">10. Ndryshimi i </w:t>
            </w:r>
            <w:r w:rsidR="00FB2058" w:rsidRPr="00EE038F">
              <w:rPr>
                <w:rFonts w:ascii="Garamond" w:hAnsi="Garamond"/>
                <w:sz w:val="18"/>
              </w:rPr>
              <w:t>inventarëve</w:t>
            </w:r>
            <w:r w:rsidRPr="00EE038F">
              <w:rPr>
                <w:rFonts w:ascii="Garamond" w:hAnsi="Garamond"/>
                <w:sz w:val="18"/>
              </w:rPr>
              <w:t xml:space="preserve"> dhe blerja neto e sendeve me vlerë</w:t>
            </w:r>
          </w:p>
        </w:tc>
        <w:tc>
          <w:tcPr>
            <w:tcW w:w="588" w:type="pct"/>
            <w:tcBorders>
              <w:top w:val="nil"/>
              <w:left w:val="nil"/>
              <w:bottom w:val="dotted" w:sz="4" w:space="0" w:color="auto"/>
              <w:right w:val="single" w:sz="8" w:space="0" w:color="auto"/>
            </w:tcBorders>
            <w:shd w:val="clear" w:color="auto" w:fill="FFFFFF"/>
            <w:vAlign w:val="bottom"/>
            <w:hideMark/>
          </w:tcPr>
          <w:p w14:paraId="2B788B55" w14:textId="77777777"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P52+P53</w:t>
            </w:r>
          </w:p>
        </w:tc>
        <w:tc>
          <w:tcPr>
            <w:tcW w:w="702" w:type="pct"/>
            <w:tcBorders>
              <w:top w:val="nil"/>
              <w:left w:val="nil"/>
              <w:bottom w:val="dotted" w:sz="4" w:space="0" w:color="auto"/>
              <w:right w:val="single" w:sz="8" w:space="0" w:color="auto"/>
            </w:tcBorders>
            <w:shd w:val="clear" w:color="auto" w:fill="FFFFFF"/>
            <w:vAlign w:val="center"/>
            <w:hideMark/>
          </w:tcPr>
          <w:p w14:paraId="4A86143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-0.2</w:t>
            </w:r>
          </w:p>
        </w:tc>
        <w:tc>
          <w:tcPr>
            <w:tcW w:w="460" w:type="pct"/>
            <w:tcBorders>
              <w:top w:val="nil"/>
              <w:left w:val="nil"/>
              <w:bottom w:val="dotted" w:sz="4" w:space="0" w:color="auto"/>
              <w:right w:val="dotted" w:sz="4" w:space="0" w:color="auto"/>
            </w:tcBorders>
            <w:shd w:val="clear" w:color="auto" w:fill="FFFFFF"/>
            <w:vAlign w:val="center"/>
            <w:hideMark/>
          </w:tcPr>
          <w:p w14:paraId="14C2881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-2.4</w:t>
            </w:r>
          </w:p>
        </w:tc>
        <w:tc>
          <w:tcPr>
            <w:tcW w:w="460" w:type="pct"/>
            <w:tcBorders>
              <w:top w:val="nil"/>
              <w:left w:val="nil"/>
              <w:bottom w:val="dotted" w:sz="4" w:space="0" w:color="auto"/>
              <w:right w:val="dotted" w:sz="4" w:space="0" w:color="auto"/>
            </w:tcBorders>
            <w:shd w:val="clear" w:color="auto" w:fill="FFFFFF"/>
            <w:vAlign w:val="center"/>
            <w:hideMark/>
          </w:tcPr>
          <w:p w14:paraId="05EC2C8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c>
          <w:tcPr>
            <w:tcW w:w="460" w:type="pct"/>
            <w:tcBorders>
              <w:top w:val="nil"/>
              <w:left w:val="nil"/>
              <w:bottom w:val="dotted" w:sz="4" w:space="0" w:color="auto"/>
              <w:right w:val="dotted" w:sz="4" w:space="0" w:color="auto"/>
            </w:tcBorders>
            <w:shd w:val="clear" w:color="auto" w:fill="FFFFFF"/>
            <w:vAlign w:val="center"/>
            <w:hideMark/>
          </w:tcPr>
          <w:p w14:paraId="5075242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c>
          <w:tcPr>
            <w:tcW w:w="460" w:type="pct"/>
            <w:tcBorders>
              <w:top w:val="nil"/>
              <w:left w:val="nil"/>
              <w:bottom w:val="dotted" w:sz="4" w:space="0" w:color="auto"/>
              <w:right w:val="dotted" w:sz="4" w:space="0" w:color="auto"/>
            </w:tcBorders>
            <w:shd w:val="clear" w:color="auto" w:fill="FFFFFF"/>
            <w:vAlign w:val="center"/>
            <w:hideMark/>
          </w:tcPr>
          <w:p w14:paraId="38F83E8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c>
          <w:tcPr>
            <w:tcW w:w="464" w:type="pct"/>
            <w:tcBorders>
              <w:top w:val="nil"/>
              <w:left w:val="nil"/>
              <w:bottom w:val="dotted" w:sz="4" w:space="0" w:color="auto"/>
              <w:right w:val="double" w:sz="6" w:space="0" w:color="auto"/>
            </w:tcBorders>
            <w:shd w:val="clear" w:color="auto" w:fill="FFFFFF"/>
            <w:vAlign w:val="center"/>
            <w:hideMark/>
          </w:tcPr>
          <w:p w14:paraId="2683F63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r>
      <w:tr w:rsidR="00C50585" w:rsidRPr="00EE038F" w14:paraId="309993E9" w14:textId="77777777" w:rsidTr="00280C20">
        <w:trPr>
          <w:trHeight w:val="20"/>
          <w:jc w:val="center"/>
        </w:trPr>
        <w:tc>
          <w:tcPr>
            <w:tcW w:w="1405" w:type="pct"/>
            <w:tcBorders>
              <w:top w:val="nil"/>
              <w:left w:val="double" w:sz="6" w:space="0" w:color="auto"/>
              <w:bottom w:val="double" w:sz="6" w:space="0" w:color="auto"/>
              <w:right w:val="dotted" w:sz="4" w:space="0" w:color="auto"/>
            </w:tcBorders>
            <w:shd w:val="clear" w:color="auto" w:fill="FFFFFF"/>
            <w:hideMark/>
          </w:tcPr>
          <w:p w14:paraId="4E6A3B09" w14:textId="49D94A76"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11. Bilanci i jashtëm i mallrave/</w:t>
            </w:r>
            <w:r w:rsidR="00F42CD5">
              <w:rPr>
                <w:rFonts w:ascii="Garamond" w:hAnsi="Garamond"/>
                <w:sz w:val="18"/>
              </w:rPr>
              <w:t xml:space="preserve"> </w:t>
            </w:r>
            <w:r w:rsidRPr="00EE038F">
              <w:rPr>
                <w:rFonts w:ascii="Garamond" w:hAnsi="Garamond"/>
                <w:sz w:val="18"/>
              </w:rPr>
              <w:t>shërbimeve</w:t>
            </w:r>
          </w:p>
        </w:tc>
        <w:tc>
          <w:tcPr>
            <w:tcW w:w="588" w:type="pct"/>
            <w:tcBorders>
              <w:top w:val="nil"/>
              <w:left w:val="nil"/>
              <w:bottom w:val="double" w:sz="6" w:space="0" w:color="auto"/>
              <w:right w:val="single" w:sz="8" w:space="0" w:color="auto"/>
            </w:tcBorders>
            <w:shd w:val="clear" w:color="auto" w:fill="FFFFFF"/>
            <w:vAlign w:val="center"/>
            <w:hideMark/>
          </w:tcPr>
          <w:p w14:paraId="5C67B92F" w14:textId="77777777"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B11</w:t>
            </w:r>
          </w:p>
        </w:tc>
        <w:tc>
          <w:tcPr>
            <w:tcW w:w="702" w:type="pct"/>
            <w:tcBorders>
              <w:top w:val="nil"/>
              <w:left w:val="nil"/>
              <w:bottom w:val="double" w:sz="6" w:space="0" w:color="auto"/>
              <w:right w:val="single" w:sz="8" w:space="0" w:color="auto"/>
            </w:tcBorders>
            <w:shd w:val="clear" w:color="auto" w:fill="FFFFFF"/>
            <w:vAlign w:val="center"/>
            <w:hideMark/>
          </w:tcPr>
          <w:p w14:paraId="1238360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w:t>
            </w:r>
          </w:p>
        </w:tc>
        <w:tc>
          <w:tcPr>
            <w:tcW w:w="460" w:type="pct"/>
            <w:tcBorders>
              <w:top w:val="nil"/>
              <w:left w:val="nil"/>
              <w:bottom w:val="double" w:sz="6" w:space="0" w:color="auto"/>
              <w:right w:val="dotted" w:sz="4" w:space="0" w:color="auto"/>
            </w:tcBorders>
            <w:shd w:val="clear" w:color="auto" w:fill="FFFFFF"/>
            <w:vAlign w:val="center"/>
            <w:hideMark/>
          </w:tcPr>
          <w:p w14:paraId="117CE73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3.4</w:t>
            </w:r>
          </w:p>
        </w:tc>
        <w:tc>
          <w:tcPr>
            <w:tcW w:w="460" w:type="pct"/>
            <w:tcBorders>
              <w:top w:val="nil"/>
              <w:left w:val="nil"/>
              <w:bottom w:val="double" w:sz="6" w:space="0" w:color="auto"/>
              <w:right w:val="dotted" w:sz="4" w:space="0" w:color="auto"/>
            </w:tcBorders>
            <w:shd w:val="clear" w:color="auto" w:fill="FFFFFF"/>
            <w:vAlign w:val="center"/>
            <w:hideMark/>
          </w:tcPr>
          <w:p w14:paraId="7FBDC49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-0.5</w:t>
            </w:r>
          </w:p>
        </w:tc>
        <w:tc>
          <w:tcPr>
            <w:tcW w:w="460" w:type="pct"/>
            <w:tcBorders>
              <w:top w:val="nil"/>
              <w:left w:val="nil"/>
              <w:bottom w:val="double" w:sz="6" w:space="0" w:color="auto"/>
              <w:right w:val="dotted" w:sz="4" w:space="0" w:color="auto"/>
            </w:tcBorders>
            <w:shd w:val="clear" w:color="auto" w:fill="FFFFFF"/>
            <w:vAlign w:val="center"/>
            <w:hideMark/>
          </w:tcPr>
          <w:p w14:paraId="2E2C093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0.2</w:t>
            </w:r>
          </w:p>
        </w:tc>
        <w:tc>
          <w:tcPr>
            <w:tcW w:w="460" w:type="pct"/>
            <w:tcBorders>
              <w:top w:val="nil"/>
              <w:left w:val="nil"/>
              <w:bottom w:val="double" w:sz="6" w:space="0" w:color="auto"/>
              <w:right w:val="dotted" w:sz="4" w:space="0" w:color="auto"/>
            </w:tcBorders>
            <w:shd w:val="clear" w:color="auto" w:fill="FFFFFF"/>
            <w:vAlign w:val="center"/>
            <w:hideMark/>
          </w:tcPr>
          <w:p w14:paraId="6A6A182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0.5</w:t>
            </w:r>
          </w:p>
        </w:tc>
        <w:tc>
          <w:tcPr>
            <w:tcW w:w="464" w:type="pct"/>
            <w:tcBorders>
              <w:top w:val="nil"/>
              <w:left w:val="nil"/>
              <w:bottom w:val="double" w:sz="6" w:space="0" w:color="auto"/>
              <w:right w:val="double" w:sz="6" w:space="0" w:color="auto"/>
            </w:tcBorders>
            <w:shd w:val="clear" w:color="auto" w:fill="FFFFFF"/>
            <w:vAlign w:val="center"/>
            <w:hideMark/>
          </w:tcPr>
          <w:p w14:paraId="032EAC6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0.3</w:t>
            </w:r>
          </w:p>
        </w:tc>
      </w:tr>
    </w:tbl>
    <w:p w14:paraId="48400D25" w14:textId="77777777" w:rsidR="00C50585" w:rsidRPr="00EE038F" w:rsidRDefault="00C50585" w:rsidP="00C50585">
      <w:pPr>
        <w:spacing w:after="0" w:line="240" w:lineRule="auto"/>
        <w:contextualSpacing/>
        <w:jc w:val="both"/>
        <w:rPr>
          <w:rFonts w:ascii="Garamond" w:hAnsi="Garamond"/>
          <w:color w:val="0D0D0D" w:themeColor="text1" w:themeTint="F2"/>
        </w:rPr>
      </w:pPr>
    </w:p>
    <w:p w14:paraId="5C452D6A" w14:textId="77777777" w:rsidR="00C50585" w:rsidRPr="00EE038F" w:rsidRDefault="00C50585" w:rsidP="00066DFC">
      <w:pPr>
        <w:spacing w:after="0" w:line="240" w:lineRule="auto"/>
        <w:contextualSpacing/>
        <w:jc w:val="center"/>
        <w:rPr>
          <w:rFonts w:ascii="Garamond" w:hAnsi="Garamond"/>
          <w:bCs/>
          <w:i/>
          <w:iCs/>
          <w:color w:val="0D0D0D" w:themeColor="text1" w:themeTint="F2"/>
          <w:sz w:val="24"/>
          <w:szCs w:val="24"/>
        </w:rPr>
      </w:pPr>
      <w:r w:rsidRPr="00EE038F">
        <w:rPr>
          <w:rFonts w:ascii="Garamond" w:hAnsi="Garamond"/>
          <w:bCs/>
          <w:i/>
          <w:iCs/>
          <w:color w:val="0D0D0D" w:themeColor="text1" w:themeTint="F2"/>
          <w:sz w:val="24"/>
          <w:szCs w:val="24"/>
        </w:rPr>
        <w:t>Tabela 1b: Zhvillimet e çmimeve</w:t>
      </w:r>
    </w:p>
    <w:tbl>
      <w:tblPr>
        <w:tblW w:w="5000" w:type="pct"/>
        <w:tblLook w:val="04A0" w:firstRow="1" w:lastRow="0" w:firstColumn="1" w:lastColumn="0" w:noHBand="0" w:noVBand="1"/>
      </w:tblPr>
      <w:tblGrid>
        <w:gridCol w:w="3619"/>
        <w:gridCol w:w="1032"/>
        <w:gridCol w:w="865"/>
        <w:gridCol w:w="865"/>
        <w:gridCol w:w="865"/>
        <w:gridCol w:w="865"/>
        <w:gridCol w:w="863"/>
      </w:tblGrid>
      <w:tr w:rsidR="00C50585" w:rsidRPr="00EE038F" w14:paraId="3F64E2DE" w14:textId="77777777" w:rsidTr="00FB5945">
        <w:trPr>
          <w:trHeight w:val="20"/>
        </w:trPr>
        <w:tc>
          <w:tcPr>
            <w:tcW w:w="2016" w:type="pct"/>
            <w:vMerge w:val="restart"/>
            <w:tcBorders>
              <w:top w:val="double" w:sz="6" w:space="0" w:color="auto"/>
              <w:left w:val="double" w:sz="6" w:space="0" w:color="auto"/>
              <w:bottom w:val="single" w:sz="8" w:space="0" w:color="000000"/>
              <w:right w:val="dotted" w:sz="4" w:space="0" w:color="auto"/>
            </w:tcBorders>
            <w:shd w:val="clear" w:color="auto" w:fill="FFFFFF"/>
            <w:vAlign w:val="center"/>
            <w:hideMark/>
          </w:tcPr>
          <w:p w14:paraId="64EC27B4" w14:textId="0A20BCA0"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 xml:space="preserve">Ndryshimet në </w:t>
            </w:r>
            <w:r w:rsidR="009242F9" w:rsidRPr="00EE038F">
              <w:rPr>
                <w:rFonts w:ascii="Garamond" w:hAnsi="Garamond"/>
                <w:b/>
                <w:bCs/>
                <w:color w:val="0D0D0D" w:themeColor="text1" w:themeTint="F2"/>
                <w:sz w:val="18"/>
              </w:rPr>
              <w:t>përqindje</w:t>
            </w:r>
            <w:r w:rsidRPr="00EE038F">
              <w:rPr>
                <w:rFonts w:ascii="Garamond" w:hAnsi="Garamond"/>
                <w:b/>
                <w:bCs/>
                <w:color w:val="0D0D0D" w:themeColor="text1" w:themeTint="F2"/>
                <w:sz w:val="18"/>
              </w:rPr>
              <w:t>, mesataret vjetore</w:t>
            </w:r>
          </w:p>
        </w:tc>
        <w:tc>
          <w:tcPr>
            <w:tcW w:w="575" w:type="pct"/>
            <w:tcBorders>
              <w:top w:val="double" w:sz="6" w:space="0" w:color="auto"/>
              <w:left w:val="nil"/>
              <w:bottom w:val="nil"/>
              <w:right w:val="single" w:sz="8" w:space="0" w:color="auto"/>
            </w:tcBorders>
            <w:shd w:val="clear" w:color="auto" w:fill="FFFFFF"/>
            <w:vAlign w:val="center"/>
          </w:tcPr>
          <w:p w14:paraId="52BC0951"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Kodi</w:t>
            </w:r>
          </w:p>
        </w:tc>
        <w:tc>
          <w:tcPr>
            <w:tcW w:w="482" w:type="pct"/>
            <w:tcBorders>
              <w:top w:val="double" w:sz="6" w:space="0" w:color="auto"/>
              <w:left w:val="nil"/>
              <w:bottom w:val="nil"/>
              <w:right w:val="dotted" w:sz="4" w:space="0" w:color="auto"/>
            </w:tcBorders>
            <w:shd w:val="clear" w:color="auto" w:fill="FFFFFF"/>
            <w:vAlign w:val="center"/>
            <w:hideMark/>
          </w:tcPr>
          <w:p w14:paraId="12BE5BF8" w14:textId="77777777" w:rsidR="00C50585" w:rsidRPr="00EE038F" w:rsidRDefault="00C50585" w:rsidP="007C70E7">
            <w:pPr>
              <w:spacing w:after="0" w:line="240" w:lineRule="auto"/>
              <w:contextualSpacing/>
              <w:jc w:val="both"/>
              <w:rPr>
                <w:rFonts w:ascii="Garamond" w:eastAsia="Times New Roman" w:hAnsi="Garamond"/>
                <w:b/>
                <w:bCs/>
                <w:color w:val="0D0D0D" w:themeColor="text1" w:themeTint="F2"/>
                <w:sz w:val="18"/>
              </w:rPr>
            </w:pPr>
            <w:r w:rsidRPr="00EE038F">
              <w:rPr>
                <w:rFonts w:ascii="Garamond" w:hAnsi="Garamond"/>
                <w:b/>
                <w:bCs/>
                <w:sz w:val="18"/>
              </w:rPr>
              <w:t>Viti</w:t>
            </w:r>
          </w:p>
        </w:tc>
        <w:tc>
          <w:tcPr>
            <w:tcW w:w="482" w:type="pct"/>
            <w:tcBorders>
              <w:top w:val="double" w:sz="6" w:space="0" w:color="auto"/>
              <w:left w:val="nil"/>
              <w:bottom w:val="nil"/>
              <w:right w:val="dotted" w:sz="4" w:space="0" w:color="auto"/>
            </w:tcBorders>
            <w:shd w:val="clear" w:color="auto" w:fill="FFFFFF"/>
            <w:vAlign w:val="center"/>
            <w:hideMark/>
          </w:tcPr>
          <w:p w14:paraId="2BDAF005"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c>
          <w:tcPr>
            <w:tcW w:w="482" w:type="pct"/>
            <w:tcBorders>
              <w:top w:val="double" w:sz="6" w:space="0" w:color="auto"/>
              <w:left w:val="nil"/>
              <w:bottom w:val="nil"/>
              <w:right w:val="dotted" w:sz="4" w:space="0" w:color="auto"/>
            </w:tcBorders>
            <w:shd w:val="clear" w:color="auto" w:fill="FFFFFF"/>
            <w:vAlign w:val="center"/>
            <w:hideMark/>
          </w:tcPr>
          <w:p w14:paraId="0936A8C4"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c>
          <w:tcPr>
            <w:tcW w:w="482" w:type="pct"/>
            <w:tcBorders>
              <w:top w:val="double" w:sz="6" w:space="0" w:color="auto"/>
              <w:left w:val="nil"/>
              <w:bottom w:val="nil"/>
              <w:right w:val="dotted" w:sz="4" w:space="0" w:color="auto"/>
            </w:tcBorders>
            <w:shd w:val="clear" w:color="auto" w:fill="FFFFFF"/>
            <w:vAlign w:val="center"/>
            <w:hideMark/>
          </w:tcPr>
          <w:p w14:paraId="10F51C7B"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c>
          <w:tcPr>
            <w:tcW w:w="482" w:type="pct"/>
            <w:tcBorders>
              <w:top w:val="double" w:sz="6" w:space="0" w:color="auto"/>
              <w:left w:val="nil"/>
              <w:bottom w:val="nil"/>
              <w:right w:val="double" w:sz="6" w:space="0" w:color="auto"/>
            </w:tcBorders>
            <w:shd w:val="clear" w:color="auto" w:fill="FFFFFF"/>
            <w:vAlign w:val="center"/>
            <w:hideMark/>
          </w:tcPr>
          <w:p w14:paraId="265253C8"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r>
      <w:tr w:rsidR="00C50585" w:rsidRPr="00EE038F" w14:paraId="5F9EBE59" w14:textId="77777777" w:rsidTr="00FB5945">
        <w:trPr>
          <w:trHeight w:val="20"/>
        </w:trPr>
        <w:tc>
          <w:tcPr>
            <w:tcW w:w="2016" w:type="pct"/>
            <w:vMerge/>
            <w:tcBorders>
              <w:top w:val="double" w:sz="6" w:space="0" w:color="auto"/>
              <w:left w:val="double" w:sz="6" w:space="0" w:color="auto"/>
              <w:bottom w:val="single" w:sz="8" w:space="0" w:color="000000"/>
              <w:right w:val="dotted" w:sz="4" w:space="0" w:color="auto"/>
            </w:tcBorders>
            <w:vAlign w:val="center"/>
            <w:hideMark/>
          </w:tcPr>
          <w:p w14:paraId="1C6035DE"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p>
        </w:tc>
        <w:tc>
          <w:tcPr>
            <w:tcW w:w="575" w:type="pct"/>
            <w:tcBorders>
              <w:top w:val="nil"/>
              <w:left w:val="nil"/>
              <w:bottom w:val="single" w:sz="8" w:space="0" w:color="auto"/>
              <w:right w:val="single" w:sz="8" w:space="0" w:color="auto"/>
            </w:tcBorders>
            <w:shd w:val="clear" w:color="auto" w:fill="FFFFFF"/>
            <w:vAlign w:val="center"/>
            <w:hideMark/>
          </w:tcPr>
          <w:p w14:paraId="31FF499C"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ESA</w:t>
            </w:r>
          </w:p>
        </w:tc>
        <w:tc>
          <w:tcPr>
            <w:tcW w:w="482" w:type="pct"/>
            <w:tcBorders>
              <w:top w:val="nil"/>
              <w:left w:val="nil"/>
              <w:bottom w:val="single" w:sz="8" w:space="0" w:color="auto"/>
              <w:right w:val="dotted" w:sz="4" w:space="0" w:color="auto"/>
            </w:tcBorders>
            <w:shd w:val="clear" w:color="auto" w:fill="FFFFFF"/>
            <w:vAlign w:val="center"/>
            <w:hideMark/>
          </w:tcPr>
          <w:p w14:paraId="29B7B5D9"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2023</w:t>
            </w:r>
          </w:p>
        </w:tc>
        <w:tc>
          <w:tcPr>
            <w:tcW w:w="482" w:type="pct"/>
            <w:tcBorders>
              <w:top w:val="nil"/>
              <w:left w:val="nil"/>
              <w:bottom w:val="single" w:sz="8" w:space="0" w:color="auto"/>
              <w:right w:val="dotted" w:sz="4" w:space="0" w:color="auto"/>
            </w:tcBorders>
            <w:shd w:val="clear" w:color="auto" w:fill="FFFFFF"/>
            <w:vAlign w:val="center"/>
            <w:hideMark/>
          </w:tcPr>
          <w:p w14:paraId="07C806F3"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2024</w:t>
            </w:r>
          </w:p>
        </w:tc>
        <w:tc>
          <w:tcPr>
            <w:tcW w:w="482" w:type="pct"/>
            <w:tcBorders>
              <w:top w:val="nil"/>
              <w:left w:val="nil"/>
              <w:bottom w:val="single" w:sz="8" w:space="0" w:color="auto"/>
              <w:right w:val="dotted" w:sz="4" w:space="0" w:color="auto"/>
            </w:tcBorders>
            <w:shd w:val="clear" w:color="auto" w:fill="FFFFFF"/>
            <w:vAlign w:val="center"/>
            <w:hideMark/>
          </w:tcPr>
          <w:p w14:paraId="1FBF45D6"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2025</w:t>
            </w:r>
          </w:p>
        </w:tc>
        <w:tc>
          <w:tcPr>
            <w:tcW w:w="482" w:type="pct"/>
            <w:tcBorders>
              <w:top w:val="nil"/>
              <w:left w:val="nil"/>
              <w:bottom w:val="single" w:sz="8" w:space="0" w:color="auto"/>
              <w:right w:val="dotted" w:sz="4" w:space="0" w:color="auto"/>
            </w:tcBorders>
            <w:shd w:val="clear" w:color="auto" w:fill="FFFFFF"/>
            <w:vAlign w:val="center"/>
            <w:hideMark/>
          </w:tcPr>
          <w:p w14:paraId="07E6E701"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2026</w:t>
            </w:r>
          </w:p>
        </w:tc>
        <w:tc>
          <w:tcPr>
            <w:tcW w:w="482" w:type="pct"/>
            <w:tcBorders>
              <w:top w:val="nil"/>
              <w:left w:val="nil"/>
              <w:bottom w:val="single" w:sz="8" w:space="0" w:color="auto"/>
              <w:right w:val="double" w:sz="6" w:space="0" w:color="auto"/>
            </w:tcBorders>
            <w:shd w:val="clear" w:color="auto" w:fill="FFFFFF"/>
            <w:vAlign w:val="center"/>
            <w:hideMark/>
          </w:tcPr>
          <w:p w14:paraId="4038D70C"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2027</w:t>
            </w:r>
          </w:p>
        </w:tc>
      </w:tr>
      <w:tr w:rsidR="00C50585" w:rsidRPr="00EE038F" w14:paraId="3DD9110D" w14:textId="77777777" w:rsidTr="00FB5945">
        <w:trPr>
          <w:trHeight w:val="20"/>
        </w:trPr>
        <w:tc>
          <w:tcPr>
            <w:tcW w:w="2016" w:type="pct"/>
            <w:tcBorders>
              <w:top w:val="nil"/>
              <w:left w:val="double" w:sz="6" w:space="0" w:color="auto"/>
              <w:bottom w:val="dotted" w:sz="4" w:space="0" w:color="auto"/>
              <w:right w:val="dotted" w:sz="4" w:space="0" w:color="auto"/>
            </w:tcBorders>
            <w:shd w:val="clear" w:color="auto" w:fill="FFFFFF"/>
            <w:hideMark/>
          </w:tcPr>
          <w:p w14:paraId="67F9581D"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1. Deflatori i PBB-së</w:t>
            </w:r>
          </w:p>
        </w:tc>
        <w:tc>
          <w:tcPr>
            <w:tcW w:w="575" w:type="pct"/>
            <w:tcBorders>
              <w:top w:val="nil"/>
              <w:left w:val="nil"/>
              <w:bottom w:val="dotted" w:sz="4" w:space="0" w:color="auto"/>
              <w:right w:val="single" w:sz="8" w:space="0" w:color="auto"/>
            </w:tcBorders>
            <w:shd w:val="clear" w:color="auto" w:fill="FFFFFF"/>
            <w:vAlign w:val="center"/>
            <w:hideMark/>
          </w:tcPr>
          <w:p w14:paraId="63B62D1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color w:val="0D0D0D" w:themeColor="text1" w:themeTint="F2"/>
                <w:sz w:val="18"/>
              </w:rPr>
              <w:t>%, y-o-y</w:t>
            </w:r>
          </w:p>
        </w:tc>
        <w:tc>
          <w:tcPr>
            <w:tcW w:w="482" w:type="pct"/>
            <w:tcBorders>
              <w:top w:val="nil"/>
              <w:left w:val="nil"/>
              <w:bottom w:val="dotted" w:sz="4" w:space="0" w:color="auto"/>
              <w:right w:val="dotted" w:sz="4" w:space="0" w:color="auto"/>
            </w:tcBorders>
            <w:shd w:val="clear" w:color="auto" w:fill="FFFFFF"/>
            <w:vAlign w:val="center"/>
            <w:hideMark/>
          </w:tcPr>
          <w:p w14:paraId="5EEBF1E4" w14:textId="77777777" w:rsidR="00C50585" w:rsidRPr="00EE038F" w:rsidRDefault="00C50585" w:rsidP="00280C20">
            <w:pPr>
              <w:spacing w:after="0" w:line="240" w:lineRule="auto"/>
              <w:contextualSpacing/>
              <w:jc w:val="right"/>
              <w:rPr>
                <w:rFonts w:ascii="Garamond" w:eastAsia="Times New Roman" w:hAnsi="Garamond"/>
                <w:color w:val="0D0D0D" w:themeColor="text1" w:themeTint="F2"/>
                <w:sz w:val="18"/>
              </w:rPr>
            </w:pPr>
            <w:r w:rsidRPr="00EE038F">
              <w:rPr>
                <w:rFonts w:ascii="Garamond" w:hAnsi="Garamond"/>
                <w:sz w:val="18"/>
              </w:rPr>
              <w:t>6.1</w:t>
            </w:r>
          </w:p>
        </w:tc>
        <w:tc>
          <w:tcPr>
            <w:tcW w:w="482" w:type="pct"/>
            <w:tcBorders>
              <w:top w:val="nil"/>
              <w:left w:val="nil"/>
              <w:bottom w:val="dotted" w:sz="4" w:space="0" w:color="auto"/>
              <w:right w:val="dotted" w:sz="4" w:space="0" w:color="auto"/>
            </w:tcBorders>
            <w:shd w:val="clear" w:color="auto" w:fill="FFFFFF"/>
            <w:vAlign w:val="center"/>
            <w:hideMark/>
          </w:tcPr>
          <w:p w14:paraId="1CAB965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1.3</w:t>
            </w:r>
          </w:p>
        </w:tc>
        <w:tc>
          <w:tcPr>
            <w:tcW w:w="482" w:type="pct"/>
            <w:tcBorders>
              <w:top w:val="nil"/>
              <w:left w:val="nil"/>
              <w:bottom w:val="dotted" w:sz="4" w:space="0" w:color="auto"/>
              <w:right w:val="dotted" w:sz="4" w:space="0" w:color="auto"/>
            </w:tcBorders>
            <w:shd w:val="clear" w:color="auto" w:fill="FFFFFF"/>
            <w:vAlign w:val="center"/>
            <w:hideMark/>
          </w:tcPr>
          <w:p w14:paraId="7DB256C5"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1.2</w:t>
            </w:r>
          </w:p>
        </w:tc>
        <w:tc>
          <w:tcPr>
            <w:tcW w:w="482" w:type="pct"/>
            <w:tcBorders>
              <w:top w:val="nil"/>
              <w:left w:val="nil"/>
              <w:bottom w:val="dotted" w:sz="4" w:space="0" w:color="auto"/>
              <w:right w:val="dotted" w:sz="4" w:space="0" w:color="auto"/>
            </w:tcBorders>
            <w:shd w:val="clear" w:color="auto" w:fill="FFFFFF"/>
            <w:vAlign w:val="center"/>
            <w:hideMark/>
          </w:tcPr>
          <w:p w14:paraId="3DB7D05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1.2</w:t>
            </w:r>
          </w:p>
        </w:tc>
        <w:tc>
          <w:tcPr>
            <w:tcW w:w="482" w:type="pct"/>
            <w:tcBorders>
              <w:top w:val="nil"/>
              <w:left w:val="nil"/>
              <w:bottom w:val="dotted" w:sz="4" w:space="0" w:color="auto"/>
              <w:right w:val="double" w:sz="6" w:space="0" w:color="auto"/>
            </w:tcBorders>
            <w:shd w:val="clear" w:color="auto" w:fill="FFFFFF"/>
            <w:vAlign w:val="center"/>
            <w:hideMark/>
          </w:tcPr>
          <w:p w14:paraId="4FC1189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1.2</w:t>
            </w:r>
          </w:p>
        </w:tc>
      </w:tr>
      <w:tr w:rsidR="00C50585" w:rsidRPr="00EE038F" w14:paraId="095CCB39" w14:textId="77777777" w:rsidTr="00FB5945">
        <w:trPr>
          <w:trHeight w:val="20"/>
        </w:trPr>
        <w:tc>
          <w:tcPr>
            <w:tcW w:w="2016" w:type="pct"/>
            <w:tcBorders>
              <w:top w:val="nil"/>
              <w:left w:val="double" w:sz="6" w:space="0" w:color="auto"/>
              <w:bottom w:val="dotted" w:sz="4" w:space="0" w:color="auto"/>
              <w:right w:val="dotted" w:sz="4" w:space="0" w:color="auto"/>
            </w:tcBorders>
            <w:shd w:val="clear" w:color="auto" w:fill="FFFFFF"/>
            <w:hideMark/>
          </w:tcPr>
          <w:p w14:paraId="4B700267"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lastRenderedPageBreak/>
              <w:t>2. Deflatori i konsumit privat</w:t>
            </w:r>
          </w:p>
        </w:tc>
        <w:tc>
          <w:tcPr>
            <w:tcW w:w="575" w:type="pct"/>
            <w:tcBorders>
              <w:top w:val="nil"/>
              <w:left w:val="nil"/>
              <w:bottom w:val="dotted" w:sz="4" w:space="0" w:color="auto"/>
              <w:right w:val="single" w:sz="8" w:space="0" w:color="auto"/>
            </w:tcBorders>
            <w:shd w:val="clear" w:color="auto" w:fill="FFFFFF"/>
            <w:vAlign w:val="center"/>
            <w:hideMark/>
          </w:tcPr>
          <w:p w14:paraId="23190BB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color w:val="0D0D0D" w:themeColor="text1" w:themeTint="F2"/>
                <w:sz w:val="18"/>
              </w:rPr>
              <w:t>%, y-o-y</w:t>
            </w:r>
          </w:p>
        </w:tc>
        <w:tc>
          <w:tcPr>
            <w:tcW w:w="482" w:type="pct"/>
            <w:tcBorders>
              <w:top w:val="nil"/>
              <w:left w:val="nil"/>
              <w:bottom w:val="dotted" w:sz="4" w:space="0" w:color="auto"/>
              <w:right w:val="dotted" w:sz="4" w:space="0" w:color="auto"/>
            </w:tcBorders>
            <w:shd w:val="clear" w:color="auto" w:fill="FFFFFF"/>
            <w:vAlign w:val="center"/>
            <w:hideMark/>
          </w:tcPr>
          <w:p w14:paraId="12E39E0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5.4</w:t>
            </w:r>
          </w:p>
        </w:tc>
        <w:tc>
          <w:tcPr>
            <w:tcW w:w="482" w:type="pct"/>
            <w:tcBorders>
              <w:top w:val="nil"/>
              <w:left w:val="nil"/>
              <w:bottom w:val="dotted" w:sz="4" w:space="0" w:color="auto"/>
              <w:right w:val="dotted" w:sz="4" w:space="0" w:color="auto"/>
            </w:tcBorders>
            <w:shd w:val="clear" w:color="auto" w:fill="FFFFFF"/>
            <w:vAlign w:val="center"/>
            <w:hideMark/>
          </w:tcPr>
          <w:p w14:paraId="4132935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4.6</w:t>
            </w:r>
          </w:p>
        </w:tc>
        <w:tc>
          <w:tcPr>
            <w:tcW w:w="482" w:type="pct"/>
            <w:tcBorders>
              <w:top w:val="nil"/>
              <w:left w:val="nil"/>
              <w:bottom w:val="dotted" w:sz="4" w:space="0" w:color="auto"/>
              <w:right w:val="dotted" w:sz="4" w:space="0" w:color="auto"/>
            </w:tcBorders>
            <w:shd w:val="clear" w:color="auto" w:fill="FFFFFF"/>
            <w:vAlign w:val="center"/>
            <w:hideMark/>
          </w:tcPr>
          <w:p w14:paraId="4C4B42C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2.1</w:t>
            </w:r>
          </w:p>
        </w:tc>
        <w:tc>
          <w:tcPr>
            <w:tcW w:w="482" w:type="pct"/>
            <w:tcBorders>
              <w:top w:val="nil"/>
              <w:left w:val="nil"/>
              <w:bottom w:val="dotted" w:sz="4" w:space="0" w:color="auto"/>
              <w:right w:val="dotted" w:sz="4" w:space="0" w:color="auto"/>
            </w:tcBorders>
            <w:shd w:val="clear" w:color="auto" w:fill="FFFFFF"/>
            <w:vAlign w:val="center"/>
            <w:hideMark/>
          </w:tcPr>
          <w:p w14:paraId="7E4E964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1.2</w:t>
            </w:r>
          </w:p>
        </w:tc>
        <w:tc>
          <w:tcPr>
            <w:tcW w:w="482" w:type="pct"/>
            <w:tcBorders>
              <w:top w:val="nil"/>
              <w:left w:val="nil"/>
              <w:bottom w:val="dotted" w:sz="4" w:space="0" w:color="auto"/>
              <w:right w:val="double" w:sz="6" w:space="0" w:color="auto"/>
            </w:tcBorders>
            <w:shd w:val="clear" w:color="auto" w:fill="FFFFFF"/>
            <w:vAlign w:val="center"/>
            <w:hideMark/>
          </w:tcPr>
          <w:p w14:paraId="27E7F98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2.0</w:t>
            </w:r>
          </w:p>
        </w:tc>
      </w:tr>
      <w:tr w:rsidR="00C50585" w:rsidRPr="00EE038F" w14:paraId="0C21BF0C" w14:textId="77777777" w:rsidTr="00FB5945">
        <w:trPr>
          <w:trHeight w:val="20"/>
        </w:trPr>
        <w:tc>
          <w:tcPr>
            <w:tcW w:w="2016" w:type="pct"/>
            <w:tcBorders>
              <w:top w:val="nil"/>
              <w:left w:val="double" w:sz="6" w:space="0" w:color="auto"/>
              <w:bottom w:val="dotted" w:sz="4" w:space="0" w:color="auto"/>
              <w:right w:val="dotted" w:sz="4" w:space="0" w:color="auto"/>
            </w:tcBorders>
            <w:shd w:val="clear" w:color="auto" w:fill="FFFFFF"/>
            <w:hideMark/>
          </w:tcPr>
          <w:p w14:paraId="47ED0400"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3. IHÇK</w:t>
            </w:r>
          </w:p>
        </w:tc>
        <w:tc>
          <w:tcPr>
            <w:tcW w:w="575" w:type="pct"/>
            <w:tcBorders>
              <w:top w:val="nil"/>
              <w:left w:val="nil"/>
              <w:bottom w:val="dotted" w:sz="4" w:space="0" w:color="auto"/>
              <w:right w:val="single" w:sz="8" w:space="0" w:color="auto"/>
            </w:tcBorders>
            <w:shd w:val="clear" w:color="auto" w:fill="FFFFFF"/>
            <w:vAlign w:val="center"/>
            <w:hideMark/>
          </w:tcPr>
          <w:p w14:paraId="6ABF59F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color w:val="0D0D0D" w:themeColor="text1" w:themeTint="F2"/>
                <w:sz w:val="18"/>
              </w:rPr>
              <w:t>%, y-o-y</w:t>
            </w:r>
          </w:p>
        </w:tc>
        <w:tc>
          <w:tcPr>
            <w:tcW w:w="482" w:type="pct"/>
            <w:tcBorders>
              <w:top w:val="nil"/>
              <w:left w:val="nil"/>
              <w:bottom w:val="dotted" w:sz="4" w:space="0" w:color="auto"/>
              <w:right w:val="dotted" w:sz="4" w:space="0" w:color="auto"/>
            </w:tcBorders>
            <w:shd w:val="clear" w:color="auto" w:fill="FFFFFF"/>
            <w:vAlign w:val="center"/>
            <w:hideMark/>
          </w:tcPr>
          <w:p w14:paraId="49EBADD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-3.5</w:t>
            </w:r>
          </w:p>
        </w:tc>
        <w:tc>
          <w:tcPr>
            <w:tcW w:w="482" w:type="pct"/>
            <w:tcBorders>
              <w:top w:val="nil"/>
              <w:left w:val="nil"/>
              <w:bottom w:val="dotted" w:sz="4" w:space="0" w:color="auto"/>
              <w:right w:val="dotted" w:sz="4" w:space="0" w:color="auto"/>
            </w:tcBorders>
            <w:shd w:val="clear" w:color="auto" w:fill="FFFFFF"/>
            <w:vAlign w:val="center"/>
            <w:hideMark/>
          </w:tcPr>
          <w:p w14:paraId="717867F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-4.5</w:t>
            </w:r>
          </w:p>
        </w:tc>
        <w:tc>
          <w:tcPr>
            <w:tcW w:w="482" w:type="pct"/>
            <w:tcBorders>
              <w:top w:val="nil"/>
              <w:left w:val="nil"/>
              <w:bottom w:val="dotted" w:sz="4" w:space="0" w:color="auto"/>
              <w:right w:val="dotted" w:sz="4" w:space="0" w:color="auto"/>
            </w:tcBorders>
            <w:shd w:val="clear" w:color="auto" w:fill="FFFFFF"/>
            <w:vAlign w:val="center"/>
            <w:hideMark/>
          </w:tcPr>
          <w:p w14:paraId="333979A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-0.2</w:t>
            </w:r>
          </w:p>
        </w:tc>
        <w:tc>
          <w:tcPr>
            <w:tcW w:w="482" w:type="pct"/>
            <w:tcBorders>
              <w:top w:val="nil"/>
              <w:left w:val="nil"/>
              <w:bottom w:val="dotted" w:sz="4" w:space="0" w:color="auto"/>
              <w:right w:val="dotted" w:sz="4" w:space="0" w:color="auto"/>
            </w:tcBorders>
            <w:shd w:val="clear" w:color="auto" w:fill="FFFFFF"/>
            <w:vAlign w:val="center"/>
            <w:hideMark/>
          </w:tcPr>
          <w:p w14:paraId="3EFCA62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c>
          <w:tcPr>
            <w:tcW w:w="482" w:type="pct"/>
            <w:tcBorders>
              <w:top w:val="nil"/>
              <w:left w:val="nil"/>
              <w:bottom w:val="dotted" w:sz="4" w:space="0" w:color="auto"/>
              <w:right w:val="double" w:sz="6" w:space="0" w:color="auto"/>
            </w:tcBorders>
            <w:shd w:val="clear" w:color="auto" w:fill="FFFFFF"/>
            <w:vAlign w:val="center"/>
            <w:hideMark/>
          </w:tcPr>
          <w:p w14:paraId="7D7EFFA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r>
      <w:tr w:rsidR="00C50585" w:rsidRPr="00EE038F" w14:paraId="56C39E17" w14:textId="77777777" w:rsidTr="00FB5945">
        <w:trPr>
          <w:trHeight w:val="20"/>
        </w:trPr>
        <w:tc>
          <w:tcPr>
            <w:tcW w:w="2016" w:type="pct"/>
            <w:tcBorders>
              <w:top w:val="nil"/>
              <w:left w:val="double" w:sz="6" w:space="0" w:color="auto"/>
              <w:bottom w:val="dotted" w:sz="4" w:space="0" w:color="auto"/>
              <w:right w:val="dotted" w:sz="4" w:space="0" w:color="auto"/>
            </w:tcBorders>
            <w:shd w:val="clear" w:color="auto" w:fill="FFFFFF"/>
            <w:hideMark/>
          </w:tcPr>
          <w:p w14:paraId="05AAF712"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4. Ndryshimi i IÇK-së kombëtare</w:t>
            </w:r>
          </w:p>
        </w:tc>
        <w:tc>
          <w:tcPr>
            <w:tcW w:w="575" w:type="pct"/>
            <w:tcBorders>
              <w:top w:val="nil"/>
              <w:left w:val="nil"/>
              <w:bottom w:val="dotted" w:sz="4" w:space="0" w:color="auto"/>
              <w:right w:val="single" w:sz="8" w:space="0" w:color="auto"/>
            </w:tcBorders>
            <w:shd w:val="clear" w:color="auto" w:fill="FFFFFF"/>
            <w:vAlign w:val="center"/>
            <w:hideMark/>
          </w:tcPr>
          <w:p w14:paraId="0AD51A8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color w:val="0D0D0D" w:themeColor="text1" w:themeTint="F2"/>
                <w:sz w:val="18"/>
              </w:rPr>
              <w:t>%, y-o-y</w:t>
            </w:r>
          </w:p>
        </w:tc>
        <w:tc>
          <w:tcPr>
            <w:tcW w:w="482" w:type="pct"/>
            <w:tcBorders>
              <w:top w:val="nil"/>
              <w:left w:val="nil"/>
              <w:bottom w:val="dotted" w:sz="4" w:space="0" w:color="auto"/>
              <w:right w:val="dotted" w:sz="4" w:space="0" w:color="auto"/>
            </w:tcBorders>
            <w:shd w:val="clear" w:color="auto" w:fill="FFFFFF"/>
            <w:vAlign w:val="center"/>
            <w:hideMark/>
          </w:tcPr>
          <w:p w14:paraId="2C66536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-2.5</w:t>
            </w:r>
          </w:p>
        </w:tc>
        <w:tc>
          <w:tcPr>
            <w:tcW w:w="482" w:type="pct"/>
            <w:tcBorders>
              <w:top w:val="nil"/>
              <w:left w:val="nil"/>
              <w:bottom w:val="dotted" w:sz="4" w:space="0" w:color="auto"/>
              <w:right w:val="dotted" w:sz="4" w:space="0" w:color="auto"/>
            </w:tcBorders>
            <w:shd w:val="clear" w:color="auto" w:fill="FFFFFF"/>
            <w:vAlign w:val="center"/>
            <w:hideMark/>
          </w:tcPr>
          <w:p w14:paraId="6C99708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-0.8</w:t>
            </w:r>
          </w:p>
        </w:tc>
        <w:tc>
          <w:tcPr>
            <w:tcW w:w="482" w:type="pct"/>
            <w:tcBorders>
              <w:top w:val="nil"/>
              <w:left w:val="nil"/>
              <w:bottom w:val="dotted" w:sz="4" w:space="0" w:color="auto"/>
              <w:right w:val="dotted" w:sz="4" w:space="0" w:color="auto"/>
            </w:tcBorders>
            <w:shd w:val="clear" w:color="auto" w:fill="FFFFFF"/>
            <w:vAlign w:val="center"/>
            <w:hideMark/>
          </w:tcPr>
          <w:p w14:paraId="557EBF0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-2.4</w:t>
            </w:r>
          </w:p>
        </w:tc>
        <w:tc>
          <w:tcPr>
            <w:tcW w:w="482" w:type="pct"/>
            <w:tcBorders>
              <w:top w:val="nil"/>
              <w:left w:val="nil"/>
              <w:bottom w:val="dotted" w:sz="4" w:space="0" w:color="auto"/>
              <w:right w:val="dotted" w:sz="4" w:space="0" w:color="auto"/>
            </w:tcBorders>
            <w:shd w:val="clear" w:color="auto" w:fill="FFFFFF"/>
            <w:vAlign w:val="center"/>
            <w:hideMark/>
          </w:tcPr>
          <w:p w14:paraId="7A73ADE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-0.9</w:t>
            </w:r>
          </w:p>
        </w:tc>
        <w:tc>
          <w:tcPr>
            <w:tcW w:w="482" w:type="pct"/>
            <w:tcBorders>
              <w:top w:val="nil"/>
              <w:left w:val="nil"/>
              <w:bottom w:val="dotted" w:sz="4" w:space="0" w:color="auto"/>
              <w:right w:val="double" w:sz="6" w:space="0" w:color="auto"/>
            </w:tcBorders>
            <w:shd w:val="clear" w:color="auto" w:fill="FFFFFF"/>
            <w:vAlign w:val="center"/>
            <w:hideMark/>
          </w:tcPr>
          <w:p w14:paraId="42E498B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0.8</w:t>
            </w:r>
          </w:p>
        </w:tc>
      </w:tr>
      <w:tr w:rsidR="00C50585" w:rsidRPr="00EE038F" w14:paraId="23F10047" w14:textId="77777777" w:rsidTr="00FB5945">
        <w:trPr>
          <w:trHeight w:val="20"/>
        </w:trPr>
        <w:tc>
          <w:tcPr>
            <w:tcW w:w="2016" w:type="pct"/>
            <w:tcBorders>
              <w:top w:val="nil"/>
              <w:left w:val="double" w:sz="6" w:space="0" w:color="auto"/>
              <w:bottom w:val="dotted" w:sz="4" w:space="0" w:color="auto"/>
              <w:right w:val="dotted" w:sz="4" w:space="0" w:color="auto"/>
            </w:tcBorders>
            <w:shd w:val="clear" w:color="auto" w:fill="FFFFFF"/>
            <w:hideMark/>
          </w:tcPr>
          <w:p w14:paraId="2994AAA1"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5. Deflatori i konsumit publik</w:t>
            </w:r>
          </w:p>
        </w:tc>
        <w:tc>
          <w:tcPr>
            <w:tcW w:w="575" w:type="pct"/>
            <w:tcBorders>
              <w:top w:val="nil"/>
              <w:left w:val="nil"/>
              <w:bottom w:val="dotted" w:sz="4" w:space="0" w:color="auto"/>
              <w:right w:val="single" w:sz="8" w:space="0" w:color="auto"/>
            </w:tcBorders>
            <w:shd w:val="clear" w:color="auto" w:fill="FFFFFF"/>
            <w:vAlign w:val="center"/>
            <w:hideMark/>
          </w:tcPr>
          <w:p w14:paraId="4762A6E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color w:val="0D0D0D" w:themeColor="text1" w:themeTint="F2"/>
                <w:sz w:val="18"/>
              </w:rPr>
              <w:t>%, y-o-y</w:t>
            </w:r>
          </w:p>
        </w:tc>
        <w:tc>
          <w:tcPr>
            <w:tcW w:w="482" w:type="pct"/>
            <w:tcBorders>
              <w:top w:val="nil"/>
              <w:left w:val="nil"/>
              <w:bottom w:val="dotted" w:sz="4" w:space="0" w:color="auto"/>
              <w:right w:val="dotted" w:sz="4" w:space="0" w:color="auto"/>
            </w:tcBorders>
            <w:shd w:val="clear" w:color="auto" w:fill="FFFFFF"/>
            <w:vAlign w:val="center"/>
            <w:hideMark/>
          </w:tcPr>
          <w:p w14:paraId="2EA9992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5.2</w:t>
            </w:r>
          </w:p>
        </w:tc>
        <w:tc>
          <w:tcPr>
            <w:tcW w:w="482" w:type="pct"/>
            <w:tcBorders>
              <w:top w:val="nil"/>
              <w:left w:val="nil"/>
              <w:bottom w:val="dotted" w:sz="4" w:space="0" w:color="auto"/>
              <w:right w:val="dotted" w:sz="4" w:space="0" w:color="auto"/>
            </w:tcBorders>
            <w:shd w:val="clear" w:color="auto" w:fill="FFFFFF"/>
            <w:vAlign w:val="center"/>
            <w:hideMark/>
          </w:tcPr>
          <w:p w14:paraId="3B66221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2.1</w:t>
            </w:r>
          </w:p>
        </w:tc>
        <w:tc>
          <w:tcPr>
            <w:tcW w:w="482" w:type="pct"/>
            <w:tcBorders>
              <w:top w:val="nil"/>
              <w:left w:val="nil"/>
              <w:bottom w:val="dotted" w:sz="4" w:space="0" w:color="auto"/>
              <w:right w:val="dotted" w:sz="4" w:space="0" w:color="auto"/>
            </w:tcBorders>
            <w:shd w:val="clear" w:color="auto" w:fill="FFFFFF"/>
            <w:vAlign w:val="center"/>
            <w:hideMark/>
          </w:tcPr>
          <w:p w14:paraId="5836EF4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2.1</w:t>
            </w:r>
          </w:p>
        </w:tc>
        <w:tc>
          <w:tcPr>
            <w:tcW w:w="482" w:type="pct"/>
            <w:tcBorders>
              <w:top w:val="nil"/>
              <w:left w:val="nil"/>
              <w:bottom w:val="dotted" w:sz="4" w:space="0" w:color="auto"/>
              <w:right w:val="dotted" w:sz="4" w:space="0" w:color="auto"/>
            </w:tcBorders>
            <w:shd w:val="clear" w:color="auto" w:fill="FFFFFF"/>
            <w:vAlign w:val="center"/>
            <w:hideMark/>
          </w:tcPr>
          <w:p w14:paraId="4E853FB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2.1</w:t>
            </w:r>
          </w:p>
        </w:tc>
        <w:tc>
          <w:tcPr>
            <w:tcW w:w="482" w:type="pct"/>
            <w:tcBorders>
              <w:top w:val="nil"/>
              <w:left w:val="nil"/>
              <w:bottom w:val="dotted" w:sz="4" w:space="0" w:color="auto"/>
              <w:right w:val="double" w:sz="6" w:space="0" w:color="auto"/>
            </w:tcBorders>
            <w:shd w:val="clear" w:color="auto" w:fill="FFFFFF"/>
            <w:vAlign w:val="center"/>
            <w:hideMark/>
          </w:tcPr>
          <w:p w14:paraId="68EB3F8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2.1</w:t>
            </w:r>
          </w:p>
        </w:tc>
      </w:tr>
      <w:tr w:rsidR="00C50585" w:rsidRPr="00EE038F" w14:paraId="44A08FB6" w14:textId="77777777" w:rsidTr="00FB5945">
        <w:trPr>
          <w:trHeight w:val="20"/>
        </w:trPr>
        <w:tc>
          <w:tcPr>
            <w:tcW w:w="2016" w:type="pct"/>
            <w:tcBorders>
              <w:top w:val="nil"/>
              <w:left w:val="double" w:sz="6" w:space="0" w:color="auto"/>
              <w:bottom w:val="dotted" w:sz="4" w:space="0" w:color="auto"/>
              <w:right w:val="dotted" w:sz="4" w:space="0" w:color="auto"/>
            </w:tcBorders>
            <w:shd w:val="clear" w:color="auto" w:fill="FFFFFF"/>
            <w:hideMark/>
          </w:tcPr>
          <w:p w14:paraId="6FA45C49"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6. Deflatori i investimeve</w:t>
            </w:r>
          </w:p>
        </w:tc>
        <w:tc>
          <w:tcPr>
            <w:tcW w:w="575" w:type="pct"/>
            <w:tcBorders>
              <w:top w:val="nil"/>
              <w:left w:val="nil"/>
              <w:bottom w:val="dotted" w:sz="4" w:space="0" w:color="auto"/>
              <w:right w:val="single" w:sz="8" w:space="0" w:color="auto"/>
            </w:tcBorders>
            <w:shd w:val="clear" w:color="auto" w:fill="FFFFFF"/>
            <w:vAlign w:val="center"/>
            <w:hideMark/>
          </w:tcPr>
          <w:p w14:paraId="0F755B1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color w:val="0D0D0D" w:themeColor="text1" w:themeTint="F2"/>
                <w:sz w:val="18"/>
              </w:rPr>
              <w:t>%, y-o-y</w:t>
            </w:r>
          </w:p>
        </w:tc>
        <w:tc>
          <w:tcPr>
            <w:tcW w:w="482" w:type="pct"/>
            <w:tcBorders>
              <w:top w:val="nil"/>
              <w:left w:val="nil"/>
              <w:bottom w:val="dotted" w:sz="4" w:space="0" w:color="auto"/>
              <w:right w:val="dotted" w:sz="4" w:space="0" w:color="auto"/>
            </w:tcBorders>
            <w:shd w:val="clear" w:color="auto" w:fill="FFFFFF"/>
            <w:vAlign w:val="center"/>
            <w:hideMark/>
          </w:tcPr>
          <w:p w14:paraId="2433B9C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2.1</w:t>
            </w:r>
          </w:p>
        </w:tc>
        <w:tc>
          <w:tcPr>
            <w:tcW w:w="482" w:type="pct"/>
            <w:tcBorders>
              <w:top w:val="nil"/>
              <w:left w:val="nil"/>
              <w:bottom w:val="dotted" w:sz="4" w:space="0" w:color="auto"/>
              <w:right w:val="dotted" w:sz="4" w:space="0" w:color="auto"/>
            </w:tcBorders>
            <w:shd w:val="clear" w:color="auto" w:fill="FFFFFF"/>
            <w:vAlign w:val="center"/>
            <w:hideMark/>
          </w:tcPr>
          <w:p w14:paraId="6F6BB56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1.2</w:t>
            </w:r>
          </w:p>
        </w:tc>
        <w:tc>
          <w:tcPr>
            <w:tcW w:w="482" w:type="pct"/>
            <w:tcBorders>
              <w:top w:val="nil"/>
              <w:left w:val="nil"/>
              <w:bottom w:val="dotted" w:sz="4" w:space="0" w:color="auto"/>
              <w:right w:val="dotted" w:sz="4" w:space="0" w:color="auto"/>
            </w:tcBorders>
            <w:shd w:val="clear" w:color="auto" w:fill="FFFFFF"/>
            <w:vAlign w:val="center"/>
            <w:hideMark/>
          </w:tcPr>
          <w:p w14:paraId="121B18A5"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0.5</w:t>
            </w:r>
          </w:p>
        </w:tc>
        <w:tc>
          <w:tcPr>
            <w:tcW w:w="482" w:type="pct"/>
            <w:tcBorders>
              <w:top w:val="nil"/>
              <w:left w:val="nil"/>
              <w:bottom w:val="dotted" w:sz="4" w:space="0" w:color="auto"/>
              <w:right w:val="dotted" w:sz="4" w:space="0" w:color="auto"/>
            </w:tcBorders>
            <w:shd w:val="clear" w:color="auto" w:fill="FFFFFF"/>
            <w:vAlign w:val="center"/>
            <w:hideMark/>
          </w:tcPr>
          <w:p w14:paraId="348D3EE5"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0.5</w:t>
            </w:r>
          </w:p>
        </w:tc>
        <w:tc>
          <w:tcPr>
            <w:tcW w:w="482" w:type="pct"/>
            <w:tcBorders>
              <w:top w:val="nil"/>
              <w:left w:val="nil"/>
              <w:bottom w:val="dotted" w:sz="4" w:space="0" w:color="auto"/>
              <w:right w:val="double" w:sz="6" w:space="0" w:color="auto"/>
            </w:tcBorders>
            <w:shd w:val="clear" w:color="auto" w:fill="FFFFFF"/>
            <w:vAlign w:val="center"/>
            <w:hideMark/>
          </w:tcPr>
          <w:p w14:paraId="29B29F9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0.5</w:t>
            </w:r>
          </w:p>
        </w:tc>
      </w:tr>
      <w:tr w:rsidR="00C50585" w:rsidRPr="00EE038F" w14:paraId="2D12BB04" w14:textId="77777777" w:rsidTr="00FB5945">
        <w:trPr>
          <w:trHeight w:val="20"/>
        </w:trPr>
        <w:tc>
          <w:tcPr>
            <w:tcW w:w="2016" w:type="pct"/>
            <w:tcBorders>
              <w:top w:val="nil"/>
              <w:left w:val="double" w:sz="6" w:space="0" w:color="auto"/>
              <w:bottom w:val="dotted" w:sz="4" w:space="0" w:color="auto"/>
              <w:right w:val="dotted" w:sz="4" w:space="0" w:color="auto"/>
            </w:tcBorders>
            <w:shd w:val="clear" w:color="auto" w:fill="FFFFFF"/>
            <w:hideMark/>
          </w:tcPr>
          <w:p w14:paraId="5EB613A1"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7. Deflatori i çmimeve të eksportit (mallra dhe shërbime)</w:t>
            </w:r>
          </w:p>
        </w:tc>
        <w:tc>
          <w:tcPr>
            <w:tcW w:w="575" w:type="pct"/>
            <w:tcBorders>
              <w:top w:val="nil"/>
              <w:left w:val="nil"/>
              <w:bottom w:val="dotted" w:sz="4" w:space="0" w:color="auto"/>
              <w:right w:val="single" w:sz="8" w:space="0" w:color="auto"/>
            </w:tcBorders>
            <w:shd w:val="clear" w:color="auto" w:fill="FFFFFF"/>
            <w:vAlign w:val="center"/>
            <w:hideMark/>
          </w:tcPr>
          <w:p w14:paraId="0A1BF18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color w:val="0D0D0D" w:themeColor="text1" w:themeTint="F2"/>
                <w:sz w:val="18"/>
              </w:rPr>
              <w:t>%, y-o-y</w:t>
            </w:r>
          </w:p>
        </w:tc>
        <w:tc>
          <w:tcPr>
            <w:tcW w:w="482" w:type="pct"/>
            <w:tcBorders>
              <w:top w:val="nil"/>
              <w:left w:val="nil"/>
              <w:bottom w:val="dotted" w:sz="4" w:space="0" w:color="auto"/>
              <w:right w:val="dotted" w:sz="4" w:space="0" w:color="auto"/>
            </w:tcBorders>
            <w:shd w:val="clear" w:color="auto" w:fill="FFFFFF"/>
            <w:vAlign w:val="center"/>
            <w:hideMark/>
          </w:tcPr>
          <w:p w14:paraId="6D0D094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4.7</w:t>
            </w:r>
          </w:p>
        </w:tc>
        <w:tc>
          <w:tcPr>
            <w:tcW w:w="482" w:type="pct"/>
            <w:tcBorders>
              <w:top w:val="nil"/>
              <w:left w:val="nil"/>
              <w:bottom w:val="dotted" w:sz="4" w:space="0" w:color="auto"/>
              <w:right w:val="dotted" w:sz="4" w:space="0" w:color="auto"/>
            </w:tcBorders>
            <w:shd w:val="clear" w:color="auto" w:fill="FFFFFF"/>
            <w:vAlign w:val="center"/>
            <w:hideMark/>
          </w:tcPr>
          <w:p w14:paraId="2828D43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-3.1</w:t>
            </w:r>
          </w:p>
        </w:tc>
        <w:tc>
          <w:tcPr>
            <w:tcW w:w="482" w:type="pct"/>
            <w:tcBorders>
              <w:top w:val="nil"/>
              <w:left w:val="nil"/>
              <w:bottom w:val="dotted" w:sz="4" w:space="0" w:color="auto"/>
              <w:right w:val="dotted" w:sz="4" w:space="0" w:color="auto"/>
            </w:tcBorders>
            <w:shd w:val="clear" w:color="auto" w:fill="FFFFFF"/>
            <w:vAlign w:val="center"/>
            <w:hideMark/>
          </w:tcPr>
          <w:p w14:paraId="4161EE1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0.8</w:t>
            </w:r>
          </w:p>
        </w:tc>
        <w:tc>
          <w:tcPr>
            <w:tcW w:w="482" w:type="pct"/>
            <w:tcBorders>
              <w:top w:val="nil"/>
              <w:left w:val="nil"/>
              <w:bottom w:val="dotted" w:sz="4" w:space="0" w:color="auto"/>
              <w:right w:val="dotted" w:sz="4" w:space="0" w:color="auto"/>
            </w:tcBorders>
            <w:shd w:val="clear" w:color="auto" w:fill="FFFFFF"/>
            <w:vAlign w:val="center"/>
            <w:hideMark/>
          </w:tcPr>
          <w:p w14:paraId="64F8A7D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1.2</w:t>
            </w:r>
          </w:p>
        </w:tc>
        <w:tc>
          <w:tcPr>
            <w:tcW w:w="482" w:type="pct"/>
            <w:tcBorders>
              <w:top w:val="nil"/>
              <w:left w:val="nil"/>
              <w:bottom w:val="dotted" w:sz="4" w:space="0" w:color="auto"/>
              <w:right w:val="double" w:sz="6" w:space="0" w:color="auto"/>
            </w:tcBorders>
            <w:shd w:val="clear" w:color="auto" w:fill="FFFFFF"/>
            <w:vAlign w:val="center"/>
            <w:hideMark/>
          </w:tcPr>
          <w:p w14:paraId="324C1D7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0.8</w:t>
            </w:r>
          </w:p>
        </w:tc>
      </w:tr>
      <w:tr w:rsidR="00C50585" w:rsidRPr="00EE038F" w14:paraId="550C0B2B" w14:textId="77777777" w:rsidTr="00FB5945">
        <w:trPr>
          <w:trHeight w:val="20"/>
        </w:trPr>
        <w:tc>
          <w:tcPr>
            <w:tcW w:w="2016" w:type="pct"/>
            <w:tcBorders>
              <w:top w:val="nil"/>
              <w:left w:val="double" w:sz="6" w:space="0" w:color="auto"/>
              <w:bottom w:val="double" w:sz="6" w:space="0" w:color="auto"/>
              <w:right w:val="dotted" w:sz="4" w:space="0" w:color="auto"/>
            </w:tcBorders>
            <w:shd w:val="clear" w:color="auto" w:fill="FFFFFF"/>
            <w:hideMark/>
          </w:tcPr>
          <w:p w14:paraId="429D540E"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8. Deflatori i çmimeve të importit (mallra dhe shërbime)</w:t>
            </w:r>
          </w:p>
        </w:tc>
        <w:tc>
          <w:tcPr>
            <w:tcW w:w="575" w:type="pct"/>
            <w:tcBorders>
              <w:top w:val="nil"/>
              <w:left w:val="nil"/>
              <w:bottom w:val="double" w:sz="6" w:space="0" w:color="auto"/>
              <w:right w:val="single" w:sz="8" w:space="0" w:color="auto"/>
            </w:tcBorders>
            <w:shd w:val="clear" w:color="auto" w:fill="FFFFFF"/>
            <w:vAlign w:val="center"/>
            <w:hideMark/>
          </w:tcPr>
          <w:p w14:paraId="28AE817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color w:val="0D0D0D" w:themeColor="text1" w:themeTint="F2"/>
                <w:sz w:val="18"/>
              </w:rPr>
              <w:t>%, y-o-y</w:t>
            </w:r>
          </w:p>
        </w:tc>
        <w:tc>
          <w:tcPr>
            <w:tcW w:w="482" w:type="pct"/>
            <w:tcBorders>
              <w:top w:val="nil"/>
              <w:left w:val="nil"/>
              <w:bottom w:val="double" w:sz="6" w:space="0" w:color="auto"/>
              <w:right w:val="dotted" w:sz="4" w:space="0" w:color="auto"/>
            </w:tcBorders>
            <w:shd w:val="clear" w:color="auto" w:fill="FFFFFF"/>
            <w:vAlign w:val="center"/>
            <w:hideMark/>
          </w:tcPr>
          <w:p w14:paraId="49AA818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1.5</w:t>
            </w:r>
          </w:p>
        </w:tc>
        <w:tc>
          <w:tcPr>
            <w:tcW w:w="482" w:type="pct"/>
            <w:tcBorders>
              <w:top w:val="nil"/>
              <w:left w:val="nil"/>
              <w:bottom w:val="double" w:sz="6" w:space="0" w:color="auto"/>
              <w:right w:val="dotted" w:sz="4" w:space="0" w:color="auto"/>
            </w:tcBorders>
            <w:shd w:val="clear" w:color="auto" w:fill="FFFFFF"/>
            <w:vAlign w:val="center"/>
            <w:hideMark/>
          </w:tcPr>
          <w:p w14:paraId="2D38388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2.5</w:t>
            </w:r>
          </w:p>
        </w:tc>
        <w:tc>
          <w:tcPr>
            <w:tcW w:w="482" w:type="pct"/>
            <w:tcBorders>
              <w:top w:val="nil"/>
              <w:left w:val="nil"/>
              <w:bottom w:val="double" w:sz="6" w:space="0" w:color="auto"/>
              <w:right w:val="dotted" w:sz="4" w:space="0" w:color="auto"/>
            </w:tcBorders>
            <w:shd w:val="clear" w:color="auto" w:fill="FFFFFF"/>
            <w:vAlign w:val="center"/>
            <w:hideMark/>
          </w:tcPr>
          <w:p w14:paraId="60DDE2D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2.2</w:t>
            </w:r>
          </w:p>
        </w:tc>
        <w:tc>
          <w:tcPr>
            <w:tcW w:w="482" w:type="pct"/>
            <w:tcBorders>
              <w:top w:val="nil"/>
              <w:left w:val="nil"/>
              <w:bottom w:val="double" w:sz="6" w:space="0" w:color="auto"/>
              <w:right w:val="dotted" w:sz="4" w:space="0" w:color="auto"/>
            </w:tcBorders>
            <w:shd w:val="clear" w:color="auto" w:fill="FFFFFF"/>
            <w:vAlign w:val="center"/>
            <w:hideMark/>
          </w:tcPr>
          <w:p w14:paraId="3B53603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1.1</w:t>
            </w:r>
          </w:p>
        </w:tc>
        <w:tc>
          <w:tcPr>
            <w:tcW w:w="482" w:type="pct"/>
            <w:tcBorders>
              <w:top w:val="nil"/>
              <w:left w:val="nil"/>
              <w:bottom w:val="double" w:sz="6" w:space="0" w:color="auto"/>
              <w:right w:val="double" w:sz="6" w:space="0" w:color="auto"/>
            </w:tcBorders>
            <w:shd w:val="clear" w:color="auto" w:fill="FFFFFF"/>
            <w:vAlign w:val="center"/>
            <w:hideMark/>
          </w:tcPr>
          <w:p w14:paraId="089EF43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1.9</w:t>
            </w:r>
          </w:p>
        </w:tc>
      </w:tr>
    </w:tbl>
    <w:p w14:paraId="4A155001" w14:textId="77777777" w:rsidR="00C50585" w:rsidRPr="00EE038F" w:rsidRDefault="00C50585" w:rsidP="00C50585">
      <w:pPr>
        <w:spacing w:after="0" w:line="240" w:lineRule="auto"/>
        <w:contextualSpacing/>
        <w:jc w:val="both"/>
        <w:rPr>
          <w:rFonts w:ascii="Garamond" w:hAnsi="Garamond"/>
          <w:color w:val="0D0D0D" w:themeColor="text1" w:themeTint="F2"/>
        </w:rPr>
      </w:pPr>
    </w:p>
    <w:p w14:paraId="2EAB18F8" w14:textId="77777777" w:rsidR="00C50585" w:rsidRPr="00EE038F" w:rsidRDefault="00C50585" w:rsidP="00066DFC">
      <w:pPr>
        <w:spacing w:after="0" w:line="240" w:lineRule="auto"/>
        <w:contextualSpacing/>
        <w:jc w:val="center"/>
        <w:rPr>
          <w:rFonts w:ascii="Garamond" w:hAnsi="Garamond"/>
          <w:bCs/>
          <w:i/>
          <w:iCs/>
          <w:color w:val="0D0D0D" w:themeColor="text1" w:themeTint="F2"/>
          <w:sz w:val="24"/>
          <w:szCs w:val="24"/>
        </w:rPr>
      </w:pPr>
      <w:r w:rsidRPr="00EE038F">
        <w:rPr>
          <w:rFonts w:ascii="Garamond" w:hAnsi="Garamond"/>
          <w:bCs/>
          <w:i/>
          <w:iCs/>
          <w:color w:val="0D0D0D" w:themeColor="text1" w:themeTint="F2"/>
          <w:sz w:val="24"/>
          <w:szCs w:val="24"/>
        </w:rPr>
        <w:t>Tabela 1c: Zhvillimet në tregjet e punës</w:t>
      </w:r>
    </w:p>
    <w:tbl>
      <w:tblPr>
        <w:tblW w:w="5000" w:type="pct"/>
        <w:tblLook w:val="04A0" w:firstRow="1" w:lastRow="0" w:firstColumn="1" w:lastColumn="0" w:noHBand="0" w:noVBand="1"/>
      </w:tblPr>
      <w:tblGrid>
        <w:gridCol w:w="3432"/>
        <w:gridCol w:w="657"/>
        <w:gridCol w:w="777"/>
        <w:gridCol w:w="822"/>
        <w:gridCol w:w="822"/>
        <w:gridCol w:w="822"/>
        <w:gridCol w:w="822"/>
        <w:gridCol w:w="820"/>
      </w:tblGrid>
      <w:tr w:rsidR="00C50585" w:rsidRPr="00EE038F" w14:paraId="3D5E1709" w14:textId="77777777" w:rsidTr="00FB5945">
        <w:trPr>
          <w:trHeight w:val="20"/>
        </w:trPr>
        <w:tc>
          <w:tcPr>
            <w:tcW w:w="1912" w:type="pct"/>
            <w:tcBorders>
              <w:top w:val="double" w:sz="6" w:space="0" w:color="auto"/>
              <w:left w:val="double" w:sz="6" w:space="0" w:color="auto"/>
              <w:bottom w:val="nil"/>
              <w:right w:val="nil"/>
            </w:tcBorders>
            <w:shd w:val="clear" w:color="auto" w:fill="FFFFFF"/>
            <w:vAlign w:val="center"/>
            <w:hideMark/>
          </w:tcPr>
          <w:p w14:paraId="74E9BD6E"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 </w:t>
            </w:r>
          </w:p>
        </w:tc>
        <w:tc>
          <w:tcPr>
            <w:tcW w:w="366" w:type="pct"/>
            <w:vMerge w:val="restart"/>
            <w:tcBorders>
              <w:top w:val="double" w:sz="6" w:space="0" w:color="auto"/>
              <w:left w:val="single" w:sz="4" w:space="0" w:color="auto"/>
              <w:right w:val="single" w:sz="4" w:space="0" w:color="auto"/>
            </w:tcBorders>
            <w:shd w:val="clear" w:color="auto" w:fill="FFFFFF"/>
            <w:vAlign w:val="center"/>
            <w:hideMark/>
          </w:tcPr>
          <w:p w14:paraId="46150EE9"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Kodi</w:t>
            </w:r>
          </w:p>
          <w:p w14:paraId="30E9D47E"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ESA</w:t>
            </w:r>
          </w:p>
        </w:tc>
        <w:tc>
          <w:tcPr>
            <w:tcW w:w="433" w:type="pct"/>
            <w:tcBorders>
              <w:top w:val="double" w:sz="6" w:space="0" w:color="auto"/>
              <w:left w:val="single" w:sz="4" w:space="0" w:color="auto"/>
              <w:bottom w:val="dotted" w:sz="4" w:space="0" w:color="auto"/>
              <w:right w:val="single" w:sz="4" w:space="0" w:color="auto"/>
            </w:tcBorders>
            <w:shd w:val="clear" w:color="auto" w:fill="FFFFFF"/>
            <w:vAlign w:val="center"/>
            <w:hideMark/>
          </w:tcPr>
          <w:p w14:paraId="1589A311" w14:textId="77777777" w:rsidR="00C50585" w:rsidRPr="00EE038F" w:rsidRDefault="00C50585" w:rsidP="007C70E7">
            <w:pPr>
              <w:spacing w:after="0" w:line="240" w:lineRule="auto"/>
              <w:contextualSpacing/>
              <w:jc w:val="both"/>
              <w:rPr>
                <w:rFonts w:ascii="Garamond" w:eastAsia="Times New Roman" w:hAnsi="Garamond"/>
                <w:b/>
                <w:bCs/>
                <w:color w:val="0D0D0D" w:themeColor="text1" w:themeTint="F2"/>
                <w:sz w:val="18"/>
              </w:rPr>
            </w:pPr>
            <w:r w:rsidRPr="00EE038F">
              <w:rPr>
                <w:rFonts w:ascii="Garamond" w:hAnsi="Garamond"/>
                <w:b/>
                <w:bCs/>
                <w:color w:val="0D0D0D" w:themeColor="text1" w:themeTint="F2"/>
                <w:sz w:val="18"/>
              </w:rPr>
              <w:t>Viti</w:t>
            </w:r>
          </w:p>
          <w:p w14:paraId="5C418CFB" w14:textId="77777777" w:rsidR="00C50585" w:rsidRPr="00EE038F" w:rsidRDefault="00C50585" w:rsidP="007C70E7">
            <w:pPr>
              <w:spacing w:after="0" w:line="240" w:lineRule="auto"/>
              <w:contextualSpacing/>
              <w:jc w:val="both"/>
              <w:rPr>
                <w:rFonts w:ascii="Garamond" w:eastAsia="Times New Roman" w:hAnsi="Garamond"/>
                <w:b/>
                <w:bCs/>
                <w:color w:val="0D0D0D" w:themeColor="text1" w:themeTint="F2"/>
                <w:sz w:val="18"/>
              </w:rPr>
            </w:pPr>
            <w:r w:rsidRPr="00EE038F">
              <w:rPr>
                <w:rFonts w:ascii="Garamond" w:hAnsi="Garamond"/>
                <w:b/>
                <w:bCs/>
                <w:color w:val="0D0D0D" w:themeColor="text1" w:themeTint="F2"/>
                <w:sz w:val="18"/>
              </w:rPr>
              <w:t>2023</w:t>
            </w:r>
          </w:p>
        </w:tc>
        <w:tc>
          <w:tcPr>
            <w:tcW w:w="458" w:type="pct"/>
            <w:tcBorders>
              <w:top w:val="double" w:sz="6" w:space="0" w:color="auto"/>
              <w:left w:val="nil"/>
              <w:right w:val="dotted" w:sz="4" w:space="0" w:color="auto"/>
            </w:tcBorders>
            <w:shd w:val="clear" w:color="auto" w:fill="FFFFFF"/>
            <w:vAlign w:val="center"/>
            <w:hideMark/>
          </w:tcPr>
          <w:p w14:paraId="59CA4FCD"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p w14:paraId="4164446A" w14:textId="3F814668" w:rsidR="00C50585" w:rsidRPr="00EE038F" w:rsidRDefault="00AD3D9C"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 xml:space="preserve"> </w:t>
            </w:r>
            <w:r w:rsidR="00C50585" w:rsidRPr="00EE038F">
              <w:rPr>
                <w:rFonts w:ascii="Garamond" w:hAnsi="Garamond"/>
                <w:b/>
                <w:bCs/>
                <w:sz w:val="18"/>
              </w:rPr>
              <w:t>2023</w:t>
            </w:r>
          </w:p>
        </w:tc>
        <w:tc>
          <w:tcPr>
            <w:tcW w:w="458" w:type="pct"/>
            <w:tcBorders>
              <w:top w:val="double" w:sz="6" w:space="0" w:color="auto"/>
              <w:left w:val="nil"/>
              <w:right w:val="dotted" w:sz="4" w:space="0" w:color="auto"/>
            </w:tcBorders>
            <w:shd w:val="clear" w:color="auto" w:fill="FFFFFF"/>
            <w:vAlign w:val="center"/>
            <w:hideMark/>
          </w:tcPr>
          <w:p w14:paraId="3EA16149"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p w14:paraId="501E11FF"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2024</w:t>
            </w:r>
          </w:p>
        </w:tc>
        <w:tc>
          <w:tcPr>
            <w:tcW w:w="458" w:type="pct"/>
            <w:tcBorders>
              <w:top w:val="double" w:sz="6" w:space="0" w:color="auto"/>
              <w:left w:val="nil"/>
              <w:right w:val="dotted" w:sz="4" w:space="0" w:color="auto"/>
            </w:tcBorders>
            <w:shd w:val="clear" w:color="auto" w:fill="FFFFFF"/>
            <w:vAlign w:val="center"/>
            <w:hideMark/>
          </w:tcPr>
          <w:p w14:paraId="2CA553BB"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p w14:paraId="5D89FC95"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2025</w:t>
            </w:r>
          </w:p>
        </w:tc>
        <w:tc>
          <w:tcPr>
            <w:tcW w:w="458" w:type="pct"/>
            <w:tcBorders>
              <w:top w:val="double" w:sz="6" w:space="0" w:color="auto"/>
              <w:left w:val="nil"/>
              <w:right w:val="dotted" w:sz="4" w:space="0" w:color="auto"/>
            </w:tcBorders>
            <w:shd w:val="clear" w:color="auto" w:fill="FFFFFF"/>
            <w:vAlign w:val="center"/>
            <w:hideMark/>
          </w:tcPr>
          <w:p w14:paraId="11ABBD31"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p w14:paraId="0485CB35"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2026</w:t>
            </w:r>
          </w:p>
        </w:tc>
        <w:tc>
          <w:tcPr>
            <w:tcW w:w="458" w:type="pct"/>
            <w:tcBorders>
              <w:top w:val="double" w:sz="6" w:space="0" w:color="auto"/>
              <w:left w:val="nil"/>
              <w:right w:val="double" w:sz="6" w:space="0" w:color="auto"/>
            </w:tcBorders>
            <w:shd w:val="clear" w:color="auto" w:fill="FFFFFF"/>
            <w:vAlign w:val="center"/>
            <w:hideMark/>
          </w:tcPr>
          <w:p w14:paraId="1BD171E5"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p w14:paraId="4D0B162A"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2027</w:t>
            </w:r>
          </w:p>
        </w:tc>
      </w:tr>
      <w:tr w:rsidR="00C50585" w:rsidRPr="00EE038F" w14:paraId="7AF6BB35" w14:textId="77777777" w:rsidTr="00FB5945">
        <w:trPr>
          <w:trHeight w:val="20"/>
        </w:trPr>
        <w:tc>
          <w:tcPr>
            <w:tcW w:w="1912" w:type="pct"/>
            <w:tcBorders>
              <w:top w:val="nil"/>
              <w:left w:val="double" w:sz="6" w:space="0" w:color="auto"/>
              <w:bottom w:val="single" w:sz="8" w:space="0" w:color="auto"/>
              <w:right w:val="nil"/>
            </w:tcBorders>
            <w:shd w:val="clear" w:color="auto" w:fill="FFFFFF"/>
            <w:vAlign w:val="center"/>
            <w:hideMark/>
          </w:tcPr>
          <w:p w14:paraId="5DA67C93"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 </w:t>
            </w:r>
          </w:p>
        </w:tc>
        <w:tc>
          <w:tcPr>
            <w:tcW w:w="366" w:type="pct"/>
            <w:vMerge/>
            <w:tcBorders>
              <w:left w:val="single" w:sz="4" w:space="0" w:color="auto"/>
              <w:bottom w:val="single" w:sz="8" w:space="0" w:color="auto"/>
              <w:right w:val="single" w:sz="4" w:space="0" w:color="auto"/>
            </w:tcBorders>
            <w:shd w:val="clear" w:color="auto" w:fill="FFFFFF"/>
            <w:vAlign w:val="center"/>
            <w:hideMark/>
          </w:tcPr>
          <w:p w14:paraId="5705F81B"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p>
        </w:tc>
        <w:tc>
          <w:tcPr>
            <w:tcW w:w="433" w:type="pct"/>
            <w:tcBorders>
              <w:top w:val="dotted" w:sz="4" w:space="0" w:color="auto"/>
              <w:left w:val="nil"/>
              <w:bottom w:val="single" w:sz="8" w:space="0" w:color="auto"/>
              <w:right w:val="single" w:sz="4" w:space="0" w:color="auto"/>
            </w:tcBorders>
            <w:shd w:val="clear" w:color="auto" w:fill="FFFFFF"/>
            <w:vAlign w:val="center"/>
            <w:hideMark/>
          </w:tcPr>
          <w:p w14:paraId="1B0C0272"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Niveli</w:t>
            </w:r>
          </w:p>
        </w:tc>
        <w:tc>
          <w:tcPr>
            <w:tcW w:w="2289" w:type="pct"/>
            <w:gridSpan w:val="5"/>
            <w:tcBorders>
              <w:top w:val="dotted" w:sz="4" w:space="0" w:color="auto"/>
              <w:left w:val="nil"/>
              <w:bottom w:val="single" w:sz="8" w:space="0" w:color="auto"/>
              <w:right w:val="double" w:sz="6" w:space="0" w:color="000000"/>
            </w:tcBorders>
            <w:shd w:val="clear" w:color="auto" w:fill="FFFFFF"/>
            <w:vAlign w:val="center"/>
            <w:hideMark/>
          </w:tcPr>
          <w:p w14:paraId="36C692B3"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Niveli/Shkalla e ndryshimit</w:t>
            </w:r>
          </w:p>
        </w:tc>
      </w:tr>
      <w:tr w:rsidR="00C50585" w:rsidRPr="00EE038F" w14:paraId="33490C69" w14:textId="77777777" w:rsidTr="00FB5945">
        <w:trPr>
          <w:trHeight w:val="20"/>
        </w:trPr>
        <w:tc>
          <w:tcPr>
            <w:tcW w:w="1912" w:type="pct"/>
            <w:tcBorders>
              <w:top w:val="nil"/>
              <w:left w:val="double" w:sz="6" w:space="0" w:color="auto"/>
              <w:bottom w:val="dotted" w:sz="4" w:space="0" w:color="auto"/>
              <w:right w:val="nil"/>
            </w:tcBorders>
            <w:shd w:val="clear" w:color="auto" w:fill="FFFFFF"/>
            <w:vAlign w:val="center"/>
            <w:hideMark/>
          </w:tcPr>
          <w:p w14:paraId="6678ECD1"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1. Popullsia (mijëra)</w:t>
            </w:r>
          </w:p>
        </w:tc>
        <w:tc>
          <w:tcPr>
            <w:tcW w:w="366" w:type="pct"/>
            <w:tcBorders>
              <w:top w:val="nil"/>
              <w:left w:val="single" w:sz="4" w:space="0" w:color="auto"/>
              <w:bottom w:val="dotted" w:sz="4" w:space="0" w:color="auto"/>
              <w:right w:val="single" w:sz="4" w:space="0" w:color="auto"/>
            </w:tcBorders>
            <w:shd w:val="clear" w:color="auto" w:fill="FFFFFF"/>
            <w:vAlign w:val="center"/>
            <w:hideMark/>
          </w:tcPr>
          <w:p w14:paraId="482204D6"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433" w:type="pct"/>
            <w:tcBorders>
              <w:top w:val="single" w:sz="8" w:space="0" w:color="auto"/>
              <w:left w:val="single" w:sz="4" w:space="0" w:color="auto"/>
              <w:bottom w:val="dotted" w:sz="4" w:space="0" w:color="auto"/>
              <w:right w:val="single" w:sz="4" w:space="0" w:color="auto"/>
            </w:tcBorders>
            <w:shd w:val="clear" w:color="auto" w:fill="FFFFFF"/>
            <w:vAlign w:val="center"/>
            <w:hideMark/>
          </w:tcPr>
          <w:p w14:paraId="5C2069B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c>
          <w:tcPr>
            <w:tcW w:w="458" w:type="pct"/>
            <w:tcBorders>
              <w:top w:val="nil"/>
              <w:left w:val="nil"/>
              <w:bottom w:val="dotted" w:sz="4" w:space="0" w:color="auto"/>
              <w:right w:val="dotted" w:sz="4" w:space="0" w:color="auto"/>
            </w:tcBorders>
            <w:noWrap/>
            <w:vAlign w:val="center"/>
            <w:hideMark/>
          </w:tcPr>
          <w:p w14:paraId="6283B75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2,402.1</w:t>
            </w:r>
          </w:p>
        </w:tc>
        <w:tc>
          <w:tcPr>
            <w:tcW w:w="458" w:type="pct"/>
            <w:tcBorders>
              <w:top w:val="nil"/>
              <w:left w:val="nil"/>
              <w:bottom w:val="dotted" w:sz="4" w:space="0" w:color="auto"/>
              <w:right w:val="dotted" w:sz="4" w:space="0" w:color="auto"/>
            </w:tcBorders>
            <w:noWrap/>
            <w:vAlign w:val="center"/>
            <w:hideMark/>
          </w:tcPr>
          <w:p w14:paraId="721D711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2,394.6</w:t>
            </w:r>
          </w:p>
        </w:tc>
        <w:tc>
          <w:tcPr>
            <w:tcW w:w="458" w:type="pct"/>
            <w:tcBorders>
              <w:top w:val="nil"/>
              <w:left w:val="nil"/>
              <w:bottom w:val="dotted" w:sz="4" w:space="0" w:color="auto"/>
              <w:right w:val="dotted" w:sz="4" w:space="0" w:color="auto"/>
            </w:tcBorders>
            <w:noWrap/>
            <w:vAlign w:val="center"/>
            <w:hideMark/>
          </w:tcPr>
          <w:p w14:paraId="6E88CCE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2,386.1</w:t>
            </w:r>
          </w:p>
        </w:tc>
        <w:tc>
          <w:tcPr>
            <w:tcW w:w="458" w:type="pct"/>
            <w:tcBorders>
              <w:top w:val="nil"/>
              <w:left w:val="nil"/>
              <w:bottom w:val="dotted" w:sz="4" w:space="0" w:color="auto"/>
              <w:right w:val="dotted" w:sz="4" w:space="0" w:color="auto"/>
            </w:tcBorders>
            <w:noWrap/>
            <w:vAlign w:val="center"/>
            <w:hideMark/>
          </w:tcPr>
          <w:p w14:paraId="1128DD3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2,376.7</w:t>
            </w:r>
          </w:p>
        </w:tc>
        <w:tc>
          <w:tcPr>
            <w:tcW w:w="458" w:type="pct"/>
            <w:tcBorders>
              <w:top w:val="nil"/>
              <w:left w:val="nil"/>
              <w:bottom w:val="dotted" w:sz="4" w:space="0" w:color="auto"/>
              <w:right w:val="double" w:sz="6" w:space="0" w:color="auto"/>
            </w:tcBorders>
            <w:noWrap/>
            <w:vAlign w:val="center"/>
            <w:hideMark/>
          </w:tcPr>
          <w:p w14:paraId="67BC064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2,366.1</w:t>
            </w:r>
          </w:p>
        </w:tc>
      </w:tr>
      <w:tr w:rsidR="00C50585" w:rsidRPr="00EE038F" w14:paraId="7AF504AD" w14:textId="77777777" w:rsidTr="00FB5945">
        <w:trPr>
          <w:trHeight w:val="20"/>
        </w:trPr>
        <w:tc>
          <w:tcPr>
            <w:tcW w:w="1912" w:type="pct"/>
            <w:tcBorders>
              <w:top w:val="nil"/>
              <w:left w:val="double" w:sz="6" w:space="0" w:color="auto"/>
              <w:bottom w:val="dotted" w:sz="4" w:space="0" w:color="auto"/>
              <w:right w:val="nil"/>
            </w:tcBorders>
            <w:shd w:val="clear" w:color="auto" w:fill="FFFFFF"/>
            <w:vAlign w:val="center"/>
            <w:hideMark/>
          </w:tcPr>
          <w:p w14:paraId="146DEA58"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2. Popullsia (shkalla e rritjes në %)</w:t>
            </w:r>
          </w:p>
        </w:tc>
        <w:tc>
          <w:tcPr>
            <w:tcW w:w="366" w:type="pct"/>
            <w:tcBorders>
              <w:top w:val="nil"/>
              <w:left w:val="single" w:sz="4" w:space="0" w:color="auto"/>
              <w:bottom w:val="dotted" w:sz="4" w:space="0" w:color="auto"/>
              <w:right w:val="single" w:sz="4" w:space="0" w:color="auto"/>
            </w:tcBorders>
            <w:shd w:val="clear" w:color="auto" w:fill="FFFFFF"/>
            <w:vAlign w:val="center"/>
            <w:hideMark/>
          </w:tcPr>
          <w:p w14:paraId="57C3EF69"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433" w:type="pct"/>
            <w:tcBorders>
              <w:top w:val="nil"/>
              <w:left w:val="single" w:sz="4" w:space="0" w:color="auto"/>
              <w:bottom w:val="dotted" w:sz="4" w:space="0" w:color="auto"/>
              <w:right w:val="single" w:sz="4" w:space="0" w:color="auto"/>
            </w:tcBorders>
            <w:shd w:val="clear" w:color="auto" w:fill="FFFFFF"/>
            <w:vAlign w:val="center"/>
            <w:hideMark/>
          </w:tcPr>
          <w:p w14:paraId="12C466E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c>
          <w:tcPr>
            <w:tcW w:w="458" w:type="pct"/>
            <w:tcBorders>
              <w:top w:val="nil"/>
              <w:left w:val="nil"/>
              <w:bottom w:val="dotted" w:sz="4" w:space="0" w:color="auto"/>
              <w:right w:val="dotted" w:sz="4" w:space="0" w:color="auto"/>
            </w:tcBorders>
            <w:noWrap/>
            <w:vAlign w:val="center"/>
            <w:hideMark/>
          </w:tcPr>
          <w:p w14:paraId="13ABE0D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-1.7</w:t>
            </w:r>
          </w:p>
        </w:tc>
        <w:tc>
          <w:tcPr>
            <w:tcW w:w="458" w:type="pct"/>
            <w:tcBorders>
              <w:top w:val="nil"/>
              <w:left w:val="nil"/>
              <w:bottom w:val="dotted" w:sz="4" w:space="0" w:color="auto"/>
              <w:right w:val="dotted" w:sz="4" w:space="0" w:color="auto"/>
            </w:tcBorders>
            <w:noWrap/>
            <w:vAlign w:val="center"/>
            <w:hideMark/>
          </w:tcPr>
          <w:p w14:paraId="43DD71C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-0.3</w:t>
            </w:r>
          </w:p>
        </w:tc>
        <w:tc>
          <w:tcPr>
            <w:tcW w:w="458" w:type="pct"/>
            <w:tcBorders>
              <w:top w:val="nil"/>
              <w:left w:val="nil"/>
              <w:bottom w:val="dotted" w:sz="4" w:space="0" w:color="auto"/>
              <w:right w:val="dotted" w:sz="4" w:space="0" w:color="auto"/>
            </w:tcBorders>
            <w:noWrap/>
            <w:vAlign w:val="center"/>
            <w:hideMark/>
          </w:tcPr>
          <w:p w14:paraId="216362D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-0.4</w:t>
            </w:r>
          </w:p>
        </w:tc>
        <w:tc>
          <w:tcPr>
            <w:tcW w:w="458" w:type="pct"/>
            <w:tcBorders>
              <w:top w:val="nil"/>
              <w:left w:val="nil"/>
              <w:bottom w:val="dotted" w:sz="4" w:space="0" w:color="auto"/>
              <w:right w:val="dotted" w:sz="4" w:space="0" w:color="auto"/>
            </w:tcBorders>
            <w:noWrap/>
            <w:vAlign w:val="center"/>
            <w:hideMark/>
          </w:tcPr>
          <w:p w14:paraId="7CD3DA1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-0.4</w:t>
            </w:r>
          </w:p>
        </w:tc>
        <w:tc>
          <w:tcPr>
            <w:tcW w:w="458" w:type="pct"/>
            <w:tcBorders>
              <w:top w:val="nil"/>
              <w:left w:val="nil"/>
              <w:bottom w:val="dotted" w:sz="4" w:space="0" w:color="auto"/>
              <w:right w:val="double" w:sz="6" w:space="0" w:color="auto"/>
            </w:tcBorders>
            <w:noWrap/>
            <w:vAlign w:val="center"/>
            <w:hideMark/>
          </w:tcPr>
          <w:p w14:paraId="6662E4E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-0.4</w:t>
            </w:r>
          </w:p>
        </w:tc>
      </w:tr>
      <w:tr w:rsidR="00C50585" w:rsidRPr="00EE038F" w14:paraId="58F7F8EE" w14:textId="77777777" w:rsidTr="00FB5945">
        <w:trPr>
          <w:trHeight w:val="20"/>
        </w:trPr>
        <w:tc>
          <w:tcPr>
            <w:tcW w:w="1912" w:type="pct"/>
            <w:tcBorders>
              <w:top w:val="nil"/>
              <w:left w:val="double" w:sz="6" w:space="0" w:color="auto"/>
              <w:bottom w:val="dotted" w:sz="4" w:space="0" w:color="auto"/>
              <w:right w:val="nil"/>
            </w:tcBorders>
            <w:shd w:val="clear" w:color="auto" w:fill="FFFFFF"/>
            <w:vAlign w:val="center"/>
            <w:hideMark/>
          </w:tcPr>
          <w:p w14:paraId="24C163F9"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3. Popullsia në moshë pune (persona)</w:t>
            </w:r>
            <w:r w:rsidRPr="00EE038F">
              <w:rPr>
                <w:rStyle w:val="FootnoteReference"/>
                <w:rFonts w:ascii="Garamond" w:hAnsi="Garamond"/>
                <w:sz w:val="18"/>
              </w:rPr>
              <w:footnoteReference w:id="13"/>
            </w:r>
          </w:p>
        </w:tc>
        <w:tc>
          <w:tcPr>
            <w:tcW w:w="366" w:type="pct"/>
            <w:tcBorders>
              <w:top w:val="nil"/>
              <w:left w:val="single" w:sz="4" w:space="0" w:color="auto"/>
              <w:bottom w:val="dotted" w:sz="4" w:space="0" w:color="auto"/>
              <w:right w:val="single" w:sz="4" w:space="0" w:color="auto"/>
            </w:tcBorders>
            <w:shd w:val="clear" w:color="auto" w:fill="FFFFFF"/>
            <w:vAlign w:val="center"/>
            <w:hideMark/>
          </w:tcPr>
          <w:p w14:paraId="2A251C81"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433" w:type="pct"/>
            <w:tcBorders>
              <w:top w:val="nil"/>
              <w:left w:val="single" w:sz="4" w:space="0" w:color="auto"/>
              <w:bottom w:val="dotted" w:sz="4" w:space="0" w:color="auto"/>
              <w:right w:val="single" w:sz="4" w:space="0" w:color="auto"/>
            </w:tcBorders>
            <w:shd w:val="clear" w:color="auto" w:fill="FFFFFF"/>
            <w:vAlign w:val="center"/>
            <w:hideMark/>
          </w:tcPr>
          <w:p w14:paraId="6CC33A8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c>
          <w:tcPr>
            <w:tcW w:w="458" w:type="pct"/>
            <w:tcBorders>
              <w:top w:val="nil"/>
              <w:left w:val="nil"/>
              <w:bottom w:val="dotted" w:sz="4" w:space="0" w:color="auto"/>
              <w:right w:val="dotted" w:sz="4" w:space="0" w:color="auto"/>
            </w:tcBorders>
            <w:noWrap/>
            <w:vAlign w:val="center"/>
            <w:hideMark/>
          </w:tcPr>
          <w:p w14:paraId="18AA548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1,863.6</w:t>
            </w:r>
          </w:p>
        </w:tc>
        <w:tc>
          <w:tcPr>
            <w:tcW w:w="458" w:type="pct"/>
            <w:tcBorders>
              <w:top w:val="nil"/>
              <w:left w:val="nil"/>
              <w:bottom w:val="dotted" w:sz="4" w:space="0" w:color="auto"/>
              <w:right w:val="dotted" w:sz="4" w:space="0" w:color="auto"/>
            </w:tcBorders>
            <w:noWrap/>
            <w:vAlign w:val="center"/>
            <w:hideMark/>
          </w:tcPr>
          <w:p w14:paraId="597A352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1,592.4</w:t>
            </w:r>
          </w:p>
        </w:tc>
        <w:tc>
          <w:tcPr>
            <w:tcW w:w="458" w:type="pct"/>
            <w:tcBorders>
              <w:top w:val="nil"/>
              <w:left w:val="nil"/>
              <w:bottom w:val="dotted" w:sz="4" w:space="0" w:color="auto"/>
              <w:right w:val="dotted" w:sz="4" w:space="0" w:color="auto"/>
            </w:tcBorders>
            <w:noWrap/>
            <w:vAlign w:val="center"/>
            <w:hideMark/>
          </w:tcPr>
          <w:p w14:paraId="40571A0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1,584.4</w:t>
            </w:r>
          </w:p>
        </w:tc>
        <w:tc>
          <w:tcPr>
            <w:tcW w:w="458" w:type="pct"/>
            <w:tcBorders>
              <w:top w:val="nil"/>
              <w:left w:val="nil"/>
              <w:bottom w:val="dotted" w:sz="4" w:space="0" w:color="auto"/>
              <w:right w:val="dotted" w:sz="4" w:space="0" w:color="auto"/>
            </w:tcBorders>
            <w:noWrap/>
            <w:vAlign w:val="center"/>
            <w:hideMark/>
          </w:tcPr>
          <w:p w14:paraId="688D483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1,575.7</w:t>
            </w:r>
          </w:p>
        </w:tc>
        <w:tc>
          <w:tcPr>
            <w:tcW w:w="458" w:type="pct"/>
            <w:tcBorders>
              <w:top w:val="nil"/>
              <w:left w:val="nil"/>
              <w:bottom w:val="dotted" w:sz="4" w:space="0" w:color="auto"/>
              <w:right w:val="double" w:sz="6" w:space="0" w:color="auto"/>
            </w:tcBorders>
            <w:noWrap/>
            <w:vAlign w:val="center"/>
            <w:hideMark/>
          </w:tcPr>
          <w:p w14:paraId="0F194EF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1,566.4</w:t>
            </w:r>
          </w:p>
        </w:tc>
      </w:tr>
      <w:tr w:rsidR="00C50585" w:rsidRPr="00EE038F" w14:paraId="465DE691" w14:textId="77777777" w:rsidTr="00FB5945">
        <w:trPr>
          <w:trHeight w:val="20"/>
        </w:trPr>
        <w:tc>
          <w:tcPr>
            <w:tcW w:w="1912" w:type="pct"/>
            <w:tcBorders>
              <w:top w:val="nil"/>
              <w:left w:val="double" w:sz="6" w:space="0" w:color="auto"/>
              <w:bottom w:val="dotted" w:sz="4" w:space="0" w:color="auto"/>
              <w:right w:val="nil"/>
            </w:tcBorders>
            <w:shd w:val="clear" w:color="auto" w:fill="FFFFFF"/>
            <w:vAlign w:val="center"/>
            <w:hideMark/>
          </w:tcPr>
          <w:p w14:paraId="3C15A511"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4. Shkalla e pjesëmarrjes</w:t>
            </w:r>
          </w:p>
        </w:tc>
        <w:tc>
          <w:tcPr>
            <w:tcW w:w="366" w:type="pct"/>
            <w:tcBorders>
              <w:top w:val="nil"/>
              <w:left w:val="single" w:sz="4" w:space="0" w:color="auto"/>
              <w:bottom w:val="dotted" w:sz="4" w:space="0" w:color="auto"/>
              <w:right w:val="single" w:sz="4" w:space="0" w:color="auto"/>
            </w:tcBorders>
            <w:shd w:val="clear" w:color="auto" w:fill="FFFFFF"/>
            <w:vAlign w:val="center"/>
            <w:hideMark/>
          </w:tcPr>
          <w:p w14:paraId="256A5884"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433" w:type="pct"/>
            <w:tcBorders>
              <w:top w:val="nil"/>
              <w:left w:val="single" w:sz="4" w:space="0" w:color="auto"/>
              <w:bottom w:val="dotted" w:sz="4" w:space="0" w:color="auto"/>
              <w:right w:val="single" w:sz="4" w:space="0" w:color="auto"/>
            </w:tcBorders>
            <w:shd w:val="clear" w:color="auto" w:fill="FFFFFF"/>
            <w:vAlign w:val="center"/>
            <w:hideMark/>
          </w:tcPr>
          <w:p w14:paraId="7BD2838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c>
          <w:tcPr>
            <w:tcW w:w="458" w:type="pct"/>
            <w:tcBorders>
              <w:top w:val="nil"/>
              <w:left w:val="nil"/>
              <w:bottom w:val="dotted" w:sz="4" w:space="0" w:color="auto"/>
              <w:right w:val="dotted" w:sz="4" w:space="0" w:color="auto"/>
            </w:tcBorders>
            <w:shd w:val="clear" w:color="auto" w:fill="FFFFFF"/>
            <w:noWrap/>
            <w:vAlign w:val="center"/>
            <w:hideMark/>
          </w:tcPr>
          <w:p w14:paraId="560D18D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75.7</w:t>
            </w:r>
          </w:p>
        </w:tc>
        <w:tc>
          <w:tcPr>
            <w:tcW w:w="458" w:type="pct"/>
            <w:tcBorders>
              <w:top w:val="nil"/>
              <w:left w:val="nil"/>
              <w:bottom w:val="dotted" w:sz="4" w:space="0" w:color="auto"/>
              <w:right w:val="dotted" w:sz="4" w:space="0" w:color="auto"/>
            </w:tcBorders>
            <w:shd w:val="clear" w:color="auto" w:fill="FFFFFF"/>
            <w:noWrap/>
            <w:vAlign w:val="center"/>
            <w:hideMark/>
          </w:tcPr>
          <w:p w14:paraId="4F7E52C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76.1</w:t>
            </w:r>
          </w:p>
        </w:tc>
        <w:tc>
          <w:tcPr>
            <w:tcW w:w="458" w:type="pct"/>
            <w:tcBorders>
              <w:top w:val="nil"/>
              <w:left w:val="nil"/>
              <w:bottom w:val="dotted" w:sz="4" w:space="0" w:color="auto"/>
              <w:right w:val="dotted" w:sz="4" w:space="0" w:color="auto"/>
            </w:tcBorders>
            <w:shd w:val="clear" w:color="auto" w:fill="FFFFFF"/>
            <w:noWrap/>
            <w:vAlign w:val="center"/>
            <w:hideMark/>
          </w:tcPr>
          <w:p w14:paraId="3C3BA83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76.4</w:t>
            </w:r>
          </w:p>
        </w:tc>
        <w:tc>
          <w:tcPr>
            <w:tcW w:w="458" w:type="pct"/>
            <w:tcBorders>
              <w:top w:val="nil"/>
              <w:left w:val="nil"/>
              <w:bottom w:val="dotted" w:sz="4" w:space="0" w:color="auto"/>
              <w:right w:val="dotted" w:sz="4" w:space="0" w:color="auto"/>
            </w:tcBorders>
            <w:shd w:val="clear" w:color="auto" w:fill="FFFFFF"/>
            <w:noWrap/>
            <w:vAlign w:val="center"/>
            <w:hideMark/>
          </w:tcPr>
          <w:p w14:paraId="57B117B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76.7</w:t>
            </w:r>
          </w:p>
        </w:tc>
        <w:tc>
          <w:tcPr>
            <w:tcW w:w="458" w:type="pct"/>
            <w:tcBorders>
              <w:top w:val="nil"/>
              <w:left w:val="nil"/>
              <w:bottom w:val="dotted" w:sz="4" w:space="0" w:color="auto"/>
              <w:right w:val="double" w:sz="6" w:space="0" w:color="auto"/>
            </w:tcBorders>
            <w:shd w:val="clear" w:color="auto" w:fill="FFFFFF"/>
            <w:noWrap/>
            <w:vAlign w:val="center"/>
            <w:hideMark/>
          </w:tcPr>
          <w:p w14:paraId="3FE81AE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77.0</w:t>
            </w:r>
          </w:p>
        </w:tc>
      </w:tr>
      <w:tr w:rsidR="00C50585" w:rsidRPr="00EE038F" w14:paraId="5DFE9470" w14:textId="77777777" w:rsidTr="00FB5945">
        <w:trPr>
          <w:trHeight w:val="20"/>
        </w:trPr>
        <w:tc>
          <w:tcPr>
            <w:tcW w:w="1912" w:type="pct"/>
            <w:tcBorders>
              <w:top w:val="nil"/>
              <w:left w:val="double" w:sz="6" w:space="0" w:color="auto"/>
              <w:bottom w:val="dotted" w:sz="4" w:space="0" w:color="auto"/>
              <w:right w:val="nil"/>
            </w:tcBorders>
            <w:shd w:val="clear" w:color="auto" w:fill="FFFFFF"/>
            <w:vAlign w:val="center"/>
            <w:hideMark/>
          </w:tcPr>
          <w:p w14:paraId="1B6314CE"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5. Punësimi, personat</w:t>
            </w:r>
            <w:r w:rsidRPr="00EE038F">
              <w:rPr>
                <w:rStyle w:val="FootnoteReference"/>
                <w:rFonts w:ascii="Garamond" w:hAnsi="Garamond"/>
                <w:sz w:val="18"/>
              </w:rPr>
              <w:footnoteReference w:id="14"/>
            </w:r>
          </w:p>
        </w:tc>
        <w:tc>
          <w:tcPr>
            <w:tcW w:w="366" w:type="pct"/>
            <w:tcBorders>
              <w:top w:val="nil"/>
              <w:left w:val="single" w:sz="4" w:space="0" w:color="auto"/>
              <w:bottom w:val="dotted" w:sz="4" w:space="0" w:color="auto"/>
              <w:right w:val="single" w:sz="4" w:space="0" w:color="auto"/>
            </w:tcBorders>
            <w:shd w:val="clear" w:color="auto" w:fill="FFFFFF"/>
            <w:vAlign w:val="center"/>
            <w:hideMark/>
          </w:tcPr>
          <w:p w14:paraId="4321EB4B"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433" w:type="pct"/>
            <w:tcBorders>
              <w:top w:val="nil"/>
              <w:left w:val="single" w:sz="4" w:space="0" w:color="auto"/>
              <w:bottom w:val="dotted" w:sz="4" w:space="0" w:color="auto"/>
              <w:right w:val="single" w:sz="4" w:space="0" w:color="auto"/>
            </w:tcBorders>
            <w:shd w:val="clear" w:color="auto" w:fill="FFFFFF"/>
            <w:vAlign w:val="center"/>
            <w:hideMark/>
          </w:tcPr>
          <w:p w14:paraId="074C688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c>
          <w:tcPr>
            <w:tcW w:w="458" w:type="pct"/>
            <w:tcBorders>
              <w:top w:val="nil"/>
              <w:left w:val="nil"/>
              <w:bottom w:val="dotted" w:sz="4" w:space="0" w:color="auto"/>
              <w:right w:val="dotted" w:sz="4" w:space="0" w:color="auto"/>
            </w:tcBorders>
            <w:shd w:val="clear" w:color="auto" w:fill="FFFFFF"/>
            <w:noWrap/>
            <w:vAlign w:val="center"/>
            <w:hideMark/>
          </w:tcPr>
          <w:p w14:paraId="1952B31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1,252.8</w:t>
            </w:r>
          </w:p>
        </w:tc>
        <w:tc>
          <w:tcPr>
            <w:tcW w:w="458" w:type="pct"/>
            <w:tcBorders>
              <w:top w:val="nil"/>
              <w:left w:val="nil"/>
              <w:bottom w:val="dotted" w:sz="4" w:space="0" w:color="auto"/>
              <w:right w:val="dotted" w:sz="4" w:space="0" w:color="auto"/>
            </w:tcBorders>
            <w:shd w:val="clear" w:color="auto" w:fill="FFFFFF"/>
            <w:noWrap/>
            <w:vAlign w:val="center"/>
            <w:hideMark/>
          </w:tcPr>
          <w:p w14:paraId="14ACA3F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1,088.2</w:t>
            </w:r>
          </w:p>
        </w:tc>
        <w:tc>
          <w:tcPr>
            <w:tcW w:w="458" w:type="pct"/>
            <w:tcBorders>
              <w:top w:val="nil"/>
              <w:left w:val="nil"/>
              <w:bottom w:val="dotted" w:sz="4" w:space="0" w:color="auto"/>
              <w:right w:val="dotted" w:sz="4" w:space="0" w:color="auto"/>
            </w:tcBorders>
            <w:shd w:val="clear" w:color="auto" w:fill="FFFFFF"/>
            <w:noWrap/>
            <w:vAlign w:val="center"/>
            <w:hideMark/>
          </w:tcPr>
          <w:p w14:paraId="3E1A055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1,091.8</w:t>
            </w:r>
          </w:p>
        </w:tc>
        <w:tc>
          <w:tcPr>
            <w:tcW w:w="458" w:type="pct"/>
            <w:tcBorders>
              <w:top w:val="nil"/>
              <w:left w:val="nil"/>
              <w:bottom w:val="dotted" w:sz="4" w:space="0" w:color="auto"/>
              <w:right w:val="dotted" w:sz="4" w:space="0" w:color="auto"/>
            </w:tcBorders>
            <w:shd w:val="clear" w:color="auto" w:fill="FFFFFF"/>
            <w:noWrap/>
            <w:vAlign w:val="center"/>
            <w:hideMark/>
          </w:tcPr>
          <w:p w14:paraId="074B4AE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1,093.8</w:t>
            </w:r>
          </w:p>
        </w:tc>
        <w:tc>
          <w:tcPr>
            <w:tcW w:w="458" w:type="pct"/>
            <w:tcBorders>
              <w:top w:val="nil"/>
              <w:left w:val="nil"/>
              <w:bottom w:val="dotted" w:sz="4" w:space="0" w:color="auto"/>
              <w:right w:val="double" w:sz="6" w:space="0" w:color="auto"/>
            </w:tcBorders>
            <w:shd w:val="clear" w:color="auto" w:fill="FFFFFF"/>
            <w:noWrap/>
            <w:vAlign w:val="center"/>
            <w:hideMark/>
          </w:tcPr>
          <w:p w14:paraId="6E84214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1,093.9</w:t>
            </w:r>
          </w:p>
        </w:tc>
      </w:tr>
      <w:tr w:rsidR="00C50585" w:rsidRPr="00EE038F" w14:paraId="34506DCC" w14:textId="77777777" w:rsidTr="00FB5945">
        <w:trPr>
          <w:trHeight w:val="20"/>
        </w:trPr>
        <w:tc>
          <w:tcPr>
            <w:tcW w:w="1912" w:type="pct"/>
            <w:tcBorders>
              <w:top w:val="nil"/>
              <w:left w:val="double" w:sz="6" w:space="0" w:color="auto"/>
              <w:bottom w:val="dotted" w:sz="4" w:space="0" w:color="auto"/>
              <w:right w:val="nil"/>
            </w:tcBorders>
            <w:shd w:val="clear" w:color="auto" w:fill="FFFFFF"/>
            <w:vAlign w:val="center"/>
            <w:hideMark/>
          </w:tcPr>
          <w:p w14:paraId="0A916422"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6. Punësimi, orët e punës</w:t>
            </w:r>
            <w:r w:rsidRPr="00EE038F">
              <w:rPr>
                <w:rStyle w:val="FootnoteReference"/>
                <w:rFonts w:ascii="Garamond" w:hAnsi="Garamond"/>
                <w:sz w:val="18"/>
              </w:rPr>
              <w:footnoteReference w:id="15"/>
            </w:r>
          </w:p>
        </w:tc>
        <w:tc>
          <w:tcPr>
            <w:tcW w:w="366" w:type="pct"/>
            <w:tcBorders>
              <w:top w:val="nil"/>
              <w:left w:val="single" w:sz="4" w:space="0" w:color="auto"/>
              <w:bottom w:val="dotted" w:sz="4" w:space="0" w:color="auto"/>
              <w:right w:val="single" w:sz="4" w:space="0" w:color="auto"/>
            </w:tcBorders>
            <w:shd w:val="clear" w:color="auto" w:fill="FFFFFF"/>
            <w:vAlign w:val="center"/>
            <w:hideMark/>
          </w:tcPr>
          <w:p w14:paraId="06BB1EDB"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433" w:type="pct"/>
            <w:tcBorders>
              <w:top w:val="nil"/>
              <w:left w:val="single" w:sz="4" w:space="0" w:color="auto"/>
              <w:bottom w:val="dotted" w:sz="4" w:space="0" w:color="auto"/>
              <w:right w:val="single" w:sz="4" w:space="0" w:color="auto"/>
            </w:tcBorders>
            <w:shd w:val="clear" w:color="auto" w:fill="FFFFFF"/>
            <w:vAlign w:val="center"/>
            <w:hideMark/>
          </w:tcPr>
          <w:p w14:paraId="539B7B5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c>
          <w:tcPr>
            <w:tcW w:w="458" w:type="pct"/>
            <w:tcBorders>
              <w:top w:val="nil"/>
              <w:left w:val="nil"/>
              <w:bottom w:val="dotted" w:sz="4" w:space="0" w:color="auto"/>
              <w:right w:val="dotted" w:sz="4" w:space="0" w:color="auto"/>
            </w:tcBorders>
            <w:shd w:val="clear" w:color="auto" w:fill="FFFFFF"/>
            <w:vAlign w:val="center"/>
            <w:hideMark/>
          </w:tcPr>
          <w:p w14:paraId="0ED8ADC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58" w:type="pct"/>
            <w:tcBorders>
              <w:top w:val="nil"/>
              <w:left w:val="nil"/>
              <w:bottom w:val="dotted" w:sz="4" w:space="0" w:color="auto"/>
              <w:right w:val="dotted" w:sz="4" w:space="0" w:color="auto"/>
            </w:tcBorders>
            <w:shd w:val="clear" w:color="auto" w:fill="FFFFFF"/>
            <w:vAlign w:val="center"/>
            <w:hideMark/>
          </w:tcPr>
          <w:p w14:paraId="298E681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58" w:type="pct"/>
            <w:tcBorders>
              <w:top w:val="nil"/>
              <w:left w:val="nil"/>
              <w:bottom w:val="dotted" w:sz="4" w:space="0" w:color="auto"/>
              <w:right w:val="dotted" w:sz="4" w:space="0" w:color="auto"/>
            </w:tcBorders>
            <w:shd w:val="clear" w:color="auto" w:fill="FFFFFF"/>
            <w:vAlign w:val="center"/>
            <w:hideMark/>
          </w:tcPr>
          <w:p w14:paraId="573CA6F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58" w:type="pct"/>
            <w:tcBorders>
              <w:top w:val="nil"/>
              <w:left w:val="nil"/>
              <w:bottom w:val="dotted" w:sz="4" w:space="0" w:color="auto"/>
              <w:right w:val="dotted" w:sz="4" w:space="0" w:color="auto"/>
            </w:tcBorders>
            <w:shd w:val="clear" w:color="auto" w:fill="FFFFFF"/>
            <w:vAlign w:val="center"/>
            <w:hideMark/>
          </w:tcPr>
          <w:p w14:paraId="4CDEB67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58" w:type="pct"/>
            <w:tcBorders>
              <w:top w:val="nil"/>
              <w:left w:val="nil"/>
              <w:bottom w:val="dotted" w:sz="4" w:space="0" w:color="auto"/>
              <w:right w:val="double" w:sz="6" w:space="0" w:color="auto"/>
            </w:tcBorders>
            <w:shd w:val="clear" w:color="auto" w:fill="FFFFFF"/>
            <w:vAlign w:val="center"/>
            <w:hideMark/>
          </w:tcPr>
          <w:p w14:paraId="170BA1F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r>
      <w:tr w:rsidR="00C50585" w:rsidRPr="00EE038F" w14:paraId="2889896E" w14:textId="77777777" w:rsidTr="00FB5945">
        <w:trPr>
          <w:trHeight w:val="20"/>
        </w:trPr>
        <w:tc>
          <w:tcPr>
            <w:tcW w:w="1912" w:type="pct"/>
            <w:tcBorders>
              <w:top w:val="nil"/>
              <w:left w:val="double" w:sz="6" w:space="0" w:color="auto"/>
              <w:bottom w:val="dotted" w:sz="4" w:space="0" w:color="auto"/>
              <w:right w:val="nil"/>
            </w:tcBorders>
            <w:shd w:val="clear" w:color="auto" w:fill="FFFFFF"/>
            <w:vAlign w:val="center"/>
            <w:hideMark/>
          </w:tcPr>
          <w:p w14:paraId="0C90FD62"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7. Punësimi (shkalla e rritjes në %)</w:t>
            </w:r>
          </w:p>
        </w:tc>
        <w:tc>
          <w:tcPr>
            <w:tcW w:w="366" w:type="pct"/>
            <w:tcBorders>
              <w:top w:val="nil"/>
              <w:left w:val="single" w:sz="4" w:space="0" w:color="auto"/>
              <w:bottom w:val="dotted" w:sz="4" w:space="0" w:color="auto"/>
              <w:right w:val="single" w:sz="4" w:space="0" w:color="auto"/>
            </w:tcBorders>
            <w:shd w:val="clear" w:color="auto" w:fill="FFFFFF"/>
            <w:vAlign w:val="center"/>
            <w:hideMark/>
          </w:tcPr>
          <w:p w14:paraId="31555D03"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433" w:type="pct"/>
            <w:tcBorders>
              <w:top w:val="nil"/>
              <w:left w:val="single" w:sz="4" w:space="0" w:color="auto"/>
              <w:bottom w:val="dotted" w:sz="4" w:space="0" w:color="auto"/>
              <w:right w:val="single" w:sz="4" w:space="0" w:color="auto"/>
            </w:tcBorders>
            <w:shd w:val="clear" w:color="auto" w:fill="FFFFFF"/>
            <w:vAlign w:val="center"/>
            <w:hideMark/>
          </w:tcPr>
          <w:p w14:paraId="32DE0FB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c>
          <w:tcPr>
            <w:tcW w:w="458" w:type="pct"/>
            <w:tcBorders>
              <w:top w:val="nil"/>
              <w:left w:val="nil"/>
              <w:bottom w:val="dotted" w:sz="4" w:space="0" w:color="auto"/>
              <w:right w:val="dotted" w:sz="4" w:space="0" w:color="auto"/>
            </w:tcBorders>
            <w:shd w:val="clear" w:color="auto" w:fill="FFFFFF"/>
            <w:noWrap/>
            <w:vAlign w:val="center"/>
            <w:hideMark/>
          </w:tcPr>
          <w:p w14:paraId="0C0D87D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1.6</w:t>
            </w:r>
          </w:p>
        </w:tc>
        <w:tc>
          <w:tcPr>
            <w:tcW w:w="458" w:type="pct"/>
            <w:tcBorders>
              <w:top w:val="nil"/>
              <w:left w:val="nil"/>
              <w:bottom w:val="dotted" w:sz="4" w:space="0" w:color="auto"/>
              <w:right w:val="dotted" w:sz="4" w:space="0" w:color="auto"/>
            </w:tcBorders>
            <w:shd w:val="clear" w:color="auto" w:fill="FFFFFF"/>
            <w:noWrap/>
            <w:vAlign w:val="center"/>
            <w:hideMark/>
          </w:tcPr>
          <w:p w14:paraId="7E2225D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-13.1</w:t>
            </w:r>
          </w:p>
        </w:tc>
        <w:tc>
          <w:tcPr>
            <w:tcW w:w="458" w:type="pct"/>
            <w:tcBorders>
              <w:top w:val="nil"/>
              <w:left w:val="nil"/>
              <w:bottom w:val="dotted" w:sz="4" w:space="0" w:color="auto"/>
              <w:right w:val="dotted" w:sz="4" w:space="0" w:color="auto"/>
            </w:tcBorders>
            <w:shd w:val="clear" w:color="auto" w:fill="FFFFFF"/>
            <w:noWrap/>
            <w:vAlign w:val="center"/>
            <w:hideMark/>
          </w:tcPr>
          <w:p w14:paraId="7F11986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0.3</w:t>
            </w:r>
          </w:p>
        </w:tc>
        <w:tc>
          <w:tcPr>
            <w:tcW w:w="458" w:type="pct"/>
            <w:tcBorders>
              <w:top w:val="nil"/>
              <w:left w:val="nil"/>
              <w:bottom w:val="dotted" w:sz="4" w:space="0" w:color="auto"/>
              <w:right w:val="dotted" w:sz="4" w:space="0" w:color="auto"/>
            </w:tcBorders>
            <w:shd w:val="clear" w:color="auto" w:fill="FFFFFF"/>
            <w:noWrap/>
            <w:vAlign w:val="center"/>
            <w:hideMark/>
          </w:tcPr>
          <w:p w14:paraId="6111247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0.2</w:t>
            </w:r>
          </w:p>
        </w:tc>
        <w:tc>
          <w:tcPr>
            <w:tcW w:w="458" w:type="pct"/>
            <w:tcBorders>
              <w:top w:val="nil"/>
              <w:left w:val="nil"/>
              <w:bottom w:val="dotted" w:sz="4" w:space="0" w:color="auto"/>
              <w:right w:val="double" w:sz="6" w:space="0" w:color="auto"/>
            </w:tcBorders>
            <w:shd w:val="clear" w:color="auto" w:fill="FFFFFF"/>
            <w:noWrap/>
            <w:vAlign w:val="center"/>
            <w:hideMark/>
          </w:tcPr>
          <w:p w14:paraId="69B0390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r>
      <w:tr w:rsidR="00C50585" w:rsidRPr="00EE038F" w14:paraId="2086F5E9" w14:textId="77777777" w:rsidTr="00FB5945">
        <w:trPr>
          <w:trHeight w:val="20"/>
        </w:trPr>
        <w:tc>
          <w:tcPr>
            <w:tcW w:w="1912" w:type="pct"/>
            <w:tcBorders>
              <w:top w:val="nil"/>
              <w:left w:val="double" w:sz="6" w:space="0" w:color="auto"/>
              <w:bottom w:val="dotted" w:sz="4" w:space="0" w:color="auto"/>
              <w:right w:val="nil"/>
            </w:tcBorders>
            <w:shd w:val="clear" w:color="auto" w:fill="FFFFFF"/>
            <w:vAlign w:val="center"/>
            <w:hideMark/>
          </w:tcPr>
          <w:p w14:paraId="3F6A1568"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8. Punësimi në sektorin publik (persona)</w:t>
            </w:r>
          </w:p>
        </w:tc>
        <w:tc>
          <w:tcPr>
            <w:tcW w:w="366" w:type="pct"/>
            <w:tcBorders>
              <w:top w:val="nil"/>
              <w:left w:val="single" w:sz="4" w:space="0" w:color="auto"/>
              <w:bottom w:val="dotted" w:sz="4" w:space="0" w:color="auto"/>
              <w:right w:val="single" w:sz="4" w:space="0" w:color="auto"/>
            </w:tcBorders>
            <w:shd w:val="clear" w:color="auto" w:fill="FFFFFF"/>
            <w:vAlign w:val="center"/>
            <w:hideMark/>
          </w:tcPr>
          <w:p w14:paraId="63C40574"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433" w:type="pct"/>
            <w:tcBorders>
              <w:top w:val="nil"/>
              <w:left w:val="single" w:sz="4" w:space="0" w:color="auto"/>
              <w:bottom w:val="dotted" w:sz="4" w:space="0" w:color="auto"/>
              <w:right w:val="single" w:sz="4" w:space="0" w:color="auto"/>
            </w:tcBorders>
            <w:shd w:val="clear" w:color="auto" w:fill="FFFFFF"/>
            <w:vAlign w:val="center"/>
            <w:hideMark/>
          </w:tcPr>
          <w:p w14:paraId="721228B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c>
          <w:tcPr>
            <w:tcW w:w="458" w:type="pct"/>
            <w:tcBorders>
              <w:top w:val="nil"/>
              <w:left w:val="nil"/>
              <w:bottom w:val="dotted" w:sz="4" w:space="0" w:color="auto"/>
              <w:right w:val="dotted" w:sz="4" w:space="0" w:color="auto"/>
            </w:tcBorders>
            <w:shd w:val="clear" w:color="auto" w:fill="FFFFFF"/>
            <w:vAlign w:val="center"/>
            <w:hideMark/>
          </w:tcPr>
          <w:p w14:paraId="3DB05B0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181.6</w:t>
            </w:r>
          </w:p>
        </w:tc>
        <w:tc>
          <w:tcPr>
            <w:tcW w:w="458" w:type="pct"/>
            <w:tcBorders>
              <w:top w:val="nil"/>
              <w:left w:val="nil"/>
              <w:bottom w:val="dotted" w:sz="4" w:space="0" w:color="auto"/>
              <w:right w:val="dotted" w:sz="4" w:space="0" w:color="auto"/>
            </w:tcBorders>
            <w:shd w:val="clear" w:color="auto" w:fill="FFFFFF"/>
            <w:vAlign w:val="center"/>
            <w:hideMark/>
          </w:tcPr>
          <w:p w14:paraId="31A0187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181.6</w:t>
            </w:r>
          </w:p>
        </w:tc>
        <w:tc>
          <w:tcPr>
            <w:tcW w:w="458" w:type="pct"/>
            <w:tcBorders>
              <w:top w:val="nil"/>
              <w:left w:val="nil"/>
              <w:bottom w:val="dotted" w:sz="4" w:space="0" w:color="auto"/>
              <w:right w:val="dotted" w:sz="4" w:space="0" w:color="auto"/>
            </w:tcBorders>
            <w:shd w:val="clear" w:color="auto" w:fill="FFFFFF"/>
            <w:vAlign w:val="center"/>
            <w:hideMark/>
          </w:tcPr>
          <w:p w14:paraId="65D87F8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181.6</w:t>
            </w:r>
          </w:p>
        </w:tc>
        <w:tc>
          <w:tcPr>
            <w:tcW w:w="458" w:type="pct"/>
            <w:tcBorders>
              <w:top w:val="nil"/>
              <w:left w:val="nil"/>
              <w:bottom w:val="dotted" w:sz="4" w:space="0" w:color="auto"/>
              <w:right w:val="dotted" w:sz="4" w:space="0" w:color="auto"/>
            </w:tcBorders>
            <w:shd w:val="clear" w:color="auto" w:fill="FFFFFF"/>
            <w:vAlign w:val="center"/>
            <w:hideMark/>
          </w:tcPr>
          <w:p w14:paraId="3DA12B25"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181.6</w:t>
            </w:r>
          </w:p>
        </w:tc>
        <w:tc>
          <w:tcPr>
            <w:tcW w:w="458" w:type="pct"/>
            <w:tcBorders>
              <w:top w:val="nil"/>
              <w:left w:val="nil"/>
              <w:bottom w:val="dotted" w:sz="4" w:space="0" w:color="auto"/>
              <w:right w:val="double" w:sz="6" w:space="0" w:color="auto"/>
            </w:tcBorders>
            <w:shd w:val="clear" w:color="auto" w:fill="FFFFFF"/>
            <w:vAlign w:val="center"/>
            <w:hideMark/>
          </w:tcPr>
          <w:p w14:paraId="6B0100C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181.6</w:t>
            </w:r>
          </w:p>
        </w:tc>
      </w:tr>
      <w:tr w:rsidR="00C50585" w:rsidRPr="00EE038F" w14:paraId="15F77330" w14:textId="77777777" w:rsidTr="00FB5945">
        <w:trPr>
          <w:trHeight w:val="20"/>
        </w:trPr>
        <w:tc>
          <w:tcPr>
            <w:tcW w:w="1912" w:type="pct"/>
            <w:tcBorders>
              <w:top w:val="nil"/>
              <w:left w:val="double" w:sz="6" w:space="0" w:color="auto"/>
              <w:bottom w:val="dotted" w:sz="4" w:space="0" w:color="auto"/>
              <w:right w:val="nil"/>
            </w:tcBorders>
            <w:shd w:val="clear" w:color="auto" w:fill="FFFFFF"/>
            <w:vAlign w:val="center"/>
            <w:hideMark/>
          </w:tcPr>
          <w:p w14:paraId="7494A09E"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9. Punësimi në sektorin publik (rritje në %)</w:t>
            </w:r>
          </w:p>
        </w:tc>
        <w:tc>
          <w:tcPr>
            <w:tcW w:w="366" w:type="pct"/>
            <w:tcBorders>
              <w:top w:val="nil"/>
              <w:left w:val="single" w:sz="4" w:space="0" w:color="auto"/>
              <w:bottom w:val="dotted" w:sz="4" w:space="0" w:color="auto"/>
              <w:right w:val="single" w:sz="4" w:space="0" w:color="auto"/>
            </w:tcBorders>
            <w:shd w:val="clear" w:color="auto" w:fill="FFFFFF"/>
            <w:vAlign w:val="center"/>
            <w:hideMark/>
          </w:tcPr>
          <w:p w14:paraId="04E2B75A"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433" w:type="pct"/>
            <w:tcBorders>
              <w:top w:val="nil"/>
              <w:left w:val="single" w:sz="4" w:space="0" w:color="auto"/>
              <w:bottom w:val="dotted" w:sz="4" w:space="0" w:color="auto"/>
              <w:right w:val="single" w:sz="4" w:space="0" w:color="auto"/>
            </w:tcBorders>
            <w:shd w:val="clear" w:color="auto" w:fill="FFFFFF"/>
            <w:vAlign w:val="center"/>
            <w:hideMark/>
          </w:tcPr>
          <w:p w14:paraId="08A0A52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c>
          <w:tcPr>
            <w:tcW w:w="458" w:type="pct"/>
            <w:tcBorders>
              <w:top w:val="nil"/>
              <w:left w:val="nil"/>
              <w:bottom w:val="dotted" w:sz="4" w:space="0" w:color="auto"/>
              <w:right w:val="dotted" w:sz="4" w:space="0" w:color="auto"/>
            </w:tcBorders>
            <w:shd w:val="clear" w:color="auto" w:fill="FFFFFF"/>
            <w:noWrap/>
            <w:vAlign w:val="center"/>
            <w:hideMark/>
          </w:tcPr>
          <w:p w14:paraId="15ED930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-1.3</w:t>
            </w:r>
          </w:p>
        </w:tc>
        <w:tc>
          <w:tcPr>
            <w:tcW w:w="458" w:type="pct"/>
            <w:tcBorders>
              <w:top w:val="nil"/>
              <w:left w:val="nil"/>
              <w:bottom w:val="dotted" w:sz="4" w:space="0" w:color="auto"/>
              <w:right w:val="dotted" w:sz="4" w:space="0" w:color="auto"/>
            </w:tcBorders>
            <w:shd w:val="clear" w:color="auto" w:fill="FFFFFF"/>
            <w:noWrap/>
            <w:vAlign w:val="center"/>
            <w:hideMark/>
          </w:tcPr>
          <w:p w14:paraId="562D572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c>
          <w:tcPr>
            <w:tcW w:w="458" w:type="pct"/>
            <w:tcBorders>
              <w:top w:val="nil"/>
              <w:left w:val="nil"/>
              <w:bottom w:val="dotted" w:sz="4" w:space="0" w:color="auto"/>
              <w:right w:val="dotted" w:sz="4" w:space="0" w:color="auto"/>
            </w:tcBorders>
            <w:shd w:val="clear" w:color="auto" w:fill="FFFFFF"/>
            <w:vAlign w:val="center"/>
            <w:hideMark/>
          </w:tcPr>
          <w:p w14:paraId="2475E33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c>
          <w:tcPr>
            <w:tcW w:w="458" w:type="pct"/>
            <w:tcBorders>
              <w:top w:val="nil"/>
              <w:left w:val="nil"/>
              <w:bottom w:val="dotted" w:sz="4" w:space="0" w:color="auto"/>
              <w:right w:val="dotted" w:sz="4" w:space="0" w:color="auto"/>
            </w:tcBorders>
            <w:shd w:val="clear" w:color="auto" w:fill="FFFFFF"/>
            <w:vAlign w:val="center"/>
            <w:hideMark/>
          </w:tcPr>
          <w:p w14:paraId="599B741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c>
          <w:tcPr>
            <w:tcW w:w="458" w:type="pct"/>
            <w:tcBorders>
              <w:top w:val="nil"/>
              <w:left w:val="nil"/>
              <w:bottom w:val="dotted" w:sz="4" w:space="0" w:color="auto"/>
              <w:right w:val="double" w:sz="6" w:space="0" w:color="auto"/>
            </w:tcBorders>
            <w:shd w:val="clear" w:color="auto" w:fill="FFFFFF"/>
            <w:vAlign w:val="center"/>
            <w:hideMark/>
          </w:tcPr>
          <w:p w14:paraId="3BC1D43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r>
      <w:tr w:rsidR="00C50585" w:rsidRPr="00EE038F" w14:paraId="44F4AC49" w14:textId="77777777" w:rsidTr="00FB5945">
        <w:trPr>
          <w:trHeight w:val="20"/>
        </w:trPr>
        <w:tc>
          <w:tcPr>
            <w:tcW w:w="1912" w:type="pct"/>
            <w:tcBorders>
              <w:top w:val="nil"/>
              <w:left w:val="double" w:sz="6" w:space="0" w:color="auto"/>
              <w:bottom w:val="dotted" w:sz="4" w:space="0" w:color="auto"/>
              <w:right w:val="nil"/>
            </w:tcBorders>
            <w:shd w:val="clear" w:color="auto" w:fill="FFFFFF"/>
            <w:vAlign w:val="center"/>
            <w:hideMark/>
          </w:tcPr>
          <w:p w14:paraId="510AC22B"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10. Shkalla e papunësisë</w:t>
            </w:r>
            <w:r w:rsidRPr="00EE038F">
              <w:rPr>
                <w:rStyle w:val="FootnoteReference"/>
                <w:rFonts w:ascii="Garamond" w:hAnsi="Garamond"/>
                <w:sz w:val="18"/>
              </w:rPr>
              <w:footnoteReference w:id="16"/>
            </w:r>
          </w:p>
        </w:tc>
        <w:tc>
          <w:tcPr>
            <w:tcW w:w="366" w:type="pct"/>
            <w:tcBorders>
              <w:top w:val="nil"/>
              <w:left w:val="single" w:sz="4" w:space="0" w:color="auto"/>
              <w:bottom w:val="dotted" w:sz="4" w:space="0" w:color="auto"/>
              <w:right w:val="single" w:sz="4" w:space="0" w:color="auto"/>
            </w:tcBorders>
            <w:shd w:val="clear" w:color="auto" w:fill="FFFFFF"/>
            <w:vAlign w:val="center"/>
            <w:hideMark/>
          </w:tcPr>
          <w:p w14:paraId="24C7BB46"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433" w:type="pct"/>
            <w:tcBorders>
              <w:top w:val="nil"/>
              <w:left w:val="single" w:sz="4" w:space="0" w:color="auto"/>
              <w:bottom w:val="dotted" w:sz="4" w:space="0" w:color="auto"/>
              <w:right w:val="single" w:sz="4" w:space="0" w:color="auto"/>
            </w:tcBorders>
            <w:shd w:val="clear" w:color="auto" w:fill="FFFFFF"/>
            <w:vAlign w:val="center"/>
            <w:hideMark/>
          </w:tcPr>
          <w:p w14:paraId="1D68232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c>
          <w:tcPr>
            <w:tcW w:w="458" w:type="pct"/>
            <w:tcBorders>
              <w:top w:val="nil"/>
              <w:left w:val="nil"/>
              <w:bottom w:val="dotted" w:sz="4" w:space="0" w:color="auto"/>
              <w:right w:val="dotted" w:sz="4" w:space="0" w:color="auto"/>
            </w:tcBorders>
            <w:shd w:val="clear" w:color="auto" w:fill="FFFFFF"/>
            <w:noWrap/>
            <w:vAlign w:val="center"/>
            <w:hideMark/>
          </w:tcPr>
          <w:p w14:paraId="3F18736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11.2</w:t>
            </w:r>
          </w:p>
        </w:tc>
        <w:tc>
          <w:tcPr>
            <w:tcW w:w="458" w:type="pct"/>
            <w:tcBorders>
              <w:top w:val="nil"/>
              <w:left w:val="nil"/>
              <w:bottom w:val="dotted" w:sz="4" w:space="0" w:color="auto"/>
              <w:right w:val="dotted" w:sz="4" w:space="0" w:color="auto"/>
            </w:tcBorders>
            <w:shd w:val="clear" w:color="auto" w:fill="FFFFFF"/>
            <w:noWrap/>
            <w:vAlign w:val="center"/>
            <w:hideMark/>
          </w:tcPr>
          <w:p w14:paraId="280FAB55"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10.2</w:t>
            </w:r>
          </w:p>
        </w:tc>
        <w:tc>
          <w:tcPr>
            <w:tcW w:w="458" w:type="pct"/>
            <w:tcBorders>
              <w:top w:val="nil"/>
              <w:left w:val="nil"/>
              <w:bottom w:val="dotted" w:sz="4" w:space="0" w:color="auto"/>
              <w:right w:val="dotted" w:sz="4" w:space="0" w:color="auto"/>
            </w:tcBorders>
            <w:shd w:val="clear" w:color="auto" w:fill="FFFFFF"/>
            <w:noWrap/>
            <w:vAlign w:val="center"/>
            <w:hideMark/>
          </w:tcPr>
          <w:p w14:paraId="7C2C93D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9.8</w:t>
            </w:r>
          </w:p>
        </w:tc>
        <w:tc>
          <w:tcPr>
            <w:tcW w:w="458" w:type="pct"/>
            <w:tcBorders>
              <w:top w:val="nil"/>
              <w:left w:val="nil"/>
              <w:bottom w:val="dotted" w:sz="4" w:space="0" w:color="auto"/>
              <w:right w:val="dotted" w:sz="4" w:space="0" w:color="auto"/>
            </w:tcBorders>
            <w:shd w:val="clear" w:color="auto" w:fill="FFFFFF"/>
            <w:noWrap/>
            <w:vAlign w:val="center"/>
            <w:hideMark/>
          </w:tcPr>
          <w:p w14:paraId="5530DFF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9.5</w:t>
            </w:r>
          </w:p>
        </w:tc>
        <w:tc>
          <w:tcPr>
            <w:tcW w:w="458" w:type="pct"/>
            <w:tcBorders>
              <w:top w:val="nil"/>
              <w:left w:val="nil"/>
              <w:bottom w:val="dotted" w:sz="4" w:space="0" w:color="auto"/>
              <w:right w:val="double" w:sz="6" w:space="0" w:color="auto"/>
            </w:tcBorders>
            <w:shd w:val="clear" w:color="auto" w:fill="FFFFFF"/>
            <w:noWrap/>
            <w:vAlign w:val="center"/>
            <w:hideMark/>
          </w:tcPr>
          <w:p w14:paraId="4F0D1BE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9.3</w:t>
            </w:r>
          </w:p>
        </w:tc>
      </w:tr>
      <w:tr w:rsidR="00C50585" w:rsidRPr="00EE038F" w14:paraId="7DA15995" w14:textId="77777777" w:rsidTr="00FB5945">
        <w:trPr>
          <w:trHeight w:val="20"/>
        </w:trPr>
        <w:tc>
          <w:tcPr>
            <w:tcW w:w="1912" w:type="pct"/>
            <w:tcBorders>
              <w:top w:val="nil"/>
              <w:left w:val="double" w:sz="6" w:space="0" w:color="auto"/>
              <w:bottom w:val="dotted" w:sz="4" w:space="0" w:color="auto"/>
              <w:right w:val="nil"/>
            </w:tcBorders>
            <w:shd w:val="clear" w:color="auto" w:fill="FFFFFF"/>
            <w:vAlign w:val="center"/>
            <w:hideMark/>
          </w:tcPr>
          <w:p w14:paraId="798242E9"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11. Produktiviteti i punës, personat</w:t>
            </w:r>
            <w:r w:rsidRPr="00EE038F">
              <w:rPr>
                <w:rStyle w:val="FootnoteReference"/>
                <w:rFonts w:ascii="Garamond" w:hAnsi="Garamond"/>
                <w:sz w:val="18"/>
              </w:rPr>
              <w:footnoteReference w:id="17"/>
            </w:r>
          </w:p>
        </w:tc>
        <w:tc>
          <w:tcPr>
            <w:tcW w:w="366" w:type="pct"/>
            <w:tcBorders>
              <w:top w:val="nil"/>
              <w:left w:val="single" w:sz="4" w:space="0" w:color="auto"/>
              <w:bottom w:val="dotted" w:sz="4" w:space="0" w:color="auto"/>
              <w:right w:val="single" w:sz="4" w:space="0" w:color="auto"/>
            </w:tcBorders>
            <w:shd w:val="clear" w:color="auto" w:fill="FFFFFF"/>
            <w:vAlign w:val="center"/>
            <w:hideMark/>
          </w:tcPr>
          <w:p w14:paraId="154DCF0C"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433" w:type="pct"/>
            <w:tcBorders>
              <w:top w:val="nil"/>
              <w:left w:val="nil"/>
              <w:bottom w:val="dotted" w:sz="4" w:space="0" w:color="auto"/>
              <w:right w:val="single" w:sz="4" w:space="0" w:color="auto"/>
            </w:tcBorders>
            <w:shd w:val="clear" w:color="auto" w:fill="FFFFFF"/>
            <w:noWrap/>
            <w:vAlign w:val="center"/>
            <w:hideMark/>
          </w:tcPr>
          <w:p w14:paraId="650CB02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1783.5</w:t>
            </w:r>
          </w:p>
        </w:tc>
        <w:tc>
          <w:tcPr>
            <w:tcW w:w="458" w:type="pct"/>
            <w:tcBorders>
              <w:top w:val="nil"/>
              <w:left w:val="nil"/>
              <w:bottom w:val="dotted" w:sz="4" w:space="0" w:color="auto"/>
              <w:right w:val="dotted" w:sz="4" w:space="0" w:color="auto"/>
            </w:tcBorders>
            <w:shd w:val="clear" w:color="auto" w:fill="FFFFFF"/>
            <w:noWrap/>
            <w:vAlign w:val="center"/>
            <w:hideMark/>
          </w:tcPr>
          <w:p w14:paraId="32CE121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2.3</w:t>
            </w:r>
          </w:p>
        </w:tc>
        <w:tc>
          <w:tcPr>
            <w:tcW w:w="458" w:type="pct"/>
            <w:tcBorders>
              <w:top w:val="nil"/>
              <w:left w:val="nil"/>
              <w:bottom w:val="dotted" w:sz="4" w:space="0" w:color="auto"/>
              <w:right w:val="dotted" w:sz="4" w:space="0" w:color="auto"/>
            </w:tcBorders>
            <w:shd w:val="clear" w:color="auto" w:fill="FFFFFF"/>
            <w:noWrap/>
            <w:vAlign w:val="center"/>
            <w:hideMark/>
          </w:tcPr>
          <w:p w14:paraId="269810D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19.6</w:t>
            </w:r>
          </w:p>
        </w:tc>
        <w:tc>
          <w:tcPr>
            <w:tcW w:w="458" w:type="pct"/>
            <w:tcBorders>
              <w:top w:val="nil"/>
              <w:left w:val="nil"/>
              <w:bottom w:val="dotted" w:sz="4" w:space="0" w:color="auto"/>
              <w:right w:val="dotted" w:sz="4" w:space="0" w:color="auto"/>
            </w:tcBorders>
            <w:shd w:val="clear" w:color="auto" w:fill="FFFFFF"/>
            <w:noWrap/>
            <w:vAlign w:val="center"/>
            <w:hideMark/>
          </w:tcPr>
          <w:p w14:paraId="32CAA27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3.5</w:t>
            </w:r>
          </w:p>
        </w:tc>
        <w:tc>
          <w:tcPr>
            <w:tcW w:w="458" w:type="pct"/>
            <w:tcBorders>
              <w:top w:val="nil"/>
              <w:left w:val="nil"/>
              <w:bottom w:val="dotted" w:sz="4" w:space="0" w:color="auto"/>
              <w:right w:val="dotted" w:sz="4" w:space="0" w:color="auto"/>
            </w:tcBorders>
            <w:shd w:val="clear" w:color="auto" w:fill="FFFFFF"/>
            <w:noWrap/>
            <w:vAlign w:val="center"/>
            <w:hideMark/>
          </w:tcPr>
          <w:p w14:paraId="22C8202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3.8</w:t>
            </w:r>
          </w:p>
        </w:tc>
        <w:tc>
          <w:tcPr>
            <w:tcW w:w="458" w:type="pct"/>
            <w:tcBorders>
              <w:top w:val="nil"/>
              <w:left w:val="nil"/>
              <w:bottom w:val="dotted" w:sz="4" w:space="0" w:color="auto"/>
              <w:right w:val="double" w:sz="6" w:space="0" w:color="auto"/>
            </w:tcBorders>
            <w:shd w:val="clear" w:color="auto" w:fill="FFFFFF"/>
            <w:noWrap/>
            <w:vAlign w:val="center"/>
            <w:hideMark/>
          </w:tcPr>
          <w:p w14:paraId="7285447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3.9</w:t>
            </w:r>
          </w:p>
        </w:tc>
      </w:tr>
      <w:tr w:rsidR="00C50585" w:rsidRPr="00EE038F" w14:paraId="124E6BC5" w14:textId="77777777" w:rsidTr="00FB5945">
        <w:trPr>
          <w:trHeight w:val="20"/>
        </w:trPr>
        <w:tc>
          <w:tcPr>
            <w:tcW w:w="1912" w:type="pct"/>
            <w:tcBorders>
              <w:top w:val="nil"/>
              <w:left w:val="double" w:sz="6" w:space="0" w:color="auto"/>
              <w:bottom w:val="dotted" w:sz="4" w:space="0" w:color="auto"/>
              <w:right w:val="nil"/>
            </w:tcBorders>
            <w:shd w:val="clear" w:color="auto" w:fill="FFFFFF"/>
            <w:vAlign w:val="center"/>
            <w:hideMark/>
          </w:tcPr>
          <w:p w14:paraId="31F691CE"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12. Produktiviteti i punës, orët e punës</w:t>
            </w:r>
            <w:r w:rsidRPr="00EE038F">
              <w:rPr>
                <w:rStyle w:val="FootnoteReference"/>
                <w:rFonts w:ascii="Garamond" w:hAnsi="Garamond"/>
                <w:sz w:val="18"/>
              </w:rPr>
              <w:footnoteReference w:id="18"/>
            </w:r>
          </w:p>
        </w:tc>
        <w:tc>
          <w:tcPr>
            <w:tcW w:w="366" w:type="pct"/>
            <w:tcBorders>
              <w:top w:val="nil"/>
              <w:left w:val="single" w:sz="4" w:space="0" w:color="auto"/>
              <w:bottom w:val="dotted" w:sz="4" w:space="0" w:color="auto"/>
              <w:right w:val="single" w:sz="4" w:space="0" w:color="auto"/>
            </w:tcBorders>
            <w:shd w:val="clear" w:color="auto" w:fill="FFFFFF"/>
            <w:vAlign w:val="center"/>
            <w:hideMark/>
          </w:tcPr>
          <w:p w14:paraId="5B445C3C"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433" w:type="pct"/>
            <w:tcBorders>
              <w:top w:val="nil"/>
              <w:left w:val="nil"/>
              <w:bottom w:val="dotted" w:sz="4" w:space="0" w:color="auto"/>
              <w:right w:val="single" w:sz="4" w:space="0" w:color="auto"/>
            </w:tcBorders>
            <w:shd w:val="clear" w:color="auto" w:fill="FFFFFF"/>
            <w:vAlign w:val="center"/>
            <w:hideMark/>
          </w:tcPr>
          <w:p w14:paraId="68933FD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c>
          <w:tcPr>
            <w:tcW w:w="458" w:type="pct"/>
            <w:tcBorders>
              <w:top w:val="nil"/>
              <w:left w:val="nil"/>
              <w:bottom w:val="dotted" w:sz="4" w:space="0" w:color="auto"/>
              <w:right w:val="dotted" w:sz="4" w:space="0" w:color="auto"/>
            </w:tcBorders>
            <w:shd w:val="clear" w:color="auto" w:fill="FFFFFF"/>
            <w:vAlign w:val="center"/>
            <w:hideMark/>
          </w:tcPr>
          <w:p w14:paraId="7403FC7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eastAsia="Times New Roman" w:hAnsi="Garamond"/>
                <w:color w:val="0D0D0D" w:themeColor="text1" w:themeTint="F2"/>
                <w:sz w:val="18"/>
              </w:rPr>
              <w:t>:</w:t>
            </w:r>
          </w:p>
        </w:tc>
        <w:tc>
          <w:tcPr>
            <w:tcW w:w="458" w:type="pct"/>
            <w:tcBorders>
              <w:top w:val="nil"/>
              <w:left w:val="nil"/>
              <w:bottom w:val="dotted" w:sz="4" w:space="0" w:color="auto"/>
              <w:right w:val="dotted" w:sz="4" w:space="0" w:color="auto"/>
            </w:tcBorders>
            <w:shd w:val="clear" w:color="auto" w:fill="FFFFFF"/>
            <w:vAlign w:val="center"/>
            <w:hideMark/>
          </w:tcPr>
          <w:p w14:paraId="57F9E66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eastAsia="Times New Roman" w:hAnsi="Garamond"/>
                <w:color w:val="0D0D0D" w:themeColor="text1" w:themeTint="F2"/>
                <w:sz w:val="18"/>
              </w:rPr>
              <w:t>:</w:t>
            </w:r>
          </w:p>
        </w:tc>
        <w:tc>
          <w:tcPr>
            <w:tcW w:w="458" w:type="pct"/>
            <w:tcBorders>
              <w:top w:val="nil"/>
              <w:left w:val="nil"/>
              <w:bottom w:val="dotted" w:sz="4" w:space="0" w:color="auto"/>
              <w:right w:val="dotted" w:sz="4" w:space="0" w:color="auto"/>
            </w:tcBorders>
            <w:shd w:val="clear" w:color="auto" w:fill="FFFFFF"/>
            <w:vAlign w:val="center"/>
            <w:hideMark/>
          </w:tcPr>
          <w:p w14:paraId="2909EB9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eastAsia="Times New Roman" w:hAnsi="Garamond"/>
                <w:color w:val="0D0D0D" w:themeColor="text1" w:themeTint="F2"/>
                <w:sz w:val="18"/>
              </w:rPr>
              <w:t>:</w:t>
            </w:r>
          </w:p>
        </w:tc>
        <w:tc>
          <w:tcPr>
            <w:tcW w:w="458" w:type="pct"/>
            <w:tcBorders>
              <w:top w:val="nil"/>
              <w:left w:val="nil"/>
              <w:bottom w:val="dotted" w:sz="4" w:space="0" w:color="auto"/>
              <w:right w:val="dotted" w:sz="4" w:space="0" w:color="auto"/>
            </w:tcBorders>
            <w:shd w:val="clear" w:color="auto" w:fill="FFFFFF"/>
            <w:vAlign w:val="center"/>
            <w:hideMark/>
          </w:tcPr>
          <w:p w14:paraId="7C9FF3B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eastAsia="Times New Roman" w:hAnsi="Garamond"/>
                <w:color w:val="0D0D0D" w:themeColor="text1" w:themeTint="F2"/>
                <w:sz w:val="18"/>
              </w:rPr>
              <w:t>:</w:t>
            </w:r>
          </w:p>
        </w:tc>
        <w:tc>
          <w:tcPr>
            <w:tcW w:w="458" w:type="pct"/>
            <w:tcBorders>
              <w:top w:val="nil"/>
              <w:left w:val="nil"/>
              <w:bottom w:val="dotted" w:sz="4" w:space="0" w:color="auto"/>
              <w:right w:val="double" w:sz="6" w:space="0" w:color="auto"/>
            </w:tcBorders>
            <w:shd w:val="clear" w:color="auto" w:fill="FFFFFF"/>
            <w:vAlign w:val="center"/>
            <w:hideMark/>
          </w:tcPr>
          <w:p w14:paraId="1F54C67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eastAsia="Times New Roman" w:hAnsi="Garamond"/>
                <w:color w:val="0D0D0D" w:themeColor="text1" w:themeTint="F2"/>
                <w:sz w:val="18"/>
              </w:rPr>
              <w:t>:</w:t>
            </w:r>
          </w:p>
        </w:tc>
      </w:tr>
      <w:tr w:rsidR="00C50585" w:rsidRPr="00EE038F" w14:paraId="36B9DCE3" w14:textId="77777777" w:rsidTr="00FB5945">
        <w:trPr>
          <w:trHeight w:val="20"/>
        </w:trPr>
        <w:tc>
          <w:tcPr>
            <w:tcW w:w="1912" w:type="pct"/>
            <w:tcBorders>
              <w:top w:val="nil"/>
              <w:left w:val="double" w:sz="6" w:space="0" w:color="auto"/>
              <w:bottom w:val="double" w:sz="6" w:space="0" w:color="auto"/>
              <w:right w:val="nil"/>
            </w:tcBorders>
            <w:shd w:val="clear" w:color="auto" w:fill="FFFFFF"/>
            <w:vAlign w:val="center"/>
            <w:hideMark/>
          </w:tcPr>
          <w:p w14:paraId="6589224E"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13. Kompensimi i punonjësve</w:t>
            </w:r>
          </w:p>
        </w:tc>
        <w:tc>
          <w:tcPr>
            <w:tcW w:w="366" w:type="pct"/>
            <w:tcBorders>
              <w:top w:val="nil"/>
              <w:left w:val="single" w:sz="4" w:space="0" w:color="auto"/>
              <w:bottom w:val="double" w:sz="6" w:space="0" w:color="auto"/>
              <w:right w:val="single" w:sz="4" w:space="0" w:color="auto"/>
            </w:tcBorders>
            <w:shd w:val="clear" w:color="auto" w:fill="FFFFFF"/>
            <w:vAlign w:val="center"/>
            <w:hideMark/>
          </w:tcPr>
          <w:p w14:paraId="58F5FDF3"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eastAsia="Times New Roman" w:hAnsi="Garamond"/>
                <w:color w:val="0D0D0D" w:themeColor="text1" w:themeTint="F2"/>
                <w:sz w:val="18"/>
              </w:rPr>
              <w:t>D1</w:t>
            </w:r>
          </w:p>
        </w:tc>
        <w:tc>
          <w:tcPr>
            <w:tcW w:w="433" w:type="pct"/>
            <w:tcBorders>
              <w:top w:val="nil"/>
              <w:left w:val="nil"/>
              <w:bottom w:val="double" w:sz="6" w:space="0" w:color="auto"/>
              <w:right w:val="single" w:sz="4" w:space="0" w:color="auto"/>
            </w:tcBorders>
            <w:shd w:val="clear" w:color="auto" w:fill="FFFFFF"/>
            <w:noWrap/>
            <w:vAlign w:val="center"/>
            <w:hideMark/>
          </w:tcPr>
          <w:p w14:paraId="701C378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eastAsia="Times New Roman" w:hAnsi="Garamond"/>
                <w:color w:val="0D0D0D" w:themeColor="text1" w:themeTint="F2"/>
                <w:sz w:val="18"/>
              </w:rPr>
              <w:t>:</w:t>
            </w:r>
          </w:p>
        </w:tc>
        <w:tc>
          <w:tcPr>
            <w:tcW w:w="458" w:type="pct"/>
            <w:tcBorders>
              <w:top w:val="nil"/>
              <w:left w:val="nil"/>
              <w:bottom w:val="double" w:sz="6" w:space="0" w:color="auto"/>
              <w:right w:val="dotted" w:sz="4" w:space="0" w:color="auto"/>
            </w:tcBorders>
            <w:shd w:val="clear" w:color="auto" w:fill="FFFFFF"/>
            <w:noWrap/>
            <w:vAlign w:val="center"/>
            <w:hideMark/>
          </w:tcPr>
          <w:p w14:paraId="058B379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eastAsia="Times New Roman" w:hAnsi="Garamond"/>
                <w:color w:val="0D0D0D" w:themeColor="text1" w:themeTint="F2"/>
                <w:sz w:val="18"/>
              </w:rPr>
              <w:t>:</w:t>
            </w:r>
          </w:p>
        </w:tc>
        <w:tc>
          <w:tcPr>
            <w:tcW w:w="458" w:type="pct"/>
            <w:tcBorders>
              <w:top w:val="nil"/>
              <w:left w:val="nil"/>
              <w:bottom w:val="double" w:sz="6" w:space="0" w:color="auto"/>
              <w:right w:val="dotted" w:sz="4" w:space="0" w:color="auto"/>
            </w:tcBorders>
            <w:shd w:val="clear" w:color="auto" w:fill="FFFFFF"/>
            <w:noWrap/>
            <w:vAlign w:val="center"/>
            <w:hideMark/>
          </w:tcPr>
          <w:p w14:paraId="48E09E4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eastAsia="Times New Roman" w:hAnsi="Garamond"/>
                <w:color w:val="0D0D0D" w:themeColor="text1" w:themeTint="F2"/>
                <w:sz w:val="18"/>
              </w:rPr>
              <w:t>:</w:t>
            </w:r>
          </w:p>
        </w:tc>
        <w:tc>
          <w:tcPr>
            <w:tcW w:w="458" w:type="pct"/>
            <w:tcBorders>
              <w:top w:val="nil"/>
              <w:left w:val="nil"/>
              <w:bottom w:val="double" w:sz="6" w:space="0" w:color="auto"/>
              <w:right w:val="dotted" w:sz="4" w:space="0" w:color="auto"/>
            </w:tcBorders>
            <w:shd w:val="clear" w:color="auto" w:fill="FFFFFF"/>
            <w:noWrap/>
            <w:vAlign w:val="center"/>
            <w:hideMark/>
          </w:tcPr>
          <w:p w14:paraId="6C25F93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eastAsia="Times New Roman" w:hAnsi="Garamond"/>
                <w:color w:val="0D0D0D" w:themeColor="text1" w:themeTint="F2"/>
                <w:sz w:val="18"/>
              </w:rPr>
              <w:t>:</w:t>
            </w:r>
          </w:p>
        </w:tc>
        <w:tc>
          <w:tcPr>
            <w:tcW w:w="458" w:type="pct"/>
            <w:tcBorders>
              <w:top w:val="nil"/>
              <w:left w:val="nil"/>
              <w:bottom w:val="double" w:sz="6" w:space="0" w:color="auto"/>
              <w:right w:val="dotted" w:sz="4" w:space="0" w:color="auto"/>
            </w:tcBorders>
            <w:shd w:val="clear" w:color="auto" w:fill="FFFFFF"/>
            <w:noWrap/>
            <w:vAlign w:val="center"/>
            <w:hideMark/>
          </w:tcPr>
          <w:p w14:paraId="07D7906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eastAsia="Times New Roman" w:hAnsi="Garamond"/>
                <w:color w:val="0D0D0D" w:themeColor="text1" w:themeTint="F2"/>
                <w:sz w:val="18"/>
              </w:rPr>
              <w:t>:</w:t>
            </w:r>
          </w:p>
        </w:tc>
        <w:tc>
          <w:tcPr>
            <w:tcW w:w="458" w:type="pct"/>
            <w:tcBorders>
              <w:top w:val="nil"/>
              <w:left w:val="nil"/>
              <w:bottom w:val="double" w:sz="6" w:space="0" w:color="auto"/>
              <w:right w:val="double" w:sz="6" w:space="0" w:color="auto"/>
            </w:tcBorders>
            <w:shd w:val="clear" w:color="auto" w:fill="FFFFFF"/>
            <w:noWrap/>
            <w:vAlign w:val="center"/>
            <w:hideMark/>
          </w:tcPr>
          <w:p w14:paraId="73CA660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eastAsia="Times New Roman" w:hAnsi="Garamond"/>
                <w:color w:val="0D0D0D" w:themeColor="text1" w:themeTint="F2"/>
                <w:sz w:val="18"/>
              </w:rPr>
              <w:t>:</w:t>
            </w:r>
          </w:p>
        </w:tc>
      </w:tr>
    </w:tbl>
    <w:p w14:paraId="401A0A4A" w14:textId="77777777" w:rsidR="00C50585" w:rsidRPr="00EE038F" w:rsidRDefault="00C50585" w:rsidP="00C50585">
      <w:pPr>
        <w:spacing w:after="0" w:line="240" w:lineRule="auto"/>
        <w:contextualSpacing/>
        <w:jc w:val="both"/>
        <w:rPr>
          <w:rFonts w:ascii="Garamond" w:hAnsi="Garamond"/>
          <w:b/>
          <w:color w:val="0D0D0D" w:themeColor="text1" w:themeTint="F2"/>
        </w:rPr>
      </w:pPr>
    </w:p>
    <w:p w14:paraId="42098A7B" w14:textId="77777777" w:rsidR="00C50585" w:rsidRPr="00EE038F" w:rsidRDefault="00C50585" w:rsidP="00066DFC">
      <w:pPr>
        <w:spacing w:after="0" w:line="240" w:lineRule="auto"/>
        <w:contextualSpacing/>
        <w:jc w:val="center"/>
        <w:rPr>
          <w:rFonts w:ascii="Garamond" w:hAnsi="Garamond"/>
          <w:bCs/>
          <w:i/>
          <w:iCs/>
          <w:color w:val="0D0D0D" w:themeColor="text1" w:themeTint="F2"/>
          <w:sz w:val="24"/>
          <w:szCs w:val="24"/>
        </w:rPr>
      </w:pPr>
      <w:r w:rsidRPr="00EE038F">
        <w:rPr>
          <w:rFonts w:ascii="Garamond" w:hAnsi="Garamond"/>
          <w:bCs/>
          <w:i/>
          <w:iCs/>
          <w:color w:val="0D0D0D" w:themeColor="text1" w:themeTint="F2"/>
          <w:sz w:val="24"/>
          <w:szCs w:val="24"/>
        </w:rPr>
        <w:t>Tabela 1d: Bilancet sektoriale</w:t>
      </w:r>
    </w:p>
    <w:tbl>
      <w:tblPr>
        <w:tblW w:w="5000" w:type="pct"/>
        <w:tblLook w:val="04A0" w:firstRow="1" w:lastRow="0" w:firstColumn="1" w:lastColumn="0" w:noHBand="0" w:noVBand="1"/>
      </w:tblPr>
      <w:tblGrid>
        <w:gridCol w:w="4387"/>
        <w:gridCol w:w="1153"/>
        <w:gridCol w:w="687"/>
        <w:gridCol w:w="687"/>
        <w:gridCol w:w="687"/>
        <w:gridCol w:w="687"/>
        <w:gridCol w:w="686"/>
      </w:tblGrid>
      <w:tr w:rsidR="00C50585" w:rsidRPr="00EE038F" w14:paraId="74C582A9" w14:textId="77777777" w:rsidTr="00FB2058">
        <w:trPr>
          <w:trHeight w:val="20"/>
        </w:trPr>
        <w:tc>
          <w:tcPr>
            <w:tcW w:w="2444" w:type="pct"/>
            <w:vMerge w:val="restart"/>
            <w:tcBorders>
              <w:top w:val="double" w:sz="6" w:space="0" w:color="auto"/>
              <w:left w:val="double" w:sz="6" w:space="0" w:color="auto"/>
              <w:bottom w:val="single" w:sz="8" w:space="0" w:color="000000"/>
              <w:right w:val="dotted" w:sz="4" w:space="0" w:color="auto"/>
            </w:tcBorders>
            <w:shd w:val="clear" w:color="auto" w:fill="FFFFFF"/>
            <w:vAlign w:val="center"/>
            <w:hideMark/>
          </w:tcPr>
          <w:p w14:paraId="0312631C" w14:textId="15C6284D"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N</w:t>
            </w:r>
            <w:r w:rsidRPr="00EE038F">
              <w:rPr>
                <w:rFonts w:ascii="Garamond" w:hAnsi="Garamond"/>
                <w:b/>
                <w:bCs/>
                <w:sz w:val="18"/>
              </w:rPr>
              <w:t>ë</w:t>
            </w:r>
            <w:r w:rsidRPr="00EE038F">
              <w:rPr>
                <w:rFonts w:ascii="Garamond" w:hAnsi="Garamond"/>
                <w:b/>
                <w:bCs/>
                <w:color w:val="0D0D0D" w:themeColor="text1" w:themeTint="F2"/>
                <w:sz w:val="18"/>
              </w:rPr>
              <w:t xml:space="preserve"> </w:t>
            </w:r>
            <w:r w:rsidR="003771A2" w:rsidRPr="00EE038F">
              <w:rPr>
                <w:rFonts w:ascii="Garamond" w:hAnsi="Garamond"/>
                <w:b/>
                <w:bCs/>
                <w:color w:val="0D0D0D" w:themeColor="text1" w:themeTint="F2"/>
                <w:sz w:val="18"/>
              </w:rPr>
              <w:t xml:space="preserve">përqindje </w:t>
            </w:r>
            <w:r w:rsidRPr="00EE038F">
              <w:rPr>
                <w:rFonts w:ascii="Garamond" w:hAnsi="Garamond"/>
                <w:b/>
                <w:bCs/>
                <w:color w:val="0D0D0D" w:themeColor="text1" w:themeTint="F2"/>
                <w:sz w:val="18"/>
              </w:rPr>
              <w:t>t</w:t>
            </w:r>
            <w:r w:rsidRPr="00EE038F">
              <w:rPr>
                <w:rFonts w:ascii="Garamond" w:hAnsi="Garamond"/>
                <w:b/>
                <w:bCs/>
                <w:sz w:val="18"/>
              </w:rPr>
              <w:t>ë</w:t>
            </w:r>
            <w:r w:rsidRPr="00EE038F">
              <w:rPr>
                <w:rFonts w:ascii="Garamond" w:hAnsi="Garamond"/>
                <w:b/>
                <w:bCs/>
                <w:color w:val="0D0D0D" w:themeColor="text1" w:themeTint="F2"/>
                <w:sz w:val="18"/>
              </w:rPr>
              <w:t xml:space="preserve"> PBB-s</w:t>
            </w:r>
            <w:r w:rsidRPr="00EE038F">
              <w:rPr>
                <w:rFonts w:ascii="Garamond" w:hAnsi="Garamond"/>
                <w:b/>
                <w:bCs/>
                <w:sz w:val="18"/>
              </w:rPr>
              <w:t>ë</w:t>
            </w:r>
          </w:p>
        </w:tc>
        <w:tc>
          <w:tcPr>
            <w:tcW w:w="642" w:type="pct"/>
            <w:vMerge w:val="restart"/>
            <w:tcBorders>
              <w:top w:val="double" w:sz="6" w:space="0" w:color="auto"/>
              <w:left w:val="dotted" w:sz="4" w:space="0" w:color="auto"/>
              <w:bottom w:val="single" w:sz="8" w:space="0" w:color="000000"/>
              <w:right w:val="single" w:sz="8" w:space="0" w:color="auto"/>
            </w:tcBorders>
            <w:shd w:val="clear" w:color="auto" w:fill="FFFFFF"/>
            <w:vAlign w:val="center"/>
            <w:hideMark/>
          </w:tcPr>
          <w:p w14:paraId="7370D527"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Kodi ESA</w:t>
            </w:r>
          </w:p>
        </w:tc>
        <w:tc>
          <w:tcPr>
            <w:tcW w:w="383" w:type="pct"/>
            <w:tcBorders>
              <w:top w:val="double" w:sz="6" w:space="0" w:color="auto"/>
              <w:left w:val="nil"/>
              <w:bottom w:val="nil"/>
              <w:right w:val="dotted" w:sz="4" w:space="0" w:color="auto"/>
            </w:tcBorders>
            <w:shd w:val="clear" w:color="auto" w:fill="FFFFFF"/>
            <w:vAlign w:val="center"/>
            <w:hideMark/>
          </w:tcPr>
          <w:p w14:paraId="4AAE2AE9" w14:textId="77777777" w:rsidR="00C50585" w:rsidRPr="00EE038F" w:rsidRDefault="00C50585" w:rsidP="007C70E7">
            <w:pPr>
              <w:spacing w:after="0" w:line="240" w:lineRule="auto"/>
              <w:contextualSpacing/>
              <w:jc w:val="both"/>
              <w:rPr>
                <w:rFonts w:ascii="Garamond" w:eastAsia="Times New Roman" w:hAnsi="Garamond"/>
                <w:b/>
                <w:bCs/>
                <w:color w:val="0D0D0D" w:themeColor="text1" w:themeTint="F2"/>
                <w:sz w:val="18"/>
              </w:rPr>
            </w:pPr>
            <w:r w:rsidRPr="00EE038F">
              <w:rPr>
                <w:rFonts w:ascii="Garamond" w:hAnsi="Garamond"/>
                <w:b/>
                <w:bCs/>
                <w:sz w:val="18"/>
              </w:rPr>
              <w:t>Viti</w:t>
            </w:r>
          </w:p>
        </w:tc>
        <w:tc>
          <w:tcPr>
            <w:tcW w:w="383" w:type="pct"/>
            <w:tcBorders>
              <w:top w:val="double" w:sz="6" w:space="0" w:color="auto"/>
              <w:left w:val="nil"/>
              <w:bottom w:val="nil"/>
              <w:right w:val="dotted" w:sz="4" w:space="0" w:color="auto"/>
            </w:tcBorders>
            <w:shd w:val="clear" w:color="auto" w:fill="FFFFFF"/>
            <w:vAlign w:val="center"/>
            <w:hideMark/>
          </w:tcPr>
          <w:p w14:paraId="16B11339"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c>
          <w:tcPr>
            <w:tcW w:w="383" w:type="pct"/>
            <w:tcBorders>
              <w:top w:val="double" w:sz="6" w:space="0" w:color="auto"/>
              <w:left w:val="nil"/>
              <w:bottom w:val="nil"/>
              <w:right w:val="dotted" w:sz="4" w:space="0" w:color="auto"/>
            </w:tcBorders>
            <w:shd w:val="clear" w:color="auto" w:fill="FFFFFF"/>
            <w:vAlign w:val="center"/>
            <w:hideMark/>
          </w:tcPr>
          <w:p w14:paraId="223B3EBC"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c>
          <w:tcPr>
            <w:tcW w:w="383" w:type="pct"/>
            <w:tcBorders>
              <w:top w:val="double" w:sz="6" w:space="0" w:color="auto"/>
              <w:left w:val="nil"/>
              <w:bottom w:val="nil"/>
              <w:right w:val="dotted" w:sz="4" w:space="0" w:color="auto"/>
            </w:tcBorders>
            <w:shd w:val="clear" w:color="auto" w:fill="FFFFFF"/>
            <w:vAlign w:val="center"/>
            <w:hideMark/>
          </w:tcPr>
          <w:p w14:paraId="55E281A5"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c>
          <w:tcPr>
            <w:tcW w:w="383" w:type="pct"/>
            <w:tcBorders>
              <w:top w:val="double" w:sz="6" w:space="0" w:color="auto"/>
              <w:left w:val="nil"/>
              <w:bottom w:val="nil"/>
              <w:right w:val="double" w:sz="6" w:space="0" w:color="auto"/>
            </w:tcBorders>
            <w:shd w:val="clear" w:color="auto" w:fill="FFFFFF"/>
            <w:vAlign w:val="center"/>
            <w:hideMark/>
          </w:tcPr>
          <w:p w14:paraId="6D947E7D"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r>
      <w:tr w:rsidR="00C50585" w:rsidRPr="00EE038F" w14:paraId="0DFB7211" w14:textId="77777777" w:rsidTr="00FB2058">
        <w:trPr>
          <w:trHeight w:val="20"/>
        </w:trPr>
        <w:tc>
          <w:tcPr>
            <w:tcW w:w="2444" w:type="pct"/>
            <w:vMerge/>
            <w:tcBorders>
              <w:top w:val="double" w:sz="6" w:space="0" w:color="auto"/>
              <w:left w:val="double" w:sz="6" w:space="0" w:color="auto"/>
              <w:bottom w:val="single" w:sz="8" w:space="0" w:color="000000"/>
              <w:right w:val="dotted" w:sz="4" w:space="0" w:color="auto"/>
            </w:tcBorders>
            <w:vAlign w:val="center"/>
            <w:hideMark/>
          </w:tcPr>
          <w:p w14:paraId="583273F8"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642" w:type="pct"/>
            <w:vMerge/>
            <w:tcBorders>
              <w:top w:val="double" w:sz="6" w:space="0" w:color="auto"/>
              <w:left w:val="dotted" w:sz="4" w:space="0" w:color="auto"/>
              <w:bottom w:val="single" w:sz="8" w:space="0" w:color="000000"/>
              <w:right w:val="single" w:sz="8" w:space="0" w:color="auto"/>
            </w:tcBorders>
            <w:vAlign w:val="center"/>
            <w:hideMark/>
          </w:tcPr>
          <w:p w14:paraId="2297E48F"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383" w:type="pct"/>
            <w:tcBorders>
              <w:top w:val="nil"/>
              <w:left w:val="nil"/>
              <w:bottom w:val="single" w:sz="8" w:space="0" w:color="auto"/>
              <w:right w:val="dotted" w:sz="4" w:space="0" w:color="auto"/>
            </w:tcBorders>
            <w:shd w:val="clear" w:color="auto" w:fill="FFFFFF"/>
            <w:vAlign w:val="center"/>
            <w:hideMark/>
          </w:tcPr>
          <w:p w14:paraId="38281844"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2023</w:t>
            </w:r>
          </w:p>
        </w:tc>
        <w:tc>
          <w:tcPr>
            <w:tcW w:w="383" w:type="pct"/>
            <w:tcBorders>
              <w:top w:val="nil"/>
              <w:left w:val="nil"/>
              <w:bottom w:val="single" w:sz="8" w:space="0" w:color="auto"/>
              <w:right w:val="dotted" w:sz="4" w:space="0" w:color="auto"/>
            </w:tcBorders>
            <w:shd w:val="clear" w:color="auto" w:fill="FFFFFF"/>
            <w:vAlign w:val="center"/>
            <w:hideMark/>
          </w:tcPr>
          <w:p w14:paraId="7537CC21"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2024</w:t>
            </w:r>
          </w:p>
        </w:tc>
        <w:tc>
          <w:tcPr>
            <w:tcW w:w="383" w:type="pct"/>
            <w:tcBorders>
              <w:top w:val="nil"/>
              <w:left w:val="nil"/>
              <w:bottom w:val="single" w:sz="8" w:space="0" w:color="auto"/>
              <w:right w:val="dotted" w:sz="4" w:space="0" w:color="auto"/>
            </w:tcBorders>
            <w:shd w:val="clear" w:color="auto" w:fill="FFFFFF"/>
            <w:vAlign w:val="center"/>
            <w:hideMark/>
          </w:tcPr>
          <w:p w14:paraId="789F0F9C"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2025</w:t>
            </w:r>
          </w:p>
        </w:tc>
        <w:tc>
          <w:tcPr>
            <w:tcW w:w="383" w:type="pct"/>
            <w:tcBorders>
              <w:top w:val="nil"/>
              <w:left w:val="nil"/>
              <w:bottom w:val="single" w:sz="8" w:space="0" w:color="auto"/>
              <w:right w:val="dotted" w:sz="4" w:space="0" w:color="auto"/>
            </w:tcBorders>
            <w:shd w:val="clear" w:color="auto" w:fill="FFFFFF"/>
            <w:vAlign w:val="center"/>
            <w:hideMark/>
          </w:tcPr>
          <w:p w14:paraId="0926DD2B"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2026</w:t>
            </w:r>
          </w:p>
        </w:tc>
        <w:tc>
          <w:tcPr>
            <w:tcW w:w="383" w:type="pct"/>
            <w:tcBorders>
              <w:top w:val="nil"/>
              <w:left w:val="nil"/>
              <w:bottom w:val="single" w:sz="8" w:space="0" w:color="auto"/>
              <w:right w:val="double" w:sz="6" w:space="0" w:color="auto"/>
            </w:tcBorders>
            <w:shd w:val="clear" w:color="auto" w:fill="FFFFFF"/>
            <w:vAlign w:val="center"/>
            <w:hideMark/>
          </w:tcPr>
          <w:p w14:paraId="32FF7A16"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2027</w:t>
            </w:r>
          </w:p>
        </w:tc>
      </w:tr>
      <w:tr w:rsidR="00C50585" w:rsidRPr="00EE038F" w14:paraId="794B013A" w14:textId="77777777" w:rsidTr="00FB2058">
        <w:trPr>
          <w:trHeight w:val="20"/>
        </w:trPr>
        <w:tc>
          <w:tcPr>
            <w:tcW w:w="2444" w:type="pct"/>
            <w:tcBorders>
              <w:top w:val="nil"/>
              <w:left w:val="double" w:sz="6" w:space="0" w:color="auto"/>
              <w:bottom w:val="nil"/>
              <w:right w:val="dotted" w:sz="4" w:space="0" w:color="auto"/>
            </w:tcBorders>
            <w:shd w:val="clear" w:color="auto" w:fill="FFFFFF"/>
            <w:vAlign w:val="center"/>
            <w:hideMark/>
          </w:tcPr>
          <w:p w14:paraId="0253A203"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1. Huadhënie/huamarrje neto kundrejt pjesës tjetër të botës</w:t>
            </w:r>
          </w:p>
        </w:tc>
        <w:tc>
          <w:tcPr>
            <w:tcW w:w="642" w:type="pct"/>
            <w:tcBorders>
              <w:top w:val="nil"/>
              <w:left w:val="nil"/>
              <w:bottom w:val="nil"/>
              <w:right w:val="single" w:sz="8" w:space="0" w:color="auto"/>
            </w:tcBorders>
            <w:shd w:val="clear" w:color="auto" w:fill="FFFFFF"/>
            <w:vAlign w:val="center"/>
            <w:hideMark/>
          </w:tcPr>
          <w:p w14:paraId="5D7B0A88"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B.9</w:t>
            </w:r>
          </w:p>
        </w:tc>
        <w:tc>
          <w:tcPr>
            <w:tcW w:w="383" w:type="pct"/>
            <w:tcBorders>
              <w:top w:val="nil"/>
              <w:left w:val="nil"/>
              <w:bottom w:val="nil"/>
              <w:right w:val="dotted" w:sz="4" w:space="0" w:color="auto"/>
            </w:tcBorders>
            <w:shd w:val="clear" w:color="auto" w:fill="FFFFFF"/>
            <w:vAlign w:val="center"/>
            <w:hideMark/>
          </w:tcPr>
          <w:p w14:paraId="544FDB26" w14:textId="77777777" w:rsidR="00C50585" w:rsidRPr="00EE038F" w:rsidRDefault="00C50585" w:rsidP="00280C20">
            <w:pPr>
              <w:spacing w:after="0" w:line="240" w:lineRule="auto"/>
              <w:contextualSpacing/>
              <w:jc w:val="right"/>
              <w:rPr>
                <w:rFonts w:ascii="Garamond" w:eastAsia="Times New Roman" w:hAnsi="Garamond"/>
                <w:color w:val="0D0D0D" w:themeColor="text1" w:themeTint="F2"/>
                <w:sz w:val="18"/>
              </w:rPr>
            </w:pPr>
            <w:r w:rsidRPr="00EE038F">
              <w:rPr>
                <w:rFonts w:ascii="Garamond" w:hAnsi="Garamond"/>
                <w:sz w:val="18"/>
              </w:rPr>
              <w:t>-1.2</w:t>
            </w:r>
          </w:p>
        </w:tc>
        <w:tc>
          <w:tcPr>
            <w:tcW w:w="383" w:type="pct"/>
            <w:tcBorders>
              <w:top w:val="nil"/>
              <w:left w:val="nil"/>
              <w:bottom w:val="single" w:sz="4" w:space="0" w:color="auto"/>
              <w:right w:val="dotted" w:sz="4" w:space="0" w:color="auto"/>
            </w:tcBorders>
            <w:shd w:val="clear" w:color="auto" w:fill="FFFFFF"/>
            <w:vAlign w:val="center"/>
            <w:hideMark/>
          </w:tcPr>
          <w:p w14:paraId="1697262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-2.7</w:t>
            </w:r>
          </w:p>
        </w:tc>
        <w:tc>
          <w:tcPr>
            <w:tcW w:w="383" w:type="pct"/>
            <w:tcBorders>
              <w:top w:val="nil"/>
              <w:left w:val="nil"/>
              <w:bottom w:val="single" w:sz="4" w:space="0" w:color="auto"/>
              <w:right w:val="dotted" w:sz="4" w:space="0" w:color="auto"/>
            </w:tcBorders>
            <w:shd w:val="clear" w:color="auto" w:fill="FFFFFF"/>
            <w:vAlign w:val="center"/>
            <w:hideMark/>
          </w:tcPr>
          <w:p w14:paraId="3FA0A9B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-3.7</w:t>
            </w:r>
          </w:p>
        </w:tc>
        <w:tc>
          <w:tcPr>
            <w:tcW w:w="383" w:type="pct"/>
            <w:tcBorders>
              <w:top w:val="nil"/>
              <w:left w:val="nil"/>
              <w:bottom w:val="single" w:sz="4" w:space="0" w:color="auto"/>
              <w:right w:val="dotted" w:sz="4" w:space="0" w:color="auto"/>
            </w:tcBorders>
            <w:shd w:val="clear" w:color="auto" w:fill="FFFFFF"/>
            <w:vAlign w:val="center"/>
            <w:hideMark/>
          </w:tcPr>
          <w:p w14:paraId="119AFC9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-3.1</w:t>
            </w:r>
          </w:p>
        </w:tc>
        <w:tc>
          <w:tcPr>
            <w:tcW w:w="383" w:type="pct"/>
            <w:tcBorders>
              <w:top w:val="nil"/>
              <w:left w:val="nil"/>
              <w:bottom w:val="single" w:sz="4" w:space="0" w:color="auto"/>
              <w:right w:val="double" w:sz="6" w:space="0" w:color="auto"/>
            </w:tcBorders>
            <w:shd w:val="clear" w:color="auto" w:fill="FFFFFF"/>
            <w:vAlign w:val="center"/>
            <w:hideMark/>
          </w:tcPr>
          <w:p w14:paraId="01D8E80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-3.1</w:t>
            </w:r>
          </w:p>
        </w:tc>
      </w:tr>
      <w:tr w:rsidR="00C50585" w:rsidRPr="00EE038F" w14:paraId="2D03CAB9" w14:textId="77777777" w:rsidTr="00FB2058">
        <w:trPr>
          <w:trHeight w:val="20"/>
        </w:trPr>
        <w:tc>
          <w:tcPr>
            <w:tcW w:w="2444" w:type="pct"/>
            <w:tcBorders>
              <w:top w:val="single" w:sz="4" w:space="0" w:color="auto"/>
              <w:left w:val="double" w:sz="6" w:space="0" w:color="auto"/>
              <w:bottom w:val="dotted" w:sz="4" w:space="0" w:color="auto"/>
              <w:right w:val="dotted" w:sz="4" w:space="0" w:color="auto"/>
            </w:tcBorders>
            <w:shd w:val="clear" w:color="auto" w:fill="FFFFFF"/>
            <w:vAlign w:val="center"/>
            <w:hideMark/>
          </w:tcPr>
          <w:p w14:paraId="4D7B0B5A" w14:textId="77777777" w:rsidR="00C50585" w:rsidRPr="00EE038F" w:rsidRDefault="00C50585" w:rsidP="007C70E7">
            <w:pPr>
              <w:spacing w:after="0" w:line="240" w:lineRule="auto"/>
              <w:contextualSpacing/>
              <w:jc w:val="both"/>
              <w:rPr>
                <w:rFonts w:ascii="Garamond" w:hAnsi="Garamond"/>
                <w:i/>
                <w:iCs/>
                <w:color w:val="0D0D0D" w:themeColor="text1" w:themeTint="F2"/>
                <w:sz w:val="18"/>
              </w:rPr>
            </w:pPr>
            <w:r w:rsidRPr="00EE038F">
              <w:rPr>
                <w:rFonts w:ascii="Garamond" w:hAnsi="Garamond"/>
                <w:sz w:val="18"/>
              </w:rPr>
              <w:t>nga të cilat:</w:t>
            </w:r>
          </w:p>
        </w:tc>
        <w:tc>
          <w:tcPr>
            <w:tcW w:w="642" w:type="pct"/>
            <w:tcBorders>
              <w:top w:val="single" w:sz="4" w:space="0" w:color="auto"/>
              <w:left w:val="nil"/>
              <w:bottom w:val="dotted" w:sz="4" w:space="0" w:color="auto"/>
              <w:right w:val="single" w:sz="8" w:space="0" w:color="auto"/>
            </w:tcBorders>
            <w:shd w:val="clear" w:color="auto" w:fill="FFFFFF"/>
            <w:vAlign w:val="center"/>
            <w:hideMark/>
          </w:tcPr>
          <w:p w14:paraId="046F613A" w14:textId="77777777" w:rsidR="00C50585" w:rsidRPr="00EE038F" w:rsidRDefault="00C50585" w:rsidP="007C70E7">
            <w:pPr>
              <w:spacing w:after="0" w:line="240" w:lineRule="auto"/>
              <w:contextualSpacing/>
              <w:jc w:val="both"/>
              <w:rPr>
                <w:rFonts w:ascii="Garamond" w:hAnsi="Garamond"/>
                <w:i/>
                <w:iCs/>
                <w:color w:val="0D0D0D" w:themeColor="text1" w:themeTint="F2"/>
                <w:sz w:val="18"/>
              </w:rPr>
            </w:pPr>
          </w:p>
        </w:tc>
        <w:tc>
          <w:tcPr>
            <w:tcW w:w="383" w:type="pct"/>
            <w:tcBorders>
              <w:top w:val="single" w:sz="4" w:space="0" w:color="auto"/>
              <w:left w:val="nil"/>
              <w:bottom w:val="dotted" w:sz="4" w:space="0" w:color="auto"/>
              <w:right w:val="dotted" w:sz="4" w:space="0" w:color="auto"/>
            </w:tcBorders>
            <w:shd w:val="clear" w:color="auto" w:fill="FFFFFF"/>
            <w:vAlign w:val="center"/>
            <w:hideMark/>
          </w:tcPr>
          <w:p w14:paraId="3FF1A64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c>
          <w:tcPr>
            <w:tcW w:w="383" w:type="pct"/>
            <w:tcBorders>
              <w:top w:val="nil"/>
              <w:left w:val="nil"/>
              <w:bottom w:val="dotted" w:sz="4" w:space="0" w:color="auto"/>
              <w:right w:val="dotted" w:sz="4" w:space="0" w:color="auto"/>
            </w:tcBorders>
            <w:vAlign w:val="center"/>
            <w:hideMark/>
          </w:tcPr>
          <w:p w14:paraId="3484616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c>
          <w:tcPr>
            <w:tcW w:w="383" w:type="pct"/>
            <w:tcBorders>
              <w:top w:val="nil"/>
              <w:left w:val="nil"/>
              <w:bottom w:val="dotted" w:sz="4" w:space="0" w:color="auto"/>
              <w:right w:val="dotted" w:sz="4" w:space="0" w:color="auto"/>
            </w:tcBorders>
            <w:vAlign w:val="center"/>
            <w:hideMark/>
          </w:tcPr>
          <w:p w14:paraId="5598CEE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c>
          <w:tcPr>
            <w:tcW w:w="383" w:type="pct"/>
            <w:tcBorders>
              <w:top w:val="nil"/>
              <w:left w:val="nil"/>
              <w:bottom w:val="dotted" w:sz="4" w:space="0" w:color="auto"/>
              <w:right w:val="dotted" w:sz="4" w:space="0" w:color="auto"/>
            </w:tcBorders>
            <w:vAlign w:val="center"/>
            <w:hideMark/>
          </w:tcPr>
          <w:p w14:paraId="6246801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c>
          <w:tcPr>
            <w:tcW w:w="383" w:type="pct"/>
            <w:tcBorders>
              <w:top w:val="nil"/>
              <w:left w:val="nil"/>
              <w:bottom w:val="dotted" w:sz="4" w:space="0" w:color="auto"/>
              <w:right w:val="double" w:sz="6" w:space="0" w:color="auto"/>
            </w:tcBorders>
            <w:shd w:val="clear" w:color="auto" w:fill="FFFFFF"/>
            <w:vAlign w:val="center"/>
            <w:hideMark/>
          </w:tcPr>
          <w:p w14:paraId="45AD863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p>
        </w:tc>
      </w:tr>
      <w:tr w:rsidR="00C50585" w:rsidRPr="00EE038F" w14:paraId="2741F989" w14:textId="77777777" w:rsidTr="00FB2058">
        <w:trPr>
          <w:trHeight w:val="20"/>
        </w:trPr>
        <w:tc>
          <w:tcPr>
            <w:tcW w:w="2444" w:type="pct"/>
            <w:tcBorders>
              <w:top w:val="nil"/>
              <w:left w:val="double" w:sz="6" w:space="0" w:color="auto"/>
              <w:bottom w:val="dotted" w:sz="4" w:space="0" w:color="auto"/>
              <w:right w:val="dotted" w:sz="4" w:space="0" w:color="auto"/>
            </w:tcBorders>
            <w:shd w:val="clear" w:color="auto" w:fill="FFFFFF"/>
            <w:vAlign w:val="center"/>
            <w:hideMark/>
          </w:tcPr>
          <w:p w14:paraId="0584D8A7" w14:textId="77777777" w:rsidR="00C50585" w:rsidRPr="00EE038F" w:rsidRDefault="00C50585" w:rsidP="007C70E7">
            <w:pPr>
              <w:spacing w:after="0" w:line="240" w:lineRule="auto"/>
              <w:contextualSpacing/>
              <w:jc w:val="both"/>
              <w:rPr>
                <w:rFonts w:ascii="Garamond" w:hAnsi="Garamond"/>
                <w:i/>
                <w:iCs/>
                <w:color w:val="0D0D0D" w:themeColor="text1" w:themeTint="F2"/>
                <w:sz w:val="18"/>
              </w:rPr>
            </w:pPr>
            <w:r w:rsidRPr="00EE038F">
              <w:rPr>
                <w:rFonts w:ascii="Garamond" w:hAnsi="Garamond"/>
                <w:sz w:val="18"/>
              </w:rPr>
              <w:t>- Bilanci i mallrave dhe shërbimeve</w:t>
            </w:r>
          </w:p>
        </w:tc>
        <w:tc>
          <w:tcPr>
            <w:tcW w:w="642" w:type="pct"/>
            <w:tcBorders>
              <w:top w:val="nil"/>
              <w:left w:val="nil"/>
              <w:bottom w:val="dotted" w:sz="4" w:space="0" w:color="auto"/>
              <w:right w:val="single" w:sz="8" w:space="0" w:color="auto"/>
            </w:tcBorders>
            <w:shd w:val="clear" w:color="auto" w:fill="FFFFFF"/>
            <w:vAlign w:val="center"/>
            <w:hideMark/>
          </w:tcPr>
          <w:p w14:paraId="5478300B" w14:textId="77777777" w:rsidR="00C50585" w:rsidRPr="00EE038F" w:rsidRDefault="00C50585" w:rsidP="007C70E7">
            <w:pPr>
              <w:spacing w:after="0" w:line="240" w:lineRule="auto"/>
              <w:contextualSpacing/>
              <w:jc w:val="both"/>
              <w:rPr>
                <w:rFonts w:ascii="Garamond" w:hAnsi="Garamond"/>
                <w:i/>
                <w:iCs/>
                <w:color w:val="0D0D0D" w:themeColor="text1" w:themeTint="F2"/>
                <w:sz w:val="18"/>
              </w:rPr>
            </w:pPr>
          </w:p>
        </w:tc>
        <w:tc>
          <w:tcPr>
            <w:tcW w:w="383" w:type="pct"/>
            <w:tcBorders>
              <w:top w:val="nil"/>
              <w:left w:val="nil"/>
              <w:bottom w:val="dotted" w:sz="4" w:space="0" w:color="auto"/>
              <w:right w:val="dotted" w:sz="4" w:space="0" w:color="auto"/>
            </w:tcBorders>
            <w:shd w:val="clear" w:color="auto" w:fill="FFFFFF"/>
            <w:vAlign w:val="center"/>
            <w:hideMark/>
          </w:tcPr>
          <w:p w14:paraId="21D80AB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-5.4</w:t>
            </w:r>
          </w:p>
        </w:tc>
        <w:tc>
          <w:tcPr>
            <w:tcW w:w="383" w:type="pct"/>
            <w:tcBorders>
              <w:top w:val="nil"/>
              <w:left w:val="nil"/>
              <w:bottom w:val="dotted" w:sz="4" w:space="0" w:color="auto"/>
              <w:right w:val="dotted" w:sz="4" w:space="0" w:color="auto"/>
            </w:tcBorders>
            <w:shd w:val="clear" w:color="auto" w:fill="FFFFFF"/>
            <w:vAlign w:val="center"/>
            <w:hideMark/>
          </w:tcPr>
          <w:p w14:paraId="7820A7F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-7.8</w:t>
            </w:r>
          </w:p>
        </w:tc>
        <w:tc>
          <w:tcPr>
            <w:tcW w:w="383" w:type="pct"/>
            <w:tcBorders>
              <w:top w:val="nil"/>
              <w:left w:val="nil"/>
              <w:bottom w:val="dotted" w:sz="4" w:space="0" w:color="auto"/>
              <w:right w:val="dotted" w:sz="4" w:space="0" w:color="auto"/>
            </w:tcBorders>
            <w:shd w:val="clear" w:color="auto" w:fill="FFFFFF"/>
            <w:vAlign w:val="center"/>
            <w:hideMark/>
          </w:tcPr>
          <w:p w14:paraId="17D958A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-8.0</w:t>
            </w:r>
          </w:p>
        </w:tc>
        <w:tc>
          <w:tcPr>
            <w:tcW w:w="383" w:type="pct"/>
            <w:tcBorders>
              <w:top w:val="nil"/>
              <w:left w:val="nil"/>
              <w:bottom w:val="dotted" w:sz="4" w:space="0" w:color="auto"/>
              <w:right w:val="dotted" w:sz="4" w:space="0" w:color="auto"/>
            </w:tcBorders>
            <w:shd w:val="clear" w:color="auto" w:fill="FFFFFF"/>
            <w:vAlign w:val="center"/>
            <w:hideMark/>
          </w:tcPr>
          <w:p w14:paraId="082A939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-7.2</w:t>
            </w:r>
          </w:p>
        </w:tc>
        <w:tc>
          <w:tcPr>
            <w:tcW w:w="383" w:type="pct"/>
            <w:tcBorders>
              <w:top w:val="nil"/>
              <w:left w:val="nil"/>
              <w:bottom w:val="dotted" w:sz="4" w:space="0" w:color="auto"/>
              <w:right w:val="double" w:sz="6" w:space="0" w:color="auto"/>
            </w:tcBorders>
            <w:shd w:val="clear" w:color="auto" w:fill="FFFFFF"/>
            <w:vAlign w:val="center"/>
            <w:hideMark/>
          </w:tcPr>
          <w:p w14:paraId="646C3BE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-7.1</w:t>
            </w:r>
          </w:p>
        </w:tc>
      </w:tr>
      <w:tr w:rsidR="00C50585" w:rsidRPr="00EE038F" w14:paraId="7C61A081" w14:textId="77777777" w:rsidTr="00FB2058">
        <w:trPr>
          <w:trHeight w:val="20"/>
        </w:trPr>
        <w:tc>
          <w:tcPr>
            <w:tcW w:w="2444" w:type="pct"/>
            <w:tcBorders>
              <w:top w:val="nil"/>
              <w:left w:val="double" w:sz="6" w:space="0" w:color="auto"/>
              <w:bottom w:val="dotted" w:sz="4" w:space="0" w:color="auto"/>
              <w:right w:val="dotted" w:sz="4" w:space="0" w:color="auto"/>
            </w:tcBorders>
            <w:shd w:val="clear" w:color="auto" w:fill="FFFFFF"/>
            <w:vAlign w:val="center"/>
            <w:hideMark/>
          </w:tcPr>
          <w:p w14:paraId="290ECB99" w14:textId="77777777" w:rsidR="00C50585" w:rsidRPr="00EE038F" w:rsidRDefault="00C50585" w:rsidP="007C70E7">
            <w:pPr>
              <w:spacing w:after="0" w:line="240" w:lineRule="auto"/>
              <w:contextualSpacing/>
              <w:jc w:val="both"/>
              <w:rPr>
                <w:rFonts w:ascii="Garamond" w:hAnsi="Garamond"/>
                <w:i/>
                <w:iCs/>
                <w:color w:val="0D0D0D" w:themeColor="text1" w:themeTint="F2"/>
                <w:sz w:val="18"/>
              </w:rPr>
            </w:pPr>
            <w:r w:rsidRPr="00EE038F">
              <w:rPr>
                <w:rFonts w:ascii="Garamond" w:hAnsi="Garamond"/>
                <w:sz w:val="18"/>
              </w:rPr>
              <w:t>- Bilanci i të ardhurave primare dhe transfertave</w:t>
            </w:r>
          </w:p>
        </w:tc>
        <w:tc>
          <w:tcPr>
            <w:tcW w:w="642" w:type="pct"/>
            <w:tcBorders>
              <w:top w:val="nil"/>
              <w:left w:val="nil"/>
              <w:bottom w:val="dotted" w:sz="4" w:space="0" w:color="auto"/>
              <w:right w:val="single" w:sz="8" w:space="0" w:color="auto"/>
            </w:tcBorders>
            <w:shd w:val="clear" w:color="auto" w:fill="FFFFFF"/>
            <w:vAlign w:val="center"/>
            <w:hideMark/>
          </w:tcPr>
          <w:p w14:paraId="37A5635B" w14:textId="77777777" w:rsidR="00C50585" w:rsidRPr="00EE038F" w:rsidRDefault="00C50585" w:rsidP="007C70E7">
            <w:pPr>
              <w:spacing w:after="0" w:line="240" w:lineRule="auto"/>
              <w:contextualSpacing/>
              <w:jc w:val="both"/>
              <w:rPr>
                <w:rFonts w:ascii="Garamond" w:hAnsi="Garamond"/>
                <w:i/>
                <w:iCs/>
                <w:color w:val="0D0D0D" w:themeColor="text1" w:themeTint="F2"/>
                <w:sz w:val="18"/>
              </w:rPr>
            </w:pPr>
          </w:p>
        </w:tc>
        <w:tc>
          <w:tcPr>
            <w:tcW w:w="383" w:type="pct"/>
            <w:tcBorders>
              <w:top w:val="nil"/>
              <w:left w:val="nil"/>
              <w:bottom w:val="dotted" w:sz="4" w:space="0" w:color="auto"/>
              <w:right w:val="dotted" w:sz="4" w:space="0" w:color="auto"/>
            </w:tcBorders>
            <w:shd w:val="clear" w:color="auto" w:fill="FFFFFF"/>
            <w:vAlign w:val="center"/>
            <w:hideMark/>
          </w:tcPr>
          <w:p w14:paraId="5EE16B6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4.0</w:t>
            </w:r>
          </w:p>
        </w:tc>
        <w:tc>
          <w:tcPr>
            <w:tcW w:w="383" w:type="pct"/>
            <w:tcBorders>
              <w:top w:val="nil"/>
              <w:left w:val="nil"/>
              <w:bottom w:val="dotted" w:sz="4" w:space="0" w:color="auto"/>
              <w:right w:val="dotted" w:sz="4" w:space="0" w:color="auto"/>
            </w:tcBorders>
            <w:shd w:val="clear" w:color="auto" w:fill="FFFFFF"/>
            <w:vAlign w:val="center"/>
            <w:hideMark/>
          </w:tcPr>
          <w:p w14:paraId="08E33ED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4.7</w:t>
            </w:r>
          </w:p>
        </w:tc>
        <w:tc>
          <w:tcPr>
            <w:tcW w:w="383" w:type="pct"/>
            <w:tcBorders>
              <w:top w:val="nil"/>
              <w:left w:val="nil"/>
              <w:bottom w:val="dotted" w:sz="4" w:space="0" w:color="auto"/>
              <w:right w:val="dotted" w:sz="4" w:space="0" w:color="auto"/>
            </w:tcBorders>
            <w:shd w:val="clear" w:color="auto" w:fill="FFFFFF"/>
            <w:vAlign w:val="center"/>
            <w:hideMark/>
          </w:tcPr>
          <w:p w14:paraId="10EE9CD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3.9</w:t>
            </w:r>
          </w:p>
        </w:tc>
        <w:tc>
          <w:tcPr>
            <w:tcW w:w="383" w:type="pct"/>
            <w:tcBorders>
              <w:top w:val="nil"/>
              <w:left w:val="nil"/>
              <w:bottom w:val="dotted" w:sz="4" w:space="0" w:color="auto"/>
              <w:right w:val="dotted" w:sz="4" w:space="0" w:color="auto"/>
            </w:tcBorders>
            <w:shd w:val="clear" w:color="auto" w:fill="FFFFFF"/>
            <w:vAlign w:val="center"/>
            <w:hideMark/>
          </w:tcPr>
          <w:p w14:paraId="2D02C82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3.9</w:t>
            </w:r>
          </w:p>
        </w:tc>
        <w:tc>
          <w:tcPr>
            <w:tcW w:w="383" w:type="pct"/>
            <w:tcBorders>
              <w:top w:val="nil"/>
              <w:left w:val="nil"/>
              <w:bottom w:val="dotted" w:sz="4" w:space="0" w:color="auto"/>
              <w:right w:val="double" w:sz="6" w:space="0" w:color="auto"/>
            </w:tcBorders>
            <w:shd w:val="clear" w:color="auto" w:fill="FFFFFF"/>
            <w:vAlign w:val="center"/>
            <w:hideMark/>
          </w:tcPr>
          <w:p w14:paraId="5EC666C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3.7</w:t>
            </w:r>
          </w:p>
        </w:tc>
      </w:tr>
      <w:tr w:rsidR="00C50585" w:rsidRPr="00EE038F" w14:paraId="644484F3" w14:textId="77777777" w:rsidTr="00FB2058">
        <w:trPr>
          <w:trHeight w:val="20"/>
        </w:trPr>
        <w:tc>
          <w:tcPr>
            <w:tcW w:w="2444" w:type="pct"/>
            <w:tcBorders>
              <w:top w:val="nil"/>
              <w:left w:val="double" w:sz="6" w:space="0" w:color="auto"/>
              <w:bottom w:val="nil"/>
              <w:right w:val="dotted" w:sz="4" w:space="0" w:color="auto"/>
            </w:tcBorders>
            <w:shd w:val="clear" w:color="auto" w:fill="FFFFFF"/>
            <w:vAlign w:val="center"/>
            <w:hideMark/>
          </w:tcPr>
          <w:p w14:paraId="48576841" w14:textId="77777777" w:rsidR="00C50585" w:rsidRPr="00EE038F" w:rsidRDefault="00C50585" w:rsidP="007C70E7">
            <w:pPr>
              <w:spacing w:after="0" w:line="240" w:lineRule="auto"/>
              <w:contextualSpacing/>
              <w:jc w:val="both"/>
              <w:rPr>
                <w:rFonts w:ascii="Garamond" w:hAnsi="Garamond"/>
                <w:i/>
                <w:iCs/>
                <w:color w:val="0D0D0D" w:themeColor="text1" w:themeTint="F2"/>
                <w:sz w:val="18"/>
              </w:rPr>
            </w:pPr>
            <w:r w:rsidRPr="00EE038F">
              <w:rPr>
                <w:rFonts w:ascii="Garamond" w:hAnsi="Garamond"/>
                <w:sz w:val="18"/>
              </w:rPr>
              <w:t>- Llogaria e kapitalit</w:t>
            </w:r>
          </w:p>
        </w:tc>
        <w:tc>
          <w:tcPr>
            <w:tcW w:w="642" w:type="pct"/>
            <w:tcBorders>
              <w:top w:val="nil"/>
              <w:left w:val="nil"/>
              <w:bottom w:val="nil"/>
              <w:right w:val="single" w:sz="8" w:space="0" w:color="auto"/>
            </w:tcBorders>
            <w:shd w:val="clear" w:color="auto" w:fill="FFFFFF"/>
            <w:vAlign w:val="center"/>
            <w:hideMark/>
          </w:tcPr>
          <w:p w14:paraId="5C4754F6" w14:textId="77777777" w:rsidR="00C50585" w:rsidRPr="00EE038F" w:rsidRDefault="00C50585" w:rsidP="007C70E7">
            <w:pPr>
              <w:spacing w:after="0" w:line="240" w:lineRule="auto"/>
              <w:contextualSpacing/>
              <w:jc w:val="both"/>
              <w:rPr>
                <w:rFonts w:ascii="Garamond" w:hAnsi="Garamond"/>
                <w:i/>
                <w:iCs/>
                <w:color w:val="0D0D0D" w:themeColor="text1" w:themeTint="F2"/>
                <w:sz w:val="18"/>
              </w:rPr>
            </w:pPr>
          </w:p>
        </w:tc>
        <w:tc>
          <w:tcPr>
            <w:tcW w:w="383" w:type="pct"/>
            <w:tcBorders>
              <w:top w:val="nil"/>
              <w:left w:val="nil"/>
              <w:bottom w:val="single" w:sz="4" w:space="0" w:color="auto"/>
              <w:right w:val="dotted" w:sz="4" w:space="0" w:color="auto"/>
            </w:tcBorders>
            <w:shd w:val="clear" w:color="auto" w:fill="FFFFFF"/>
            <w:vAlign w:val="center"/>
            <w:hideMark/>
          </w:tcPr>
          <w:p w14:paraId="379348E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0.2</w:t>
            </w:r>
          </w:p>
        </w:tc>
        <w:tc>
          <w:tcPr>
            <w:tcW w:w="383" w:type="pct"/>
            <w:tcBorders>
              <w:top w:val="nil"/>
              <w:left w:val="nil"/>
              <w:bottom w:val="single" w:sz="4" w:space="0" w:color="auto"/>
              <w:right w:val="dotted" w:sz="4" w:space="0" w:color="auto"/>
            </w:tcBorders>
            <w:shd w:val="clear" w:color="auto" w:fill="FFFFFF"/>
            <w:vAlign w:val="center"/>
            <w:hideMark/>
          </w:tcPr>
          <w:p w14:paraId="28613A4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0.3</w:t>
            </w:r>
          </w:p>
        </w:tc>
        <w:tc>
          <w:tcPr>
            <w:tcW w:w="383" w:type="pct"/>
            <w:tcBorders>
              <w:top w:val="nil"/>
              <w:left w:val="nil"/>
              <w:bottom w:val="single" w:sz="4" w:space="0" w:color="auto"/>
              <w:right w:val="dotted" w:sz="4" w:space="0" w:color="auto"/>
            </w:tcBorders>
            <w:shd w:val="clear" w:color="auto" w:fill="FFFFFF"/>
            <w:vAlign w:val="center"/>
            <w:hideMark/>
          </w:tcPr>
          <w:p w14:paraId="3504DC7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0.3</w:t>
            </w:r>
          </w:p>
        </w:tc>
        <w:tc>
          <w:tcPr>
            <w:tcW w:w="383" w:type="pct"/>
            <w:tcBorders>
              <w:top w:val="nil"/>
              <w:left w:val="nil"/>
              <w:bottom w:val="single" w:sz="4" w:space="0" w:color="auto"/>
              <w:right w:val="dotted" w:sz="4" w:space="0" w:color="auto"/>
            </w:tcBorders>
            <w:shd w:val="clear" w:color="auto" w:fill="FFFFFF"/>
            <w:vAlign w:val="center"/>
            <w:hideMark/>
          </w:tcPr>
          <w:p w14:paraId="168B20B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0.2</w:t>
            </w:r>
          </w:p>
        </w:tc>
        <w:tc>
          <w:tcPr>
            <w:tcW w:w="383" w:type="pct"/>
            <w:tcBorders>
              <w:top w:val="nil"/>
              <w:left w:val="nil"/>
              <w:bottom w:val="single" w:sz="4" w:space="0" w:color="auto"/>
              <w:right w:val="double" w:sz="6" w:space="0" w:color="auto"/>
            </w:tcBorders>
            <w:shd w:val="clear" w:color="auto" w:fill="FFFFFF"/>
            <w:vAlign w:val="center"/>
            <w:hideMark/>
          </w:tcPr>
          <w:p w14:paraId="7273EC7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0.2</w:t>
            </w:r>
          </w:p>
        </w:tc>
      </w:tr>
      <w:tr w:rsidR="00C50585" w:rsidRPr="00EE038F" w14:paraId="1CDB9925" w14:textId="77777777" w:rsidTr="00FB2058">
        <w:trPr>
          <w:trHeight w:val="20"/>
        </w:trPr>
        <w:tc>
          <w:tcPr>
            <w:tcW w:w="2444" w:type="pct"/>
            <w:tcBorders>
              <w:top w:val="single" w:sz="4" w:space="0" w:color="auto"/>
              <w:left w:val="double" w:sz="6" w:space="0" w:color="auto"/>
              <w:bottom w:val="dotted" w:sz="4" w:space="0" w:color="auto"/>
              <w:right w:val="dotted" w:sz="4" w:space="0" w:color="auto"/>
            </w:tcBorders>
            <w:shd w:val="clear" w:color="auto" w:fill="FFFFFF"/>
            <w:vAlign w:val="center"/>
            <w:hideMark/>
          </w:tcPr>
          <w:p w14:paraId="33AD3CC3"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2. Kreditimi/huamarrja neto e sektorit privat</w:t>
            </w:r>
            <w:r w:rsidRPr="00EE038F">
              <w:rPr>
                <w:rStyle w:val="FootnoteReference"/>
                <w:rFonts w:ascii="Garamond" w:hAnsi="Garamond"/>
                <w:sz w:val="18"/>
              </w:rPr>
              <w:footnoteReference w:id="19"/>
            </w:r>
          </w:p>
        </w:tc>
        <w:tc>
          <w:tcPr>
            <w:tcW w:w="642" w:type="pct"/>
            <w:tcBorders>
              <w:top w:val="single" w:sz="4" w:space="0" w:color="auto"/>
              <w:left w:val="nil"/>
              <w:bottom w:val="dotted" w:sz="4" w:space="0" w:color="auto"/>
              <w:right w:val="single" w:sz="8" w:space="0" w:color="auto"/>
            </w:tcBorders>
            <w:shd w:val="clear" w:color="auto" w:fill="FFFFFF"/>
            <w:vAlign w:val="center"/>
            <w:hideMark/>
          </w:tcPr>
          <w:p w14:paraId="1800E08E"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B.9/EDP B.9</w:t>
            </w:r>
          </w:p>
        </w:tc>
        <w:tc>
          <w:tcPr>
            <w:tcW w:w="383" w:type="pct"/>
            <w:tcBorders>
              <w:top w:val="nil"/>
              <w:left w:val="nil"/>
              <w:bottom w:val="dotted" w:sz="4" w:space="0" w:color="auto"/>
              <w:right w:val="dotted" w:sz="4" w:space="0" w:color="auto"/>
            </w:tcBorders>
            <w:shd w:val="clear" w:color="auto" w:fill="FFFFFF"/>
            <w:vAlign w:val="center"/>
            <w:hideMark/>
          </w:tcPr>
          <w:p w14:paraId="74B367A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-0.1</w:t>
            </w:r>
          </w:p>
        </w:tc>
        <w:tc>
          <w:tcPr>
            <w:tcW w:w="383" w:type="pct"/>
            <w:tcBorders>
              <w:top w:val="nil"/>
              <w:left w:val="nil"/>
              <w:bottom w:val="dotted" w:sz="4" w:space="0" w:color="auto"/>
              <w:right w:val="dotted" w:sz="4" w:space="0" w:color="auto"/>
            </w:tcBorders>
            <w:shd w:val="clear" w:color="auto" w:fill="FFFFFF"/>
            <w:vAlign w:val="center"/>
            <w:hideMark/>
          </w:tcPr>
          <w:p w14:paraId="219C30C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-1.5</w:t>
            </w:r>
          </w:p>
        </w:tc>
        <w:tc>
          <w:tcPr>
            <w:tcW w:w="383" w:type="pct"/>
            <w:tcBorders>
              <w:top w:val="nil"/>
              <w:left w:val="nil"/>
              <w:bottom w:val="dotted" w:sz="4" w:space="0" w:color="auto"/>
              <w:right w:val="dotted" w:sz="4" w:space="0" w:color="auto"/>
            </w:tcBorders>
            <w:shd w:val="clear" w:color="auto" w:fill="FFFFFF"/>
            <w:vAlign w:val="center"/>
            <w:hideMark/>
          </w:tcPr>
          <w:p w14:paraId="00075A3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-1.5</w:t>
            </w:r>
          </w:p>
        </w:tc>
        <w:tc>
          <w:tcPr>
            <w:tcW w:w="383" w:type="pct"/>
            <w:tcBorders>
              <w:top w:val="nil"/>
              <w:left w:val="nil"/>
              <w:bottom w:val="dotted" w:sz="4" w:space="0" w:color="auto"/>
              <w:right w:val="dotted" w:sz="4" w:space="0" w:color="auto"/>
            </w:tcBorders>
            <w:shd w:val="clear" w:color="auto" w:fill="FFFFFF"/>
            <w:vAlign w:val="center"/>
            <w:hideMark/>
          </w:tcPr>
          <w:p w14:paraId="351CE4B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-1.4</w:t>
            </w:r>
          </w:p>
        </w:tc>
        <w:tc>
          <w:tcPr>
            <w:tcW w:w="383" w:type="pct"/>
            <w:tcBorders>
              <w:top w:val="nil"/>
              <w:left w:val="nil"/>
              <w:bottom w:val="dotted" w:sz="4" w:space="0" w:color="auto"/>
              <w:right w:val="double" w:sz="6" w:space="0" w:color="auto"/>
            </w:tcBorders>
            <w:shd w:val="clear" w:color="auto" w:fill="FFFFFF"/>
            <w:vAlign w:val="center"/>
            <w:hideMark/>
          </w:tcPr>
          <w:p w14:paraId="307F408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-1.8</w:t>
            </w:r>
          </w:p>
        </w:tc>
      </w:tr>
      <w:tr w:rsidR="00C50585" w:rsidRPr="00EE038F" w14:paraId="36C19861" w14:textId="77777777" w:rsidTr="00FB2058">
        <w:trPr>
          <w:trHeight w:val="20"/>
        </w:trPr>
        <w:tc>
          <w:tcPr>
            <w:tcW w:w="2444" w:type="pct"/>
            <w:tcBorders>
              <w:top w:val="nil"/>
              <w:left w:val="double" w:sz="6" w:space="0" w:color="auto"/>
              <w:bottom w:val="nil"/>
              <w:right w:val="dotted" w:sz="4" w:space="0" w:color="auto"/>
            </w:tcBorders>
            <w:shd w:val="clear" w:color="auto" w:fill="FFFFFF"/>
            <w:vAlign w:val="center"/>
            <w:hideMark/>
          </w:tcPr>
          <w:p w14:paraId="2F8EDDF5"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3. Huadhënie/huamarrje neto e qeverisë së përgjithshme</w:t>
            </w:r>
          </w:p>
        </w:tc>
        <w:tc>
          <w:tcPr>
            <w:tcW w:w="642" w:type="pct"/>
            <w:tcBorders>
              <w:top w:val="nil"/>
              <w:left w:val="nil"/>
              <w:bottom w:val="nil"/>
              <w:right w:val="single" w:sz="8" w:space="0" w:color="auto"/>
            </w:tcBorders>
            <w:shd w:val="clear" w:color="auto" w:fill="FFFFFF"/>
            <w:vAlign w:val="center"/>
            <w:hideMark/>
          </w:tcPr>
          <w:p w14:paraId="16E5DEB7"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383" w:type="pct"/>
            <w:tcBorders>
              <w:top w:val="nil"/>
              <w:left w:val="nil"/>
              <w:bottom w:val="single" w:sz="4" w:space="0" w:color="auto"/>
              <w:right w:val="dotted" w:sz="4" w:space="0" w:color="auto"/>
            </w:tcBorders>
            <w:shd w:val="clear" w:color="auto" w:fill="FFFFFF"/>
            <w:vAlign w:val="center"/>
            <w:hideMark/>
          </w:tcPr>
          <w:p w14:paraId="0B9DDCB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-1.3</w:t>
            </w:r>
          </w:p>
        </w:tc>
        <w:tc>
          <w:tcPr>
            <w:tcW w:w="383" w:type="pct"/>
            <w:tcBorders>
              <w:top w:val="nil"/>
              <w:left w:val="nil"/>
              <w:bottom w:val="single" w:sz="4" w:space="0" w:color="auto"/>
              <w:right w:val="dotted" w:sz="4" w:space="0" w:color="auto"/>
            </w:tcBorders>
            <w:shd w:val="clear" w:color="auto" w:fill="FFFFFF"/>
            <w:vAlign w:val="center"/>
            <w:hideMark/>
          </w:tcPr>
          <w:p w14:paraId="4229F25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-1.5</w:t>
            </w:r>
          </w:p>
        </w:tc>
        <w:tc>
          <w:tcPr>
            <w:tcW w:w="383" w:type="pct"/>
            <w:tcBorders>
              <w:top w:val="nil"/>
              <w:left w:val="nil"/>
              <w:bottom w:val="single" w:sz="4" w:space="0" w:color="auto"/>
              <w:right w:val="dotted" w:sz="4" w:space="0" w:color="auto"/>
            </w:tcBorders>
            <w:shd w:val="clear" w:color="auto" w:fill="FFFFFF"/>
            <w:vAlign w:val="center"/>
            <w:hideMark/>
          </w:tcPr>
          <w:p w14:paraId="5E4399F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-2.6</w:t>
            </w:r>
          </w:p>
        </w:tc>
        <w:tc>
          <w:tcPr>
            <w:tcW w:w="383" w:type="pct"/>
            <w:tcBorders>
              <w:top w:val="nil"/>
              <w:left w:val="nil"/>
              <w:bottom w:val="single" w:sz="4" w:space="0" w:color="auto"/>
              <w:right w:val="dotted" w:sz="4" w:space="0" w:color="auto"/>
            </w:tcBorders>
            <w:shd w:val="clear" w:color="auto" w:fill="FFFFFF"/>
            <w:vAlign w:val="center"/>
            <w:hideMark/>
          </w:tcPr>
          <w:p w14:paraId="6277BF0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-1.9</w:t>
            </w:r>
          </w:p>
        </w:tc>
        <w:tc>
          <w:tcPr>
            <w:tcW w:w="383" w:type="pct"/>
            <w:tcBorders>
              <w:top w:val="nil"/>
              <w:left w:val="nil"/>
              <w:bottom w:val="single" w:sz="4" w:space="0" w:color="auto"/>
              <w:right w:val="double" w:sz="6" w:space="0" w:color="auto"/>
            </w:tcBorders>
            <w:shd w:val="clear" w:color="auto" w:fill="FFFFFF"/>
            <w:vAlign w:val="center"/>
            <w:hideMark/>
          </w:tcPr>
          <w:p w14:paraId="26E83EE5"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-1.6</w:t>
            </w:r>
          </w:p>
        </w:tc>
      </w:tr>
      <w:tr w:rsidR="00C50585" w:rsidRPr="00EE038F" w14:paraId="7F9E86F7" w14:textId="77777777" w:rsidTr="00FB2058">
        <w:trPr>
          <w:trHeight w:val="20"/>
        </w:trPr>
        <w:tc>
          <w:tcPr>
            <w:tcW w:w="2444" w:type="pct"/>
            <w:tcBorders>
              <w:top w:val="single" w:sz="4" w:space="0" w:color="auto"/>
              <w:left w:val="double" w:sz="6" w:space="0" w:color="auto"/>
              <w:bottom w:val="double" w:sz="6" w:space="0" w:color="auto"/>
              <w:right w:val="dotted" w:sz="4" w:space="0" w:color="auto"/>
            </w:tcBorders>
            <w:shd w:val="clear" w:color="auto" w:fill="FFFFFF"/>
            <w:vAlign w:val="center"/>
            <w:hideMark/>
          </w:tcPr>
          <w:p w14:paraId="3BFF9C20"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4. Mospërputhje statistikore</w:t>
            </w:r>
          </w:p>
        </w:tc>
        <w:tc>
          <w:tcPr>
            <w:tcW w:w="642" w:type="pct"/>
            <w:tcBorders>
              <w:top w:val="single" w:sz="4" w:space="0" w:color="auto"/>
              <w:left w:val="nil"/>
              <w:bottom w:val="double" w:sz="6" w:space="0" w:color="auto"/>
              <w:right w:val="single" w:sz="8" w:space="0" w:color="auto"/>
            </w:tcBorders>
            <w:shd w:val="clear" w:color="auto" w:fill="FFFFFF"/>
            <w:vAlign w:val="center"/>
            <w:hideMark/>
          </w:tcPr>
          <w:p w14:paraId="58155E20" w14:textId="77777777" w:rsidR="00C50585" w:rsidRPr="00EE038F" w:rsidRDefault="00C50585" w:rsidP="007C70E7">
            <w:pPr>
              <w:spacing w:after="0" w:line="240" w:lineRule="auto"/>
              <w:contextualSpacing/>
              <w:jc w:val="both"/>
              <w:rPr>
                <w:rFonts w:ascii="Garamond" w:hAnsi="Garamond"/>
                <w:color w:val="0D0D0D" w:themeColor="text1" w:themeTint="F2"/>
                <w:sz w:val="18"/>
              </w:rPr>
            </w:pPr>
          </w:p>
        </w:tc>
        <w:tc>
          <w:tcPr>
            <w:tcW w:w="383" w:type="pct"/>
            <w:tcBorders>
              <w:top w:val="nil"/>
              <w:left w:val="nil"/>
              <w:bottom w:val="double" w:sz="6" w:space="0" w:color="auto"/>
              <w:right w:val="dotted" w:sz="4" w:space="0" w:color="auto"/>
            </w:tcBorders>
            <w:shd w:val="clear" w:color="auto" w:fill="FFFFFF"/>
            <w:vAlign w:val="center"/>
            <w:hideMark/>
          </w:tcPr>
          <w:p w14:paraId="46C8DE0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c>
          <w:tcPr>
            <w:tcW w:w="383" w:type="pct"/>
            <w:tcBorders>
              <w:top w:val="nil"/>
              <w:left w:val="nil"/>
              <w:bottom w:val="double" w:sz="6" w:space="0" w:color="auto"/>
              <w:right w:val="dotted" w:sz="4" w:space="0" w:color="auto"/>
            </w:tcBorders>
            <w:shd w:val="clear" w:color="auto" w:fill="FFFFFF"/>
            <w:vAlign w:val="center"/>
            <w:hideMark/>
          </w:tcPr>
          <w:p w14:paraId="22FB45D5"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c>
          <w:tcPr>
            <w:tcW w:w="383" w:type="pct"/>
            <w:tcBorders>
              <w:top w:val="nil"/>
              <w:left w:val="nil"/>
              <w:bottom w:val="double" w:sz="6" w:space="0" w:color="auto"/>
              <w:right w:val="dotted" w:sz="4" w:space="0" w:color="auto"/>
            </w:tcBorders>
            <w:shd w:val="clear" w:color="auto" w:fill="FFFFFF"/>
            <w:vAlign w:val="center"/>
            <w:hideMark/>
          </w:tcPr>
          <w:p w14:paraId="1CB2BD3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c>
          <w:tcPr>
            <w:tcW w:w="383" w:type="pct"/>
            <w:tcBorders>
              <w:top w:val="nil"/>
              <w:left w:val="nil"/>
              <w:bottom w:val="double" w:sz="6" w:space="0" w:color="auto"/>
              <w:right w:val="dotted" w:sz="4" w:space="0" w:color="auto"/>
            </w:tcBorders>
            <w:shd w:val="clear" w:color="auto" w:fill="FFFFFF"/>
            <w:vAlign w:val="center"/>
            <w:hideMark/>
          </w:tcPr>
          <w:p w14:paraId="1010DF3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c>
          <w:tcPr>
            <w:tcW w:w="383" w:type="pct"/>
            <w:tcBorders>
              <w:top w:val="nil"/>
              <w:left w:val="nil"/>
              <w:bottom w:val="double" w:sz="6" w:space="0" w:color="auto"/>
              <w:right w:val="double" w:sz="6" w:space="0" w:color="auto"/>
            </w:tcBorders>
            <w:shd w:val="clear" w:color="auto" w:fill="FFFFFF"/>
            <w:vAlign w:val="center"/>
            <w:hideMark/>
          </w:tcPr>
          <w:p w14:paraId="724FEF5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0.0</w:t>
            </w:r>
          </w:p>
        </w:tc>
      </w:tr>
    </w:tbl>
    <w:p w14:paraId="20E7DBEA" w14:textId="77777777" w:rsidR="00C50585" w:rsidRPr="00EE038F" w:rsidRDefault="00C50585" w:rsidP="00C50585">
      <w:pPr>
        <w:spacing w:after="0" w:line="240" w:lineRule="auto"/>
        <w:contextualSpacing/>
        <w:jc w:val="both"/>
        <w:rPr>
          <w:rFonts w:ascii="Garamond" w:hAnsi="Garamond"/>
          <w:b/>
          <w:color w:val="0D0D0D" w:themeColor="text1" w:themeTint="F2"/>
        </w:rPr>
      </w:pPr>
    </w:p>
    <w:p w14:paraId="0904D470" w14:textId="39484EEF" w:rsidR="00C50585" w:rsidRPr="00EE038F" w:rsidRDefault="00C50585" w:rsidP="00066DFC">
      <w:pPr>
        <w:spacing w:after="0" w:line="240" w:lineRule="auto"/>
        <w:contextualSpacing/>
        <w:jc w:val="center"/>
        <w:rPr>
          <w:rFonts w:ascii="Garamond" w:hAnsi="Garamond"/>
          <w:bCs/>
          <w:i/>
          <w:iCs/>
          <w:color w:val="0D0D0D" w:themeColor="text1" w:themeTint="F2"/>
          <w:sz w:val="24"/>
          <w:szCs w:val="24"/>
        </w:rPr>
      </w:pPr>
      <w:r w:rsidRPr="00EE038F">
        <w:rPr>
          <w:rFonts w:ascii="Garamond" w:hAnsi="Garamond"/>
          <w:bCs/>
          <w:i/>
          <w:iCs/>
          <w:color w:val="0D0D0D" w:themeColor="text1" w:themeTint="F2"/>
          <w:sz w:val="24"/>
          <w:szCs w:val="24"/>
        </w:rPr>
        <w:t>Tabela 1e:</w:t>
      </w:r>
      <w:r w:rsidRPr="00EE038F">
        <w:rPr>
          <w:rFonts w:ascii="Garamond" w:hAnsi="Garamond"/>
          <w:bCs/>
          <w:i/>
          <w:iCs/>
          <w:sz w:val="24"/>
          <w:szCs w:val="24"/>
        </w:rPr>
        <w:t xml:space="preserve"> </w:t>
      </w:r>
      <w:r w:rsidRPr="00EE038F">
        <w:rPr>
          <w:rFonts w:ascii="Garamond" w:hAnsi="Garamond"/>
          <w:bCs/>
          <w:i/>
          <w:iCs/>
          <w:color w:val="0D0D0D" w:themeColor="text1" w:themeTint="F2"/>
          <w:sz w:val="24"/>
          <w:szCs w:val="24"/>
        </w:rPr>
        <w:t>PBB, investime dhe vlera e shtuar bruto</w:t>
      </w:r>
    </w:p>
    <w:tbl>
      <w:tblPr>
        <w:tblW w:w="5000" w:type="pct"/>
        <w:jc w:val="center"/>
        <w:tblLook w:val="04A0" w:firstRow="1" w:lastRow="0" w:firstColumn="1" w:lastColumn="0" w:noHBand="0" w:noVBand="1"/>
      </w:tblPr>
      <w:tblGrid>
        <w:gridCol w:w="1796"/>
        <w:gridCol w:w="988"/>
        <w:gridCol w:w="1237"/>
        <w:gridCol w:w="1237"/>
        <w:gridCol w:w="1237"/>
        <w:gridCol w:w="1237"/>
        <w:gridCol w:w="1242"/>
      </w:tblGrid>
      <w:tr w:rsidR="00C50585" w:rsidRPr="00EE038F" w14:paraId="6DCF1014" w14:textId="77777777" w:rsidTr="00FB5945">
        <w:trPr>
          <w:trHeight w:val="20"/>
          <w:jc w:val="center"/>
        </w:trPr>
        <w:tc>
          <w:tcPr>
            <w:tcW w:w="1001" w:type="pct"/>
            <w:tcBorders>
              <w:top w:val="double" w:sz="6" w:space="0" w:color="auto"/>
              <w:left w:val="double" w:sz="6" w:space="0" w:color="auto"/>
              <w:bottom w:val="nil"/>
              <w:right w:val="dotted" w:sz="4" w:space="0" w:color="auto"/>
            </w:tcBorders>
            <w:shd w:val="clear" w:color="auto" w:fill="FFFFFF"/>
            <w:vAlign w:val="bottom"/>
            <w:hideMark/>
          </w:tcPr>
          <w:p w14:paraId="19567DFE" w14:textId="77777777" w:rsidR="00C50585" w:rsidRPr="00EE038F" w:rsidRDefault="00C50585" w:rsidP="00850177">
            <w:pPr>
              <w:spacing w:after="0" w:line="240" w:lineRule="auto"/>
              <w:contextualSpacing/>
              <w:jc w:val="both"/>
              <w:rPr>
                <w:rFonts w:ascii="Garamond" w:hAnsi="Garamond"/>
                <w:b/>
                <w:bCs/>
                <w:color w:val="0D0D0D" w:themeColor="text1" w:themeTint="F2"/>
                <w:sz w:val="18"/>
              </w:rPr>
            </w:pPr>
            <w:bookmarkStart w:id="45" w:name="OLE_LINK1"/>
            <w:r w:rsidRPr="00EE038F">
              <w:rPr>
                <w:rFonts w:ascii="Garamond" w:hAnsi="Garamond"/>
                <w:b/>
                <w:bCs/>
                <w:color w:val="0D0D0D" w:themeColor="text1" w:themeTint="F2"/>
                <w:sz w:val="18"/>
              </w:rPr>
              <w:t> </w:t>
            </w:r>
          </w:p>
        </w:tc>
        <w:tc>
          <w:tcPr>
            <w:tcW w:w="551" w:type="pct"/>
            <w:tcBorders>
              <w:top w:val="double" w:sz="6" w:space="0" w:color="auto"/>
              <w:left w:val="nil"/>
              <w:bottom w:val="nil"/>
              <w:right w:val="single" w:sz="4" w:space="0" w:color="auto"/>
            </w:tcBorders>
            <w:shd w:val="clear" w:color="auto" w:fill="FFFFFF"/>
            <w:vAlign w:val="center"/>
            <w:hideMark/>
          </w:tcPr>
          <w:p w14:paraId="262C40AF" w14:textId="77777777" w:rsidR="00C50585" w:rsidRPr="00EE038F" w:rsidRDefault="00C50585" w:rsidP="0085017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Kodi</w:t>
            </w:r>
          </w:p>
        </w:tc>
        <w:tc>
          <w:tcPr>
            <w:tcW w:w="689" w:type="pct"/>
            <w:tcBorders>
              <w:top w:val="double" w:sz="6" w:space="0" w:color="auto"/>
              <w:left w:val="double" w:sz="6" w:space="0" w:color="auto"/>
              <w:bottom w:val="nil"/>
              <w:right w:val="dotted" w:sz="4" w:space="0" w:color="auto"/>
            </w:tcBorders>
            <w:shd w:val="clear" w:color="auto" w:fill="FFFFFF"/>
            <w:vAlign w:val="center"/>
            <w:hideMark/>
          </w:tcPr>
          <w:p w14:paraId="0ABA3106" w14:textId="77777777" w:rsidR="00C50585" w:rsidRPr="00EE038F" w:rsidRDefault="00C50585" w:rsidP="00850177">
            <w:pPr>
              <w:spacing w:after="0" w:line="240" w:lineRule="auto"/>
              <w:contextualSpacing/>
              <w:jc w:val="both"/>
              <w:rPr>
                <w:rFonts w:ascii="Garamond" w:eastAsia="Times New Roman" w:hAnsi="Garamond"/>
                <w:b/>
                <w:bCs/>
                <w:color w:val="0D0D0D" w:themeColor="text1" w:themeTint="F2"/>
                <w:sz w:val="18"/>
              </w:rPr>
            </w:pPr>
            <w:r w:rsidRPr="00EE038F">
              <w:rPr>
                <w:rFonts w:ascii="Garamond" w:hAnsi="Garamond"/>
                <w:b/>
                <w:bCs/>
                <w:sz w:val="18"/>
              </w:rPr>
              <w:t>Viti</w:t>
            </w:r>
          </w:p>
        </w:tc>
        <w:tc>
          <w:tcPr>
            <w:tcW w:w="689" w:type="pct"/>
            <w:tcBorders>
              <w:top w:val="double" w:sz="6" w:space="0" w:color="auto"/>
              <w:left w:val="nil"/>
              <w:bottom w:val="nil"/>
              <w:right w:val="dotted" w:sz="4" w:space="0" w:color="auto"/>
            </w:tcBorders>
            <w:shd w:val="clear" w:color="auto" w:fill="FFFFFF"/>
            <w:vAlign w:val="center"/>
            <w:hideMark/>
          </w:tcPr>
          <w:p w14:paraId="23F7768B" w14:textId="77777777" w:rsidR="00C50585" w:rsidRPr="00EE038F" w:rsidRDefault="00C50585" w:rsidP="0085017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c>
          <w:tcPr>
            <w:tcW w:w="689" w:type="pct"/>
            <w:tcBorders>
              <w:top w:val="double" w:sz="6" w:space="0" w:color="auto"/>
              <w:left w:val="nil"/>
              <w:bottom w:val="nil"/>
              <w:right w:val="dotted" w:sz="4" w:space="0" w:color="auto"/>
            </w:tcBorders>
            <w:shd w:val="clear" w:color="auto" w:fill="FFFFFF"/>
            <w:vAlign w:val="center"/>
            <w:hideMark/>
          </w:tcPr>
          <w:p w14:paraId="678B7149" w14:textId="77777777" w:rsidR="00C50585" w:rsidRPr="00EE038F" w:rsidRDefault="00C50585" w:rsidP="0085017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c>
          <w:tcPr>
            <w:tcW w:w="689" w:type="pct"/>
            <w:tcBorders>
              <w:top w:val="double" w:sz="6" w:space="0" w:color="auto"/>
              <w:left w:val="nil"/>
              <w:bottom w:val="nil"/>
              <w:right w:val="dotted" w:sz="4" w:space="0" w:color="auto"/>
            </w:tcBorders>
            <w:shd w:val="clear" w:color="auto" w:fill="FFFFFF"/>
            <w:vAlign w:val="center"/>
            <w:hideMark/>
          </w:tcPr>
          <w:p w14:paraId="6B85DF99" w14:textId="77777777" w:rsidR="00C50585" w:rsidRPr="00EE038F" w:rsidRDefault="00C50585" w:rsidP="0085017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c>
          <w:tcPr>
            <w:tcW w:w="691" w:type="pct"/>
            <w:tcBorders>
              <w:top w:val="double" w:sz="6" w:space="0" w:color="auto"/>
              <w:left w:val="nil"/>
              <w:bottom w:val="nil"/>
              <w:right w:val="double" w:sz="6" w:space="0" w:color="auto"/>
            </w:tcBorders>
            <w:shd w:val="clear" w:color="auto" w:fill="FFFFFF"/>
            <w:vAlign w:val="center"/>
            <w:hideMark/>
          </w:tcPr>
          <w:p w14:paraId="09DFE7DF" w14:textId="77777777" w:rsidR="00C50585" w:rsidRPr="00EE038F" w:rsidRDefault="00C50585" w:rsidP="0085017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r>
      <w:tr w:rsidR="00C50585" w:rsidRPr="00EE038F" w14:paraId="72CEB28E" w14:textId="77777777" w:rsidTr="00FB5945">
        <w:trPr>
          <w:trHeight w:val="20"/>
          <w:jc w:val="center"/>
        </w:trPr>
        <w:tc>
          <w:tcPr>
            <w:tcW w:w="1001" w:type="pct"/>
            <w:tcBorders>
              <w:top w:val="nil"/>
              <w:left w:val="double" w:sz="6" w:space="0" w:color="auto"/>
              <w:bottom w:val="nil"/>
              <w:right w:val="dotted" w:sz="4" w:space="0" w:color="auto"/>
            </w:tcBorders>
            <w:shd w:val="clear" w:color="auto" w:fill="FFFFFF"/>
            <w:vAlign w:val="bottom"/>
            <w:hideMark/>
          </w:tcPr>
          <w:p w14:paraId="3BA8C6B4" w14:textId="77777777" w:rsidR="00C50585" w:rsidRPr="00EE038F" w:rsidRDefault="00C50585" w:rsidP="0085017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 </w:t>
            </w:r>
          </w:p>
        </w:tc>
        <w:tc>
          <w:tcPr>
            <w:tcW w:w="551" w:type="pct"/>
            <w:tcBorders>
              <w:top w:val="nil"/>
              <w:left w:val="nil"/>
              <w:bottom w:val="nil"/>
              <w:right w:val="single" w:sz="4" w:space="0" w:color="auto"/>
            </w:tcBorders>
            <w:shd w:val="clear" w:color="auto" w:fill="FFFFFF"/>
            <w:vAlign w:val="center"/>
            <w:hideMark/>
          </w:tcPr>
          <w:p w14:paraId="54DBAF8C" w14:textId="77777777" w:rsidR="00C50585" w:rsidRPr="00EE038F" w:rsidRDefault="00C50585" w:rsidP="0085017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ESA</w:t>
            </w:r>
          </w:p>
        </w:tc>
        <w:tc>
          <w:tcPr>
            <w:tcW w:w="689" w:type="pct"/>
            <w:tcBorders>
              <w:top w:val="nil"/>
              <w:left w:val="double" w:sz="6" w:space="0" w:color="auto"/>
              <w:bottom w:val="nil"/>
              <w:right w:val="dotted" w:sz="4" w:space="0" w:color="auto"/>
            </w:tcBorders>
            <w:shd w:val="clear" w:color="auto" w:fill="FFFFFF"/>
            <w:vAlign w:val="center"/>
            <w:hideMark/>
          </w:tcPr>
          <w:p w14:paraId="0AEA64A1" w14:textId="77777777" w:rsidR="00C50585" w:rsidRPr="00EE038F" w:rsidRDefault="00C50585" w:rsidP="0085017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2023</w:t>
            </w:r>
          </w:p>
        </w:tc>
        <w:tc>
          <w:tcPr>
            <w:tcW w:w="689" w:type="pct"/>
            <w:tcBorders>
              <w:top w:val="nil"/>
              <w:left w:val="nil"/>
              <w:bottom w:val="nil"/>
              <w:right w:val="dotted" w:sz="4" w:space="0" w:color="auto"/>
            </w:tcBorders>
            <w:shd w:val="clear" w:color="auto" w:fill="FFFFFF"/>
            <w:vAlign w:val="center"/>
            <w:hideMark/>
          </w:tcPr>
          <w:p w14:paraId="5D233500" w14:textId="77777777" w:rsidR="00C50585" w:rsidRPr="00EE038F" w:rsidRDefault="00C50585" w:rsidP="0085017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2024</w:t>
            </w:r>
          </w:p>
        </w:tc>
        <w:tc>
          <w:tcPr>
            <w:tcW w:w="689" w:type="pct"/>
            <w:tcBorders>
              <w:top w:val="nil"/>
              <w:left w:val="nil"/>
              <w:bottom w:val="nil"/>
              <w:right w:val="dotted" w:sz="4" w:space="0" w:color="auto"/>
            </w:tcBorders>
            <w:shd w:val="clear" w:color="auto" w:fill="FFFFFF"/>
            <w:vAlign w:val="center"/>
            <w:hideMark/>
          </w:tcPr>
          <w:p w14:paraId="2AB529E7" w14:textId="77777777" w:rsidR="00C50585" w:rsidRPr="00EE038F" w:rsidRDefault="00C50585" w:rsidP="0085017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2025</w:t>
            </w:r>
          </w:p>
        </w:tc>
        <w:tc>
          <w:tcPr>
            <w:tcW w:w="689" w:type="pct"/>
            <w:tcBorders>
              <w:top w:val="nil"/>
              <w:left w:val="nil"/>
              <w:bottom w:val="nil"/>
              <w:right w:val="dotted" w:sz="4" w:space="0" w:color="auto"/>
            </w:tcBorders>
            <w:shd w:val="clear" w:color="auto" w:fill="FFFFFF"/>
            <w:vAlign w:val="center"/>
            <w:hideMark/>
          </w:tcPr>
          <w:p w14:paraId="031541C9" w14:textId="77777777" w:rsidR="00C50585" w:rsidRPr="00EE038F" w:rsidRDefault="00C50585" w:rsidP="0085017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2026</w:t>
            </w:r>
          </w:p>
        </w:tc>
        <w:tc>
          <w:tcPr>
            <w:tcW w:w="691" w:type="pct"/>
            <w:tcBorders>
              <w:top w:val="nil"/>
              <w:left w:val="nil"/>
              <w:bottom w:val="nil"/>
              <w:right w:val="double" w:sz="6" w:space="0" w:color="auto"/>
            </w:tcBorders>
            <w:shd w:val="clear" w:color="auto" w:fill="FFFFFF"/>
            <w:vAlign w:val="center"/>
            <w:hideMark/>
          </w:tcPr>
          <w:p w14:paraId="61897EB4" w14:textId="77777777" w:rsidR="00C50585" w:rsidRPr="00EE038F" w:rsidRDefault="00C50585" w:rsidP="0085017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2027</w:t>
            </w:r>
          </w:p>
        </w:tc>
      </w:tr>
      <w:tr w:rsidR="00C50585" w:rsidRPr="00EE038F" w14:paraId="179AB29E" w14:textId="77777777" w:rsidTr="00FB5945">
        <w:trPr>
          <w:trHeight w:val="20"/>
          <w:jc w:val="center"/>
        </w:trPr>
        <w:tc>
          <w:tcPr>
            <w:tcW w:w="5000" w:type="pct"/>
            <w:gridSpan w:val="7"/>
            <w:tcBorders>
              <w:top w:val="single" w:sz="4" w:space="0" w:color="auto"/>
              <w:left w:val="double" w:sz="6" w:space="0" w:color="auto"/>
              <w:bottom w:val="single" w:sz="4" w:space="0" w:color="auto"/>
              <w:right w:val="double" w:sz="6" w:space="0" w:color="000000"/>
            </w:tcBorders>
            <w:shd w:val="clear" w:color="auto" w:fill="FFFFFF"/>
            <w:vAlign w:val="center"/>
            <w:hideMark/>
          </w:tcPr>
          <w:p w14:paraId="7EA4E965" w14:textId="77777777" w:rsidR="00C50585" w:rsidRPr="00EE038F" w:rsidRDefault="00C50585" w:rsidP="0085017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PBB dhe investime</w:t>
            </w:r>
          </w:p>
        </w:tc>
      </w:tr>
      <w:tr w:rsidR="00C50585" w:rsidRPr="00EE038F" w14:paraId="5CA971C8" w14:textId="77777777" w:rsidTr="00FB5945">
        <w:trPr>
          <w:trHeight w:val="20"/>
          <w:jc w:val="center"/>
        </w:trPr>
        <w:tc>
          <w:tcPr>
            <w:tcW w:w="1001" w:type="pct"/>
            <w:tcBorders>
              <w:top w:val="nil"/>
              <w:left w:val="double" w:sz="6" w:space="0" w:color="auto"/>
              <w:bottom w:val="dotted" w:sz="4" w:space="0" w:color="auto"/>
              <w:right w:val="dotted" w:sz="4" w:space="0" w:color="auto"/>
            </w:tcBorders>
            <w:shd w:val="clear" w:color="auto" w:fill="FFFFFF"/>
            <w:hideMark/>
          </w:tcPr>
          <w:p w14:paraId="24C312AB" w14:textId="7549069A"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 xml:space="preserve">Niveli i PBB-së me çmimet aktuale të tregut (në monedhën </w:t>
            </w:r>
            <w:r w:rsidR="007F728D" w:rsidRPr="00EE038F">
              <w:rPr>
                <w:rFonts w:ascii="Garamond" w:hAnsi="Garamond"/>
                <w:sz w:val="18"/>
              </w:rPr>
              <w:t>vendës</w:t>
            </w:r>
            <w:r w:rsidRPr="00EE038F">
              <w:rPr>
                <w:rFonts w:ascii="Garamond" w:hAnsi="Garamond"/>
                <w:sz w:val="18"/>
              </w:rPr>
              <w:t>e)</w:t>
            </w:r>
          </w:p>
        </w:tc>
        <w:tc>
          <w:tcPr>
            <w:tcW w:w="551" w:type="pct"/>
            <w:tcBorders>
              <w:top w:val="nil"/>
              <w:left w:val="nil"/>
              <w:bottom w:val="dotted" w:sz="4" w:space="0" w:color="auto"/>
              <w:right w:val="single" w:sz="4" w:space="0" w:color="auto"/>
            </w:tcBorders>
            <w:shd w:val="clear" w:color="auto" w:fill="FFFFFF"/>
            <w:vAlign w:val="center"/>
            <w:hideMark/>
          </w:tcPr>
          <w:p w14:paraId="6AAFF798" w14:textId="77777777"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B1g</w:t>
            </w:r>
          </w:p>
        </w:tc>
        <w:tc>
          <w:tcPr>
            <w:tcW w:w="689" w:type="pct"/>
            <w:tcBorders>
              <w:top w:val="nil"/>
              <w:left w:val="double" w:sz="6" w:space="0" w:color="auto"/>
              <w:bottom w:val="dotted" w:sz="4" w:space="0" w:color="auto"/>
              <w:right w:val="dotted" w:sz="4" w:space="0" w:color="auto"/>
            </w:tcBorders>
            <w:shd w:val="clear" w:color="auto" w:fill="FFFFFF"/>
            <w:vAlign w:val="center"/>
            <w:hideMark/>
          </w:tcPr>
          <w:p w14:paraId="7BBA7B60" w14:textId="77777777" w:rsidR="00C50585" w:rsidRPr="00EE038F" w:rsidRDefault="00C50585" w:rsidP="00280C20">
            <w:pPr>
              <w:spacing w:after="0" w:line="240" w:lineRule="auto"/>
              <w:contextualSpacing/>
              <w:jc w:val="right"/>
              <w:rPr>
                <w:rFonts w:ascii="Garamond" w:eastAsia="Times New Roman" w:hAnsi="Garamond"/>
                <w:color w:val="0D0D0D" w:themeColor="text1" w:themeTint="F2"/>
                <w:sz w:val="18"/>
              </w:rPr>
            </w:pPr>
            <w:r w:rsidRPr="00EE038F">
              <w:rPr>
                <w:rFonts w:ascii="Garamond" w:hAnsi="Garamond"/>
                <w:sz w:val="18"/>
              </w:rPr>
              <w:t>2,369.9</w:t>
            </w:r>
          </w:p>
        </w:tc>
        <w:tc>
          <w:tcPr>
            <w:tcW w:w="689" w:type="pct"/>
            <w:tcBorders>
              <w:top w:val="nil"/>
              <w:left w:val="nil"/>
              <w:bottom w:val="dotted" w:sz="4" w:space="0" w:color="auto"/>
              <w:right w:val="dotted" w:sz="4" w:space="0" w:color="auto"/>
            </w:tcBorders>
            <w:shd w:val="clear" w:color="auto" w:fill="FFFFFF"/>
            <w:vAlign w:val="center"/>
            <w:hideMark/>
          </w:tcPr>
          <w:p w14:paraId="3C1C071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2,494.2</w:t>
            </w:r>
          </w:p>
        </w:tc>
        <w:tc>
          <w:tcPr>
            <w:tcW w:w="689" w:type="pct"/>
            <w:tcBorders>
              <w:top w:val="nil"/>
              <w:left w:val="nil"/>
              <w:bottom w:val="dotted" w:sz="4" w:space="0" w:color="auto"/>
              <w:right w:val="dotted" w:sz="4" w:space="0" w:color="auto"/>
            </w:tcBorders>
            <w:shd w:val="clear" w:color="auto" w:fill="FFFFFF"/>
            <w:vAlign w:val="center"/>
            <w:hideMark/>
          </w:tcPr>
          <w:p w14:paraId="1A47CDF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2,620.7</w:t>
            </w:r>
          </w:p>
        </w:tc>
        <w:tc>
          <w:tcPr>
            <w:tcW w:w="689" w:type="pct"/>
            <w:tcBorders>
              <w:top w:val="nil"/>
              <w:left w:val="nil"/>
              <w:bottom w:val="dotted" w:sz="4" w:space="0" w:color="auto"/>
              <w:right w:val="dotted" w:sz="4" w:space="0" w:color="auto"/>
            </w:tcBorders>
            <w:shd w:val="clear" w:color="auto" w:fill="FFFFFF"/>
            <w:vAlign w:val="center"/>
            <w:hideMark/>
          </w:tcPr>
          <w:p w14:paraId="4FB4B4A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2,756.7</w:t>
            </w:r>
          </w:p>
        </w:tc>
        <w:tc>
          <w:tcPr>
            <w:tcW w:w="691" w:type="pct"/>
            <w:tcBorders>
              <w:top w:val="nil"/>
              <w:left w:val="nil"/>
              <w:bottom w:val="dotted" w:sz="4" w:space="0" w:color="auto"/>
              <w:right w:val="double" w:sz="6" w:space="0" w:color="auto"/>
            </w:tcBorders>
            <w:shd w:val="clear" w:color="auto" w:fill="FFFFFF"/>
            <w:vAlign w:val="center"/>
            <w:hideMark/>
          </w:tcPr>
          <w:p w14:paraId="6283282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2,898.1</w:t>
            </w:r>
          </w:p>
        </w:tc>
      </w:tr>
      <w:tr w:rsidR="00C50585" w:rsidRPr="00EE038F" w14:paraId="567B3973" w14:textId="77777777" w:rsidTr="00FB5945">
        <w:trPr>
          <w:trHeight w:val="20"/>
          <w:jc w:val="center"/>
        </w:trPr>
        <w:tc>
          <w:tcPr>
            <w:tcW w:w="1001" w:type="pct"/>
            <w:tcBorders>
              <w:top w:val="nil"/>
              <w:left w:val="double" w:sz="6" w:space="0" w:color="auto"/>
              <w:bottom w:val="nil"/>
              <w:right w:val="dotted" w:sz="4" w:space="0" w:color="auto"/>
            </w:tcBorders>
            <w:shd w:val="clear" w:color="auto" w:fill="FFFFFF"/>
            <w:hideMark/>
          </w:tcPr>
          <w:p w14:paraId="6B7EF645" w14:textId="77777777"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Raporti i investimeve (% e PBB-së)</w:t>
            </w:r>
          </w:p>
        </w:tc>
        <w:tc>
          <w:tcPr>
            <w:tcW w:w="551" w:type="pct"/>
            <w:tcBorders>
              <w:top w:val="dotted" w:sz="4" w:space="0" w:color="auto"/>
              <w:left w:val="nil"/>
              <w:bottom w:val="nil"/>
              <w:right w:val="single" w:sz="4" w:space="0" w:color="auto"/>
            </w:tcBorders>
            <w:shd w:val="clear" w:color="auto" w:fill="FFFFFF"/>
            <w:vAlign w:val="center"/>
            <w:hideMark/>
          </w:tcPr>
          <w:p w14:paraId="00BAB57F" w14:textId="77777777" w:rsidR="00C50585" w:rsidRPr="00EE038F" w:rsidRDefault="00C50585" w:rsidP="00850177">
            <w:pPr>
              <w:spacing w:after="0" w:line="240" w:lineRule="auto"/>
              <w:contextualSpacing/>
              <w:jc w:val="both"/>
              <w:rPr>
                <w:rFonts w:ascii="Garamond" w:hAnsi="Garamond"/>
                <w:color w:val="0D0D0D" w:themeColor="text1" w:themeTint="F2"/>
                <w:sz w:val="18"/>
              </w:rPr>
            </w:pPr>
          </w:p>
        </w:tc>
        <w:tc>
          <w:tcPr>
            <w:tcW w:w="689" w:type="pct"/>
            <w:tcBorders>
              <w:top w:val="nil"/>
              <w:left w:val="double" w:sz="6" w:space="0" w:color="auto"/>
              <w:bottom w:val="nil"/>
              <w:right w:val="dotted" w:sz="4" w:space="0" w:color="auto"/>
            </w:tcBorders>
            <w:shd w:val="clear" w:color="auto" w:fill="FFFFFF"/>
            <w:vAlign w:val="center"/>
            <w:hideMark/>
          </w:tcPr>
          <w:p w14:paraId="15D18981" w14:textId="77777777" w:rsidR="00C50585" w:rsidRPr="00EE038F" w:rsidRDefault="00C50585" w:rsidP="00280C20">
            <w:pPr>
              <w:spacing w:after="0" w:line="240" w:lineRule="auto"/>
              <w:contextualSpacing/>
              <w:jc w:val="right"/>
              <w:rPr>
                <w:rFonts w:ascii="Garamond" w:eastAsia="Times New Roman" w:hAnsi="Garamond"/>
                <w:color w:val="0D0D0D" w:themeColor="text1" w:themeTint="F2"/>
                <w:sz w:val="18"/>
              </w:rPr>
            </w:pPr>
            <w:r w:rsidRPr="00EE038F">
              <w:rPr>
                <w:rFonts w:ascii="Garamond" w:hAnsi="Garamond"/>
                <w:sz w:val="18"/>
              </w:rPr>
              <w:t>24.0</w:t>
            </w:r>
          </w:p>
        </w:tc>
        <w:tc>
          <w:tcPr>
            <w:tcW w:w="689" w:type="pct"/>
            <w:tcBorders>
              <w:top w:val="nil"/>
              <w:left w:val="nil"/>
              <w:bottom w:val="nil"/>
              <w:right w:val="dotted" w:sz="4" w:space="0" w:color="auto"/>
            </w:tcBorders>
            <w:shd w:val="clear" w:color="auto" w:fill="FFFFFF"/>
            <w:vAlign w:val="center"/>
            <w:hideMark/>
          </w:tcPr>
          <w:p w14:paraId="2294CE7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24.2</w:t>
            </w:r>
          </w:p>
        </w:tc>
        <w:tc>
          <w:tcPr>
            <w:tcW w:w="689" w:type="pct"/>
            <w:tcBorders>
              <w:top w:val="nil"/>
              <w:left w:val="nil"/>
              <w:bottom w:val="nil"/>
              <w:right w:val="dotted" w:sz="4" w:space="0" w:color="auto"/>
            </w:tcBorders>
            <w:shd w:val="clear" w:color="auto" w:fill="FFFFFF"/>
            <w:vAlign w:val="center"/>
            <w:hideMark/>
          </w:tcPr>
          <w:p w14:paraId="41C17DD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24.9</w:t>
            </w:r>
          </w:p>
        </w:tc>
        <w:tc>
          <w:tcPr>
            <w:tcW w:w="689" w:type="pct"/>
            <w:tcBorders>
              <w:top w:val="nil"/>
              <w:left w:val="nil"/>
              <w:bottom w:val="nil"/>
              <w:right w:val="dotted" w:sz="4" w:space="0" w:color="auto"/>
            </w:tcBorders>
            <w:shd w:val="clear" w:color="auto" w:fill="FFFFFF"/>
            <w:vAlign w:val="center"/>
            <w:hideMark/>
          </w:tcPr>
          <w:p w14:paraId="370571B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24.8</w:t>
            </w:r>
          </w:p>
        </w:tc>
        <w:tc>
          <w:tcPr>
            <w:tcW w:w="691" w:type="pct"/>
            <w:tcBorders>
              <w:top w:val="nil"/>
              <w:left w:val="nil"/>
              <w:bottom w:val="nil"/>
              <w:right w:val="double" w:sz="6" w:space="0" w:color="auto"/>
            </w:tcBorders>
            <w:shd w:val="clear" w:color="auto" w:fill="FFFFFF"/>
            <w:vAlign w:val="center"/>
            <w:hideMark/>
          </w:tcPr>
          <w:p w14:paraId="66E76785"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25.1</w:t>
            </w:r>
          </w:p>
        </w:tc>
      </w:tr>
      <w:tr w:rsidR="00850177" w:rsidRPr="00EE038F" w14:paraId="5346FE18" w14:textId="77777777" w:rsidTr="00FB5945">
        <w:trPr>
          <w:trHeight w:val="20"/>
          <w:jc w:val="center"/>
        </w:trPr>
        <w:tc>
          <w:tcPr>
            <w:tcW w:w="5000" w:type="pct"/>
            <w:gridSpan w:val="7"/>
            <w:tcBorders>
              <w:top w:val="single" w:sz="4" w:space="0" w:color="auto"/>
              <w:left w:val="double" w:sz="6" w:space="0" w:color="auto"/>
              <w:bottom w:val="single" w:sz="4" w:space="0" w:color="auto"/>
              <w:right w:val="double" w:sz="6" w:space="0" w:color="000000"/>
            </w:tcBorders>
            <w:shd w:val="clear" w:color="auto" w:fill="FFFFFF"/>
            <w:vAlign w:val="center"/>
            <w:hideMark/>
          </w:tcPr>
          <w:p w14:paraId="5057CC57" w14:textId="49F4C8FB" w:rsidR="00850177" w:rsidRPr="00EE038F" w:rsidRDefault="00850177" w:rsidP="0085017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 xml:space="preserve">Rritja e vlerës së shtuar bruto, ndryshimet në </w:t>
            </w:r>
            <w:r w:rsidR="003771A2" w:rsidRPr="00EE038F">
              <w:rPr>
                <w:rFonts w:ascii="Garamond" w:hAnsi="Garamond"/>
                <w:b/>
                <w:bCs/>
                <w:color w:val="0D0D0D" w:themeColor="text1" w:themeTint="F2"/>
                <w:sz w:val="18"/>
              </w:rPr>
              <w:t xml:space="preserve">përqindje </w:t>
            </w:r>
            <w:r w:rsidRPr="00EE038F">
              <w:rPr>
                <w:rFonts w:ascii="Garamond" w:hAnsi="Garamond"/>
                <w:b/>
                <w:bCs/>
                <w:color w:val="0D0D0D" w:themeColor="text1" w:themeTint="F2"/>
                <w:sz w:val="18"/>
              </w:rPr>
              <w:t>me çmime konstante</w:t>
            </w:r>
          </w:p>
        </w:tc>
      </w:tr>
      <w:tr w:rsidR="00C50585" w:rsidRPr="00EE038F" w14:paraId="1B5372C3" w14:textId="77777777" w:rsidTr="00FB5945">
        <w:trPr>
          <w:trHeight w:val="20"/>
          <w:jc w:val="center"/>
        </w:trPr>
        <w:tc>
          <w:tcPr>
            <w:tcW w:w="1001" w:type="pct"/>
            <w:tcBorders>
              <w:top w:val="nil"/>
              <w:left w:val="double" w:sz="6" w:space="0" w:color="auto"/>
              <w:bottom w:val="dotted" w:sz="4" w:space="0" w:color="auto"/>
              <w:right w:val="dotted" w:sz="4" w:space="0" w:color="auto"/>
            </w:tcBorders>
            <w:shd w:val="clear" w:color="auto" w:fill="FFFFFF"/>
            <w:hideMark/>
          </w:tcPr>
          <w:p w14:paraId="658ECC69" w14:textId="77777777"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1. Bujqësia</w:t>
            </w:r>
          </w:p>
        </w:tc>
        <w:tc>
          <w:tcPr>
            <w:tcW w:w="551" w:type="pct"/>
            <w:tcBorders>
              <w:top w:val="nil"/>
              <w:left w:val="nil"/>
              <w:bottom w:val="dotted" w:sz="4" w:space="0" w:color="auto"/>
              <w:right w:val="single" w:sz="4" w:space="0" w:color="auto"/>
            </w:tcBorders>
            <w:shd w:val="clear" w:color="auto" w:fill="FFFFFF"/>
            <w:vAlign w:val="center"/>
            <w:hideMark/>
          </w:tcPr>
          <w:p w14:paraId="3244D55A" w14:textId="77777777" w:rsidR="00C50585" w:rsidRPr="00EE038F" w:rsidRDefault="00C50585" w:rsidP="00850177">
            <w:pPr>
              <w:spacing w:after="0" w:line="240" w:lineRule="auto"/>
              <w:contextualSpacing/>
              <w:jc w:val="both"/>
              <w:rPr>
                <w:rFonts w:ascii="Garamond" w:hAnsi="Garamond"/>
                <w:color w:val="0D0D0D" w:themeColor="text1" w:themeTint="F2"/>
                <w:sz w:val="18"/>
              </w:rPr>
            </w:pPr>
          </w:p>
        </w:tc>
        <w:tc>
          <w:tcPr>
            <w:tcW w:w="689" w:type="pct"/>
            <w:tcBorders>
              <w:top w:val="nil"/>
              <w:left w:val="double" w:sz="6" w:space="0" w:color="auto"/>
              <w:bottom w:val="dotted" w:sz="4" w:space="0" w:color="auto"/>
              <w:right w:val="dotted" w:sz="4" w:space="0" w:color="auto"/>
            </w:tcBorders>
            <w:shd w:val="clear" w:color="auto" w:fill="FFFFFF"/>
            <w:vAlign w:val="center"/>
            <w:hideMark/>
          </w:tcPr>
          <w:p w14:paraId="15B9A52E" w14:textId="77777777" w:rsidR="00C50585" w:rsidRPr="00EE038F" w:rsidRDefault="00C50585" w:rsidP="00280C20">
            <w:pPr>
              <w:spacing w:after="0" w:line="240" w:lineRule="auto"/>
              <w:contextualSpacing/>
              <w:jc w:val="right"/>
              <w:rPr>
                <w:rFonts w:ascii="Garamond" w:eastAsia="Times New Roman" w:hAnsi="Garamond"/>
                <w:color w:val="0D0D0D" w:themeColor="text1" w:themeTint="F2"/>
                <w:sz w:val="18"/>
              </w:rPr>
            </w:pPr>
            <w:r w:rsidRPr="00EE038F">
              <w:rPr>
                <w:rFonts w:ascii="Garamond" w:hAnsi="Garamond"/>
                <w:sz w:val="18"/>
              </w:rPr>
              <w:t>-1.8</w:t>
            </w:r>
          </w:p>
        </w:tc>
        <w:tc>
          <w:tcPr>
            <w:tcW w:w="689" w:type="pct"/>
            <w:tcBorders>
              <w:top w:val="nil"/>
              <w:left w:val="nil"/>
              <w:bottom w:val="dotted" w:sz="4" w:space="0" w:color="auto"/>
              <w:right w:val="dotted" w:sz="4" w:space="0" w:color="auto"/>
            </w:tcBorders>
            <w:shd w:val="clear" w:color="auto" w:fill="FFFFFF"/>
            <w:vAlign w:val="center"/>
            <w:hideMark/>
          </w:tcPr>
          <w:p w14:paraId="0E02942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0.1</w:t>
            </w:r>
          </w:p>
        </w:tc>
        <w:tc>
          <w:tcPr>
            <w:tcW w:w="689" w:type="pct"/>
            <w:tcBorders>
              <w:top w:val="nil"/>
              <w:left w:val="nil"/>
              <w:bottom w:val="dotted" w:sz="4" w:space="0" w:color="auto"/>
              <w:right w:val="dotted" w:sz="4" w:space="0" w:color="auto"/>
            </w:tcBorders>
            <w:shd w:val="clear" w:color="auto" w:fill="FFFFFF"/>
            <w:vAlign w:val="center"/>
            <w:hideMark/>
          </w:tcPr>
          <w:p w14:paraId="13F9753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0.2</w:t>
            </w:r>
          </w:p>
        </w:tc>
        <w:tc>
          <w:tcPr>
            <w:tcW w:w="689" w:type="pct"/>
            <w:tcBorders>
              <w:top w:val="nil"/>
              <w:left w:val="nil"/>
              <w:bottom w:val="dotted" w:sz="4" w:space="0" w:color="auto"/>
              <w:right w:val="dotted" w:sz="4" w:space="0" w:color="auto"/>
            </w:tcBorders>
            <w:shd w:val="clear" w:color="auto" w:fill="FFFFFF"/>
            <w:vAlign w:val="center"/>
            <w:hideMark/>
          </w:tcPr>
          <w:p w14:paraId="6413179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0.2</w:t>
            </w:r>
          </w:p>
        </w:tc>
        <w:tc>
          <w:tcPr>
            <w:tcW w:w="691" w:type="pct"/>
            <w:tcBorders>
              <w:top w:val="nil"/>
              <w:left w:val="nil"/>
              <w:bottom w:val="dotted" w:sz="4" w:space="0" w:color="auto"/>
              <w:right w:val="double" w:sz="6" w:space="0" w:color="auto"/>
            </w:tcBorders>
            <w:shd w:val="clear" w:color="auto" w:fill="FFFFFF"/>
            <w:vAlign w:val="center"/>
            <w:hideMark/>
          </w:tcPr>
          <w:p w14:paraId="4B7D272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0.3</w:t>
            </w:r>
          </w:p>
        </w:tc>
      </w:tr>
      <w:tr w:rsidR="00C50585" w:rsidRPr="00EE038F" w14:paraId="49C9D844" w14:textId="77777777" w:rsidTr="00FB5945">
        <w:trPr>
          <w:trHeight w:val="20"/>
          <w:jc w:val="center"/>
        </w:trPr>
        <w:tc>
          <w:tcPr>
            <w:tcW w:w="1001" w:type="pct"/>
            <w:tcBorders>
              <w:top w:val="nil"/>
              <w:left w:val="double" w:sz="6" w:space="0" w:color="auto"/>
              <w:bottom w:val="dotted" w:sz="4" w:space="0" w:color="auto"/>
              <w:right w:val="dotted" w:sz="4" w:space="0" w:color="auto"/>
            </w:tcBorders>
            <w:shd w:val="clear" w:color="auto" w:fill="FFFFFF"/>
            <w:hideMark/>
          </w:tcPr>
          <w:p w14:paraId="6B665EC8" w14:textId="77777777"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lastRenderedPageBreak/>
              <w:t>2. Industria (me përjashtim të ndërtimit)</w:t>
            </w:r>
          </w:p>
        </w:tc>
        <w:tc>
          <w:tcPr>
            <w:tcW w:w="551" w:type="pct"/>
            <w:tcBorders>
              <w:top w:val="dotted" w:sz="4" w:space="0" w:color="auto"/>
              <w:left w:val="nil"/>
              <w:bottom w:val="dotted" w:sz="4" w:space="0" w:color="auto"/>
              <w:right w:val="single" w:sz="4" w:space="0" w:color="auto"/>
            </w:tcBorders>
            <w:shd w:val="clear" w:color="auto" w:fill="FFFFFF"/>
            <w:vAlign w:val="center"/>
            <w:hideMark/>
          </w:tcPr>
          <w:p w14:paraId="514F047C" w14:textId="77777777" w:rsidR="00C50585" w:rsidRPr="00EE038F" w:rsidRDefault="00C50585" w:rsidP="00850177">
            <w:pPr>
              <w:spacing w:after="0" w:line="240" w:lineRule="auto"/>
              <w:contextualSpacing/>
              <w:jc w:val="both"/>
              <w:rPr>
                <w:rFonts w:ascii="Garamond" w:hAnsi="Garamond"/>
                <w:color w:val="0D0D0D" w:themeColor="text1" w:themeTint="F2"/>
                <w:sz w:val="18"/>
              </w:rPr>
            </w:pPr>
          </w:p>
        </w:tc>
        <w:tc>
          <w:tcPr>
            <w:tcW w:w="689" w:type="pct"/>
            <w:tcBorders>
              <w:top w:val="nil"/>
              <w:left w:val="double" w:sz="6" w:space="0" w:color="auto"/>
              <w:bottom w:val="dotted" w:sz="4" w:space="0" w:color="auto"/>
              <w:right w:val="dotted" w:sz="4" w:space="0" w:color="auto"/>
            </w:tcBorders>
            <w:shd w:val="clear" w:color="auto" w:fill="FFFFFF"/>
            <w:vAlign w:val="center"/>
            <w:hideMark/>
          </w:tcPr>
          <w:p w14:paraId="5F6BDD3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-2.4</w:t>
            </w:r>
          </w:p>
        </w:tc>
        <w:tc>
          <w:tcPr>
            <w:tcW w:w="689" w:type="pct"/>
            <w:tcBorders>
              <w:top w:val="nil"/>
              <w:left w:val="nil"/>
              <w:bottom w:val="dotted" w:sz="4" w:space="0" w:color="auto"/>
              <w:right w:val="dotted" w:sz="4" w:space="0" w:color="auto"/>
            </w:tcBorders>
            <w:shd w:val="clear" w:color="auto" w:fill="FFFFFF"/>
            <w:vAlign w:val="center"/>
            <w:hideMark/>
          </w:tcPr>
          <w:p w14:paraId="481179F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-5.7</w:t>
            </w:r>
          </w:p>
        </w:tc>
        <w:tc>
          <w:tcPr>
            <w:tcW w:w="689" w:type="pct"/>
            <w:tcBorders>
              <w:top w:val="nil"/>
              <w:left w:val="nil"/>
              <w:bottom w:val="dotted" w:sz="4" w:space="0" w:color="auto"/>
              <w:right w:val="dotted" w:sz="4" w:space="0" w:color="auto"/>
            </w:tcBorders>
            <w:shd w:val="clear" w:color="auto" w:fill="FFFFFF"/>
            <w:vAlign w:val="center"/>
            <w:hideMark/>
          </w:tcPr>
          <w:p w14:paraId="6180D86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5.6</w:t>
            </w:r>
          </w:p>
        </w:tc>
        <w:tc>
          <w:tcPr>
            <w:tcW w:w="689" w:type="pct"/>
            <w:tcBorders>
              <w:top w:val="nil"/>
              <w:left w:val="nil"/>
              <w:bottom w:val="dotted" w:sz="4" w:space="0" w:color="auto"/>
              <w:right w:val="dotted" w:sz="4" w:space="0" w:color="auto"/>
            </w:tcBorders>
            <w:shd w:val="clear" w:color="auto" w:fill="FFFFFF"/>
            <w:vAlign w:val="center"/>
            <w:hideMark/>
          </w:tcPr>
          <w:p w14:paraId="26FB32A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4.9</w:t>
            </w:r>
          </w:p>
        </w:tc>
        <w:tc>
          <w:tcPr>
            <w:tcW w:w="691" w:type="pct"/>
            <w:tcBorders>
              <w:top w:val="nil"/>
              <w:left w:val="nil"/>
              <w:bottom w:val="dotted" w:sz="4" w:space="0" w:color="auto"/>
              <w:right w:val="double" w:sz="6" w:space="0" w:color="auto"/>
            </w:tcBorders>
            <w:shd w:val="clear" w:color="auto" w:fill="FFFFFF"/>
            <w:vAlign w:val="center"/>
            <w:hideMark/>
          </w:tcPr>
          <w:p w14:paraId="0DD1EEF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4.9</w:t>
            </w:r>
          </w:p>
        </w:tc>
      </w:tr>
      <w:tr w:rsidR="00C50585" w:rsidRPr="00EE038F" w14:paraId="01381693" w14:textId="77777777" w:rsidTr="00FB5945">
        <w:trPr>
          <w:trHeight w:val="20"/>
          <w:jc w:val="center"/>
        </w:trPr>
        <w:tc>
          <w:tcPr>
            <w:tcW w:w="1001" w:type="pct"/>
            <w:tcBorders>
              <w:top w:val="nil"/>
              <w:left w:val="double" w:sz="6" w:space="0" w:color="auto"/>
              <w:bottom w:val="dotted" w:sz="4" w:space="0" w:color="auto"/>
              <w:right w:val="dotted" w:sz="4" w:space="0" w:color="auto"/>
            </w:tcBorders>
            <w:shd w:val="clear" w:color="auto" w:fill="FFFFFF"/>
            <w:hideMark/>
          </w:tcPr>
          <w:p w14:paraId="5F7A94AC" w14:textId="77777777"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3. Ndërtimi</w:t>
            </w:r>
          </w:p>
        </w:tc>
        <w:tc>
          <w:tcPr>
            <w:tcW w:w="551" w:type="pct"/>
            <w:tcBorders>
              <w:top w:val="dotted" w:sz="4" w:space="0" w:color="auto"/>
              <w:left w:val="nil"/>
              <w:bottom w:val="dotted" w:sz="4" w:space="0" w:color="auto"/>
              <w:right w:val="single" w:sz="4" w:space="0" w:color="auto"/>
            </w:tcBorders>
            <w:shd w:val="clear" w:color="auto" w:fill="FFFFFF"/>
            <w:vAlign w:val="center"/>
            <w:hideMark/>
          </w:tcPr>
          <w:p w14:paraId="7CA680DE" w14:textId="77777777" w:rsidR="00C50585" w:rsidRPr="00EE038F" w:rsidRDefault="00C50585" w:rsidP="00850177">
            <w:pPr>
              <w:spacing w:after="0" w:line="240" w:lineRule="auto"/>
              <w:contextualSpacing/>
              <w:jc w:val="both"/>
              <w:rPr>
                <w:rFonts w:ascii="Garamond" w:hAnsi="Garamond"/>
                <w:color w:val="0D0D0D" w:themeColor="text1" w:themeTint="F2"/>
                <w:sz w:val="18"/>
              </w:rPr>
            </w:pPr>
          </w:p>
        </w:tc>
        <w:tc>
          <w:tcPr>
            <w:tcW w:w="689" w:type="pct"/>
            <w:tcBorders>
              <w:top w:val="nil"/>
              <w:left w:val="double" w:sz="6" w:space="0" w:color="auto"/>
              <w:bottom w:val="dotted" w:sz="4" w:space="0" w:color="auto"/>
              <w:right w:val="dotted" w:sz="4" w:space="0" w:color="auto"/>
            </w:tcBorders>
            <w:shd w:val="clear" w:color="auto" w:fill="FFFFFF"/>
            <w:vAlign w:val="center"/>
            <w:hideMark/>
          </w:tcPr>
          <w:p w14:paraId="1AAAC48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8.5</w:t>
            </w:r>
          </w:p>
        </w:tc>
        <w:tc>
          <w:tcPr>
            <w:tcW w:w="689" w:type="pct"/>
            <w:tcBorders>
              <w:top w:val="nil"/>
              <w:left w:val="nil"/>
              <w:bottom w:val="dotted" w:sz="4" w:space="0" w:color="auto"/>
              <w:right w:val="dotted" w:sz="4" w:space="0" w:color="auto"/>
            </w:tcBorders>
            <w:shd w:val="clear" w:color="auto" w:fill="FFFFFF"/>
            <w:vAlign w:val="center"/>
            <w:hideMark/>
          </w:tcPr>
          <w:p w14:paraId="2443317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8.9</w:t>
            </w:r>
          </w:p>
        </w:tc>
        <w:tc>
          <w:tcPr>
            <w:tcW w:w="689" w:type="pct"/>
            <w:tcBorders>
              <w:top w:val="nil"/>
              <w:left w:val="nil"/>
              <w:bottom w:val="dotted" w:sz="4" w:space="0" w:color="auto"/>
              <w:right w:val="dotted" w:sz="4" w:space="0" w:color="auto"/>
            </w:tcBorders>
            <w:shd w:val="clear" w:color="auto" w:fill="FFFFFF"/>
            <w:vAlign w:val="center"/>
            <w:hideMark/>
          </w:tcPr>
          <w:p w14:paraId="40CD465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3.2</w:t>
            </w:r>
          </w:p>
        </w:tc>
        <w:tc>
          <w:tcPr>
            <w:tcW w:w="689" w:type="pct"/>
            <w:tcBorders>
              <w:top w:val="nil"/>
              <w:left w:val="nil"/>
              <w:bottom w:val="dotted" w:sz="4" w:space="0" w:color="auto"/>
              <w:right w:val="dotted" w:sz="4" w:space="0" w:color="auto"/>
            </w:tcBorders>
            <w:shd w:val="clear" w:color="auto" w:fill="FFFFFF"/>
            <w:vAlign w:val="center"/>
            <w:hideMark/>
          </w:tcPr>
          <w:p w14:paraId="1E108CF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3.3</w:t>
            </w:r>
          </w:p>
        </w:tc>
        <w:tc>
          <w:tcPr>
            <w:tcW w:w="691" w:type="pct"/>
            <w:tcBorders>
              <w:top w:val="nil"/>
              <w:left w:val="nil"/>
              <w:bottom w:val="dotted" w:sz="4" w:space="0" w:color="auto"/>
              <w:right w:val="double" w:sz="6" w:space="0" w:color="auto"/>
            </w:tcBorders>
            <w:shd w:val="clear" w:color="auto" w:fill="FFFFFF"/>
            <w:vAlign w:val="center"/>
            <w:hideMark/>
          </w:tcPr>
          <w:p w14:paraId="7BFBAD6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3.1</w:t>
            </w:r>
          </w:p>
        </w:tc>
      </w:tr>
      <w:tr w:rsidR="00C50585" w:rsidRPr="00EE038F" w14:paraId="310FF149" w14:textId="77777777" w:rsidTr="00FB5945">
        <w:trPr>
          <w:trHeight w:val="20"/>
          <w:jc w:val="center"/>
        </w:trPr>
        <w:tc>
          <w:tcPr>
            <w:tcW w:w="1001" w:type="pct"/>
            <w:tcBorders>
              <w:top w:val="nil"/>
              <w:left w:val="double" w:sz="6" w:space="0" w:color="auto"/>
              <w:bottom w:val="double" w:sz="6" w:space="0" w:color="auto"/>
              <w:right w:val="dotted" w:sz="4" w:space="0" w:color="auto"/>
            </w:tcBorders>
            <w:shd w:val="clear" w:color="auto" w:fill="FFFFFF"/>
            <w:hideMark/>
          </w:tcPr>
          <w:p w14:paraId="5FC6A3E6" w14:textId="77777777" w:rsidR="00C50585" w:rsidRPr="00EE038F" w:rsidRDefault="00C50585" w:rsidP="00850177">
            <w:pPr>
              <w:spacing w:after="0" w:line="240" w:lineRule="auto"/>
              <w:contextualSpacing/>
              <w:jc w:val="both"/>
              <w:rPr>
                <w:rFonts w:ascii="Garamond" w:hAnsi="Garamond"/>
                <w:color w:val="0D0D0D" w:themeColor="text1" w:themeTint="F2"/>
                <w:sz w:val="18"/>
              </w:rPr>
            </w:pPr>
            <w:r w:rsidRPr="00EE038F">
              <w:rPr>
                <w:rFonts w:ascii="Garamond" w:hAnsi="Garamond"/>
                <w:sz w:val="18"/>
              </w:rPr>
              <w:t>4. Shërbimet</w:t>
            </w:r>
          </w:p>
        </w:tc>
        <w:tc>
          <w:tcPr>
            <w:tcW w:w="551" w:type="pct"/>
            <w:tcBorders>
              <w:top w:val="dotted" w:sz="4" w:space="0" w:color="auto"/>
              <w:left w:val="nil"/>
              <w:bottom w:val="double" w:sz="6" w:space="0" w:color="auto"/>
              <w:right w:val="single" w:sz="4" w:space="0" w:color="auto"/>
            </w:tcBorders>
            <w:shd w:val="clear" w:color="auto" w:fill="FFFFFF"/>
            <w:vAlign w:val="center"/>
            <w:hideMark/>
          </w:tcPr>
          <w:p w14:paraId="628A859F" w14:textId="77777777" w:rsidR="00C50585" w:rsidRPr="00EE038F" w:rsidRDefault="00C50585" w:rsidP="00850177">
            <w:pPr>
              <w:spacing w:after="0" w:line="240" w:lineRule="auto"/>
              <w:contextualSpacing/>
              <w:jc w:val="both"/>
              <w:rPr>
                <w:rFonts w:ascii="Garamond" w:hAnsi="Garamond"/>
                <w:color w:val="0D0D0D" w:themeColor="text1" w:themeTint="F2"/>
                <w:sz w:val="18"/>
              </w:rPr>
            </w:pPr>
          </w:p>
        </w:tc>
        <w:tc>
          <w:tcPr>
            <w:tcW w:w="689" w:type="pct"/>
            <w:tcBorders>
              <w:top w:val="nil"/>
              <w:left w:val="double" w:sz="6" w:space="0" w:color="auto"/>
              <w:bottom w:val="double" w:sz="6" w:space="0" w:color="auto"/>
              <w:right w:val="dotted" w:sz="4" w:space="0" w:color="auto"/>
            </w:tcBorders>
            <w:shd w:val="clear" w:color="auto" w:fill="FFFFFF"/>
            <w:vAlign w:val="center"/>
            <w:hideMark/>
          </w:tcPr>
          <w:p w14:paraId="77350C9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8.3</w:t>
            </w:r>
          </w:p>
        </w:tc>
        <w:tc>
          <w:tcPr>
            <w:tcW w:w="689" w:type="pct"/>
            <w:tcBorders>
              <w:top w:val="nil"/>
              <w:left w:val="nil"/>
              <w:bottom w:val="double" w:sz="6" w:space="0" w:color="auto"/>
              <w:right w:val="dotted" w:sz="4" w:space="0" w:color="auto"/>
            </w:tcBorders>
            <w:shd w:val="clear" w:color="auto" w:fill="FFFFFF"/>
            <w:vAlign w:val="center"/>
            <w:hideMark/>
          </w:tcPr>
          <w:p w14:paraId="4931B36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6.1</w:t>
            </w:r>
          </w:p>
        </w:tc>
        <w:tc>
          <w:tcPr>
            <w:tcW w:w="689" w:type="pct"/>
            <w:tcBorders>
              <w:top w:val="nil"/>
              <w:left w:val="nil"/>
              <w:bottom w:val="double" w:sz="6" w:space="0" w:color="auto"/>
              <w:right w:val="dotted" w:sz="4" w:space="0" w:color="auto"/>
            </w:tcBorders>
            <w:shd w:val="clear" w:color="auto" w:fill="FFFFFF"/>
            <w:vAlign w:val="center"/>
            <w:hideMark/>
          </w:tcPr>
          <w:p w14:paraId="12BD7F6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4.8</w:t>
            </w:r>
          </w:p>
        </w:tc>
        <w:tc>
          <w:tcPr>
            <w:tcW w:w="689" w:type="pct"/>
            <w:tcBorders>
              <w:top w:val="nil"/>
              <w:left w:val="nil"/>
              <w:bottom w:val="double" w:sz="6" w:space="0" w:color="auto"/>
              <w:right w:val="dotted" w:sz="4" w:space="0" w:color="auto"/>
            </w:tcBorders>
            <w:shd w:val="clear" w:color="auto" w:fill="FFFFFF"/>
            <w:vAlign w:val="center"/>
            <w:hideMark/>
          </w:tcPr>
          <w:p w14:paraId="0ACDFA6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5.1</w:t>
            </w:r>
          </w:p>
        </w:tc>
        <w:tc>
          <w:tcPr>
            <w:tcW w:w="691" w:type="pct"/>
            <w:tcBorders>
              <w:top w:val="nil"/>
              <w:left w:val="nil"/>
              <w:bottom w:val="double" w:sz="6" w:space="0" w:color="auto"/>
              <w:right w:val="double" w:sz="6" w:space="0" w:color="auto"/>
            </w:tcBorders>
            <w:shd w:val="clear" w:color="auto" w:fill="FFFFFF"/>
            <w:vAlign w:val="center"/>
            <w:hideMark/>
          </w:tcPr>
          <w:p w14:paraId="1B0BDC5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4.9</w:t>
            </w:r>
          </w:p>
        </w:tc>
      </w:tr>
    </w:tbl>
    <w:p w14:paraId="4BA83989" w14:textId="77777777" w:rsidR="00C50585" w:rsidRPr="00EE038F" w:rsidRDefault="00C50585" w:rsidP="00C50585">
      <w:pPr>
        <w:spacing w:after="0" w:line="240" w:lineRule="auto"/>
        <w:contextualSpacing/>
        <w:jc w:val="both"/>
        <w:rPr>
          <w:rFonts w:ascii="Garamond" w:hAnsi="Garamond"/>
          <w:b/>
          <w:color w:val="0D0D0D" w:themeColor="text1" w:themeTint="F2"/>
        </w:rPr>
      </w:pPr>
    </w:p>
    <w:p w14:paraId="0DAB6FA1" w14:textId="42264E89" w:rsidR="00C50585" w:rsidRPr="00EE038F" w:rsidRDefault="00C50585" w:rsidP="00066DFC">
      <w:pPr>
        <w:spacing w:after="0" w:line="240" w:lineRule="auto"/>
        <w:contextualSpacing/>
        <w:jc w:val="center"/>
        <w:rPr>
          <w:rFonts w:ascii="Garamond" w:hAnsi="Garamond"/>
          <w:bCs/>
          <w:i/>
          <w:iCs/>
          <w:color w:val="0D0D0D" w:themeColor="text1" w:themeTint="F2"/>
          <w:sz w:val="24"/>
          <w:szCs w:val="24"/>
        </w:rPr>
      </w:pPr>
      <w:r w:rsidRPr="00EE038F">
        <w:rPr>
          <w:rFonts w:ascii="Garamond" w:hAnsi="Garamond"/>
          <w:bCs/>
          <w:i/>
          <w:iCs/>
          <w:color w:val="0D0D0D" w:themeColor="text1" w:themeTint="F2"/>
          <w:sz w:val="24"/>
          <w:szCs w:val="24"/>
        </w:rPr>
        <w:t>Tabela 1f: Zhvillimet në sektorin e jashtëm</w:t>
      </w:r>
    </w:p>
    <w:tbl>
      <w:tblPr>
        <w:tblW w:w="5000" w:type="pct"/>
        <w:tblLook w:val="04A0" w:firstRow="1" w:lastRow="0" w:firstColumn="1" w:lastColumn="0" w:noHBand="0" w:noVBand="1"/>
      </w:tblPr>
      <w:tblGrid>
        <w:gridCol w:w="3740"/>
        <w:gridCol w:w="1063"/>
        <w:gridCol w:w="833"/>
        <w:gridCol w:w="835"/>
        <w:gridCol w:w="833"/>
        <w:gridCol w:w="835"/>
        <w:gridCol w:w="835"/>
      </w:tblGrid>
      <w:tr w:rsidR="00C50585" w:rsidRPr="00EE038F" w14:paraId="60671320" w14:textId="77777777" w:rsidTr="00FB5945">
        <w:trPr>
          <w:trHeight w:val="20"/>
        </w:trPr>
        <w:tc>
          <w:tcPr>
            <w:tcW w:w="2084" w:type="pct"/>
            <w:vMerge w:val="restart"/>
            <w:tcBorders>
              <w:top w:val="double" w:sz="6" w:space="0" w:color="auto"/>
              <w:left w:val="double" w:sz="6" w:space="0" w:color="auto"/>
              <w:right w:val="single" w:sz="8" w:space="0" w:color="auto"/>
            </w:tcBorders>
            <w:shd w:val="clear" w:color="auto" w:fill="FFFFFF"/>
            <w:vAlign w:val="center"/>
            <w:hideMark/>
          </w:tcPr>
          <w:bookmarkEnd w:id="45"/>
          <w:p w14:paraId="04E61FB3" w14:textId="376350A1"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 xml:space="preserve">Miliardë </w:t>
            </w:r>
            <w:r w:rsidR="00E02AEA" w:rsidRPr="00EE038F">
              <w:rPr>
                <w:rFonts w:ascii="Garamond" w:hAnsi="Garamond"/>
                <w:b/>
                <w:bCs/>
                <w:color w:val="0D0D0D" w:themeColor="text1" w:themeTint="F2"/>
                <w:sz w:val="18"/>
              </w:rPr>
              <w:t>euro</w:t>
            </w:r>
            <w:r w:rsidRPr="00EE038F">
              <w:rPr>
                <w:rFonts w:ascii="Garamond" w:hAnsi="Garamond"/>
                <w:b/>
                <w:bCs/>
                <w:color w:val="0D0D0D" w:themeColor="text1" w:themeTint="F2"/>
                <w:sz w:val="18"/>
              </w:rPr>
              <w:t>, përveç nëse tregohet ndryshe</w:t>
            </w:r>
          </w:p>
        </w:tc>
        <w:tc>
          <w:tcPr>
            <w:tcW w:w="592" w:type="pct"/>
            <w:tcBorders>
              <w:top w:val="double" w:sz="6" w:space="0" w:color="auto"/>
              <w:left w:val="nil"/>
              <w:right w:val="single" w:sz="4" w:space="0" w:color="auto"/>
            </w:tcBorders>
            <w:shd w:val="clear" w:color="auto" w:fill="FFFFFF"/>
          </w:tcPr>
          <w:p w14:paraId="0B5ACFF3" w14:textId="77777777" w:rsidR="00C50585" w:rsidRPr="00EE038F" w:rsidRDefault="00C50585" w:rsidP="007C70E7">
            <w:pPr>
              <w:spacing w:after="0" w:line="240" w:lineRule="auto"/>
              <w:contextualSpacing/>
              <w:jc w:val="both"/>
              <w:rPr>
                <w:rFonts w:ascii="Garamond" w:hAnsi="Garamond"/>
                <w:b/>
                <w:bCs/>
                <w:sz w:val="18"/>
              </w:rPr>
            </w:pPr>
          </w:p>
        </w:tc>
        <w:tc>
          <w:tcPr>
            <w:tcW w:w="464" w:type="pct"/>
            <w:tcBorders>
              <w:top w:val="double" w:sz="6" w:space="0" w:color="auto"/>
              <w:left w:val="single" w:sz="4" w:space="0" w:color="auto"/>
              <w:bottom w:val="nil"/>
              <w:right w:val="dotted" w:sz="4" w:space="0" w:color="auto"/>
            </w:tcBorders>
            <w:shd w:val="clear" w:color="auto" w:fill="FFFFFF"/>
            <w:hideMark/>
          </w:tcPr>
          <w:p w14:paraId="35E8606A" w14:textId="77777777" w:rsidR="00C50585" w:rsidRPr="00EE038F" w:rsidRDefault="00C50585" w:rsidP="007C70E7">
            <w:pPr>
              <w:spacing w:after="0" w:line="240" w:lineRule="auto"/>
              <w:contextualSpacing/>
              <w:jc w:val="both"/>
              <w:rPr>
                <w:rFonts w:ascii="Garamond" w:eastAsia="Times New Roman" w:hAnsi="Garamond"/>
                <w:b/>
                <w:bCs/>
                <w:color w:val="0D0D0D" w:themeColor="text1" w:themeTint="F2"/>
                <w:sz w:val="18"/>
              </w:rPr>
            </w:pPr>
            <w:r w:rsidRPr="00EE038F">
              <w:rPr>
                <w:rFonts w:ascii="Garamond" w:hAnsi="Garamond"/>
                <w:b/>
                <w:bCs/>
                <w:sz w:val="18"/>
              </w:rPr>
              <w:t>Viti</w:t>
            </w:r>
          </w:p>
        </w:tc>
        <w:tc>
          <w:tcPr>
            <w:tcW w:w="465" w:type="pct"/>
            <w:tcBorders>
              <w:top w:val="double" w:sz="6" w:space="0" w:color="auto"/>
              <w:left w:val="nil"/>
              <w:bottom w:val="nil"/>
              <w:right w:val="dotted" w:sz="4" w:space="0" w:color="auto"/>
            </w:tcBorders>
            <w:shd w:val="clear" w:color="auto" w:fill="FFFFFF"/>
            <w:hideMark/>
          </w:tcPr>
          <w:p w14:paraId="2EC792C2"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c>
          <w:tcPr>
            <w:tcW w:w="464" w:type="pct"/>
            <w:tcBorders>
              <w:top w:val="double" w:sz="6" w:space="0" w:color="auto"/>
              <w:left w:val="nil"/>
              <w:bottom w:val="nil"/>
              <w:right w:val="dotted" w:sz="4" w:space="0" w:color="auto"/>
            </w:tcBorders>
            <w:shd w:val="clear" w:color="auto" w:fill="FFFFFF"/>
            <w:hideMark/>
          </w:tcPr>
          <w:p w14:paraId="3955E48F"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c>
          <w:tcPr>
            <w:tcW w:w="465" w:type="pct"/>
            <w:tcBorders>
              <w:top w:val="double" w:sz="6" w:space="0" w:color="auto"/>
              <w:left w:val="nil"/>
              <w:bottom w:val="nil"/>
              <w:right w:val="dotted" w:sz="4" w:space="0" w:color="auto"/>
            </w:tcBorders>
            <w:shd w:val="clear" w:color="auto" w:fill="FFFFFF"/>
            <w:hideMark/>
          </w:tcPr>
          <w:p w14:paraId="2F2E11C0"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c>
          <w:tcPr>
            <w:tcW w:w="465" w:type="pct"/>
            <w:tcBorders>
              <w:top w:val="double" w:sz="6" w:space="0" w:color="auto"/>
              <w:left w:val="nil"/>
              <w:bottom w:val="nil"/>
              <w:right w:val="double" w:sz="6" w:space="0" w:color="auto"/>
            </w:tcBorders>
            <w:shd w:val="clear" w:color="auto" w:fill="FFFFFF"/>
            <w:hideMark/>
          </w:tcPr>
          <w:p w14:paraId="156BB763"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Viti</w:t>
            </w:r>
          </w:p>
        </w:tc>
      </w:tr>
      <w:tr w:rsidR="00C50585" w:rsidRPr="00EE038F" w14:paraId="24631AC6" w14:textId="77777777" w:rsidTr="00FB5945">
        <w:trPr>
          <w:trHeight w:val="20"/>
        </w:trPr>
        <w:tc>
          <w:tcPr>
            <w:tcW w:w="2084" w:type="pct"/>
            <w:vMerge/>
            <w:tcBorders>
              <w:left w:val="double" w:sz="6" w:space="0" w:color="auto"/>
              <w:bottom w:val="double" w:sz="6" w:space="0" w:color="auto"/>
              <w:right w:val="single" w:sz="8" w:space="0" w:color="auto"/>
            </w:tcBorders>
            <w:shd w:val="clear" w:color="auto" w:fill="FFFFFF"/>
            <w:vAlign w:val="center"/>
            <w:hideMark/>
          </w:tcPr>
          <w:p w14:paraId="6D559B5F"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p>
        </w:tc>
        <w:tc>
          <w:tcPr>
            <w:tcW w:w="592" w:type="pct"/>
            <w:tcBorders>
              <w:left w:val="nil"/>
              <w:bottom w:val="double" w:sz="6" w:space="0" w:color="auto"/>
              <w:right w:val="single" w:sz="4" w:space="0" w:color="auto"/>
            </w:tcBorders>
            <w:shd w:val="clear" w:color="auto" w:fill="FFFFFF"/>
          </w:tcPr>
          <w:p w14:paraId="0836892C" w14:textId="77777777" w:rsidR="00C50585" w:rsidRPr="00EE038F" w:rsidRDefault="00C50585" w:rsidP="007C70E7">
            <w:pPr>
              <w:spacing w:after="0" w:line="240" w:lineRule="auto"/>
              <w:contextualSpacing/>
              <w:jc w:val="both"/>
              <w:rPr>
                <w:rFonts w:ascii="Garamond" w:hAnsi="Garamond"/>
                <w:b/>
                <w:bCs/>
                <w:sz w:val="18"/>
              </w:rPr>
            </w:pPr>
          </w:p>
        </w:tc>
        <w:tc>
          <w:tcPr>
            <w:tcW w:w="464" w:type="pct"/>
            <w:tcBorders>
              <w:top w:val="nil"/>
              <w:left w:val="single" w:sz="4" w:space="0" w:color="auto"/>
              <w:bottom w:val="double" w:sz="6" w:space="0" w:color="auto"/>
              <w:right w:val="dotted" w:sz="4" w:space="0" w:color="auto"/>
            </w:tcBorders>
            <w:shd w:val="clear" w:color="auto" w:fill="FFFFFF"/>
            <w:hideMark/>
          </w:tcPr>
          <w:p w14:paraId="2F3901A0"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2023</w:t>
            </w:r>
          </w:p>
        </w:tc>
        <w:tc>
          <w:tcPr>
            <w:tcW w:w="465" w:type="pct"/>
            <w:tcBorders>
              <w:top w:val="nil"/>
              <w:left w:val="nil"/>
              <w:bottom w:val="double" w:sz="6" w:space="0" w:color="auto"/>
              <w:right w:val="dotted" w:sz="4" w:space="0" w:color="auto"/>
            </w:tcBorders>
            <w:shd w:val="clear" w:color="auto" w:fill="FFFFFF"/>
            <w:hideMark/>
          </w:tcPr>
          <w:p w14:paraId="39002A25"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2024</w:t>
            </w:r>
          </w:p>
        </w:tc>
        <w:tc>
          <w:tcPr>
            <w:tcW w:w="464" w:type="pct"/>
            <w:tcBorders>
              <w:top w:val="nil"/>
              <w:left w:val="nil"/>
              <w:bottom w:val="double" w:sz="6" w:space="0" w:color="auto"/>
              <w:right w:val="dotted" w:sz="4" w:space="0" w:color="auto"/>
            </w:tcBorders>
            <w:shd w:val="clear" w:color="auto" w:fill="FFFFFF"/>
            <w:hideMark/>
          </w:tcPr>
          <w:p w14:paraId="565DB12C"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2025</w:t>
            </w:r>
          </w:p>
        </w:tc>
        <w:tc>
          <w:tcPr>
            <w:tcW w:w="465" w:type="pct"/>
            <w:tcBorders>
              <w:top w:val="nil"/>
              <w:left w:val="nil"/>
              <w:bottom w:val="double" w:sz="6" w:space="0" w:color="auto"/>
              <w:right w:val="dotted" w:sz="4" w:space="0" w:color="auto"/>
            </w:tcBorders>
            <w:shd w:val="clear" w:color="auto" w:fill="FFFFFF"/>
            <w:hideMark/>
          </w:tcPr>
          <w:p w14:paraId="6362B5C1"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2026</w:t>
            </w:r>
          </w:p>
        </w:tc>
        <w:tc>
          <w:tcPr>
            <w:tcW w:w="465" w:type="pct"/>
            <w:tcBorders>
              <w:top w:val="nil"/>
              <w:left w:val="nil"/>
              <w:bottom w:val="double" w:sz="6" w:space="0" w:color="auto"/>
              <w:right w:val="double" w:sz="6" w:space="0" w:color="auto"/>
            </w:tcBorders>
            <w:shd w:val="clear" w:color="auto" w:fill="FFFFFF"/>
            <w:hideMark/>
          </w:tcPr>
          <w:p w14:paraId="5CE3A5F9"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sz w:val="18"/>
              </w:rPr>
              <w:t>2027</w:t>
            </w:r>
          </w:p>
        </w:tc>
      </w:tr>
      <w:tr w:rsidR="00C50585" w:rsidRPr="00EE038F" w14:paraId="7648C6A2"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0906E531" w14:textId="4E6FFFCA"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1. Bilanci i llogarisë kor</w:t>
            </w:r>
            <w:r w:rsidR="00FB2058">
              <w:rPr>
                <w:rFonts w:ascii="Garamond" w:hAnsi="Garamond"/>
                <w:sz w:val="18"/>
              </w:rPr>
              <w:t>r</w:t>
            </w:r>
            <w:r w:rsidRPr="00EE038F">
              <w:rPr>
                <w:rFonts w:ascii="Garamond" w:hAnsi="Garamond"/>
                <w:sz w:val="18"/>
              </w:rPr>
              <w:t>ente (% e PBB-së)</w:t>
            </w:r>
          </w:p>
        </w:tc>
        <w:tc>
          <w:tcPr>
            <w:tcW w:w="592" w:type="pct"/>
            <w:tcBorders>
              <w:top w:val="nil"/>
              <w:left w:val="nil"/>
              <w:bottom w:val="dotted" w:sz="4" w:space="0" w:color="auto"/>
              <w:right w:val="single" w:sz="4" w:space="0" w:color="auto"/>
            </w:tcBorders>
            <w:shd w:val="clear" w:color="auto" w:fill="FFFFFF"/>
            <w:vAlign w:val="center"/>
          </w:tcPr>
          <w:p w14:paraId="6893324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e PBB</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71FDF2AA" w14:textId="77777777" w:rsidR="00C50585" w:rsidRPr="00EE038F" w:rsidRDefault="00C50585" w:rsidP="00280C20">
            <w:pPr>
              <w:spacing w:after="0" w:line="240" w:lineRule="auto"/>
              <w:contextualSpacing/>
              <w:jc w:val="right"/>
              <w:rPr>
                <w:rFonts w:ascii="Garamond" w:eastAsia="Times New Roman" w:hAnsi="Garamond"/>
                <w:color w:val="0D0D0D" w:themeColor="text1" w:themeTint="F2"/>
                <w:sz w:val="18"/>
              </w:rPr>
            </w:pPr>
            <w:r w:rsidRPr="00EE038F">
              <w:rPr>
                <w:rFonts w:ascii="Garamond" w:hAnsi="Garamond"/>
                <w:sz w:val="18"/>
              </w:rPr>
              <w:t>:</w:t>
            </w:r>
          </w:p>
        </w:tc>
        <w:tc>
          <w:tcPr>
            <w:tcW w:w="465" w:type="pct"/>
            <w:tcBorders>
              <w:top w:val="nil"/>
              <w:left w:val="nil"/>
              <w:bottom w:val="dotted" w:sz="4" w:space="0" w:color="auto"/>
              <w:right w:val="dotted" w:sz="4" w:space="0" w:color="auto"/>
            </w:tcBorders>
            <w:shd w:val="clear" w:color="auto" w:fill="FFFFFF"/>
            <w:vAlign w:val="center"/>
            <w:hideMark/>
          </w:tcPr>
          <w:p w14:paraId="3653482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4" w:type="pct"/>
            <w:tcBorders>
              <w:top w:val="nil"/>
              <w:left w:val="nil"/>
              <w:bottom w:val="dotted" w:sz="4" w:space="0" w:color="auto"/>
              <w:right w:val="dotted" w:sz="4" w:space="0" w:color="auto"/>
            </w:tcBorders>
            <w:shd w:val="clear" w:color="auto" w:fill="FFFFFF"/>
            <w:vAlign w:val="center"/>
            <w:hideMark/>
          </w:tcPr>
          <w:p w14:paraId="34043605"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5" w:type="pct"/>
            <w:tcBorders>
              <w:top w:val="nil"/>
              <w:left w:val="nil"/>
              <w:bottom w:val="dotted" w:sz="4" w:space="0" w:color="auto"/>
              <w:right w:val="dotted" w:sz="4" w:space="0" w:color="auto"/>
            </w:tcBorders>
            <w:shd w:val="clear" w:color="auto" w:fill="FFFFFF"/>
            <w:vAlign w:val="center"/>
            <w:hideMark/>
          </w:tcPr>
          <w:p w14:paraId="2099319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5" w:type="pct"/>
            <w:tcBorders>
              <w:top w:val="nil"/>
              <w:left w:val="nil"/>
              <w:bottom w:val="dotted" w:sz="4" w:space="0" w:color="auto"/>
              <w:right w:val="double" w:sz="6" w:space="0" w:color="auto"/>
            </w:tcBorders>
            <w:shd w:val="clear" w:color="auto" w:fill="FFFFFF"/>
            <w:vAlign w:val="center"/>
            <w:hideMark/>
          </w:tcPr>
          <w:p w14:paraId="3010242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r>
      <w:tr w:rsidR="00C50585" w:rsidRPr="00EE038F" w14:paraId="62E52D66"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60F93175"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2. Eksporti i mallrave</w:t>
            </w:r>
          </w:p>
        </w:tc>
        <w:tc>
          <w:tcPr>
            <w:tcW w:w="592" w:type="pct"/>
            <w:tcBorders>
              <w:top w:val="nil"/>
              <w:left w:val="nil"/>
              <w:bottom w:val="dotted" w:sz="4" w:space="0" w:color="auto"/>
              <w:right w:val="single" w:sz="4" w:space="0" w:color="auto"/>
            </w:tcBorders>
            <w:shd w:val="clear" w:color="auto" w:fill="FFFFFF"/>
            <w:vAlign w:val="center"/>
          </w:tcPr>
          <w:p w14:paraId="52EB320A" w14:textId="54A02833"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23EB8FF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1.8</w:t>
            </w:r>
          </w:p>
        </w:tc>
        <w:tc>
          <w:tcPr>
            <w:tcW w:w="465" w:type="pct"/>
            <w:tcBorders>
              <w:top w:val="nil"/>
              <w:left w:val="nil"/>
              <w:bottom w:val="dotted" w:sz="4" w:space="0" w:color="auto"/>
              <w:right w:val="dotted" w:sz="4" w:space="0" w:color="auto"/>
            </w:tcBorders>
            <w:shd w:val="clear" w:color="auto" w:fill="FFFFFF"/>
            <w:vAlign w:val="center"/>
            <w:hideMark/>
          </w:tcPr>
          <w:p w14:paraId="1EFF950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1.8</w:t>
            </w:r>
          </w:p>
        </w:tc>
        <w:tc>
          <w:tcPr>
            <w:tcW w:w="464" w:type="pct"/>
            <w:tcBorders>
              <w:top w:val="nil"/>
              <w:left w:val="nil"/>
              <w:bottom w:val="dotted" w:sz="4" w:space="0" w:color="auto"/>
              <w:right w:val="dotted" w:sz="4" w:space="0" w:color="auto"/>
            </w:tcBorders>
            <w:shd w:val="clear" w:color="auto" w:fill="FFFFFF"/>
            <w:vAlign w:val="center"/>
            <w:hideMark/>
          </w:tcPr>
          <w:p w14:paraId="4E052F9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1.9</w:t>
            </w:r>
          </w:p>
        </w:tc>
        <w:tc>
          <w:tcPr>
            <w:tcW w:w="465" w:type="pct"/>
            <w:tcBorders>
              <w:top w:val="nil"/>
              <w:left w:val="nil"/>
              <w:bottom w:val="dotted" w:sz="4" w:space="0" w:color="auto"/>
              <w:right w:val="dotted" w:sz="4" w:space="0" w:color="auto"/>
            </w:tcBorders>
            <w:shd w:val="clear" w:color="auto" w:fill="FFFFFF"/>
            <w:vAlign w:val="center"/>
            <w:hideMark/>
          </w:tcPr>
          <w:p w14:paraId="3800A6D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2.1</w:t>
            </w:r>
          </w:p>
        </w:tc>
        <w:tc>
          <w:tcPr>
            <w:tcW w:w="465" w:type="pct"/>
            <w:tcBorders>
              <w:top w:val="nil"/>
              <w:left w:val="nil"/>
              <w:bottom w:val="dotted" w:sz="4" w:space="0" w:color="auto"/>
              <w:right w:val="double" w:sz="6" w:space="0" w:color="auto"/>
            </w:tcBorders>
            <w:shd w:val="clear" w:color="auto" w:fill="FFFFFF"/>
            <w:vAlign w:val="center"/>
            <w:hideMark/>
          </w:tcPr>
          <w:p w14:paraId="0C0CD21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2.2</w:t>
            </w:r>
          </w:p>
        </w:tc>
      </w:tr>
      <w:tr w:rsidR="00C50585" w:rsidRPr="00EE038F" w14:paraId="53812E17"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0D0B88DC"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3. Importi i mallrave</w:t>
            </w:r>
          </w:p>
        </w:tc>
        <w:tc>
          <w:tcPr>
            <w:tcW w:w="592" w:type="pct"/>
            <w:tcBorders>
              <w:top w:val="nil"/>
              <w:left w:val="nil"/>
              <w:bottom w:val="dotted" w:sz="4" w:space="0" w:color="auto"/>
              <w:right w:val="single" w:sz="4" w:space="0" w:color="auto"/>
            </w:tcBorders>
            <w:shd w:val="clear" w:color="auto" w:fill="FFFFFF"/>
            <w:vAlign w:val="center"/>
          </w:tcPr>
          <w:p w14:paraId="0E8E1B7E" w14:textId="05EF3A26"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7CC173C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6.4</w:t>
            </w:r>
          </w:p>
        </w:tc>
        <w:tc>
          <w:tcPr>
            <w:tcW w:w="465" w:type="pct"/>
            <w:tcBorders>
              <w:top w:val="nil"/>
              <w:left w:val="nil"/>
              <w:bottom w:val="dotted" w:sz="4" w:space="0" w:color="auto"/>
              <w:right w:val="dotted" w:sz="4" w:space="0" w:color="auto"/>
            </w:tcBorders>
            <w:shd w:val="clear" w:color="auto" w:fill="FFFFFF"/>
            <w:vAlign w:val="center"/>
            <w:hideMark/>
          </w:tcPr>
          <w:p w14:paraId="2482C22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7.8</w:t>
            </w:r>
          </w:p>
        </w:tc>
        <w:tc>
          <w:tcPr>
            <w:tcW w:w="464" w:type="pct"/>
            <w:tcBorders>
              <w:top w:val="nil"/>
              <w:left w:val="nil"/>
              <w:bottom w:val="dotted" w:sz="4" w:space="0" w:color="auto"/>
              <w:right w:val="dotted" w:sz="4" w:space="0" w:color="auto"/>
            </w:tcBorders>
            <w:shd w:val="clear" w:color="auto" w:fill="FFFFFF"/>
            <w:vAlign w:val="center"/>
            <w:hideMark/>
          </w:tcPr>
          <w:p w14:paraId="475F229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8.2</w:t>
            </w:r>
          </w:p>
        </w:tc>
        <w:tc>
          <w:tcPr>
            <w:tcW w:w="465" w:type="pct"/>
            <w:tcBorders>
              <w:top w:val="nil"/>
              <w:left w:val="nil"/>
              <w:bottom w:val="dotted" w:sz="4" w:space="0" w:color="auto"/>
              <w:right w:val="dotted" w:sz="4" w:space="0" w:color="auto"/>
            </w:tcBorders>
            <w:shd w:val="clear" w:color="auto" w:fill="FFFFFF"/>
            <w:vAlign w:val="center"/>
            <w:hideMark/>
          </w:tcPr>
          <w:p w14:paraId="27BDEAB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8.5</w:t>
            </w:r>
          </w:p>
        </w:tc>
        <w:tc>
          <w:tcPr>
            <w:tcW w:w="465" w:type="pct"/>
            <w:tcBorders>
              <w:top w:val="nil"/>
              <w:left w:val="nil"/>
              <w:bottom w:val="dotted" w:sz="4" w:space="0" w:color="auto"/>
              <w:right w:val="double" w:sz="6" w:space="0" w:color="auto"/>
            </w:tcBorders>
            <w:shd w:val="clear" w:color="auto" w:fill="FFFFFF"/>
            <w:vAlign w:val="center"/>
            <w:hideMark/>
          </w:tcPr>
          <w:p w14:paraId="3BE1763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9.0</w:t>
            </w:r>
          </w:p>
        </w:tc>
      </w:tr>
      <w:tr w:rsidR="00C50585" w:rsidRPr="00EE038F" w14:paraId="0C5D198F"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1DD209D7"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4. Bilanci tregtar</w:t>
            </w:r>
          </w:p>
        </w:tc>
        <w:tc>
          <w:tcPr>
            <w:tcW w:w="592" w:type="pct"/>
            <w:tcBorders>
              <w:top w:val="nil"/>
              <w:left w:val="nil"/>
              <w:bottom w:val="dotted" w:sz="4" w:space="0" w:color="auto"/>
              <w:right w:val="single" w:sz="4" w:space="0" w:color="auto"/>
            </w:tcBorders>
            <w:shd w:val="clear" w:color="auto" w:fill="FFFFFF"/>
            <w:vAlign w:val="center"/>
          </w:tcPr>
          <w:p w14:paraId="1DD03CA6" w14:textId="386AD6D4"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58B360F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-4.5</w:t>
            </w:r>
          </w:p>
        </w:tc>
        <w:tc>
          <w:tcPr>
            <w:tcW w:w="465" w:type="pct"/>
            <w:tcBorders>
              <w:top w:val="nil"/>
              <w:left w:val="nil"/>
              <w:bottom w:val="dotted" w:sz="4" w:space="0" w:color="auto"/>
              <w:right w:val="dotted" w:sz="4" w:space="0" w:color="auto"/>
            </w:tcBorders>
            <w:shd w:val="clear" w:color="auto" w:fill="FFFFFF"/>
            <w:vAlign w:val="center"/>
            <w:hideMark/>
          </w:tcPr>
          <w:p w14:paraId="749C4B4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-6.0</w:t>
            </w:r>
          </w:p>
        </w:tc>
        <w:tc>
          <w:tcPr>
            <w:tcW w:w="464" w:type="pct"/>
            <w:tcBorders>
              <w:top w:val="nil"/>
              <w:left w:val="nil"/>
              <w:bottom w:val="dotted" w:sz="4" w:space="0" w:color="auto"/>
              <w:right w:val="dotted" w:sz="4" w:space="0" w:color="auto"/>
            </w:tcBorders>
            <w:shd w:val="clear" w:color="auto" w:fill="FFFFFF"/>
            <w:vAlign w:val="center"/>
            <w:hideMark/>
          </w:tcPr>
          <w:p w14:paraId="2B00072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-6.2</w:t>
            </w:r>
          </w:p>
        </w:tc>
        <w:tc>
          <w:tcPr>
            <w:tcW w:w="465" w:type="pct"/>
            <w:tcBorders>
              <w:top w:val="nil"/>
              <w:left w:val="nil"/>
              <w:bottom w:val="dotted" w:sz="4" w:space="0" w:color="auto"/>
              <w:right w:val="dotted" w:sz="4" w:space="0" w:color="auto"/>
            </w:tcBorders>
            <w:shd w:val="clear" w:color="auto" w:fill="FFFFFF"/>
            <w:vAlign w:val="center"/>
            <w:hideMark/>
          </w:tcPr>
          <w:p w14:paraId="3B1F5DD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-6.4</w:t>
            </w:r>
          </w:p>
        </w:tc>
        <w:tc>
          <w:tcPr>
            <w:tcW w:w="465" w:type="pct"/>
            <w:tcBorders>
              <w:top w:val="nil"/>
              <w:left w:val="nil"/>
              <w:bottom w:val="dotted" w:sz="4" w:space="0" w:color="auto"/>
              <w:right w:val="double" w:sz="6" w:space="0" w:color="auto"/>
            </w:tcBorders>
            <w:shd w:val="clear" w:color="auto" w:fill="FFFFFF"/>
            <w:vAlign w:val="center"/>
            <w:hideMark/>
          </w:tcPr>
          <w:p w14:paraId="3D5F4EC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-6.8</w:t>
            </w:r>
          </w:p>
        </w:tc>
      </w:tr>
      <w:tr w:rsidR="00C50585" w:rsidRPr="00EE038F" w14:paraId="7C667F58"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6AAA3573"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5. Eksporti i shërbimeve</w:t>
            </w:r>
          </w:p>
        </w:tc>
        <w:tc>
          <w:tcPr>
            <w:tcW w:w="592" w:type="pct"/>
            <w:tcBorders>
              <w:top w:val="nil"/>
              <w:left w:val="nil"/>
              <w:bottom w:val="dotted" w:sz="4" w:space="0" w:color="auto"/>
              <w:right w:val="single" w:sz="4" w:space="0" w:color="auto"/>
            </w:tcBorders>
            <w:shd w:val="clear" w:color="auto" w:fill="FFFFFF"/>
            <w:vAlign w:val="center"/>
          </w:tcPr>
          <w:p w14:paraId="1ED166F4" w14:textId="6FA5D001"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626760E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6.6</w:t>
            </w:r>
          </w:p>
        </w:tc>
        <w:tc>
          <w:tcPr>
            <w:tcW w:w="465" w:type="pct"/>
            <w:tcBorders>
              <w:top w:val="nil"/>
              <w:left w:val="nil"/>
              <w:bottom w:val="dotted" w:sz="4" w:space="0" w:color="auto"/>
              <w:right w:val="dotted" w:sz="4" w:space="0" w:color="auto"/>
            </w:tcBorders>
            <w:shd w:val="clear" w:color="auto" w:fill="FFFFFF"/>
            <w:vAlign w:val="center"/>
            <w:hideMark/>
          </w:tcPr>
          <w:p w14:paraId="32FC611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7.8</w:t>
            </w:r>
          </w:p>
        </w:tc>
        <w:tc>
          <w:tcPr>
            <w:tcW w:w="464" w:type="pct"/>
            <w:tcBorders>
              <w:top w:val="nil"/>
              <w:left w:val="nil"/>
              <w:bottom w:val="dotted" w:sz="4" w:space="0" w:color="auto"/>
              <w:right w:val="dotted" w:sz="4" w:space="0" w:color="auto"/>
            </w:tcBorders>
            <w:shd w:val="clear" w:color="auto" w:fill="FFFFFF"/>
            <w:vAlign w:val="center"/>
            <w:hideMark/>
          </w:tcPr>
          <w:p w14:paraId="1725A8E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8.1</w:t>
            </w:r>
          </w:p>
        </w:tc>
        <w:tc>
          <w:tcPr>
            <w:tcW w:w="465" w:type="pct"/>
            <w:tcBorders>
              <w:top w:val="nil"/>
              <w:left w:val="nil"/>
              <w:bottom w:val="dotted" w:sz="4" w:space="0" w:color="auto"/>
              <w:right w:val="dotted" w:sz="4" w:space="0" w:color="auto"/>
            </w:tcBorders>
            <w:shd w:val="clear" w:color="auto" w:fill="FFFFFF"/>
            <w:vAlign w:val="center"/>
            <w:hideMark/>
          </w:tcPr>
          <w:p w14:paraId="1ACCFE2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8.6</w:t>
            </w:r>
          </w:p>
        </w:tc>
        <w:tc>
          <w:tcPr>
            <w:tcW w:w="465" w:type="pct"/>
            <w:tcBorders>
              <w:top w:val="nil"/>
              <w:left w:val="nil"/>
              <w:bottom w:val="dotted" w:sz="4" w:space="0" w:color="auto"/>
              <w:right w:val="double" w:sz="6" w:space="0" w:color="auto"/>
            </w:tcBorders>
            <w:shd w:val="clear" w:color="auto" w:fill="FFFFFF"/>
            <w:vAlign w:val="center"/>
            <w:hideMark/>
          </w:tcPr>
          <w:p w14:paraId="453E26E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9.1</w:t>
            </w:r>
          </w:p>
        </w:tc>
      </w:tr>
      <w:tr w:rsidR="00C50585" w:rsidRPr="00EE038F" w14:paraId="7E5B48F1"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03304B9B"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6. Importi i shërbimeve</w:t>
            </w:r>
          </w:p>
        </w:tc>
        <w:tc>
          <w:tcPr>
            <w:tcW w:w="592" w:type="pct"/>
            <w:tcBorders>
              <w:top w:val="nil"/>
              <w:left w:val="nil"/>
              <w:bottom w:val="dotted" w:sz="4" w:space="0" w:color="auto"/>
              <w:right w:val="single" w:sz="4" w:space="0" w:color="auto"/>
            </w:tcBorders>
            <w:shd w:val="clear" w:color="auto" w:fill="FFFFFF"/>
            <w:vAlign w:val="center"/>
          </w:tcPr>
          <w:p w14:paraId="6ED13DDE" w14:textId="243142BD"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6C3F4F3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3.2</w:t>
            </w:r>
          </w:p>
        </w:tc>
        <w:tc>
          <w:tcPr>
            <w:tcW w:w="465" w:type="pct"/>
            <w:tcBorders>
              <w:top w:val="nil"/>
              <w:left w:val="nil"/>
              <w:bottom w:val="dotted" w:sz="4" w:space="0" w:color="auto"/>
              <w:right w:val="dotted" w:sz="4" w:space="0" w:color="auto"/>
            </w:tcBorders>
            <w:shd w:val="clear" w:color="auto" w:fill="FFFFFF"/>
            <w:vAlign w:val="center"/>
            <w:hideMark/>
          </w:tcPr>
          <w:p w14:paraId="53CE81D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3.8</w:t>
            </w:r>
          </w:p>
        </w:tc>
        <w:tc>
          <w:tcPr>
            <w:tcW w:w="464" w:type="pct"/>
            <w:tcBorders>
              <w:top w:val="nil"/>
              <w:left w:val="nil"/>
              <w:bottom w:val="dotted" w:sz="4" w:space="0" w:color="auto"/>
              <w:right w:val="dotted" w:sz="4" w:space="0" w:color="auto"/>
            </w:tcBorders>
            <w:shd w:val="clear" w:color="auto" w:fill="FFFFFF"/>
            <w:vAlign w:val="center"/>
            <w:hideMark/>
          </w:tcPr>
          <w:p w14:paraId="3457EA0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4.0</w:t>
            </w:r>
          </w:p>
        </w:tc>
        <w:tc>
          <w:tcPr>
            <w:tcW w:w="465" w:type="pct"/>
            <w:tcBorders>
              <w:top w:val="nil"/>
              <w:left w:val="nil"/>
              <w:bottom w:val="dotted" w:sz="4" w:space="0" w:color="auto"/>
              <w:right w:val="dotted" w:sz="4" w:space="0" w:color="auto"/>
            </w:tcBorders>
            <w:shd w:val="clear" w:color="auto" w:fill="FFFFFF"/>
            <w:vAlign w:val="center"/>
            <w:hideMark/>
          </w:tcPr>
          <w:p w14:paraId="2BB8D41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4.1</w:t>
            </w:r>
          </w:p>
        </w:tc>
        <w:tc>
          <w:tcPr>
            <w:tcW w:w="465" w:type="pct"/>
            <w:tcBorders>
              <w:top w:val="nil"/>
              <w:left w:val="nil"/>
              <w:bottom w:val="dotted" w:sz="4" w:space="0" w:color="auto"/>
              <w:right w:val="double" w:sz="6" w:space="0" w:color="auto"/>
            </w:tcBorders>
            <w:shd w:val="clear" w:color="auto" w:fill="FFFFFF"/>
            <w:vAlign w:val="center"/>
            <w:hideMark/>
          </w:tcPr>
          <w:p w14:paraId="6CAE861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4.3</w:t>
            </w:r>
          </w:p>
        </w:tc>
      </w:tr>
      <w:tr w:rsidR="00C50585" w:rsidRPr="00EE038F" w14:paraId="4855D563"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0F0A3A11"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7. Bilanci i shërbimit</w:t>
            </w:r>
          </w:p>
        </w:tc>
        <w:tc>
          <w:tcPr>
            <w:tcW w:w="592" w:type="pct"/>
            <w:tcBorders>
              <w:top w:val="nil"/>
              <w:left w:val="nil"/>
              <w:bottom w:val="dotted" w:sz="4" w:space="0" w:color="auto"/>
              <w:right w:val="single" w:sz="4" w:space="0" w:color="auto"/>
            </w:tcBorders>
            <w:shd w:val="clear" w:color="auto" w:fill="FFFFFF"/>
            <w:vAlign w:val="center"/>
          </w:tcPr>
          <w:p w14:paraId="1662630A" w14:textId="185D9835"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577E275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3.4</w:t>
            </w:r>
          </w:p>
        </w:tc>
        <w:tc>
          <w:tcPr>
            <w:tcW w:w="465" w:type="pct"/>
            <w:tcBorders>
              <w:top w:val="nil"/>
              <w:left w:val="nil"/>
              <w:bottom w:val="dotted" w:sz="4" w:space="0" w:color="auto"/>
              <w:right w:val="dotted" w:sz="4" w:space="0" w:color="auto"/>
            </w:tcBorders>
            <w:shd w:val="clear" w:color="auto" w:fill="FFFFFF"/>
            <w:vAlign w:val="center"/>
            <w:hideMark/>
          </w:tcPr>
          <w:p w14:paraId="1DB7EAA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4.0</w:t>
            </w:r>
          </w:p>
        </w:tc>
        <w:tc>
          <w:tcPr>
            <w:tcW w:w="464" w:type="pct"/>
            <w:tcBorders>
              <w:top w:val="nil"/>
              <w:left w:val="nil"/>
              <w:bottom w:val="dotted" w:sz="4" w:space="0" w:color="auto"/>
              <w:right w:val="dotted" w:sz="4" w:space="0" w:color="auto"/>
            </w:tcBorders>
            <w:shd w:val="clear" w:color="auto" w:fill="FFFFFF"/>
            <w:vAlign w:val="center"/>
            <w:hideMark/>
          </w:tcPr>
          <w:p w14:paraId="33B0FAE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4.2</w:t>
            </w:r>
          </w:p>
        </w:tc>
        <w:tc>
          <w:tcPr>
            <w:tcW w:w="465" w:type="pct"/>
            <w:tcBorders>
              <w:top w:val="nil"/>
              <w:left w:val="nil"/>
              <w:bottom w:val="dotted" w:sz="4" w:space="0" w:color="auto"/>
              <w:right w:val="dotted" w:sz="4" w:space="0" w:color="auto"/>
            </w:tcBorders>
            <w:shd w:val="clear" w:color="auto" w:fill="FFFFFF"/>
            <w:vAlign w:val="center"/>
            <w:hideMark/>
          </w:tcPr>
          <w:p w14:paraId="279656A5"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4.5</w:t>
            </w:r>
          </w:p>
        </w:tc>
        <w:tc>
          <w:tcPr>
            <w:tcW w:w="465" w:type="pct"/>
            <w:tcBorders>
              <w:top w:val="nil"/>
              <w:left w:val="nil"/>
              <w:bottom w:val="dotted" w:sz="4" w:space="0" w:color="auto"/>
              <w:right w:val="double" w:sz="6" w:space="0" w:color="auto"/>
            </w:tcBorders>
            <w:shd w:val="clear" w:color="auto" w:fill="FFFFFF"/>
            <w:vAlign w:val="center"/>
            <w:hideMark/>
          </w:tcPr>
          <w:p w14:paraId="4D86D2E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4.7</w:t>
            </w:r>
          </w:p>
        </w:tc>
      </w:tr>
      <w:tr w:rsidR="00C50585" w:rsidRPr="00EE038F" w14:paraId="10FA7E77"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1FE81F44"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8. Pagesat neto të interesit nga jashtë</w:t>
            </w:r>
          </w:p>
        </w:tc>
        <w:tc>
          <w:tcPr>
            <w:tcW w:w="592" w:type="pct"/>
            <w:tcBorders>
              <w:top w:val="nil"/>
              <w:left w:val="nil"/>
              <w:bottom w:val="dotted" w:sz="4" w:space="0" w:color="auto"/>
              <w:right w:val="single" w:sz="4" w:space="0" w:color="auto"/>
            </w:tcBorders>
            <w:shd w:val="clear" w:color="auto" w:fill="FFFFFF"/>
            <w:vAlign w:val="center"/>
          </w:tcPr>
          <w:p w14:paraId="2704478D" w14:textId="24222A34"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6A39A98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-0.8</w:t>
            </w:r>
          </w:p>
        </w:tc>
        <w:tc>
          <w:tcPr>
            <w:tcW w:w="465" w:type="pct"/>
            <w:tcBorders>
              <w:top w:val="nil"/>
              <w:left w:val="nil"/>
              <w:bottom w:val="dotted" w:sz="4" w:space="0" w:color="auto"/>
              <w:right w:val="dotted" w:sz="4" w:space="0" w:color="auto"/>
            </w:tcBorders>
            <w:shd w:val="clear" w:color="auto" w:fill="FFFFFF"/>
            <w:vAlign w:val="center"/>
            <w:hideMark/>
          </w:tcPr>
          <w:p w14:paraId="4128F6C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-0.9</w:t>
            </w:r>
          </w:p>
        </w:tc>
        <w:tc>
          <w:tcPr>
            <w:tcW w:w="464" w:type="pct"/>
            <w:tcBorders>
              <w:top w:val="nil"/>
              <w:left w:val="nil"/>
              <w:bottom w:val="dotted" w:sz="4" w:space="0" w:color="auto"/>
              <w:right w:val="dotted" w:sz="4" w:space="0" w:color="auto"/>
            </w:tcBorders>
            <w:shd w:val="clear" w:color="auto" w:fill="FFFFFF"/>
            <w:vAlign w:val="center"/>
            <w:hideMark/>
          </w:tcPr>
          <w:p w14:paraId="5B8F471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w:t>
            </w:r>
          </w:p>
        </w:tc>
        <w:tc>
          <w:tcPr>
            <w:tcW w:w="465" w:type="pct"/>
            <w:tcBorders>
              <w:top w:val="nil"/>
              <w:left w:val="nil"/>
              <w:bottom w:val="dotted" w:sz="4" w:space="0" w:color="auto"/>
              <w:right w:val="dotted" w:sz="4" w:space="0" w:color="auto"/>
            </w:tcBorders>
            <w:shd w:val="clear" w:color="auto" w:fill="FFFFFF"/>
            <w:vAlign w:val="center"/>
            <w:hideMark/>
          </w:tcPr>
          <w:p w14:paraId="22A73CA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w:t>
            </w:r>
          </w:p>
        </w:tc>
        <w:tc>
          <w:tcPr>
            <w:tcW w:w="465" w:type="pct"/>
            <w:tcBorders>
              <w:top w:val="nil"/>
              <w:left w:val="nil"/>
              <w:bottom w:val="dotted" w:sz="4" w:space="0" w:color="auto"/>
              <w:right w:val="double" w:sz="6" w:space="0" w:color="auto"/>
            </w:tcBorders>
            <w:shd w:val="clear" w:color="auto" w:fill="FFFFFF"/>
            <w:vAlign w:val="center"/>
            <w:hideMark/>
          </w:tcPr>
          <w:p w14:paraId="04CEEA2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-1.1</w:t>
            </w:r>
          </w:p>
        </w:tc>
      </w:tr>
      <w:tr w:rsidR="00C50585" w:rsidRPr="00EE038F" w14:paraId="0A905E66"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74D264F5"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9. Të ardhura të tjera neto të faktorëve nga jashtë</w:t>
            </w:r>
          </w:p>
        </w:tc>
        <w:tc>
          <w:tcPr>
            <w:tcW w:w="592" w:type="pct"/>
            <w:tcBorders>
              <w:top w:val="nil"/>
              <w:left w:val="nil"/>
              <w:bottom w:val="dotted" w:sz="4" w:space="0" w:color="auto"/>
              <w:right w:val="single" w:sz="4" w:space="0" w:color="auto"/>
            </w:tcBorders>
            <w:shd w:val="clear" w:color="auto" w:fill="FFFFFF"/>
            <w:vAlign w:val="center"/>
          </w:tcPr>
          <w:p w14:paraId="46780104" w14:textId="6CC4A8E9"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04CBD39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0.5</w:t>
            </w:r>
          </w:p>
        </w:tc>
        <w:tc>
          <w:tcPr>
            <w:tcW w:w="465" w:type="pct"/>
            <w:tcBorders>
              <w:top w:val="nil"/>
              <w:left w:val="nil"/>
              <w:bottom w:val="dotted" w:sz="4" w:space="0" w:color="auto"/>
              <w:right w:val="dotted" w:sz="4" w:space="0" w:color="auto"/>
            </w:tcBorders>
            <w:shd w:val="clear" w:color="auto" w:fill="FFFFFF"/>
            <w:vAlign w:val="center"/>
            <w:hideMark/>
          </w:tcPr>
          <w:p w14:paraId="1A81193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0.7</w:t>
            </w:r>
          </w:p>
        </w:tc>
        <w:tc>
          <w:tcPr>
            <w:tcW w:w="464" w:type="pct"/>
            <w:tcBorders>
              <w:top w:val="nil"/>
              <w:left w:val="nil"/>
              <w:bottom w:val="dotted" w:sz="4" w:space="0" w:color="auto"/>
              <w:right w:val="dotted" w:sz="4" w:space="0" w:color="auto"/>
            </w:tcBorders>
            <w:shd w:val="clear" w:color="auto" w:fill="FFFFFF"/>
            <w:vAlign w:val="center"/>
            <w:hideMark/>
          </w:tcPr>
          <w:p w14:paraId="65B1A9F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0.6</w:t>
            </w:r>
          </w:p>
        </w:tc>
        <w:tc>
          <w:tcPr>
            <w:tcW w:w="465" w:type="pct"/>
            <w:tcBorders>
              <w:top w:val="nil"/>
              <w:left w:val="nil"/>
              <w:bottom w:val="dotted" w:sz="4" w:space="0" w:color="auto"/>
              <w:right w:val="dotted" w:sz="4" w:space="0" w:color="auto"/>
            </w:tcBorders>
            <w:shd w:val="clear" w:color="auto" w:fill="FFFFFF"/>
            <w:vAlign w:val="center"/>
            <w:hideMark/>
          </w:tcPr>
          <w:p w14:paraId="6BD1ADF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0.6</w:t>
            </w:r>
          </w:p>
        </w:tc>
        <w:tc>
          <w:tcPr>
            <w:tcW w:w="465" w:type="pct"/>
            <w:tcBorders>
              <w:top w:val="nil"/>
              <w:left w:val="nil"/>
              <w:bottom w:val="dotted" w:sz="4" w:space="0" w:color="auto"/>
              <w:right w:val="double" w:sz="6" w:space="0" w:color="auto"/>
            </w:tcBorders>
            <w:shd w:val="clear" w:color="auto" w:fill="FFFFFF"/>
            <w:vAlign w:val="center"/>
            <w:hideMark/>
          </w:tcPr>
          <w:p w14:paraId="660C8D2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0.6</w:t>
            </w:r>
          </w:p>
        </w:tc>
      </w:tr>
      <w:tr w:rsidR="00C50585" w:rsidRPr="00EE038F" w14:paraId="015FA158"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5F82363C" w14:textId="39B4D508"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10. Transfertat kor</w:t>
            </w:r>
            <w:r w:rsidR="00FB2058">
              <w:rPr>
                <w:rFonts w:ascii="Garamond" w:hAnsi="Garamond"/>
                <w:sz w:val="18"/>
              </w:rPr>
              <w:t>r</w:t>
            </w:r>
            <w:r w:rsidRPr="00EE038F">
              <w:rPr>
                <w:rFonts w:ascii="Garamond" w:hAnsi="Garamond"/>
                <w:sz w:val="18"/>
              </w:rPr>
              <w:t>ente</w:t>
            </w:r>
          </w:p>
        </w:tc>
        <w:tc>
          <w:tcPr>
            <w:tcW w:w="592" w:type="pct"/>
            <w:tcBorders>
              <w:top w:val="nil"/>
              <w:left w:val="nil"/>
              <w:bottom w:val="dotted" w:sz="4" w:space="0" w:color="auto"/>
              <w:right w:val="single" w:sz="4" w:space="0" w:color="auto"/>
            </w:tcBorders>
            <w:shd w:val="clear" w:color="auto" w:fill="FFFFFF"/>
            <w:vAlign w:val="center"/>
          </w:tcPr>
          <w:p w14:paraId="21678B11" w14:textId="02D04DE7"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1C4EDAE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0.9</w:t>
            </w:r>
          </w:p>
        </w:tc>
        <w:tc>
          <w:tcPr>
            <w:tcW w:w="465" w:type="pct"/>
            <w:tcBorders>
              <w:top w:val="nil"/>
              <w:left w:val="nil"/>
              <w:bottom w:val="dotted" w:sz="4" w:space="0" w:color="auto"/>
              <w:right w:val="dotted" w:sz="4" w:space="0" w:color="auto"/>
            </w:tcBorders>
            <w:shd w:val="clear" w:color="auto" w:fill="FFFFFF"/>
            <w:vAlign w:val="center"/>
            <w:hideMark/>
          </w:tcPr>
          <w:p w14:paraId="18308D9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1.1</w:t>
            </w:r>
          </w:p>
        </w:tc>
        <w:tc>
          <w:tcPr>
            <w:tcW w:w="464" w:type="pct"/>
            <w:tcBorders>
              <w:top w:val="nil"/>
              <w:left w:val="nil"/>
              <w:bottom w:val="dotted" w:sz="4" w:space="0" w:color="auto"/>
              <w:right w:val="dotted" w:sz="4" w:space="0" w:color="auto"/>
            </w:tcBorders>
            <w:shd w:val="clear" w:color="auto" w:fill="FFFFFF"/>
            <w:vAlign w:val="center"/>
            <w:hideMark/>
          </w:tcPr>
          <w:p w14:paraId="19B479C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1.2</w:t>
            </w:r>
          </w:p>
        </w:tc>
        <w:tc>
          <w:tcPr>
            <w:tcW w:w="465" w:type="pct"/>
            <w:tcBorders>
              <w:top w:val="nil"/>
              <w:left w:val="nil"/>
              <w:bottom w:val="dotted" w:sz="4" w:space="0" w:color="auto"/>
              <w:right w:val="dotted" w:sz="4" w:space="0" w:color="auto"/>
            </w:tcBorders>
            <w:shd w:val="clear" w:color="auto" w:fill="FFFFFF"/>
            <w:vAlign w:val="center"/>
            <w:hideMark/>
          </w:tcPr>
          <w:p w14:paraId="3BB0894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1.2</w:t>
            </w:r>
          </w:p>
        </w:tc>
        <w:tc>
          <w:tcPr>
            <w:tcW w:w="465" w:type="pct"/>
            <w:tcBorders>
              <w:top w:val="nil"/>
              <w:left w:val="nil"/>
              <w:bottom w:val="dotted" w:sz="4" w:space="0" w:color="auto"/>
              <w:right w:val="double" w:sz="6" w:space="0" w:color="auto"/>
            </w:tcBorders>
            <w:shd w:val="clear" w:color="auto" w:fill="FFFFFF"/>
            <w:vAlign w:val="center"/>
            <w:hideMark/>
          </w:tcPr>
          <w:p w14:paraId="7E905025"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1.3</w:t>
            </w:r>
          </w:p>
        </w:tc>
      </w:tr>
      <w:tr w:rsidR="00C50585" w:rsidRPr="00EE038F" w14:paraId="4B335B67"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4CBD50DC" w14:textId="77777777" w:rsidR="00C50585" w:rsidRPr="00EE038F" w:rsidRDefault="00C50585" w:rsidP="007C70E7">
            <w:pPr>
              <w:spacing w:after="0" w:line="240" w:lineRule="auto"/>
              <w:contextualSpacing/>
              <w:jc w:val="both"/>
              <w:rPr>
                <w:rFonts w:ascii="Garamond" w:hAnsi="Garamond"/>
                <w:i/>
                <w:iCs/>
                <w:color w:val="0D0D0D" w:themeColor="text1" w:themeTint="F2"/>
                <w:sz w:val="18"/>
              </w:rPr>
            </w:pPr>
            <w:r w:rsidRPr="00EE038F">
              <w:rPr>
                <w:rFonts w:ascii="Garamond" w:hAnsi="Garamond"/>
                <w:sz w:val="18"/>
              </w:rPr>
              <w:t>11. Nga të cilat nga BE</w:t>
            </w:r>
          </w:p>
        </w:tc>
        <w:tc>
          <w:tcPr>
            <w:tcW w:w="592" w:type="pct"/>
            <w:tcBorders>
              <w:top w:val="nil"/>
              <w:left w:val="nil"/>
              <w:bottom w:val="dotted" w:sz="4" w:space="0" w:color="auto"/>
              <w:right w:val="single" w:sz="4" w:space="0" w:color="auto"/>
            </w:tcBorders>
            <w:shd w:val="clear" w:color="auto" w:fill="FFFFFF"/>
            <w:vAlign w:val="center"/>
          </w:tcPr>
          <w:p w14:paraId="15D3E1FD" w14:textId="70F48AAB"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7C917296" w14:textId="77777777" w:rsidR="00C50585" w:rsidRPr="00EE038F" w:rsidRDefault="00C50585" w:rsidP="00280C20">
            <w:pPr>
              <w:spacing w:after="0" w:line="240" w:lineRule="auto"/>
              <w:contextualSpacing/>
              <w:jc w:val="right"/>
              <w:rPr>
                <w:rFonts w:ascii="Garamond" w:eastAsia="Times New Roman" w:hAnsi="Garamond"/>
                <w:color w:val="0D0D0D" w:themeColor="text1" w:themeTint="F2"/>
                <w:sz w:val="18"/>
              </w:rPr>
            </w:pPr>
            <w:r w:rsidRPr="00EE038F">
              <w:rPr>
                <w:rFonts w:ascii="Garamond" w:hAnsi="Garamond"/>
                <w:sz w:val="18"/>
              </w:rPr>
              <w:t>1.2</w:t>
            </w:r>
          </w:p>
        </w:tc>
        <w:tc>
          <w:tcPr>
            <w:tcW w:w="465" w:type="pct"/>
            <w:tcBorders>
              <w:top w:val="nil"/>
              <w:left w:val="nil"/>
              <w:bottom w:val="dotted" w:sz="4" w:space="0" w:color="auto"/>
              <w:right w:val="dotted" w:sz="4" w:space="0" w:color="auto"/>
            </w:tcBorders>
            <w:shd w:val="clear" w:color="auto" w:fill="FFFFFF"/>
            <w:vAlign w:val="center"/>
            <w:hideMark/>
          </w:tcPr>
          <w:p w14:paraId="72E5CFD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1.5</w:t>
            </w:r>
          </w:p>
        </w:tc>
        <w:tc>
          <w:tcPr>
            <w:tcW w:w="464" w:type="pct"/>
            <w:tcBorders>
              <w:top w:val="nil"/>
              <w:left w:val="nil"/>
              <w:bottom w:val="dotted" w:sz="4" w:space="0" w:color="auto"/>
              <w:right w:val="dotted" w:sz="4" w:space="0" w:color="auto"/>
            </w:tcBorders>
            <w:shd w:val="clear" w:color="auto" w:fill="FFFFFF"/>
            <w:vAlign w:val="center"/>
            <w:hideMark/>
          </w:tcPr>
          <w:p w14:paraId="7564365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1.5</w:t>
            </w:r>
          </w:p>
        </w:tc>
        <w:tc>
          <w:tcPr>
            <w:tcW w:w="465" w:type="pct"/>
            <w:tcBorders>
              <w:top w:val="nil"/>
              <w:left w:val="nil"/>
              <w:bottom w:val="dotted" w:sz="4" w:space="0" w:color="auto"/>
              <w:right w:val="dotted" w:sz="4" w:space="0" w:color="auto"/>
            </w:tcBorders>
            <w:shd w:val="clear" w:color="auto" w:fill="FFFFFF"/>
            <w:vAlign w:val="center"/>
            <w:hideMark/>
          </w:tcPr>
          <w:p w14:paraId="208668F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1.5</w:t>
            </w:r>
          </w:p>
        </w:tc>
        <w:tc>
          <w:tcPr>
            <w:tcW w:w="465" w:type="pct"/>
            <w:tcBorders>
              <w:top w:val="nil"/>
              <w:left w:val="nil"/>
              <w:bottom w:val="dotted" w:sz="4" w:space="0" w:color="auto"/>
              <w:right w:val="double" w:sz="6" w:space="0" w:color="auto"/>
            </w:tcBorders>
            <w:shd w:val="clear" w:color="auto" w:fill="FFFFFF"/>
            <w:vAlign w:val="center"/>
            <w:hideMark/>
          </w:tcPr>
          <w:p w14:paraId="5F75F48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1.6</w:t>
            </w:r>
          </w:p>
        </w:tc>
      </w:tr>
      <w:tr w:rsidR="00C50585" w:rsidRPr="00EE038F" w14:paraId="0DD4E0FB"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0C464F45"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12. Gjendja e llogarisë rrjedhëse</w:t>
            </w:r>
          </w:p>
        </w:tc>
        <w:tc>
          <w:tcPr>
            <w:tcW w:w="592" w:type="pct"/>
            <w:tcBorders>
              <w:top w:val="nil"/>
              <w:left w:val="nil"/>
              <w:bottom w:val="dotted" w:sz="4" w:space="0" w:color="auto"/>
              <w:right w:val="single" w:sz="4" w:space="0" w:color="auto"/>
            </w:tcBorders>
            <w:shd w:val="clear" w:color="auto" w:fill="FFFFFF"/>
            <w:vAlign w:val="center"/>
          </w:tcPr>
          <w:p w14:paraId="005BBD2C" w14:textId="609E8419"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5A74EFD0" w14:textId="77777777" w:rsidR="00C50585" w:rsidRPr="00EE038F" w:rsidRDefault="00C50585" w:rsidP="00280C20">
            <w:pPr>
              <w:spacing w:after="0" w:line="240" w:lineRule="auto"/>
              <w:contextualSpacing/>
              <w:jc w:val="right"/>
              <w:rPr>
                <w:rFonts w:ascii="Garamond" w:eastAsia="Times New Roman" w:hAnsi="Garamond"/>
                <w:color w:val="0D0D0D" w:themeColor="text1" w:themeTint="F2"/>
                <w:sz w:val="18"/>
              </w:rPr>
            </w:pPr>
            <w:r w:rsidRPr="00EE038F">
              <w:rPr>
                <w:rFonts w:ascii="Garamond" w:hAnsi="Garamond"/>
                <w:sz w:val="18"/>
              </w:rPr>
              <w:t>:</w:t>
            </w:r>
          </w:p>
        </w:tc>
        <w:tc>
          <w:tcPr>
            <w:tcW w:w="465" w:type="pct"/>
            <w:tcBorders>
              <w:top w:val="nil"/>
              <w:left w:val="nil"/>
              <w:bottom w:val="dotted" w:sz="4" w:space="0" w:color="auto"/>
              <w:right w:val="dotted" w:sz="4" w:space="0" w:color="auto"/>
            </w:tcBorders>
            <w:shd w:val="clear" w:color="auto" w:fill="FFFFFF"/>
            <w:vAlign w:val="center"/>
            <w:hideMark/>
          </w:tcPr>
          <w:p w14:paraId="5320EC8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4" w:type="pct"/>
            <w:tcBorders>
              <w:top w:val="nil"/>
              <w:left w:val="nil"/>
              <w:bottom w:val="dotted" w:sz="4" w:space="0" w:color="auto"/>
              <w:right w:val="dotted" w:sz="4" w:space="0" w:color="auto"/>
            </w:tcBorders>
            <w:shd w:val="clear" w:color="auto" w:fill="FFFFFF"/>
            <w:vAlign w:val="center"/>
            <w:hideMark/>
          </w:tcPr>
          <w:p w14:paraId="312004B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5" w:type="pct"/>
            <w:tcBorders>
              <w:top w:val="nil"/>
              <w:left w:val="nil"/>
              <w:bottom w:val="dotted" w:sz="4" w:space="0" w:color="auto"/>
              <w:right w:val="dotted" w:sz="4" w:space="0" w:color="auto"/>
            </w:tcBorders>
            <w:shd w:val="clear" w:color="auto" w:fill="FFFFFF"/>
            <w:vAlign w:val="center"/>
            <w:hideMark/>
          </w:tcPr>
          <w:p w14:paraId="3460AC8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5" w:type="pct"/>
            <w:tcBorders>
              <w:top w:val="nil"/>
              <w:left w:val="nil"/>
              <w:bottom w:val="dotted" w:sz="4" w:space="0" w:color="auto"/>
              <w:right w:val="double" w:sz="6" w:space="0" w:color="auto"/>
            </w:tcBorders>
            <w:shd w:val="clear" w:color="auto" w:fill="FFFFFF"/>
            <w:vAlign w:val="center"/>
            <w:hideMark/>
          </w:tcPr>
          <w:p w14:paraId="7BC69F2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r>
      <w:tr w:rsidR="00C50585" w:rsidRPr="00EE038F" w14:paraId="71FD8D5A"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3AC7C50A"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13. Llogaria kapitale dhe financiare</w:t>
            </w:r>
          </w:p>
        </w:tc>
        <w:tc>
          <w:tcPr>
            <w:tcW w:w="592" w:type="pct"/>
            <w:tcBorders>
              <w:top w:val="nil"/>
              <w:left w:val="nil"/>
              <w:bottom w:val="dotted" w:sz="4" w:space="0" w:color="auto"/>
              <w:right w:val="single" w:sz="4" w:space="0" w:color="auto"/>
            </w:tcBorders>
            <w:shd w:val="clear" w:color="auto" w:fill="FFFFFF"/>
            <w:vAlign w:val="center"/>
          </w:tcPr>
          <w:p w14:paraId="1CDEF1E4" w14:textId="47D07E79"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2FF288D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w:t>
            </w:r>
          </w:p>
        </w:tc>
        <w:tc>
          <w:tcPr>
            <w:tcW w:w="465" w:type="pct"/>
            <w:tcBorders>
              <w:top w:val="nil"/>
              <w:left w:val="nil"/>
              <w:bottom w:val="dotted" w:sz="4" w:space="0" w:color="auto"/>
              <w:right w:val="dotted" w:sz="4" w:space="0" w:color="auto"/>
            </w:tcBorders>
            <w:shd w:val="clear" w:color="auto" w:fill="FFFFFF"/>
            <w:vAlign w:val="center"/>
            <w:hideMark/>
          </w:tcPr>
          <w:p w14:paraId="0677EE0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1.5</w:t>
            </w:r>
          </w:p>
        </w:tc>
        <w:tc>
          <w:tcPr>
            <w:tcW w:w="464" w:type="pct"/>
            <w:tcBorders>
              <w:top w:val="nil"/>
              <w:left w:val="nil"/>
              <w:bottom w:val="dotted" w:sz="4" w:space="0" w:color="auto"/>
              <w:right w:val="dotted" w:sz="4" w:space="0" w:color="auto"/>
            </w:tcBorders>
            <w:shd w:val="clear" w:color="auto" w:fill="FFFFFF"/>
            <w:vAlign w:val="center"/>
            <w:hideMark/>
          </w:tcPr>
          <w:p w14:paraId="41F45C0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1.4</w:t>
            </w:r>
          </w:p>
        </w:tc>
        <w:tc>
          <w:tcPr>
            <w:tcW w:w="465" w:type="pct"/>
            <w:tcBorders>
              <w:top w:val="nil"/>
              <w:left w:val="nil"/>
              <w:bottom w:val="dotted" w:sz="4" w:space="0" w:color="auto"/>
              <w:right w:val="dotted" w:sz="4" w:space="0" w:color="auto"/>
            </w:tcBorders>
            <w:shd w:val="clear" w:color="auto" w:fill="FFFFFF"/>
            <w:vAlign w:val="center"/>
            <w:hideMark/>
          </w:tcPr>
          <w:p w14:paraId="567BB40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1.4</w:t>
            </w:r>
          </w:p>
        </w:tc>
        <w:tc>
          <w:tcPr>
            <w:tcW w:w="465" w:type="pct"/>
            <w:tcBorders>
              <w:top w:val="nil"/>
              <w:left w:val="nil"/>
              <w:bottom w:val="dotted" w:sz="4" w:space="0" w:color="auto"/>
              <w:right w:val="double" w:sz="6" w:space="0" w:color="auto"/>
            </w:tcBorders>
            <w:shd w:val="clear" w:color="auto" w:fill="FFFFFF"/>
            <w:vAlign w:val="center"/>
            <w:hideMark/>
          </w:tcPr>
          <w:p w14:paraId="62B5C2C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1.3</w:t>
            </w:r>
          </w:p>
        </w:tc>
      </w:tr>
      <w:tr w:rsidR="00C50585" w:rsidRPr="00EE038F" w14:paraId="5E0CC20F"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27249FB8"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14. Investimet e huaja direkte</w:t>
            </w:r>
          </w:p>
        </w:tc>
        <w:tc>
          <w:tcPr>
            <w:tcW w:w="592" w:type="pct"/>
            <w:tcBorders>
              <w:top w:val="nil"/>
              <w:left w:val="nil"/>
              <w:bottom w:val="dotted" w:sz="4" w:space="0" w:color="auto"/>
              <w:right w:val="single" w:sz="4" w:space="0" w:color="auto"/>
            </w:tcBorders>
            <w:shd w:val="clear" w:color="auto" w:fill="FFFFFF"/>
            <w:vAlign w:val="center"/>
          </w:tcPr>
          <w:p w14:paraId="43103095" w14:textId="61D1B07C"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5F249CB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1.3</w:t>
            </w:r>
          </w:p>
        </w:tc>
        <w:tc>
          <w:tcPr>
            <w:tcW w:w="465" w:type="pct"/>
            <w:tcBorders>
              <w:top w:val="nil"/>
              <w:left w:val="nil"/>
              <w:bottom w:val="dotted" w:sz="4" w:space="0" w:color="auto"/>
              <w:right w:val="dotted" w:sz="4" w:space="0" w:color="auto"/>
            </w:tcBorders>
            <w:shd w:val="clear" w:color="auto" w:fill="FFFFFF"/>
            <w:vAlign w:val="center"/>
            <w:hideMark/>
          </w:tcPr>
          <w:p w14:paraId="1A9C26F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1.4</w:t>
            </w:r>
          </w:p>
        </w:tc>
        <w:tc>
          <w:tcPr>
            <w:tcW w:w="464" w:type="pct"/>
            <w:tcBorders>
              <w:top w:val="nil"/>
              <w:left w:val="nil"/>
              <w:bottom w:val="dotted" w:sz="4" w:space="0" w:color="auto"/>
              <w:right w:val="dotted" w:sz="4" w:space="0" w:color="auto"/>
            </w:tcBorders>
            <w:shd w:val="clear" w:color="auto" w:fill="FFFFFF"/>
            <w:vAlign w:val="center"/>
            <w:hideMark/>
          </w:tcPr>
          <w:p w14:paraId="738FA47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1.4</w:t>
            </w:r>
          </w:p>
        </w:tc>
        <w:tc>
          <w:tcPr>
            <w:tcW w:w="465" w:type="pct"/>
            <w:tcBorders>
              <w:top w:val="nil"/>
              <w:left w:val="nil"/>
              <w:bottom w:val="dotted" w:sz="4" w:space="0" w:color="auto"/>
              <w:right w:val="dotted" w:sz="4" w:space="0" w:color="auto"/>
            </w:tcBorders>
            <w:shd w:val="clear" w:color="auto" w:fill="FFFFFF"/>
            <w:vAlign w:val="center"/>
            <w:hideMark/>
          </w:tcPr>
          <w:p w14:paraId="68A4BDF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1.5</w:t>
            </w:r>
          </w:p>
        </w:tc>
        <w:tc>
          <w:tcPr>
            <w:tcW w:w="465" w:type="pct"/>
            <w:tcBorders>
              <w:top w:val="nil"/>
              <w:left w:val="nil"/>
              <w:bottom w:val="dotted" w:sz="4" w:space="0" w:color="auto"/>
              <w:right w:val="double" w:sz="6" w:space="0" w:color="auto"/>
            </w:tcBorders>
            <w:shd w:val="clear" w:color="auto" w:fill="FFFFFF"/>
            <w:vAlign w:val="center"/>
            <w:hideMark/>
          </w:tcPr>
          <w:p w14:paraId="1319C0F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1.5</w:t>
            </w:r>
          </w:p>
        </w:tc>
      </w:tr>
      <w:tr w:rsidR="00C50585" w:rsidRPr="00EE038F" w14:paraId="076834DE"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2A7D9CBB"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15. Rezervat valutore</w:t>
            </w:r>
          </w:p>
        </w:tc>
        <w:tc>
          <w:tcPr>
            <w:tcW w:w="592" w:type="pct"/>
            <w:tcBorders>
              <w:top w:val="nil"/>
              <w:left w:val="nil"/>
              <w:bottom w:val="dotted" w:sz="4" w:space="0" w:color="auto"/>
              <w:right w:val="single" w:sz="4" w:space="0" w:color="auto"/>
            </w:tcBorders>
            <w:shd w:val="clear" w:color="auto" w:fill="FFFFFF"/>
            <w:vAlign w:val="center"/>
          </w:tcPr>
          <w:p w14:paraId="2FF27F43" w14:textId="0F1BDE23"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0508F23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0.9</w:t>
            </w:r>
          </w:p>
        </w:tc>
        <w:tc>
          <w:tcPr>
            <w:tcW w:w="465" w:type="pct"/>
            <w:tcBorders>
              <w:top w:val="nil"/>
              <w:left w:val="nil"/>
              <w:bottom w:val="dotted" w:sz="4" w:space="0" w:color="auto"/>
              <w:right w:val="dotted" w:sz="4" w:space="0" w:color="auto"/>
            </w:tcBorders>
            <w:shd w:val="clear" w:color="auto" w:fill="FFFFFF"/>
            <w:vAlign w:val="center"/>
            <w:hideMark/>
          </w:tcPr>
          <w:p w14:paraId="4340659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w:t>
            </w:r>
          </w:p>
        </w:tc>
        <w:tc>
          <w:tcPr>
            <w:tcW w:w="464" w:type="pct"/>
            <w:tcBorders>
              <w:top w:val="nil"/>
              <w:left w:val="nil"/>
              <w:bottom w:val="dotted" w:sz="4" w:space="0" w:color="auto"/>
              <w:right w:val="dotted" w:sz="4" w:space="0" w:color="auto"/>
            </w:tcBorders>
            <w:shd w:val="clear" w:color="auto" w:fill="FFFFFF"/>
            <w:vAlign w:val="center"/>
            <w:hideMark/>
          </w:tcPr>
          <w:p w14:paraId="1886549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0.6</w:t>
            </w:r>
          </w:p>
        </w:tc>
        <w:tc>
          <w:tcPr>
            <w:tcW w:w="465" w:type="pct"/>
            <w:tcBorders>
              <w:top w:val="nil"/>
              <w:left w:val="nil"/>
              <w:bottom w:val="dotted" w:sz="4" w:space="0" w:color="auto"/>
              <w:right w:val="dotted" w:sz="4" w:space="0" w:color="auto"/>
            </w:tcBorders>
            <w:shd w:val="clear" w:color="auto" w:fill="FFFFFF"/>
            <w:vAlign w:val="center"/>
            <w:hideMark/>
          </w:tcPr>
          <w:p w14:paraId="746896B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0.7</w:t>
            </w:r>
          </w:p>
        </w:tc>
        <w:tc>
          <w:tcPr>
            <w:tcW w:w="465" w:type="pct"/>
            <w:tcBorders>
              <w:top w:val="nil"/>
              <w:left w:val="nil"/>
              <w:bottom w:val="dotted" w:sz="4" w:space="0" w:color="auto"/>
              <w:right w:val="double" w:sz="6" w:space="0" w:color="auto"/>
            </w:tcBorders>
            <w:shd w:val="clear" w:color="auto" w:fill="FFFFFF"/>
            <w:vAlign w:val="center"/>
            <w:hideMark/>
          </w:tcPr>
          <w:p w14:paraId="6B6B1DE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0.5</w:t>
            </w:r>
          </w:p>
        </w:tc>
      </w:tr>
      <w:tr w:rsidR="00C50585" w:rsidRPr="00EE038F" w14:paraId="5F22BC06"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43C0D06F"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16. Borxhi i jashtëm</w:t>
            </w:r>
          </w:p>
        </w:tc>
        <w:tc>
          <w:tcPr>
            <w:tcW w:w="592" w:type="pct"/>
            <w:tcBorders>
              <w:top w:val="nil"/>
              <w:left w:val="nil"/>
              <w:bottom w:val="dotted" w:sz="4" w:space="0" w:color="auto"/>
              <w:right w:val="single" w:sz="4" w:space="0" w:color="auto"/>
            </w:tcBorders>
            <w:shd w:val="clear" w:color="auto" w:fill="FFFFFF"/>
            <w:vAlign w:val="center"/>
          </w:tcPr>
          <w:p w14:paraId="57091D78" w14:textId="2CAE1D14"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13BC7B0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5" w:type="pct"/>
            <w:tcBorders>
              <w:top w:val="nil"/>
              <w:left w:val="nil"/>
              <w:bottom w:val="dotted" w:sz="4" w:space="0" w:color="auto"/>
              <w:right w:val="dotted" w:sz="4" w:space="0" w:color="auto"/>
            </w:tcBorders>
            <w:shd w:val="clear" w:color="auto" w:fill="FFFFFF"/>
            <w:vAlign w:val="center"/>
            <w:hideMark/>
          </w:tcPr>
          <w:p w14:paraId="40C9A89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4" w:type="pct"/>
            <w:tcBorders>
              <w:top w:val="nil"/>
              <w:left w:val="nil"/>
              <w:bottom w:val="dotted" w:sz="4" w:space="0" w:color="auto"/>
              <w:right w:val="dotted" w:sz="4" w:space="0" w:color="auto"/>
            </w:tcBorders>
            <w:shd w:val="clear" w:color="auto" w:fill="FFFFFF"/>
            <w:vAlign w:val="center"/>
            <w:hideMark/>
          </w:tcPr>
          <w:p w14:paraId="1355A74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5" w:type="pct"/>
            <w:tcBorders>
              <w:top w:val="nil"/>
              <w:left w:val="nil"/>
              <w:bottom w:val="dotted" w:sz="4" w:space="0" w:color="auto"/>
              <w:right w:val="dotted" w:sz="4" w:space="0" w:color="auto"/>
            </w:tcBorders>
            <w:shd w:val="clear" w:color="auto" w:fill="FFFFFF"/>
            <w:vAlign w:val="center"/>
            <w:hideMark/>
          </w:tcPr>
          <w:p w14:paraId="57FE793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5" w:type="pct"/>
            <w:tcBorders>
              <w:top w:val="nil"/>
              <w:left w:val="nil"/>
              <w:bottom w:val="dotted" w:sz="4" w:space="0" w:color="auto"/>
              <w:right w:val="double" w:sz="6" w:space="0" w:color="auto"/>
            </w:tcBorders>
            <w:shd w:val="clear" w:color="auto" w:fill="FFFFFF"/>
            <w:vAlign w:val="center"/>
            <w:hideMark/>
          </w:tcPr>
          <w:p w14:paraId="587D6F4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r>
      <w:tr w:rsidR="00C50585" w:rsidRPr="00EE038F" w14:paraId="1D7FCFE8"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52942C16" w14:textId="77777777" w:rsidR="00C50585" w:rsidRPr="00EE038F" w:rsidRDefault="00C50585" w:rsidP="007C70E7">
            <w:pPr>
              <w:spacing w:after="0" w:line="240" w:lineRule="auto"/>
              <w:contextualSpacing/>
              <w:jc w:val="both"/>
              <w:rPr>
                <w:rFonts w:ascii="Garamond" w:hAnsi="Garamond"/>
                <w:i/>
                <w:iCs/>
                <w:color w:val="0D0D0D" w:themeColor="text1" w:themeTint="F2"/>
                <w:sz w:val="18"/>
              </w:rPr>
            </w:pPr>
            <w:r w:rsidRPr="00EE038F">
              <w:rPr>
                <w:rFonts w:ascii="Garamond" w:hAnsi="Garamond"/>
                <w:sz w:val="18"/>
              </w:rPr>
              <w:t>17. Nga të cilat: publike</w:t>
            </w:r>
          </w:p>
        </w:tc>
        <w:tc>
          <w:tcPr>
            <w:tcW w:w="592" w:type="pct"/>
            <w:tcBorders>
              <w:top w:val="nil"/>
              <w:left w:val="nil"/>
              <w:bottom w:val="dotted" w:sz="4" w:space="0" w:color="auto"/>
              <w:right w:val="single" w:sz="4" w:space="0" w:color="auto"/>
            </w:tcBorders>
            <w:shd w:val="clear" w:color="auto" w:fill="FFFFFF"/>
            <w:vAlign w:val="center"/>
          </w:tcPr>
          <w:p w14:paraId="196C3624" w14:textId="09552374"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6765B70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6.0</w:t>
            </w:r>
          </w:p>
        </w:tc>
        <w:tc>
          <w:tcPr>
            <w:tcW w:w="465" w:type="pct"/>
            <w:tcBorders>
              <w:top w:val="nil"/>
              <w:left w:val="nil"/>
              <w:bottom w:val="dotted" w:sz="4" w:space="0" w:color="auto"/>
              <w:right w:val="dotted" w:sz="4" w:space="0" w:color="auto"/>
            </w:tcBorders>
            <w:shd w:val="clear" w:color="auto" w:fill="FFFFFF"/>
            <w:vAlign w:val="center"/>
            <w:hideMark/>
          </w:tcPr>
          <w:p w14:paraId="442A767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5.9</w:t>
            </w:r>
          </w:p>
        </w:tc>
        <w:tc>
          <w:tcPr>
            <w:tcW w:w="464" w:type="pct"/>
            <w:tcBorders>
              <w:top w:val="nil"/>
              <w:left w:val="nil"/>
              <w:bottom w:val="dotted" w:sz="4" w:space="0" w:color="auto"/>
              <w:right w:val="dotted" w:sz="4" w:space="0" w:color="auto"/>
            </w:tcBorders>
            <w:shd w:val="clear" w:color="auto" w:fill="FFFFFF"/>
            <w:vAlign w:val="center"/>
            <w:hideMark/>
          </w:tcPr>
          <w:p w14:paraId="2C1033B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5.9</w:t>
            </w:r>
          </w:p>
        </w:tc>
        <w:tc>
          <w:tcPr>
            <w:tcW w:w="465" w:type="pct"/>
            <w:tcBorders>
              <w:top w:val="nil"/>
              <w:left w:val="nil"/>
              <w:bottom w:val="dotted" w:sz="4" w:space="0" w:color="auto"/>
              <w:right w:val="dotted" w:sz="4" w:space="0" w:color="auto"/>
            </w:tcBorders>
            <w:shd w:val="clear" w:color="auto" w:fill="FFFFFF"/>
            <w:vAlign w:val="center"/>
            <w:hideMark/>
          </w:tcPr>
          <w:p w14:paraId="049C9D9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6.0</w:t>
            </w:r>
          </w:p>
        </w:tc>
        <w:tc>
          <w:tcPr>
            <w:tcW w:w="465" w:type="pct"/>
            <w:tcBorders>
              <w:top w:val="nil"/>
              <w:left w:val="nil"/>
              <w:bottom w:val="dotted" w:sz="4" w:space="0" w:color="auto"/>
              <w:right w:val="double" w:sz="6" w:space="0" w:color="auto"/>
            </w:tcBorders>
            <w:shd w:val="clear" w:color="auto" w:fill="FFFFFF"/>
            <w:vAlign w:val="center"/>
            <w:hideMark/>
          </w:tcPr>
          <w:p w14:paraId="075686D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6.2</w:t>
            </w:r>
          </w:p>
        </w:tc>
      </w:tr>
      <w:tr w:rsidR="00C50585" w:rsidRPr="00EE038F" w14:paraId="58D5B25C"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4B57BD0A" w14:textId="77777777" w:rsidR="00C50585" w:rsidRPr="00EE038F" w:rsidRDefault="00C50585" w:rsidP="007C70E7">
            <w:pPr>
              <w:spacing w:after="0" w:line="240" w:lineRule="auto"/>
              <w:contextualSpacing/>
              <w:jc w:val="both"/>
              <w:rPr>
                <w:rFonts w:ascii="Garamond" w:hAnsi="Garamond"/>
                <w:i/>
                <w:iCs/>
                <w:color w:val="0D0D0D" w:themeColor="text1" w:themeTint="F2"/>
                <w:sz w:val="18"/>
              </w:rPr>
            </w:pPr>
            <w:r w:rsidRPr="00EE038F">
              <w:rPr>
                <w:rFonts w:ascii="Garamond" w:hAnsi="Garamond"/>
                <w:sz w:val="18"/>
              </w:rPr>
              <w:t>18. O/w: në valutë të huaj</w:t>
            </w:r>
          </w:p>
        </w:tc>
        <w:tc>
          <w:tcPr>
            <w:tcW w:w="592" w:type="pct"/>
            <w:tcBorders>
              <w:top w:val="nil"/>
              <w:left w:val="nil"/>
              <w:bottom w:val="dotted" w:sz="4" w:space="0" w:color="auto"/>
              <w:right w:val="single" w:sz="4" w:space="0" w:color="auto"/>
            </w:tcBorders>
            <w:shd w:val="clear" w:color="auto" w:fill="FFFFFF"/>
            <w:vAlign w:val="center"/>
          </w:tcPr>
          <w:p w14:paraId="7FFC0697" w14:textId="3AD0B930"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0295C685"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5" w:type="pct"/>
            <w:tcBorders>
              <w:top w:val="nil"/>
              <w:left w:val="nil"/>
              <w:bottom w:val="dotted" w:sz="4" w:space="0" w:color="auto"/>
              <w:right w:val="dotted" w:sz="4" w:space="0" w:color="auto"/>
            </w:tcBorders>
            <w:shd w:val="clear" w:color="auto" w:fill="FFFFFF"/>
            <w:vAlign w:val="center"/>
            <w:hideMark/>
          </w:tcPr>
          <w:p w14:paraId="46ED92F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4" w:type="pct"/>
            <w:tcBorders>
              <w:top w:val="nil"/>
              <w:left w:val="nil"/>
              <w:bottom w:val="dotted" w:sz="4" w:space="0" w:color="auto"/>
              <w:right w:val="dotted" w:sz="4" w:space="0" w:color="auto"/>
            </w:tcBorders>
            <w:shd w:val="clear" w:color="auto" w:fill="FFFFFF"/>
            <w:vAlign w:val="center"/>
            <w:hideMark/>
          </w:tcPr>
          <w:p w14:paraId="232AEAF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5" w:type="pct"/>
            <w:tcBorders>
              <w:top w:val="nil"/>
              <w:left w:val="nil"/>
              <w:bottom w:val="dotted" w:sz="4" w:space="0" w:color="auto"/>
              <w:right w:val="dotted" w:sz="4" w:space="0" w:color="auto"/>
            </w:tcBorders>
            <w:shd w:val="clear" w:color="auto" w:fill="FFFFFF"/>
            <w:vAlign w:val="center"/>
            <w:hideMark/>
          </w:tcPr>
          <w:p w14:paraId="4085C8A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5" w:type="pct"/>
            <w:tcBorders>
              <w:top w:val="nil"/>
              <w:left w:val="nil"/>
              <w:bottom w:val="dotted" w:sz="4" w:space="0" w:color="auto"/>
              <w:right w:val="double" w:sz="6" w:space="0" w:color="auto"/>
            </w:tcBorders>
            <w:shd w:val="clear" w:color="auto" w:fill="FFFFFF"/>
            <w:vAlign w:val="center"/>
            <w:hideMark/>
          </w:tcPr>
          <w:p w14:paraId="6770436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r>
      <w:tr w:rsidR="00C50585" w:rsidRPr="00EE038F" w14:paraId="710EF591" w14:textId="77777777" w:rsidTr="00FB5945">
        <w:trPr>
          <w:trHeight w:val="20"/>
        </w:trPr>
        <w:tc>
          <w:tcPr>
            <w:tcW w:w="2084" w:type="pct"/>
            <w:tcBorders>
              <w:top w:val="nil"/>
              <w:left w:val="double" w:sz="6" w:space="0" w:color="auto"/>
              <w:bottom w:val="single" w:sz="4" w:space="0" w:color="auto"/>
              <w:right w:val="single" w:sz="8" w:space="0" w:color="auto"/>
            </w:tcBorders>
            <w:shd w:val="clear" w:color="auto" w:fill="FFFFFF"/>
            <w:vAlign w:val="center"/>
            <w:hideMark/>
          </w:tcPr>
          <w:p w14:paraId="19285043" w14:textId="77777777" w:rsidR="00C50585" w:rsidRPr="00EE038F" w:rsidRDefault="00C50585" w:rsidP="007C70E7">
            <w:pPr>
              <w:spacing w:after="0" w:line="240" w:lineRule="auto"/>
              <w:contextualSpacing/>
              <w:jc w:val="both"/>
              <w:rPr>
                <w:rFonts w:ascii="Garamond" w:hAnsi="Garamond"/>
                <w:i/>
                <w:iCs/>
                <w:color w:val="0D0D0D" w:themeColor="text1" w:themeTint="F2"/>
                <w:sz w:val="18"/>
              </w:rPr>
            </w:pPr>
            <w:r w:rsidRPr="00EE038F">
              <w:rPr>
                <w:rFonts w:ascii="Garamond" w:hAnsi="Garamond"/>
                <w:sz w:val="18"/>
              </w:rPr>
              <w:t>19.O/w: pagesat e vonuara</w:t>
            </w:r>
          </w:p>
        </w:tc>
        <w:tc>
          <w:tcPr>
            <w:tcW w:w="592" w:type="pct"/>
            <w:tcBorders>
              <w:top w:val="nil"/>
              <w:left w:val="nil"/>
              <w:bottom w:val="single" w:sz="4" w:space="0" w:color="auto"/>
              <w:right w:val="single" w:sz="4" w:space="0" w:color="auto"/>
            </w:tcBorders>
            <w:shd w:val="clear" w:color="auto" w:fill="FFFFFF"/>
            <w:vAlign w:val="center"/>
          </w:tcPr>
          <w:p w14:paraId="3A9BCFD7" w14:textId="3791BFD0" w:rsidR="00C50585" w:rsidRPr="00EE038F" w:rsidRDefault="00FB2058" w:rsidP="00280C20">
            <w:pPr>
              <w:spacing w:after="0" w:line="240" w:lineRule="auto"/>
              <w:contextualSpacing/>
              <w:jc w:val="right"/>
              <w:rPr>
                <w:rFonts w:ascii="Garamond" w:hAnsi="Garamond"/>
                <w:sz w:val="18"/>
              </w:rPr>
            </w:pPr>
            <w:r w:rsidRPr="00EE038F">
              <w:rPr>
                <w:rFonts w:ascii="Garamond" w:hAnsi="Garamond"/>
                <w:sz w:val="18"/>
              </w:rPr>
              <w:t>mld euro</w:t>
            </w:r>
          </w:p>
        </w:tc>
        <w:tc>
          <w:tcPr>
            <w:tcW w:w="464" w:type="pct"/>
            <w:tcBorders>
              <w:top w:val="nil"/>
              <w:left w:val="single" w:sz="4" w:space="0" w:color="auto"/>
              <w:bottom w:val="single" w:sz="4" w:space="0" w:color="auto"/>
              <w:right w:val="dotted" w:sz="4" w:space="0" w:color="auto"/>
            </w:tcBorders>
            <w:shd w:val="clear" w:color="auto" w:fill="FFFFFF"/>
            <w:vAlign w:val="center"/>
            <w:hideMark/>
          </w:tcPr>
          <w:p w14:paraId="0681391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5" w:type="pct"/>
            <w:tcBorders>
              <w:top w:val="nil"/>
              <w:left w:val="nil"/>
              <w:bottom w:val="single" w:sz="4" w:space="0" w:color="auto"/>
              <w:right w:val="dotted" w:sz="4" w:space="0" w:color="auto"/>
            </w:tcBorders>
            <w:shd w:val="clear" w:color="auto" w:fill="FFFFFF"/>
            <w:vAlign w:val="center"/>
            <w:hideMark/>
          </w:tcPr>
          <w:p w14:paraId="26789E05"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4" w:type="pct"/>
            <w:tcBorders>
              <w:top w:val="nil"/>
              <w:left w:val="nil"/>
              <w:bottom w:val="single" w:sz="4" w:space="0" w:color="auto"/>
              <w:right w:val="dotted" w:sz="4" w:space="0" w:color="auto"/>
            </w:tcBorders>
            <w:shd w:val="clear" w:color="auto" w:fill="FFFFFF"/>
            <w:vAlign w:val="center"/>
            <w:hideMark/>
          </w:tcPr>
          <w:p w14:paraId="7C52FE2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5" w:type="pct"/>
            <w:tcBorders>
              <w:top w:val="nil"/>
              <w:left w:val="nil"/>
              <w:bottom w:val="single" w:sz="4" w:space="0" w:color="auto"/>
              <w:right w:val="dotted" w:sz="4" w:space="0" w:color="auto"/>
            </w:tcBorders>
            <w:shd w:val="clear" w:color="auto" w:fill="FFFFFF"/>
            <w:vAlign w:val="center"/>
            <w:hideMark/>
          </w:tcPr>
          <w:p w14:paraId="16ED244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c>
          <w:tcPr>
            <w:tcW w:w="465" w:type="pct"/>
            <w:tcBorders>
              <w:top w:val="nil"/>
              <w:left w:val="nil"/>
              <w:bottom w:val="single" w:sz="4" w:space="0" w:color="auto"/>
              <w:right w:val="double" w:sz="6" w:space="0" w:color="auto"/>
            </w:tcBorders>
            <w:shd w:val="clear" w:color="auto" w:fill="FFFFFF"/>
            <w:vAlign w:val="center"/>
            <w:hideMark/>
          </w:tcPr>
          <w:p w14:paraId="22960A1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w:t>
            </w:r>
          </w:p>
        </w:tc>
      </w:tr>
      <w:tr w:rsidR="00C50585" w:rsidRPr="00EE038F" w14:paraId="24C89D44"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65EF9F41"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20. Kursi i këmbimit kundrejt euros (mesatarja vjetore)</w:t>
            </w:r>
          </w:p>
        </w:tc>
        <w:tc>
          <w:tcPr>
            <w:tcW w:w="592" w:type="pct"/>
            <w:tcBorders>
              <w:top w:val="nil"/>
              <w:left w:val="nil"/>
              <w:bottom w:val="dotted" w:sz="4" w:space="0" w:color="auto"/>
              <w:right w:val="single" w:sz="4" w:space="0" w:color="auto"/>
            </w:tcBorders>
            <w:shd w:val="clear" w:color="auto" w:fill="FFFFFF"/>
            <w:vAlign w:val="center"/>
          </w:tcPr>
          <w:p w14:paraId="34BD69E3" w14:textId="77777777" w:rsidR="00C50585" w:rsidRPr="00EE038F" w:rsidRDefault="00C50585" w:rsidP="00280C20">
            <w:pPr>
              <w:spacing w:after="0" w:line="240" w:lineRule="auto"/>
              <w:contextualSpacing/>
              <w:jc w:val="right"/>
              <w:rPr>
                <w:rFonts w:ascii="Garamond" w:hAnsi="Garamond"/>
                <w:sz w:val="18"/>
              </w:rPr>
            </w:pP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61940B2B" w14:textId="77777777" w:rsidR="00C50585" w:rsidRPr="00EE038F" w:rsidRDefault="00C50585" w:rsidP="00280C20">
            <w:pPr>
              <w:spacing w:after="0" w:line="240" w:lineRule="auto"/>
              <w:contextualSpacing/>
              <w:jc w:val="right"/>
              <w:rPr>
                <w:rFonts w:ascii="Garamond" w:eastAsia="Times New Roman" w:hAnsi="Garamond"/>
                <w:color w:val="0D0D0D" w:themeColor="text1" w:themeTint="F2"/>
                <w:sz w:val="18"/>
              </w:rPr>
            </w:pPr>
            <w:r w:rsidRPr="00EE038F">
              <w:rPr>
                <w:rFonts w:ascii="Garamond" w:hAnsi="Garamond"/>
                <w:sz w:val="18"/>
              </w:rPr>
              <w:t>108.8</w:t>
            </w:r>
          </w:p>
        </w:tc>
        <w:tc>
          <w:tcPr>
            <w:tcW w:w="465" w:type="pct"/>
            <w:tcBorders>
              <w:top w:val="nil"/>
              <w:left w:val="nil"/>
              <w:bottom w:val="dotted" w:sz="4" w:space="0" w:color="auto"/>
              <w:right w:val="dotted" w:sz="4" w:space="0" w:color="auto"/>
            </w:tcBorders>
            <w:shd w:val="clear" w:color="auto" w:fill="FFFFFF"/>
            <w:vAlign w:val="center"/>
            <w:hideMark/>
          </w:tcPr>
          <w:p w14:paraId="077D6B6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100.7</w:t>
            </w:r>
          </w:p>
        </w:tc>
        <w:tc>
          <w:tcPr>
            <w:tcW w:w="464" w:type="pct"/>
            <w:tcBorders>
              <w:top w:val="nil"/>
              <w:left w:val="nil"/>
              <w:bottom w:val="dotted" w:sz="4" w:space="0" w:color="auto"/>
              <w:right w:val="dotted" w:sz="4" w:space="0" w:color="auto"/>
            </w:tcBorders>
            <w:shd w:val="clear" w:color="auto" w:fill="FFFFFF"/>
            <w:vAlign w:val="center"/>
            <w:hideMark/>
          </w:tcPr>
          <w:p w14:paraId="718F29A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100.7</w:t>
            </w:r>
          </w:p>
        </w:tc>
        <w:tc>
          <w:tcPr>
            <w:tcW w:w="465" w:type="pct"/>
            <w:tcBorders>
              <w:top w:val="nil"/>
              <w:left w:val="nil"/>
              <w:bottom w:val="dotted" w:sz="4" w:space="0" w:color="auto"/>
              <w:right w:val="dotted" w:sz="4" w:space="0" w:color="auto"/>
            </w:tcBorders>
            <w:shd w:val="clear" w:color="auto" w:fill="FFFFFF"/>
            <w:vAlign w:val="center"/>
            <w:hideMark/>
          </w:tcPr>
          <w:p w14:paraId="1C3D216B"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100.7</w:t>
            </w:r>
          </w:p>
        </w:tc>
        <w:tc>
          <w:tcPr>
            <w:tcW w:w="465" w:type="pct"/>
            <w:tcBorders>
              <w:top w:val="nil"/>
              <w:left w:val="nil"/>
              <w:bottom w:val="dotted" w:sz="4" w:space="0" w:color="auto"/>
              <w:right w:val="double" w:sz="6" w:space="0" w:color="auto"/>
            </w:tcBorders>
            <w:shd w:val="clear" w:color="auto" w:fill="FFFFFF"/>
            <w:vAlign w:val="center"/>
            <w:hideMark/>
          </w:tcPr>
          <w:p w14:paraId="7037B93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100.7</w:t>
            </w:r>
          </w:p>
        </w:tc>
      </w:tr>
      <w:tr w:rsidR="00C50585" w:rsidRPr="00EE038F" w14:paraId="18DCEB8E"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3F45F4F9"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p.m. Kursi i këmbimit kundrejt euros (mesatarja vjetore)</w:t>
            </w:r>
          </w:p>
        </w:tc>
        <w:tc>
          <w:tcPr>
            <w:tcW w:w="592" w:type="pct"/>
            <w:tcBorders>
              <w:top w:val="nil"/>
              <w:left w:val="nil"/>
              <w:bottom w:val="dotted" w:sz="4" w:space="0" w:color="auto"/>
              <w:right w:val="single" w:sz="4" w:space="0" w:color="auto"/>
            </w:tcBorders>
            <w:shd w:val="clear" w:color="auto" w:fill="FFFFFF"/>
            <w:vAlign w:val="center"/>
          </w:tcPr>
          <w:p w14:paraId="79D3C1EE" w14:textId="77777777" w:rsidR="00C50585" w:rsidRPr="00EE038F" w:rsidRDefault="00C50585" w:rsidP="00280C20">
            <w:pPr>
              <w:spacing w:after="0" w:line="240" w:lineRule="auto"/>
              <w:contextualSpacing/>
              <w:jc w:val="right"/>
              <w:rPr>
                <w:rFonts w:ascii="Garamond" w:hAnsi="Garamond"/>
                <w:i/>
                <w:iCs/>
                <w:sz w:val="18"/>
              </w:rPr>
            </w:pPr>
            <w:r w:rsidRPr="00EE038F">
              <w:rPr>
                <w:rFonts w:ascii="Garamond" w:hAnsi="Garamond"/>
                <w:sz w:val="18"/>
              </w:rPr>
              <w:t>%, y-o-y</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4BC3C09F" w14:textId="77777777" w:rsidR="00C50585" w:rsidRPr="00EE038F" w:rsidRDefault="00C50585" w:rsidP="00280C20">
            <w:pPr>
              <w:spacing w:after="0" w:line="240" w:lineRule="auto"/>
              <w:contextualSpacing/>
              <w:jc w:val="right"/>
              <w:rPr>
                <w:rFonts w:ascii="Garamond" w:hAnsi="Garamond"/>
                <w:i/>
                <w:iCs/>
                <w:color w:val="0D0D0D" w:themeColor="text1" w:themeTint="F2"/>
                <w:sz w:val="18"/>
              </w:rPr>
            </w:pPr>
            <w:r w:rsidRPr="00EE038F">
              <w:rPr>
                <w:rFonts w:ascii="Garamond" w:hAnsi="Garamond"/>
                <w:sz w:val="18"/>
              </w:rPr>
              <w:t>-8.6</w:t>
            </w:r>
          </w:p>
        </w:tc>
        <w:tc>
          <w:tcPr>
            <w:tcW w:w="465" w:type="pct"/>
            <w:tcBorders>
              <w:top w:val="nil"/>
              <w:left w:val="nil"/>
              <w:bottom w:val="dotted" w:sz="4" w:space="0" w:color="auto"/>
              <w:right w:val="dotted" w:sz="4" w:space="0" w:color="auto"/>
            </w:tcBorders>
            <w:shd w:val="clear" w:color="auto" w:fill="FFFFFF"/>
            <w:vAlign w:val="center"/>
            <w:hideMark/>
          </w:tcPr>
          <w:p w14:paraId="2FC162AA" w14:textId="77777777" w:rsidR="00C50585" w:rsidRPr="00EE038F" w:rsidRDefault="00C50585" w:rsidP="00280C20">
            <w:pPr>
              <w:spacing w:after="0" w:line="240" w:lineRule="auto"/>
              <w:contextualSpacing/>
              <w:jc w:val="right"/>
              <w:rPr>
                <w:rFonts w:ascii="Garamond" w:hAnsi="Garamond"/>
                <w:i/>
                <w:iCs/>
                <w:color w:val="0D0D0D" w:themeColor="text1" w:themeTint="F2"/>
                <w:sz w:val="18"/>
              </w:rPr>
            </w:pPr>
            <w:r w:rsidRPr="00EE038F">
              <w:rPr>
                <w:rFonts w:ascii="Garamond" w:hAnsi="Garamond"/>
                <w:sz w:val="18"/>
              </w:rPr>
              <w:t>-7.4</w:t>
            </w:r>
          </w:p>
        </w:tc>
        <w:tc>
          <w:tcPr>
            <w:tcW w:w="464" w:type="pct"/>
            <w:tcBorders>
              <w:top w:val="nil"/>
              <w:left w:val="nil"/>
              <w:bottom w:val="dotted" w:sz="4" w:space="0" w:color="auto"/>
              <w:right w:val="dotted" w:sz="4" w:space="0" w:color="auto"/>
            </w:tcBorders>
            <w:shd w:val="clear" w:color="auto" w:fill="FFFFFF"/>
            <w:vAlign w:val="center"/>
            <w:hideMark/>
          </w:tcPr>
          <w:p w14:paraId="28F2D180" w14:textId="77777777" w:rsidR="00C50585" w:rsidRPr="00EE038F" w:rsidRDefault="00C50585" w:rsidP="00280C20">
            <w:pPr>
              <w:spacing w:after="0" w:line="240" w:lineRule="auto"/>
              <w:contextualSpacing/>
              <w:jc w:val="right"/>
              <w:rPr>
                <w:rFonts w:ascii="Garamond" w:hAnsi="Garamond"/>
                <w:i/>
                <w:iCs/>
                <w:color w:val="0D0D0D" w:themeColor="text1" w:themeTint="F2"/>
                <w:sz w:val="18"/>
              </w:rPr>
            </w:pPr>
            <w:r w:rsidRPr="00EE038F">
              <w:rPr>
                <w:rFonts w:ascii="Garamond" w:hAnsi="Garamond"/>
                <w:sz w:val="18"/>
              </w:rPr>
              <w:t>0.0</w:t>
            </w:r>
          </w:p>
        </w:tc>
        <w:tc>
          <w:tcPr>
            <w:tcW w:w="465" w:type="pct"/>
            <w:tcBorders>
              <w:top w:val="nil"/>
              <w:left w:val="nil"/>
              <w:bottom w:val="dotted" w:sz="4" w:space="0" w:color="auto"/>
              <w:right w:val="dotted" w:sz="4" w:space="0" w:color="auto"/>
            </w:tcBorders>
            <w:shd w:val="clear" w:color="auto" w:fill="FFFFFF"/>
            <w:vAlign w:val="center"/>
            <w:hideMark/>
          </w:tcPr>
          <w:p w14:paraId="065BE8C1" w14:textId="77777777" w:rsidR="00C50585" w:rsidRPr="00EE038F" w:rsidRDefault="00C50585" w:rsidP="00280C20">
            <w:pPr>
              <w:spacing w:after="0" w:line="240" w:lineRule="auto"/>
              <w:contextualSpacing/>
              <w:jc w:val="right"/>
              <w:rPr>
                <w:rFonts w:ascii="Garamond" w:hAnsi="Garamond"/>
                <w:i/>
                <w:iCs/>
                <w:color w:val="0D0D0D" w:themeColor="text1" w:themeTint="F2"/>
                <w:sz w:val="18"/>
              </w:rPr>
            </w:pPr>
            <w:r w:rsidRPr="00EE038F">
              <w:rPr>
                <w:rFonts w:ascii="Garamond" w:hAnsi="Garamond"/>
                <w:sz w:val="18"/>
              </w:rPr>
              <w:t>0.0</w:t>
            </w:r>
          </w:p>
        </w:tc>
        <w:tc>
          <w:tcPr>
            <w:tcW w:w="465" w:type="pct"/>
            <w:tcBorders>
              <w:top w:val="nil"/>
              <w:left w:val="nil"/>
              <w:bottom w:val="dotted" w:sz="4" w:space="0" w:color="auto"/>
              <w:right w:val="double" w:sz="6" w:space="0" w:color="auto"/>
            </w:tcBorders>
            <w:shd w:val="clear" w:color="auto" w:fill="FFFFFF"/>
            <w:vAlign w:val="center"/>
            <w:hideMark/>
          </w:tcPr>
          <w:p w14:paraId="0EFCF202" w14:textId="77777777" w:rsidR="00C50585" w:rsidRPr="00EE038F" w:rsidRDefault="00C50585" w:rsidP="00280C20">
            <w:pPr>
              <w:spacing w:after="0" w:line="240" w:lineRule="auto"/>
              <w:contextualSpacing/>
              <w:jc w:val="right"/>
              <w:rPr>
                <w:rFonts w:ascii="Garamond" w:hAnsi="Garamond"/>
                <w:i/>
                <w:iCs/>
                <w:color w:val="0D0D0D" w:themeColor="text1" w:themeTint="F2"/>
                <w:sz w:val="18"/>
              </w:rPr>
            </w:pPr>
            <w:r w:rsidRPr="00EE038F">
              <w:rPr>
                <w:rFonts w:ascii="Garamond" w:hAnsi="Garamond"/>
                <w:sz w:val="18"/>
              </w:rPr>
              <w:t>0.0</w:t>
            </w:r>
          </w:p>
        </w:tc>
      </w:tr>
      <w:tr w:rsidR="00C50585" w:rsidRPr="00EE038F" w14:paraId="343931C4"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6E455C3B"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21. Kursi i këmbimit kundrejt euros (fundi i vitit)</w:t>
            </w:r>
          </w:p>
        </w:tc>
        <w:tc>
          <w:tcPr>
            <w:tcW w:w="592" w:type="pct"/>
            <w:tcBorders>
              <w:top w:val="nil"/>
              <w:left w:val="nil"/>
              <w:bottom w:val="dotted" w:sz="4" w:space="0" w:color="auto"/>
              <w:right w:val="single" w:sz="4" w:space="0" w:color="auto"/>
            </w:tcBorders>
            <w:shd w:val="clear" w:color="auto" w:fill="FFFFFF"/>
            <w:vAlign w:val="center"/>
          </w:tcPr>
          <w:p w14:paraId="75F045BB" w14:textId="77777777" w:rsidR="00C50585" w:rsidRPr="00EE038F" w:rsidRDefault="00C50585" w:rsidP="00280C20">
            <w:pPr>
              <w:spacing w:after="0" w:line="240" w:lineRule="auto"/>
              <w:contextualSpacing/>
              <w:jc w:val="right"/>
              <w:rPr>
                <w:rFonts w:ascii="Garamond" w:hAnsi="Garamond"/>
                <w:sz w:val="18"/>
              </w:rPr>
            </w:pP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1DB01258" w14:textId="77777777" w:rsidR="00C50585" w:rsidRPr="00EE038F" w:rsidRDefault="00C50585" w:rsidP="00280C20">
            <w:pPr>
              <w:spacing w:after="0" w:line="240" w:lineRule="auto"/>
              <w:contextualSpacing/>
              <w:jc w:val="right"/>
              <w:rPr>
                <w:rFonts w:ascii="Garamond" w:eastAsia="Times New Roman" w:hAnsi="Garamond"/>
                <w:color w:val="0D0D0D" w:themeColor="text1" w:themeTint="F2"/>
                <w:sz w:val="18"/>
              </w:rPr>
            </w:pPr>
            <w:r w:rsidRPr="00EE038F">
              <w:rPr>
                <w:rFonts w:ascii="Garamond" w:hAnsi="Garamond"/>
                <w:sz w:val="18"/>
              </w:rPr>
              <w:t>102.8</w:t>
            </w:r>
          </w:p>
        </w:tc>
        <w:tc>
          <w:tcPr>
            <w:tcW w:w="465" w:type="pct"/>
            <w:tcBorders>
              <w:top w:val="nil"/>
              <w:left w:val="nil"/>
              <w:bottom w:val="dotted" w:sz="4" w:space="0" w:color="auto"/>
              <w:right w:val="dotted" w:sz="4" w:space="0" w:color="auto"/>
            </w:tcBorders>
            <w:shd w:val="clear" w:color="auto" w:fill="FFFFFF"/>
            <w:vAlign w:val="center"/>
            <w:hideMark/>
          </w:tcPr>
          <w:p w14:paraId="06BC73B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100.0</w:t>
            </w:r>
          </w:p>
        </w:tc>
        <w:tc>
          <w:tcPr>
            <w:tcW w:w="464" w:type="pct"/>
            <w:tcBorders>
              <w:top w:val="nil"/>
              <w:left w:val="nil"/>
              <w:bottom w:val="dotted" w:sz="4" w:space="0" w:color="auto"/>
              <w:right w:val="dotted" w:sz="4" w:space="0" w:color="auto"/>
            </w:tcBorders>
            <w:shd w:val="clear" w:color="auto" w:fill="FFFFFF"/>
            <w:vAlign w:val="center"/>
            <w:hideMark/>
          </w:tcPr>
          <w:p w14:paraId="06B0F53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100.0</w:t>
            </w:r>
          </w:p>
        </w:tc>
        <w:tc>
          <w:tcPr>
            <w:tcW w:w="465" w:type="pct"/>
            <w:tcBorders>
              <w:top w:val="nil"/>
              <w:left w:val="nil"/>
              <w:bottom w:val="dotted" w:sz="4" w:space="0" w:color="auto"/>
              <w:right w:val="dotted" w:sz="4" w:space="0" w:color="auto"/>
            </w:tcBorders>
            <w:shd w:val="clear" w:color="auto" w:fill="FFFFFF"/>
            <w:vAlign w:val="center"/>
            <w:hideMark/>
          </w:tcPr>
          <w:p w14:paraId="4DBC643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100.0</w:t>
            </w:r>
          </w:p>
        </w:tc>
        <w:tc>
          <w:tcPr>
            <w:tcW w:w="465" w:type="pct"/>
            <w:tcBorders>
              <w:top w:val="nil"/>
              <w:left w:val="nil"/>
              <w:bottom w:val="dotted" w:sz="4" w:space="0" w:color="auto"/>
              <w:right w:val="double" w:sz="6" w:space="0" w:color="auto"/>
            </w:tcBorders>
            <w:shd w:val="clear" w:color="auto" w:fill="FFFFFF"/>
            <w:vAlign w:val="center"/>
            <w:hideMark/>
          </w:tcPr>
          <w:p w14:paraId="4F5CBFDC"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100.0</w:t>
            </w:r>
          </w:p>
        </w:tc>
      </w:tr>
      <w:tr w:rsidR="00C50585" w:rsidRPr="00EE038F" w14:paraId="32E45B39"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1136F3B0" w14:textId="77777777" w:rsidR="00C50585" w:rsidRPr="00EE038F" w:rsidRDefault="00C50585" w:rsidP="007C70E7">
            <w:pPr>
              <w:spacing w:after="0" w:line="240" w:lineRule="auto"/>
              <w:contextualSpacing/>
              <w:jc w:val="both"/>
              <w:rPr>
                <w:rFonts w:ascii="Garamond" w:hAnsi="Garamond"/>
                <w:i/>
                <w:iCs/>
                <w:color w:val="0D0D0D" w:themeColor="text1" w:themeTint="F2"/>
                <w:sz w:val="18"/>
              </w:rPr>
            </w:pPr>
            <w:r w:rsidRPr="00EE038F">
              <w:rPr>
                <w:rFonts w:ascii="Garamond" w:hAnsi="Garamond"/>
                <w:sz w:val="18"/>
              </w:rPr>
              <w:t>p.m. Kursi i këmbimit kundrejt euros (fundi i vitit)</w:t>
            </w:r>
          </w:p>
        </w:tc>
        <w:tc>
          <w:tcPr>
            <w:tcW w:w="592" w:type="pct"/>
            <w:tcBorders>
              <w:top w:val="nil"/>
              <w:left w:val="nil"/>
              <w:bottom w:val="dotted" w:sz="4" w:space="0" w:color="auto"/>
              <w:right w:val="single" w:sz="4" w:space="0" w:color="auto"/>
            </w:tcBorders>
            <w:shd w:val="clear" w:color="auto" w:fill="FFFFFF"/>
            <w:vAlign w:val="center"/>
          </w:tcPr>
          <w:p w14:paraId="042F655B" w14:textId="77777777" w:rsidR="00C50585" w:rsidRPr="00EE038F" w:rsidRDefault="00C50585" w:rsidP="00280C20">
            <w:pPr>
              <w:spacing w:after="0" w:line="240" w:lineRule="auto"/>
              <w:contextualSpacing/>
              <w:jc w:val="right"/>
              <w:rPr>
                <w:rFonts w:ascii="Garamond" w:hAnsi="Garamond"/>
                <w:i/>
                <w:iCs/>
                <w:sz w:val="18"/>
              </w:rPr>
            </w:pPr>
            <w:r w:rsidRPr="00EE038F">
              <w:rPr>
                <w:rFonts w:ascii="Garamond" w:hAnsi="Garamond"/>
                <w:sz w:val="18"/>
              </w:rPr>
              <w:t>%, y-o-y</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2950134D" w14:textId="77777777" w:rsidR="00C50585" w:rsidRPr="00EE038F" w:rsidRDefault="00C50585" w:rsidP="00280C20">
            <w:pPr>
              <w:spacing w:after="0" w:line="240" w:lineRule="auto"/>
              <w:contextualSpacing/>
              <w:jc w:val="right"/>
              <w:rPr>
                <w:rFonts w:ascii="Garamond" w:hAnsi="Garamond"/>
                <w:i/>
                <w:iCs/>
                <w:color w:val="0D0D0D" w:themeColor="text1" w:themeTint="F2"/>
                <w:sz w:val="18"/>
              </w:rPr>
            </w:pPr>
            <w:r w:rsidRPr="00EE038F">
              <w:rPr>
                <w:rFonts w:ascii="Garamond" w:hAnsi="Garamond"/>
                <w:sz w:val="18"/>
              </w:rPr>
              <w:t>-10.6</w:t>
            </w:r>
          </w:p>
        </w:tc>
        <w:tc>
          <w:tcPr>
            <w:tcW w:w="465" w:type="pct"/>
            <w:tcBorders>
              <w:top w:val="nil"/>
              <w:left w:val="nil"/>
              <w:bottom w:val="dotted" w:sz="4" w:space="0" w:color="auto"/>
              <w:right w:val="dotted" w:sz="4" w:space="0" w:color="auto"/>
            </w:tcBorders>
            <w:shd w:val="clear" w:color="auto" w:fill="FFFFFF"/>
            <w:vAlign w:val="center"/>
            <w:hideMark/>
          </w:tcPr>
          <w:p w14:paraId="00013024" w14:textId="77777777" w:rsidR="00C50585" w:rsidRPr="00EE038F" w:rsidRDefault="00C50585" w:rsidP="00280C20">
            <w:pPr>
              <w:spacing w:after="0" w:line="240" w:lineRule="auto"/>
              <w:contextualSpacing/>
              <w:jc w:val="right"/>
              <w:rPr>
                <w:rFonts w:ascii="Garamond" w:hAnsi="Garamond"/>
                <w:i/>
                <w:iCs/>
                <w:color w:val="0D0D0D" w:themeColor="text1" w:themeTint="F2"/>
                <w:sz w:val="18"/>
              </w:rPr>
            </w:pPr>
            <w:r w:rsidRPr="00EE038F">
              <w:rPr>
                <w:rFonts w:ascii="Garamond" w:hAnsi="Garamond"/>
                <w:sz w:val="18"/>
              </w:rPr>
              <w:t>-2.7</w:t>
            </w:r>
          </w:p>
        </w:tc>
        <w:tc>
          <w:tcPr>
            <w:tcW w:w="464" w:type="pct"/>
            <w:tcBorders>
              <w:top w:val="nil"/>
              <w:left w:val="nil"/>
              <w:bottom w:val="dotted" w:sz="4" w:space="0" w:color="auto"/>
              <w:right w:val="dotted" w:sz="4" w:space="0" w:color="auto"/>
            </w:tcBorders>
            <w:shd w:val="clear" w:color="auto" w:fill="FFFFFF"/>
            <w:vAlign w:val="center"/>
            <w:hideMark/>
          </w:tcPr>
          <w:p w14:paraId="48A08D46" w14:textId="77777777" w:rsidR="00C50585" w:rsidRPr="00EE038F" w:rsidRDefault="00C50585" w:rsidP="00280C20">
            <w:pPr>
              <w:spacing w:after="0" w:line="240" w:lineRule="auto"/>
              <w:contextualSpacing/>
              <w:jc w:val="right"/>
              <w:rPr>
                <w:rFonts w:ascii="Garamond" w:hAnsi="Garamond"/>
                <w:i/>
                <w:iCs/>
                <w:color w:val="0D0D0D" w:themeColor="text1" w:themeTint="F2"/>
                <w:sz w:val="18"/>
              </w:rPr>
            </w:pPr>
            <w:r w:rsidRPr="00EE038F">
              <w:rPr>
                <w:rFonts w:ascii="Garamond" w:hAnsi="Garamond"/>
                <w:sz w:val="18"/>
              </w:rPr>
              <w:t>0.0</w:t>
            </w:r>
          </w:p>
        </w:tc>
        <w:tc>
          <w:tcPr>
            <w:tcW w:w="465" w:type="pct"/>
            <w:tcBorders>
              <w:top w:val="nil"/>
              <w:left w:val="nil"/>
              <w:bottom w:val="dotted" w:sz="4" w:space="0" w:color="auto"/>
              <w:right w:val="dotted" w:sz="4" w:space="0" w:color="auto"/>
            </w:tcBorders>
            <w:shd w:val="clear" w:color="auto" w:fill="FFFFFF"/>
            <w:vAlign w:val="center"/>
            <w:hideMark/>
          </w:tcPr>
          <w:p w14:paraId="5258991C" w14:textId="77777777" w:rsidR="00C50585" w:rsidRPr="00EE038F" w:rsidRDefault="00C50585" w:rsidP="00280C20">
            <w:pPr>
              <w:spacing w:after="0" w:line="240" w:lineRule="auto"/>
              <w:contextualSpacing/>
              <w:jc w:val="right"/>
              <w:rPr>
                <w:rFonts w:ascii="Garamond" w:hAnsi="Garamond"/>
                <w:i/>
                <w:iCs/>
                <w:color w:val="0D0D0D" w:themeColor="text1" w:themeTint="F2"/>
                <w:sz w:val="18"/>
              </w:rPr>
            </w:pPr>
            <w:r w:rsidRPr="00EE038F">
              <w:rPr>
                <w:rFonts w:ascii="Garamond" w:hAnsi="Garamond"/>
                <w:sz w:val="18"/>
              </w:rPr>
              <w:t>0.0</w:t>
            </w:r>
          </w:p>
        </w:tc>
        <w:tc>
          <w:tcPr>
            <w:tcW w:w="465" w:type="pct"/>
            <w:tcBorders>
              <w:top w:val="nil"/>
              <w:left w:val="nil"/>
              <w:bottom w:val="dotted" w:sz="4" w:space="0" w:color="auto"/>
              <w:right w:val="double" w:sz="6" w:space="0" w:color="auto"/>
            </w:tcBorders>
            <w:shd w:val="clear" w:color="auto" w:fill="FFFFFF"/>
            <w:vAlign w:val="center"/>
            <w:hideMark/>
          </w:tcPr>
          <w:p w14:paraId="2BF6B757" w14:textId="77777777" w:rsidR="00C50585" w:rsidRPr="00EE038F" w:rsidRDefault="00C50585" w:rsidP="00280C20">
            <w:pPr>
              <w:spacing w:after="0" w:line="240" w:lineRule="auto"/>
              <w:contextualSpacing/>
              <w:jc w:val="right"/>
              <w:rPr>
                <w:rFonts w:ascii="Garamond" w:hAnsi="Garamond"/>
                <w:i/>
                <w:iCs/>
                <w:color w:val="0D0D0D" w:themeColor="text1" w:themeTint="F2"/>
                <w:sz w:val="18"/>
              </w:rPr>
            </w:pPr>
            <w:r w:rsidRPr="00EE038F">
              <w:rPr>
                <w:rFonts w:ascii="Garamond" w:hAnsi="Garamond"/>
                <w:sz w:val="18"/>
              </w:rPr>
              <w:t>0.0</w:t>
            </w:r>
          </w:p>
        </w:tc>
      </w:tr>
      <w:tr w:rsidR="00C50585" w:rsidRPr="00EE038F" w14:paraId="3C2E46B4" w14:textId="77777777" w:rsidTr="00FB5945">
        <w:trPr>
          <w:trHeight w:val="20"/>
        </w:trPr>
        <w:tc>
          <w:tcPr>
            <w:tcW w:w="2084" w:type="pct"/>
            <w:tcBorders>
              <w:top w:val="single" w:sz="4" w:space="0" w:color="auto"/>
              <w:left w:val="double" w:sz="6" w:space="0" w:color="auto"/>
              <w:bottom w:val="dotted" w:sz="4" w:space="0" w:color="auto"/>
              <w:right w:val="single" w:sz="8" w:space="0" w:color="auto"/>
            </w:tcBorders>
            <w:shd w:val="clear" w:color="auto" w:fill="FFFFFF"/>
            <w:vAlign w:val="center"/>
            <w:hideMark/>
          </w:tcPr>
          <w:p w14:paraId="7D8C72A5"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22. Kursimet e huaja neto</w:t>
            </w:r>
          </w:p>
        </w:tc>
        <w:tc>
          <w:tcPr>
            <w:tcW w:w="592" w:type="pct"/>
            <w:tcBorders>
              <w:top w:val="single" w:sz="4" w:space="0" w:color="auto"/>
              <w:left w:val="single" w:sz="8" w:space="0" w:color="auto"/>
              <w:bottom w:val="dotted" w:sz="4" w:space="0" w:color="auto"/>
              <w:right w:val="single" w:sz="4" w:space="0" w:color="auto"/>
            </w:tcBorders>
            <w:shd w:val="clear" w:color="auto" w:fill="FFFFFF"/>
            <w:vAlign w:val="center"/>
          </w:tcPr>
          <w:p w14:paraId="1017151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e PBB</w:t>
            </w:r>
          </w:p>
        </w:tc>
        <w:tc>
          <w:tcPr>
            <w:tcW w:w="464" w:type="pct"/>
            <w:tcBorders>
              <w:top w:val="single" w:sz="4" w:space="0" w:color="auto"/>
              <w:left w:val="single" w:sz="4" w:space="0" w:color="auto"/>
              <w:bottom w:val="dotted" w:sz="4" w:space="0" w:color="auto"/>
              <w:right w:val="dotted" w:sz="4" w:space="0" w:color="auto"/>
            </w:tcBorders>
            <w:shd w:val="clear" w:color="auto" w:fill="FFFFFF"/>
            <w:vAlign w:val="center"/>
            <w:hideMark/>
          </w:tcPr>
          <w:p w14:paraId="6090AB42" w14:textId="77777777" w:rsidR="00C50585" w:rsidRPr="00EE038F" w:rsidRDefault="00C50585" w:rsidP="00280C20">
            <w:pPr>
              <w:spacing w:after="0" w:line="240" w:lineRule="auto"/>
              <w:contextualSpacing/>
              <w:jc w:val="right"/>
              <w:rPr>
                <w:rFonts w:ascii="Garamond" w:eastAsia="Times New Roman" w:hAnsi="Garamond"/>
                <w:color w:val="0D0D0D" w:themeColor="text1" w:themeTint="F2"/>
                <w:sz w:val="18"/>
              </w:rPr>
            </w:pPr>
            <w:r w:rsidRPr="00EE038F">
              <w:rPr>
                <w:rFonts w:ascii="Garamond" w:hAnsi="Garamond"/>
                <w:sz w:val="18"/>
              </w:rPr>
              <w:t>0.3</w:t>
            </w:r>
          </w:p>
        </w:tc>
        <w:tc>
          <w:tcPr>
            <w:tcW w:w="465" w:type="pct"/>
            <w:tcBorders>
              <w:top w:val="single" w:sz="4" w:space="0" w:color="auto"/>
              <w:left w:val="nil"/>
              <w:bottom w:val="dotted" w:sz="4" w:space="0" w:color="auto"/>
              <w:right w:val="dotted" w:sz="4" w:space="0" w:color="auto"/>
            </w:tcBorders>
            <w:shd w:val="clear" w:color="auto" w:fill="FFFFFF"/>
            <w:vAlign w:val="center"/>
            <w:hideMark/>
          </w:tcPr>
          <w:p w14:paraId="2906DAA5"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0.7</w:t>
            </w:r>
          </w:p>
        </w:tc>
        <w:tc>
          <w:tcPr>
            <w:tcW w:w="464" w:type="pct"/>
            <w:tcBorders>
              <w:top w:val="single" w:sz="4" w:space="0" w:color="auto"/>
              <w:left w:val="nil"/>
              <w:bottom w:val="dotted" w:sz="4" w:space="0" w:color="auto"/>
              <w:right w:val="dotted" w:sz="4" w:space="0" w:color="auto"/>
            </w:tcBorders>
            <w:shd w:val="clear" w:color="auto" w:fill="FFFFFF"/>
            <w:vAlign w:val="center"/>
            <w:hideMark/>
          </w:tcPr>
          <w:p w14:paraId="06FEB35A"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w:t>
            </w:r>
          </w:p>
        </w:tc>
        <w:tc>
          <w:tcPr>
            <w:tcW w:w="465" w:type="pct"/>
            <w:tcBorders>
              <w:top w:val="single" w:sz="4" w:space="0" w:color="auto"/>
              <w:left w:val="nil"/>
              <w:bottom w:val="dotted" w:sz="4" w:space="0" w:color="auto"/>
              <w:right w:val="dotted" w:sz="4" w:space="0" w:color="auto"/>
            </w:tcBorders>
            <w:shd w:val="clear" w:color="auto" w:fill="FFFFFF"/>
            <w:vAlign w:val="center"/>
            <w:hideMark/>
          </w:tcPr>
          <w:p w14:paraId="74333B24"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0.8</w:t>
            </w:r>
          </w:p>
        </w:tc>
        <w:tc>
          <w:tcPr>
            <w:tcW w:w="465" w:type="pct"/>
            <w:tcBorders>
              <w:top w:val="single" w:sz="4" w:space="0" w:color="auto"/>
              <w:left w:val="nil"/>
              <w:bottom w:val="dotted" w:sz="4" w:space="0" w:color="auto"/>
              <w:right w:val="double" w:sz="6" w:space="0" w:color="auto"/>
            </w:tcBorders>
            <w:shd w:val="clear" w:color="auto" w:fill="FFFFFF"/>
            <w:vAlign w:val="center"/>
            <w:hideMark/>
          </w:tcPr>
          <w:p w14:paraId="6C70BDC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0.9</w:t>
            </w:r>
          </w:p>
        </w:tc>
      </w:tr>
      <w:tr w:rsidR="00C50585" w:rsidRPr="00EE038F" w14:paraId="4EB5DE2E"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565B2A27"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23. Kursime private të brendshme</w:t>
            </w:r>
          </w:p>
        </w:tc>
        <w:tc>
          <w:tcPr>
            <w:tcW w:w="592" w:type="pct"/>
            <w:tcBorders>
              <w:top w:val="nil"/>
              <w:left w:val="nil"/>
              <w:bottom w:val="dotted" w:sz="4" w:space="0" w:color="auto"/>
              <w:right w:val="single" w:sz="4" w:space="0" w:color="auto"/>
            </w:tcBorders>
            <w:shd w:val="clear" w:color="auto" w:fill="FFFFFF"/>
            <w:vAlign w:val="center"/>
          </w:tcPr>
          <w:p w14:paraId="026CEDF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e PBB</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27F0ECE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4.1</w:t>
            </w:r>
          </w:p>
        </w:tc>
        <w:tc>
          <w:tcPr>
            <w:tcW w:w="465" w:type="pct"/>
            <w:tcBorders>
              <w:top w:val="nil"/>
              <w:left w:val="nil"/>
              <w:bottom w:val="dotted" w:sz="4" w:space="0" w:color="auto"/>
              <w:right w:val="dotted" w:sz="4" w:space="0" w:color="auto"/>
            </w:tcBorders>
            <w:shd w:val="clear" w:color="auto" w:fill="FFFFFF"/>
            <w:vAlign w:val="center"/>
            <w:hideMark/>
          </w:tcPr>
          <w:p w14:paraId="60BC1B4D"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4.2</w:t>
            </w:r>
          </w:p>
        </w:tc>
        <w:tc>
          <w:tcPr>
            <w:tcW w:w="464" w:type="pct"/>
            <w:tcBorders>
              <w:top w:val="nil"/>
              <w:left w:val="nil"/>
              <w:bottom w:val="dotted" w:sz="4" w:space="0" w:color="auto"/>
              <w:right w:val="dotted" w:sz="4" w:space="0" w:color="auto"/>
            </w:tcBorders>
            <w:shd w:val="clear" w:color="auto" w:fill="FFFFFF"/>
            <w:vAlign w:val="center"/>
            <w:hideMark/>
          </w:tcPr>
          <w:p w14:paraId="2B704638"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4.5</w:t>
            </w:r>
          </w:p>
        </w:tc>
        <w:tc>
          <w:tcPr>
            <w:tcW w:w="465" w:type="pct"/>
            <w:tcBorders>
              <w:top w:val="nil"/>
              <w:left w:val="nil"/>
              <w:bottom w:val="dotted" w:sz="4" w:space="0" w:color="auto"/>
              <w:right w:val="dotted" w:sz="4" w:space="0" w:color="auto"/>
            </w:tcBorders>
            <w:shd w:val="clear" w:color="auto" w:fill="FFFFFF"/>
            <w:vAlign w:val="center"/>
            <w:hideMark/>
          </w:tcPr>
          <w:p w14:paraId="0D42A5B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4.7</w:t>
            </w:r>
          </w:p>
        </w:tc>
        <w:tc>
          <w:tcPr>
            <w:tcW w:w="465" w:type="pct"/>
            <w:tcBorders>
              <w:top w:val="nil"/>
              <w:left w:val="nil"/>
              <w:bottom w:val="dotted" w:sz="4" w:space="0" w:color="auto"/>
              <w:right w:val="double" w:sz="6" w:space="0" w:color="auto"/>
            </w:tcBorders>
            <w:shd w:val="clear" w:color="auto" w:fill="FFFFFF"/>
            <w:vAlign w:val="center"/>
            <w:hideMark/>
          </w:tcPr>
          <w:p w14:paraId="50DD23D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5.0</w:t>
            </w:r>
          </w:p>
        </w:tc>
      </w:tr>
      <w:tr w:rsidR="00C50585" w:rsidRPr="00EE038F" w14:paraId="40178075"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32195F15"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24. Investimet e brendshme private</w:t>
            </w:r>
          </w:p>
        </w:tc>
        <w:tc>
          <w:tcPr>
            <w:tcW w:w="592" w:type="pct"/>
            <w:tcBorders>
              <w:top w:val="nil"/>
              <w:left w:val="nil"/>
              <w:bottom w:val="dotted" w:sz="4" w:space="0" w:color="auto"/>
              <w:right w:val="single" w:sz="4" w:space="0" w:color="auto"/>
            </w:tcBorders>
            <w:shd w:val="clear" w:color="auto" w:fill="FFFFFF"/>
            <w:vAlign w:val="center"/>
          </w:tcPr>
          <w:p w14:paraId="1261705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e PBB</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3F1F6690"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3.9</w:t>
            </w:r>
          </w:p>
        </w:tc>
        <w:tc>
          <w:tcPr>
            <w:tcW w:w="465" w:type="pct"/>
            <w:tcBorders>
              <w:top w:val="nil"/>
              <w:left w:val="nil"/>
              <w:bottom w:val="dotted" w:sz="4" w:space="0" w:color="auto"/>
              <w:right w:val="dotted" w:sz="4" w:space="0" w:color="auto"/>
            </w:tcBorders>
            <w:shd w:val="clear" w:color="auto" w:fill="FFFFFF"/>
            <w:vAlign w:val="center"/>
            <w:hideMark/>
          </w:tcPr>
          <w:p w14:paraId="32AE7B8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4.5</w:t>
            </w:r>
          </w:p>
        </w:tc>
        <w:tc>
          <w:tcPr>
            <w:tcW w:w="464" w:type="pct"/>
            <w:tcBorders>
              <w:top w:val="nil"/>
              <w:left w:val="nil"/>
              <w:bottom w:val="dotted" w:sz="4" w:space="0" w:color="auto"/>
              <w:right w:val="dotted" w:sz="4" w:space="0" w:color="auto"/>
            </w:tcBorders>
            <w:shd w:val="clear" w:color="auto" w:fill="FFFFFF"/>
            <w:vAlign w:val="center"/>
            <w:hideMark/>
          </w:tcPr>
          <w:p w14:paraId="6AC6B6DF"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4.6</w:t>
            </w:r>
          </w:p>
        </w:tc>
        <w:tc>
          <w:tcPr>
            <w:tcW w:w="465" w:type="pct"/>
            <w:tcBorders>
              <w:top w:val="nil"/>
              <w:left w:val="nil"/>
              <w:bottom w:val="dotted" w:sz="4" w:space="0" w:color="auto"/>
              <w:right w:val="dotted" w:sz="4" w:space="0" w:color="auto"/>
            </w:tcBorders>
            <w:shd w:val="clear" w:color="auto" w:fill="FFFFFF"/>
            <w:vAlign w:val="center"/>
            <w:hideMark/>
          </w:tcPr>
          <w:p w14:paraId="6462835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4.8</w:t>
            </w:r>
          </w:p>
        </w:tc>
        <w:tc>
          <w:tcPr>
            <w:tcW w:w="465" w:type="pct"/>
            <w:tcBorders>
              <w:top w:val="nil"/>
              <w:left w:val="nil"/>
              <w:bottom w:val="dotted" w:sz="4" w:space="0" w:color="auto"/>
              <w:right w:val="double" w:sz="6" w:space="0" w:color="auto"/>
            </w:tcBorders>
            <w:shd w:val="clear" w:color="auto" w:fill="FFFFFF"/>
            <w:vAlign w:val="center"/>
            <w:hideMark/>
          </w:tcPr>
          <w:p w14:paraId="32569ED1"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5.1</w:t>
            </w:r>
          </w:p>
        </w:tc>
      </w:tr>
      <w:tr w:rsidR="00C50585" w:rsidRPr="00EE038F" w14:paraId="7B71DF6E" w14:textId="77777777" w:rsidTr="00FB5945">
        <w:trPr>
          <w:trHeight w:val="20"/>
        </w:trPr>
        <w:tc>
          <w:tcPr>
            <w:tcW w:w="2084" w:type="pct"/>
            <w:tcBorders>
              <w:top w:val="nil"/>
              <w:left w:val="double" w:sz="6" w:space="0" w:color="auto"/>
              <w:bottom w:val="dotted" w:sz="4" w:space="0" w:color="auto"/>
              <w:right w:val="single" w:sz="8" w:space="0" w:color="auto"/>
            </w:tcBorders>
            <w:shd w:val="clear" w:color="auto" w:fill="FFFFFF"/>
            <w:vAlign w:val="center"/>
            <w:hideMark/>
          </w:tcPr>
          <w:p w14:paraId="60A7DBBF"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25. Kursimi publik i brendshëm</w:t>
            </w:r>
          </w:p>
        </w:tc>
        <w:tc>
          <w:tcPr>
            <w:tcW w:w="592" w:type="pct"/>
            <w:tcBorders>
              <w:top w:val="nil"/>
              <w:left w:val="nil"/>
              <w:bottom w:val="dotted" w:sz="4" w:space="0" w:color="auto"/>
              <w:right w:val="single" w:sz="4" w:space="0" w:color="auto"/>
            </w:tcBorders>
            <w:shd w:val="clear" w:color="auto" w:fill="FFFFFF"/>
            <w:vAlign w:val="center"/>
          </w:tcPr>
          <w:p w14:paraId="22A6270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e PBB</w:t>
            </w:r>
          </w:p>
        </w:tc>
        <w:tc>
          <w:tcPr>
            <w:tcW w:w="464" w:type="pct"/>
            <w:tcBorders>
              <w:top w:val="nil"/>
              <w:left w:val="single" w:sz="4" w:space="0" w:color="auto"/>
              <w:bottom w:val="dotted" w:sz="4" w:space="0" w:color="auto"/>
              <w:right w:val="dotted" w:sz="4" w:space="0" w:color="auto"/>
            </w:tcBorders>
            <w:shd w:val="clear" w:color="auto" w:fill="FFFFFF"/>
            <w:vAlign w:val="center"/>
            <w:hideMark/>
          </w:tcPr>
          <w:p w14:paraId="5B33D59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0.9</w:t>
            </w:r>
          </w:p>
        </w:tc>
        <w:tc>
          <w:tcPr>
            <w:tcW w:w="465" w:type="pct"/>
            <w:tcBorders>
              <w:top w:val="nil"/>
              <w:left w:val="nil"/>
              <w:bottom w:val="dotted" w:sz="4" w:space="0" w:color="auto"/>
              <w:right w:val="dotted" w:sz="4" w:space="0" w:color="auto"/>
            </w:tcBorders>
            <w:shd w:val="clear" w:color="auto" w:fill="FFFFFF"/>
            <w:vAlign w:val="center"/>
            <w:hideMark/>
          </w:tcPr>
          <w:p w14:paraId="6E95D57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1.1</w:t>
            </w:r>
          </w:p>
        </w:tc>
        <w:tc>
          <w:tcPr>
            <w:tcW w:w="464" w:type="pct"/>
            <w:tcBorders>
              <w:top w:val="nil"/>
              <w:left w:val="nil"/>
              <w:bottom w:val="dotted" w:sz="4" w:space="0" w:color="auto"/>
              <w:right w:val="dotted" w:sz="4" w:space="0" w:color="auto"/>
            </w:tcBorders>
            <w:shd w:val="clear" w:color="auto" w:fill="FFFFFF"/>
            <w:vAlign w:val="center"/>
            <w:hideMark/>
          </w:tcPr>
          <w:p w14:paraId="052B781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1.0</w:t>
            </w:r>
          </w:p>
        </w:tc>
        <w:tc>
          <w:tcPr>
            <w:tcW w:w="465" w:type="pct"/>
            <w:tcBorders>
              <w:top w:val="nil"/>
              <w:left w:val="nil"/>
              <w:bottom w:val="dotted" w:sz="4" w:space="0" w:color="auto"/>
              <w:right w:val="dotted" w:sz="4" w:space="0" w:color="auto"/>
            </w:tcBorders>
            <w:shd w:val="clear" w:color="auto" w:fill="FFFFFF"/>
            <w:vAlign w:val="center"/>
            <w:hideMark/>
          </w:tcPr>
          <w:p w14:paraId="6FAA20C7"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1.3</w:t>
            </w:r>
          </w:p>
        </w:tc>
        <w:tc>
          <w:tcPr>
            <w:tcW w:w="465" w:type="pct"/>
            <w:tcBorders>
              <w:top w:val="nil"/>
              <w:left w:val="nil"/>
              <w:bottom w:val="dotted" w:sz="4" w:space="0" w:color="auto"/>
              <w:right w:val="double" w:sz="6" w:space="0" w:color="auto"/>
            </w:tcBorders>
            <w:shd w:val="clear" w:color="auto" w:fill="FFFFFF"/>
            <w:vAlign w:val="center"/>
            <w:hideMark/>
          </w:tcPr>
          <w:p w14:paraId="6CB8751E"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1.3</w:t>
            </w:r>
          </w:p>
        </w:tc>
      </w:tr>
      <w:tr w:rsidR="00C50585" w:rsidRPr="00EE038F" w14:paraId="295C8C18" w14:textId="77777777" w:rsidTr="00FB5945">
        <w:trPr>
          <w:trHeight w:val="20"/>
        </w:trPr>
        <w:tc>
          <w:tcPr>
            <w:tcW w:w="2084" w:type="pct"/>
            <w:tcBorders>
              <w:top w:val="nil"/>
              <w:left w:val="double" w:sz="6" w:space="0" w:color="auto"/>
              <w:bottom w:val="double" w:sz="6" w:space="0" w:color="auto"/>
              <w:right w:val="single" w:sz="8" w:space="0" w:color="auto"/>
            </w:tcBorders>
            <w:shd w:val="clear" w:color="auto" w:fill="FFFFFF"/>
            <w:vAlign w:val="center"/>
            <w:hideMark/>
          </w:tcPr>
          <w:p w14:paraId="5A956F94" w14:textId="77777777" w:rsidR="00C50585" w:rsidRPr="00EE038F" w:rsidRDefault="00C50585" w:rsidP="007C70E7">
            <w:pPr>
              <w:spacing w:after="0" w:line="240" w:lineRule="auto"/>
              <w:contextualSpacing/>
              <w:jc w:val="both"/>
              <w:rPr>
                <w:rFonts w:ascii="Garamond" w:hAnsi="Garamond"/>
                <w:color w:val="0D0D0D" w:themeColor="text1" w:themeTint="F2"/>
                <w:sz w:val="18"/>
              </w:rPr>
            </w:pPr>
            <w:r w:rsidRPr="00EE038F">
              <w:rPr>
                <w:rFonts w:ascii="Garamond" w:hAnsi="Garamond"/>
                <w:sz w:val="18"/>
              </w:rPr>
              <w:t>26. Investimet publike të brendshme</w:t>
            </w:r>
          </w:p>
        </w:tc>
        <w:tc>
          <w:tcPr>
            <w:tcW w:w="592" w:type="pct"/>
            <w:tcBorders>
              <w:top w:val="nil"/>
              <w:left w:val="nil"/>
              <w:bottom w:val="double" w:sz="6" w:space="0" w:color="auto"/>
              <w:right w:val="single" w:sz="4" w:space="0" w:color="auto"/>
            </w:tcBorders>
            <w:shd w:val="clear" w:color="auto" w:fill="FFFFFF"/>
            <w:vAlign w:val="center"/>
          </w:tcPr>
          <w:p w14:paraId="31E65AE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e PBB</w:t>
            </w:r>
          </w:p>
        </w:tc>
        <w:tc>
          <w:tcPr>
            <w:tcW w:w="464" w:type="pct"/>
            <w:tcBorders>
              <w:top w:val="nil"/>
              <w:left w:val="single" w:sz="4" w:space="0" w:color="auto"/>
              <w:bottom w:val="double" w:sz="6" w:space="0" w:color="auto"/>
              <w:right w:val="dotted" w:sz="4" w:space="0" w:color="auto"/>
            </w:tcBorders>
            <w:shd w:val="clear" w:color="auto" w:fill="FFFFFF"/>
            <w:vAlign w:val="center"/>
            <w:hideMark/>
          </w:tcPr>
          <w:p w14:paraId="6D3A3D76"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1.3</w:t>
            </w:r>
          </w:p>
        </w:tc>
        <w:tc>
          <w:tcPr>
            <w:tcW w:w="465" w:type="pct"/>
            <w:tcBorders>
              <w:top w:val="nil"/>
              <w:left w:val="nil"/>
              <w:bottom w:val="double" w:sz="6" w:space="0" w:color="auto"/>
              <w:right w:val="dotted" w:sz="4" w:space="0" w:color="auto"/>
            </w:tcBorders>
            <w:shd w:val="clear" w:color="auto" w:fill="FFFFFF"/>
            <w:vAlign w:val="center"/>
            <w:hideMark/>
          </w:tcPr>
          <w:p w14:paraId="6E54C722"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1.5</w:t>
            </w:r>
          </w:p>
        </w:tc>
        <w:tc>
          <w:tcPr>
            <w:tcW w:w="464" w:type="pct"/>
            <w:tcBorders>
              <w:top w:val="nil"/>
              <w:left w:val="nil"/>
              <w:bottom w:val="double" w:sz="6" w:space="0" w:color="auto"/>
              <w:right w:val="dotted" w:sz="4" w:space="0" w:color="auto"/>
            </w:tcBorders>
            <w:shd w:val="clear" w:color="auto" w:fill="FFFFFF"/>
            <w:vAlign w:val="center"/>
            <w:hideMark/>
          </w:tcPr>
          <w:p w14:paraId="4568598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1.9</w:t>
            </w:r>
          </w:p>
        </w:tc>
        <w:tc>
          <w:tcPr>
            <w:tcW w:w="465" w:type="pct"/>
            <w:tcBorders>
              <w:top w:val="nil"/>
              <w:left w:val="nil"/>
              <w:bottom w:val="double" w:sz="6" w:space="0" w:color="auto"/>
              <w:right w:val="dotted" w:sz="4" w:space="0" w:color="auto"/>
            </w:tcBorders>
            <w:shd w:val="clear" w:color="auto" w:fill="FFFFFF"/>
            <w:vAlign w:val="center"/>
            <w:hideMark/>
          </w:tcPr>
          <w:p w14:paraId="4F3EE1A9"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2.0</w:t>
            </w:r>
          </w:p>
        </w:tc>
        <w:tc>
          <w:tcPr>
            <w:tcW w:w="465" w:type="pct"/>
            <w:tcBorders>
              <w:top w:val="nil"/>
              <w:left w:val="nil"/>
              <w:bottom w:val="double" w:sz="6" w:space="0" w:color="auto"/>
              <w:right w:val="double" w:sz="6" w:space="0" w:color="auto"/>
            </w:tcBorders>
            <w:shd w:val="clear" w:color="auto" w:fill="FFFFFF"/>
            <w:vAlign w:val="center"/>
            <w:hideMark/>
          </w:tcPr>
          <w:p w14:paraId="3A63FFE3" w14:textId="77777777" w:rsidR="00C50585" w:rsidRPr="00EE038F" w:rsidRDefault="00C50585" w:rsidP="00280C20">
            <w:pPr>
              <w:spacing w:after="0" w:line="240" w:lineRule="auto"/>
              <w:contextualSpacing/>
              <w:jc w:val="right"/>
              <w:rPr>
                <w:rFonts w:ascii="Garamond" w:hAnsi="Garamond"/>
                <w:color w:val="0D0D0D" w:themeColor="text1" w:themeTint="F2"/>
                <w:sz w:val="18"/>
              </w:rPr>
            </w:pPr>
            <w:r w:rsidRPr="00EE038F">
              <w:rPr>
                <w:rFonts w:ascii="Garamond" w:hAnsi="Garamond"/>
                <w:sz w:val="18"/>
              </w:rPr>
              <w:t>2.1</w:t>
            </w:r>
          </w:p>
        </w:tc>
      </w:tr>
    </w:tbl>
    <w:p w14:paraId="21BA3960" w14:textId="77777777" w:rsidR="00C50585" w:rsidRPr="00EE038F" w:rsidRDefault="00C50585" w:rsidP="00C50585">
      <w:pPr>
        <w:spacing w:after="0" w:line="240" w:lineRule="auto"/>
        <w:contextualSpacing/>
        <w:jc w:val="both"/>
        <w:rPr>
          <w:rFonts w:ascii="Garamond" w:hAnsi="Garamond"/>
          <w:color w:val="0D0D0D" w:themeColor="text1" w:themeTint="F2"/>
        </w:rPr>
      </w:pPr>
    </w:p>
    <w:p w14:paraId="0037CF53" w14:textId="77777777" w:rsidR="00C50585" w:rsidRPr="00EE038F" w:rsidRDefault="00C50585" w:rsidP="00066DFC">
      <w:pPr>
        <w:keepNext/>
        <w:spacing w:after="0" w:line="240" w:lineRule="auto"/>
        <w:contextualSpacing/>
        <w:jc w:val="center"/>
        <w:rPr>
          <w:rFonts w:ascii="Garamond" w:hAnsi="Garamond"/>
          <w:bCs/>
          <w:i/>
          <w:iCs/>
          <w:color w:val="0D0D0D" w:themeColor="text1" w:themeTint="F2"/>
          <w:sz w:val="24"/>
          <w:szCs w:val="24"/>
        </w:rPr>
      </w:pPr>
      <w:r w:rsidRPr="00EE038F">
        <w:rPr>
          <w:rFonts w:ascii="Garamond" w:hAnsi="Garamond"/>
          <w:bCs/>
          <w:i/>
          <w:iCs/>
          <w:color w:val="0D0D0D" w:themeColor="text1" w:themeTint="F2"/>
          <w:sz w:val="24"/>
          <w:szCs w:val="24"/>
        </w:rPr>
        <w:t>Tabela 1g: Treguesit e qëndrueshmërisë</w:t>
      </w:r>
    </w:p>
    <w:tbl>
      <w:tblPr>
        <w:tblW w:w="5000" w:type="pct"/>
        <w:tblLook w:val="04A0" w:firstRow="1" w:lastRow="0" w:firstColumn="1" w:lastColumn="0" w:noHBand="0" w:noVBand="1"/>
      </w:tblPr>
      <w:tblGrid>
        <w:gridCol w:w="3415"/>
        <w:gridCol w:w="1194"/>
        <w:gridCol w:w="876"/>
        <w:gridCol w:w="876"/>
        <w:gridCol w:w="877"/>
        <w:gridCol w:w="876"/>
        <w:gridCol w:w="876"/>
      </w:tblGrid>
      <w:tr w:rsidR="00C50585" w:rsidRPr="00EE038F" w14:paraId="10D59894" w14:textId="77777777" w:rsidTr="00E02AEA">
        <w:trPr>
          <w:trHeight w:val="144"/>
        </w:trPr>
        <w:tc>
          <w:tcPr>
            <w:tcW w:w="1899" w:type="pct"/>
            <w:vMerge w:val="restart"/>
            <w:tcBorders>
              <w:top w:val="double" w:sz="6" w:space="0" w:color="auto"/>
              <w:left w:val="double" w:sz="4" w:space="0" w:color="auto"/>
              <w:bottom w:val="double" w:sz="6" w:space="0" w:color="auto"/>
              <w:right w:val="dotted" w:sz="4" w:space="0" w:color="auto"/>
            </w:tcBorders>
            <w:shd w:val="clear" w:color="auto" w:fill="FFFFFF"/>
            <w:vAlign w:val="center"/>
            <w:hideMark/>
          </w:tcPr>
          <w:p w14:paraId="78196683" w14:textId="77777777" w:rsidR="00C50585" w:rsidRPr="00EE038F" w:rsidRDefault="00C50585" w:rsidP="007C70E7">
            <w:pPr>
              <w:keepNext/>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 </w:t>
            </w:r>
          </w:p>
        </w:tc>
        <w:tc>
          <w:tcPr>
            <w:tcW w:w="664" w:type="pct"/>
            <w:vMerge w:val="restart"/>
            <w:tcBorders>
              <w:top w:val="double" w:sz="6" w:space="0" w:color="auto"/>
              <w:left w:val="dotted" w:sz="4" w:space="0" w:color="auto"/>
              <w:bottom w:val="double" w:sz="6" w:space="0" w:color="auto"/>
              <w:right w:val="single" w:sz="8" w:space="0" w:color="auto"/>
            </w:tcBorders>
            <w:shd w:val="clear" w:color="auto" w:fill="FFFFFF"/>
            <w:vAlign w:val="center"/>
            <w:hideMark/>
          </w:tcPr>
          <w:p w14:paraId="017E94C0" w14:textId="77777777" w:rsidR="00C50585" w:rsidRPr="00EE038F" w:rsidRDefault="00C50585" w:rsidP="007C70E7">
            <w:pPr>
              <w:keepNext/>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Dimensioni</w:t>
            </w:r>
          </w:p>
        </w:tc>
        <w:tc>
          <w:tcPr>
            <w:tcW w:w="487" w:type="pct"/>
            <w:tcBorders>
              <w:top w:val="double" w:sz="6" w:space="0" w:color="auto"/>
              <w:left w:val="nil"/>
              <w:bottom w:val="dotted" w:sz="4" w:space="0" w:color="auto"/>
              <w:right w:val="dotted" w:sz="4" w:space="0" w:color="auto"/>
            </w:tcBorders>
            <w:shd w:val="clear" w:color="auto" w:fill="FFFFFF"/>
            <w:vAlign w:val="center"/>
            <w:hideMark/>
          </w:tcPr>
          <w:p w14:paraId="701D2D7D" w14:textId="77777777" w:rsidR="00C50585" w:rsidRPr="00EE038F" w:rsidRDefault="00C50585" w:rsidP="007C70E7">
            <w:pPr>
              <w:keepNext/>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Viti</w:t>
            </w:r>
          </w:p>
        </w:tc>
        <w:tc>
          <w:tcPr>
            <w:tcW w:w="487" w:type="pct"/>
            <w:tcBorders>
              <w:top w:val="double" w:sz="6" w:space="0" w:color="auto"/>
              <w:left w:val="dotted" w:sz="4" w:space="0" w:color="auto"/>
              <w:bottom w:val="dotted" w:sz="4" w:space="0" w:color="auto"/>
              <w:right w:val="dotted" w:sz="4" w:space="0" w:color="auto"/>
            </w:tcBorders>
            <w:shd w:val="clear" w:color="auto" w:fill="FFFFFF"/>
            <w:vAlign w:val="center"/>
            <w:hideMark/>
          </w:tcPr>
          <w:p w14:paraId="2A6706E7" w14:textId="77777777" w:rsidR="00C50585" w:rsidRPr="00EE038F" w:rsidRDefault="00C50585" w:rsidP="007C70E7">
            <w:pPr>
              <w:keepNext/>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Viti</w:t>
            </w:r>
          </w:p>
        </w:tc>
        <w:tc>
          <w:tcPr>
            <w:tcW w:w="488" w:type="pct"/>
            <w:tcBorders>
              <w:top w:val="double" w:sz="6" w:space="0" w:color="auto"/>
              <w:left w:val="dotted" w:sz="4" w:space="0" w:color="auto"/>
              <w:bottom w:val="dotted" w:sz="4" w:space="0" w:color="auto"/>
              <w:right w:val="dotted" w:sz="4" w:space="0" w:color="auto"/>
            </w:tcBorders>
            <w:shd w:val="clear" w:color="auto" w:fill="FFFFFF"/>
            <w:vAlign w:val="center"/>
            <w:hideMark/>
          </w:tcPr>
          <w:p w14:paraId="4D809FE9" w14:textId="77777777" w:rsidR="00C50585" w:rsidRPr="00EE038F" w:rsidRDefault="00C50585" w:rsidP="007C70E7">
            <w:pPr>
              <w:keepNext/>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Viti</w:t>
            </w:r>
          </w:p>
        </w:tc>
        <w:tc>
          <w:tcPr>
            <w:tcW w:w="487" w:type="pct"/>
            <w:tcBorders>
              <w:top w:val="double" w:sz="6" w:space="0" w:color="auto"/>
              <w:left w:val="dotted" w:sz="4" w:space="0" w:color="auto"/>
              <w:bottom w:val="dotted" w:sz="4" w:space="0" w:color="auto"/>
              <w:right w:val="dotted" w:sz="4" w:space="0" w:color="auto"/>
            </w:tcBorders>
            <w:shd w:val="clear" w:color="auto" w:fill="FFFFFF"/>
            <w:vAlign w:val="center"/>
            <w:hideMark/>
          </w:tcPr>
          <w:p w14:paraId="5A839F3C" w14:textId="77777777" w:rsidR="00C50585" w:rsidRPr="00EE038F" w:rsidRDefault="00C50585" w:rsidP="007C70E7">
            <w:pPr>
              <w:keepNext/>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Viti</w:t>
            </w:r>
          </w:p>
        </w:tc>
        <w:tc>
          <w:tcPr>
            <w:tcW w:w="487" w:type="pct"/>
            <w:tcBorders>
              <w:top w:val="double" w:sz="6" w:space="0" w:color="auto"/>
              <w:left w:val="dotted" w:sz="4" w:space="0" w:color="auto"/>
              <w:bottom w:val="dotted" w:sz="4" w:space="0" w:color="auto"/>
              <w:right w:val="double" w:sz="4" w:space="0" w:color="auto"/>
            </w:tcBorders>
            <w:shd w:val="clear" w:color="auto" w:fill="FFFFFF"/>
            <w:vAlign w:val="center"/>
            <w:hideMark/>
          </w:tcPr>
          <w:p w14:paraId="0680A8BA" w14:textId="77777777" w:rsidR="00C50585" w:rsidRPr="00EE038F" w:rsidRDefault="00C50585" w:rsidP="007C70E7">
            <w:pPr>
              <w:keepNext/>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Viti</w:t>
            </w:r>
          </w:p>
        </w:tc>
      </w:tr>
      <w:tr w:rsidR="00C50585" w:rsidRPr="00EE038F" w14:paraId="6E99591A" w14:textId="77777777" w:rsidTr="00E02AEA">
        <w:trPr>
          <w:trHeight w:val="144"/>
        </w:trPr>
        <w:tc>
          <w:tcPr>
            <w:tcW w:w="1899" w:type="pct"/>
            <w:vMerge/>
            <w:tcBorders>
              <w:top w:val="double" w:sz="6" w:space="0" w:color="auto"/>
              <w:left w:val="double" w:sz="4" w:space="0" w:color="auto"/>
              <w:bottom w:val="double" w:sz="6" w:space="0" w:color="auto"/>
              <w:right w:val="dotted" w:sz="4" w:space="0" w:color="auto"/>
            </w:tcBorders>
            <w:vAlign w:val="center"/>
            <w:hideMark/>
          </w:tcPr>
          <w:p w14:paraId="6D4B114C" w14:textId="77777777" w:rsidR="00C50585" w:rsidRPr="00EE038F" w:rsidRDefault="00C50585" w:rsidP="007C70E7">
            <w:pPr>
              <w:keepNext/>
              <w:spacing w:after="0" w:line="240" w:lineRule="auto"/>
              <w:contextualSpacing/>
              <w:jc w:val="both"/>
              <w:rPr>
                <w:rFonts w:ascii="Garamond" w:hAnsi="Garamond"/>
                <w:b/>
                <w:bCs/>
                <w:color w:val="0D0D0D" w:themeColor="text1" w:themeTint="F2"/>
                <w:sz w:val="18"/>
              </w:rPr>
            </w:pPr>
          </w:p>
        </w:tc>
        <w:tc>
          <w:tcPr>
            <w:tcW w:w="664" w:type="pct"/>
            <w:vMerge/>
            <w:tcBorders>
              <w:top w:val="double" w:sz="6" w:space="0" w:color="auto"/>
              <w:left w:val="dotted" w:sz="4" w:space="0" w:color="auto"/>
              <w:bottom w:val="double" w:sz="6" w:space="0" w:color="auto"/>
              <w:right w:val="single" w:sz="8" w:space="0" w:color="auto"/>
            </w:tcBorders>
            <w:vAlign w:val="center"/>
            <w:hideMark/>
          </w:tcPr>
          <w:p w14:paraId="73E37EE7" w14:textId="77777777" w:rsidR="00C50585" w:rsidRPr="00EE038F" w:rsidRDefault="00C50585" w:rsidP="007C70E7">
            <w:pPr>
              <w:keepNext/>
              <w:spacing w:after="0" w:line="240" w:lineRule="auto"/>
              <w:contextualSpacing/>
              <w:jc w:val="both"/>
              <w:rPr>
                <w:rFonts w:ascii="Garamond" w:hAnsi="Garamond"/>
                <w:b/>
                <w:bCs/>
                <w:color w:val="0D0D0D" w:themeColor="text1" w:themeTint="F2"/>
                <w:sz w:val="18"/>
              </w:rPr>
            </w:pPr>
          </w:p>
        </w:tc>
        <w:tc>
          <w:tcPr>
            <w:tcW w:w="487" w:type="pct"/>
            <w:tcBorders>
              <w:top w:val="dotted" w:sz="4" w:space="0" w:color="auto"/>
              <w:left w:val="nil"/>
              <w:bottom w:val="double" w:sz="6" w:space="0" w:color="auto"/>
              <w:right w:val="dotted" w:sz="4" w:space="0" w:color="auto"/>
            </w:tcBorders>
            <w:shd w:val="clear" w:color="auto" w:fill="FFFFFF"/>
            <w:vAlign w:val="center"/>
            <w:hideMark/>
          </w:tcPr>
          <w:p w14:paraId="79884C24" w14:textId="77777777" w:rsidR="00C50585" w:rsidRPr="00EE038F" w:rsidRDefault="00C50585" w:rsidP="007C70E7">
            <w:pPr>
              <w:keepNext/>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2020</w:t>
            </w:r>
          </w:p>
        </w:tc>
        <w:tc>
          <w:tcPr>
            <w:tcW w:w="487" w:type="pct"/>
            <w:tcBorders>
              <w:top w:val="dotted" w:sz="4" w:space="0" w:color="auto"/>
              <w:left w:val="dotted" w:sz="4" w:space="0" w:color="auto"/>
              <w:bottom w:val="double" w:sz="6" w:space="0" w:color="auto"/>
              <w:right w:val="dotted" w:sz="4" w:space="0" w:color="auto"/>
            </w:tcBorders>
            <w:shd w:val="clear" w:color="auto" w:fill="FFFFFF"/>
            <w:vAlign w:val="center"/>
            <w:hideMark/>
          </w:tcPr>
          <w:p w14:paraId="7CDDF464" w14:textId="77777777" w:rsidR="00C50585" w:rsidRPr="00EE038F" w:rsidRDefault="00C50585" w:rsidP="007C70E7">
            <w:pPr>
              <w:keepNext/>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2021</w:t>
            </w:r>
          </w:p>
        </w:tc>
        <w:tc>
          <w:tcPr>
            <w:tcW w:w="488" w:type="pct"/>
            <w:tcBorders>
              <w:top w:val="dotted" w:sz="4" w:space="0" w:color="auto"/>
              <w:left w:val="dotted" w:sz="4" w:space="0" w:color="auto"/>
              <w:bottom w:val="double" w:sz="6" w:space="0" w:color="auto"/>
              <w:right w:val="dotted" w:sz="4" w:space="0" w:color="auto"/>
            </w:tcBorders>
            <w:shd w:val="clear" w:color="auto" w:fill="FFFFFF"/>
            <w:vAlign w:val="center"/>
            <w:hideMark/>
          </w:tcPr>
          <w:p w14:paraId="69F58F25" w14:textId="77777777" w:rsidR="00C50585" w:rsidRPr="00EE038F" w:rsidRDefault="00C50585" w:rsidP="007C70E7">
            <w:pPr>
              <w:keepNext/>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2022</w:t>
            </w:r>
          </w:p>
        </w:tc>
        <w:tc>
          <w:tcPr>
            <w:tcW w:w="487" w:type="pct"/>
            <w:tcBorders>
              <w:top w:val="dotted" w:sz="4" w:space="0" w:color="auto"/>
              <w:left w:val="dotted" w:sz="4" w:space="0" w:color="auto"/>
              <w:bottom w:val="double" w:sz="6" w:space="0" w:color="auto"/>
              <w:right w:val="dotted" w:sz="4" w:space="0" w:color="auto"/>
            </w:tcBorders>
            <w:shd w:val="clear" w:color="auto" w:fill="FFFFFF"/>
            <w:vAlign w:val="center"/>
            <w:hideMark/>
          </w:tcPr>
          <w:p w14:paraId="0C817129" w14:textId="77777777" w:rsidR="00C50585" w:rsidRPr="00EE038F" w:rsidRDefault="00C50585" w:rsidP="007C70E7">
            <w:pPr>
              <w:keepNext/>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2023</w:t>
            </w:r>
          </w:p>
        </w:tc>
        <w:tc>
          <w:tcPr>
            <w:tcW w:w="487" w:type="pct"/>
            <w:tcBorders>
              <w:top w:val="dotted" w:sz="4" w:space="0" w:color="auto"/>
              <w:left w:val="dotted" w:sz="4" w:space="0" w:color="auto"/>
              <w:bottom w:val="double" w:sz="6" w:space="0" w:color="auto"/>
              <w:right w:val="double" w:sz="4" w:space="0" w:color="auto"/>
            </w:tcBorders>
            <w:shd w:val="clear" w:color="auto" w:fill="FFFFFF"/>
            <w:vAlign w:val="center"/>
            <w:hideMark/>
          </w:tcPr>
          <w:p w14:paraId="5CDEE8E4" w14:textId="77777777" w:rsidR="00C50585" w:rsidRPr="00EE038F" w:rsidRDefault="00C50585" w:rsidP="007C70E7">
            <w:pPr>
              <w:keepNext/>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2024</w:t>
            </w:r>
          </w:p>
        </w:tc>
      </w:tr>
      <w:tr w:rsidR="00C50585" w:rsidRPr="00EE038F" w14:paraId="7DD4468E" w14:textId="77777777" w:rsidTr="00E02AEA">
        <w:trPr>
          <w:trHeight w:val="144"/>
        </w:trPr>
        <w:tc>
          <w:tcPr>
            <w:tcW w:w="1899" w:type="pct"/>
            <w:tcBorders>
              <w:top w:val="double" w:sz="6" w:space="0" w:color="auto"/>
              <w:left w:val="double" w:sz="4" w:space="0" w:color="auto"/>
              <w:bottom w:val="dotted" w:sz="4" w:space="0" w:color="auto"/>
              <w:right w:val="dotted" w:sz="4" w:space="0" w:color="auto"/>
            </w:tcBorders>
            <w:shd w:val="clear" w:color="auto" w:fill="FFFFFF"/>
            <w:vAlign w:val="center"/>
            <w:hideMark/>
          </w:tcPr>
          <w:p w14:paraId="0BFC3854" w14:textId="77777777"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sz w:val="18"/>
              </w:rPr>
              <w:t>1. Gjendja e llogarisë rrjedhëse</w:t>
            </w:r>
          </w:p>
        </w:tc>
        <w:tc>
          <w:tcPr>
            <w:tcW w:w="664" w:type="pct"/>
            <w:tcBorders>
              <w:top w:val="double" w:sz="6" w:space="0" w:color="auto"/>
              <w:left w:val="nil"/>
              <w:bottom w:val="dotted" w:sz="4" w:space="0" w:color="auto"/>
              <w:right w:val="single" w:sz="8" w:space="0" w:color="auto"/>
            </w:tcBorders>
            <w:shd w:val="clear" w:color="auto" w:fill="FFFFFF"/>
            <w:vAlign w:val="center"/>
            <w:hideMark/>
          </w:tcPr>
          <w:p w14:paraId="6609A7FC" w14:textId="77777777"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 e PBB</w:t>
            </w:r>
          </w:p>
        </w:tc>
        <w:tc>
          <w:tcPr>
            <w:tcW w:w="487" w:type="pct"/>
            <w:tcBorders>
              <w:top w:val="double" w:sz="6" w:space="0" w:color="auto"/>
              <w:left w:val="nil"/>
              <w:bottom w:val="dotted" w:sz="4" w:space="0" w:color="auto"/>
              <w:right w:val="dotted" w:sz="4" w:space="0" w:color="auto"/>
            </w:tcBorders>
            <w:shd w:val="clear" w:color="auto" w:fill="FFFFFF"/>
          </w:tcPr>
          <w:p w14:paraId="1B7E549A"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-8.6</w:t>
            </w:r>
          </w:p>
        </w:tc>
        <w:tc>
          <w:tcPr>
            <w:tcW w:w="487" w:type="pct"/>
            <w:tcBorders>
              <w:top w:val="double" w:sz="6" w:space="0" w:color="auto"/>
              <w:left w:val="dotted" w:sz="4" w:space="0" w:color="auto"/>
              <w:bottom w:val="dotted" w:sz="4" w:space="0" w:color="auto"/>
              <w:right w:val="dotted" w:sz="4" w:space="0" w:color="auto"/>
            </w:tcBorders>
            <w:shd w:val="clear" w:color="auto" w:fill="FFFFFF"/>
          </w:tcPr>
          <w:p w14:paraId="58805A8E"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-7.7</w:t>
            </w:r>
          </w:p>
        </w:tc>
        <w:tc>
          <w:tcPr>
            <w:tcW w:w="488" w:type="pct"/>
            <w:tcBorders>
              <w:top w:val="double" w:sz="6" w:space="0" w:color="auto"/>
              <w:left w:val="dotted" w:sz="4" w:space="0" w:color="auto"/>
              <w:bottom w:val="dotted" w:sz="4" w:space="0" w:color="auto"/>
              <w:right w:val="dotted" w:sz="4" w:space="0" w:color="auto"/>
            </w:tcBorders>
            <w:shd w:val="clear" w:color="auto" w:fill="FFFFFF"/>
          </w:tcPr>
          <w:p w14:paraId="4F1EE5C8"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-5.9</w:t>
            </w:r>
          </w:p>
        </w:tc>
        <w:tc>
          <w:tcPr>
            <w:tcW w:w="487" w:type="pct"/>
            <w:tcBorders>
              <w:top w:val="double" w:sz="6" w:space="0" w:color="auto"/>
              <w:left w:val="dotted" w:sz="4" w:space="0" w:color="auto"/>
              <w:bottom w:val="dotted" w:sz="4" w:space="0" w:color="auto"/>
              <w:right w:val="dotted" w:sz="4" w:space="0" w:color="auto"/>
            </w:tcBorders>
            <w:shd w:val="clear" w:color="auto" w:fill="FFFFFF"/>
          </w:tcPr>
          <w:p w14:paraId="6F620E95"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-1.2</w:t>
            </w:r>
          </w:p>
        </w:tc>
        <w:tc>
          <w:tcPr>
            <w:tcW w:w="487" w:type="pct"/>
            <w:tcBorders>
              <w:top w:val="double" w:sz="6" w:space="0" w:color="auto"/>
              <w:left w:val="dotted" w:sz="4" w:space="0" w:color="auto"/>
              <w:bottom w:val="dotted" w:sz="4" w:space="0" w:color="auto"/>
              <w:right w:val="double" w:sz="4" w:space="0" w:color="auto"/>
            </w:tcBorders>
            <w:shd w:val="clear" w:color="auto" w:fill="FFFFFF"/>
          </w:tcPr>
          <w:p w14:paraId="1FD65DAC"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-2.7</w:t>
            </w:r>
          </w:p>
        </w:tc>
      </w:tr>
      <w:tr w:rsidR="00C50585" w:rsidRPr="00EE038F" w14:paraId="456F57F1" w14:textId="77777777" w:rsidTr="00E02AEA">
        <w:trPr>
          <w:trHeight w:val="144"/>
        </w:trPr>
        <w:tc>
          <w:tcPr>
            <w:tcW w:w="1899" w:type="pct"/>
            <w:tcBorders>
              <w:top w:val="dotted" w:sz="4" w:space="0" w:color="auto"/>
              <w:left w:val="double" w:sz="4" w:space="0" w:color="auto"/>
              <w:bottom w:val="dotted" w:sz="4" w:space="0" w:color="auto"/>
              <w:right w:val="dotted" w:sz="4" w:space="0" w:color="auto"/>
            </w:tcBorders>
            <w:shd w:val="clear" w:color="auto" w:fill="FFFFFF"/>
            <w:vAlign w:val="center"/>
            <w:hideMark/>
          </w:tcPr>
          <w:p w14:paraId="53A3A2D5" w14:textId="77777777"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sz w:val="18"/>
              </w:rPr>
              <w:t>2. Pozicioni neto i investimeve ndërkombëtare</w:t>
            </w:r>
          </w:p>
        </w:tc>
        <w:tc>
          <w:tcPr>
            <w:tcW w:w="664" w:type="pct"/>
            <w:tcBorders>
              <w:top w:val="dotted" w:sz="4" w:space="0" w:color="auto"/>
              <w:left w:val="nil"/>
              <w:bottom w:val="dotted" w:sz="4" w:space="0" w:color="auto"/>
              <w:right w:val="single" w:sz="8" w:space="0" w:color="auto"/>
            </w:tcBorders>
            <w:shd w:val="clear" w:color="auto" w:fill="FFFFFF"/>
            <w:vAlign w:val="center"/>
            <w:hideMark/>
          </w:tcPr>
          <w:p w14:paraId="47AA98EC" w14:textId="77777777"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 e PBB</w:t>
            </w:r>
          </w:p>
        </w:tc>
        <w:tc>
          <w:tcPr>
            <w:tcW w:w="487" w:type="pct"/>
            <w:tcBorders>
              <w:top w:val="dotted" w:sz="4" w:space="0" w:color="auto"/>
              <w:left w:val="nil"/>
              <w:bottom w:val="dotted" w:sz="4" w:space="0" w:color="auto"/>
              <w:right w:val="dotted" w:sz="4" w:space="0" w:color="auto"/>
            </w:tcBorders>
            <w:shd w:val="clear" w:color="auto" w:fill="FFFFFF"/>
          </w:tcPr>
          <w:p w14:paraId="76B983E0"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-53.8</w:t>
            </w:r>
          </w:p>
        </w:tc>
        <w:tc>
          <w:tcPr>
            <w:tcW w:w="487" w:type="pct"/>
            <w:tcBorders>
              <w:top w:val="dotted" w:sz="4" w:space="0" w:color="auto"/>
              <w:left w:val="dotted" w:sz="4" w:space="0" w:color="auto"/>
              <w:bottom w:val="dotted" w:sz="4" w:space="0" w:color="auto"/>
              <w:right w:val="dotted" w:sz="4" w:space="0" w:color="auto"/>
            </w:tcBorders>
            <w:shd w:val="clear" w:color="auto" w:fill="FFFFFF"/>
          </w:tcPr>
          <w:p w14:paraId="46052907"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-49.2</w:t>
            </w:r>
          </w:p>
        </w:tc>
        <w:tc>
          <w:tcPr>
            <w:tcW w:w="488" w:type="pct"/>
            <w:tcBorders>
              <w:top w:val="dotted" w:sz="4" w:space="0" w:color="auto"/>
              <w:left w:val="dotted" w:sz="4" w:space="0" w:color="auto"/>
              <w:bottom w:val="dotted" w:sz="4" w:space="0" w:color="auto"/>
              <w:right w:val="dotted" w:sz="4" w:space="0" w:color="auto"/>
            </w:tcBorders>
            <w:shd w:val="clear" w:color="auto" w:fill="FFFFFF"/>
          </w:tcPr>
          <w:p w14:paraId="4F03C6BC"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-49.3</w:t>
            </w:r>
          </w:p>
        </w:tc>
        <w:tc>
          <w:tcPr>
            <w:tcW w:w="487" w:type="pct"/>
            <w:tcBorders>
              <w:top w:val="dotted" w:sz="4" w:space="0" w:color="auto"/>
              <w:left w:val="dotted" w:sz="4" w:space="0" w:color="auto"/>
              <w:bottom w:val="dotted" w:sz="4" w:space="0" w:color="auto"/>
              <w:right w:val="dotted" w:sz="4" w:space="0" w:color="auto"/>
            </w:tcBorders>
            <w:shd w:val="clear" w:color="auto" w:fill="FFFFFF"/>
          </w:tcPr>
          <w:p w14:paraId="5EEC084A"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-44.1</w:t>
            </w:r>
          </w:p>
        </w:tc>
        <w:tc>
          <w:tcPr>
            <w:tcW w:w="487" w:type="pct"/>
            <w:tcBorders>
              <w:top w:val="dotted" w:sz="4" w:space="0" w:color="auto"/>
              <w:left w:val="dotted" w:sz="4" w:space="0" w:color="auto"/>
              <w:bottom w:val="dotted" w:sz="4" w:space="0" w:color="auto"/>
              <w:right w:val="double" w:sz="4" w:space="0" w:color="auto"/>
            </w:tcBorders>
            <w:shd w:val="clear" w:color="auto" w:fill="FFFFFF"/>
          </w:tcPr>
          <w:p w14:paraId="2006F19A"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-41.2</w:t>
            </w:r>
          </w:p>
        </w:tc>
      </w:tr>
      <w:tr w:rsidR="00C50585" w:rsidRPr="00EE038F" w14:paraId="75828D10" w14:textId="77777777" w:rsidTr="00E02AEA">
        <w:trPr>
          <w:trHeight w:val="144"/>
        </w:trPr>
        <w:tc>
          <w:tcPr>
            <w:tcW w:w="1899" w:type="pct"/>
            <w:tcBorders>
              <w:top w:val="dotted" w:sz="4" w:space="0" w:color="auto"/>
              <w:left w:val="double" w:sz="4" w:space="0" w:color="auto"/>
              <w:bottom w:val="dotted" w:sz="4" w:space="0" w:color="auto"/>
              <w:right w:val="dotted" w:sz="4" w:space="0" w:color="auto"/>
            </w:tcBorders>
            <w:shd w:val="clear" w:color="auto" w:fill="FFFFFF"/>
            <w:vAlign w:val="center"/>
            <w:hideMark/>
          </w:tcPr>
          <w:p w14:paraId="5B8D9ED4" w14:textId="77777777"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sz w:val="18"/>
              </w:rPr>
              <w:t>3. Aksionet e tregut të eksporteve</w:t>
            </w:r>
          </w:p>
        </w:tc>
        <w:tc>
          <w:tcPr>
            <w:tcW w:w="664" w:type="pct"/>
            <w:tcBorders>
              <w:top w:val="dotted" w:sz="4" w:space="0" w:color="auto"/>
              <w:left w:val="nil"/>
              <w:bottom w:val="dotted" w:sz="4" w:space="0" w:color="auto"/>
              <w:right w:val="single" w:sz="8" w:space="0" w:color="auto"/>
            </w:tcBorders>
            <w:shd w:val="clear" w:color="auto" w:fill="FFFFFF"/>
            <w:vAlign w:val="center"/>
            <w:hideMark/>
          </w:tcPr>
          <w:p w14:paraId="63130288" w14:textId="77777777"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 y-o-y</w:t>
            </w:r>
          </w:p>
        </w:tc>
        <w:tc>
          <w:tcPr>
            <w:tcW w:w="487" w:type="pct"/>
            <w:tcBorders>
              <w:top w:val="dotted" w:sz="4" w:space="0" w:color="auto"/>
              <w:left w:val="nil"/>
              <w:bottom w:val="dotted" w:sz="4" w:space="0" w:color="auto"/>
              <w:right w:val="dotted" w:sz="4" w:space="0" w:color="auto"/>
            </w:tcBorders>
            <w:shd w:val="clear" w:color="auto" w:fill="FFFFFF"/>
          </w:tcPr>
          <w:p w14:paraId="6B54FB3D"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-50.0</w:t>
            </w:r>
          </w:p>
        </w:tc>
        <w:tc>
          <w:tcPr>
            <w:tcW w:w="487" w:type="pct"/>
            <w:tcBorders>
              <w:top w:val="dotted" w:sz="4" w:space="0" w:color="auto"/>
              <w:left w:val="dotted" w:sz="4" w:space="0" w:color="auto"/>
              <w:bottom w:val="dotted" w:sz="4" w:space="0" w:color="auto"/>
              <w:right w:val="dotted" w:sz="4" w:space="0" w:color="auto"/>
            </w:tcBorders>
            <w:shd w:val="clear" w:color="auto" w:fill="FFFFFF"/>
          </w:tcPr>
          <w:p w14:paraId="36373937"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100.0</w:t>
            </w:r>
          </w:p>
        </w:tc>
        <w:tc>
          <w:tcPr>
            <w:tcW w:w="488" w:type="pct"/>
            <w:tcBorders>
              <w:top w:val="dotted" w:sz="4" w:space="0" w:color="auto"/>
              <w:left w:val="dotted" w:sz="4" w:space="0" w:color="auto"/>
              <w:bottom w:val="dotted" w:sz="4" w:space="0" w:color="auto"/>
              <w:right w:val="dotted" w:sz="4" w:space="0" w:color="auto"/>
            </w:tcBorders>
            <w:shd w:val="clear" w:color="auto" w:fill="FFFFFF"/>
          </w:tcPr>
          <w:p w14:paraId="7F9AB5BD"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0.0</w:t>
            </w:r>
          </w:p>
        </w:tc>
        <w:tc>
          <w:tcPr>
            <w:tcW w:w="487" w:type="pct"/>
            <w:tcBorders>
              <w:top w:val="dotted" w:sz="4" w:space="0" w:color="auto"/>
              <w:left w:val="dotted" w:sz="4" w:space="0" w:color="auto"/>
              <w:bottom w:val="dotted" w:sz="4" w:space="0" w:color="auto"/>
              <w:right w:val="dotted" w:sz="4" w:space="0" w:color="auto"/>
            </w:tcBorders>
            <w:shd w:val="clear" w:color="auto" w:fill="FFFFFF"/>
          </w:tcPr>
          <w:p w14:paraId="6D3B0DCA"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0.0</w:t>
            </w:r>
          </w:p>
        </w:tc>
        <w:tc>
          <w:tcPr>
            <w:tcW w:w="487" w:type="pct"/>
            <w:tcBorders>
              <w:top w:val="dotted" w:sz="4" w:space="0" w:color="auto"/>
              <w:left w:val="dotted" w:sz="4" w:space="0" w:color="auto"/>
              <w:bottom w:val="dotted" w:sz="4" w:space="0" w:color="auto"/>
              <w:right w:val="double" w:sz="4" w:space="0" w:color="auto"/>
            </w:tcBorders>
            <w:shd w:val="clear" w:color="auto" w:fill="FFFFFF"/>
          </w:tcPr>
          <w:p w14:paraId="0D8D0196"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0.0</w:t>
            </w:r>
          </w:p>
        </w:tc>
      </w:tr>
      <w:tr w:rsidR="00C50585" w:rsidRPr="00EE038F" w14:paraId="72F00D0A" w14:textId="77777777" w:rsidTr="00E02AEA">
        <w:trPr>
          <w:trHeight w:val="144"/>
        </w:trPr>
        <w:tc>
          <w:tcPr>
            <w:tcW w:w="1899" w:type="pct"/>
            <w:tcBorders>
              <w:top w:val="dotted" w:sz="4" w:space="0" w:color="auto"/>
              <w:left w:val="double" w:sz="4" w:space="0" w:color="auto"/>
              <w:bottom w:val="dotted" w:sz="4" w:space="0" w:color="auto"/>
              <w:right w:val="dotted" w:sz="4" w:space="0" w:color="auto"/>
            </w:tcBorders>
            <w:shd w:val="clear" w:color="auto" w:fill="FFFFFF"/>
            <w:vAlign w:val="center"/>
            <w:hideMark/>
          </w:tcPr>
          <w:p w14:paraId="2C6A9A25" w14:textId="77777777"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sz w:val="18"/>
              </w:rPr>
              <w:t>4. Kursi real efektiv i këmbimit</w:t>
            </w:r>
          </w:p>
        </w:tc>
        <w:tc>
          <w:tcPr>
            <w:tcW w:w="664" w:type="pct"/>
            <w:tcBorders>
              <w:top w:val="dotted" w:sz="4" w:space="0" w:color="auto"/>
              <w:left w:val="nil"/>
              <w:bottom w:val="dotted" w:sz="4" w:space="0" w:color="auto"/>
              <w:right w:val="single" w:sz="8" w:space="0" w:color="auto"/>
            </w:tcBorders>
            <w:shd w:val="clear" w:color="auto" w:fill="FFFFFF"/>
            <w:vAlign w:val="center"/>
            <w:hideMark/>
          </w:tcPr>
          <w:p w14:paraId="10A856AF" w14:textId="77777777"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 y-o-y</w:t>
            </w:r>
          </w:p>
        </w:tc>
        <w:tc>
          <w:tcPr>
            <w:tcW w:w="487" w:type="pct"/>
            <w:tcBorders>
              <w:top w:val="dotted" w:sz="4" w:space="0" w:color="auto"/>
              <w:left w:val="nil"/>
              <w:bottom w:val="dotted" w:sz="4" w:space="0" w:color="auto"/>
              <w:right w:val="dotted" w:sz="4" w:space="0" w:color="auto"/>
            </w:tcBorders>
            <w:shd w:val="clear" w:color="auto" w:fill="FFFFFF"/>
          </w:tcPr>
          <w:p w14:paraId="251237DD"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-2.5</w:t>
            </w:r>
          </w:p>
        </w:tc>
        <w:tc>
          <w:tcPr>
            <w:tcW w:w="487" w:type="pct"/>
            <w:tcBorders>
              <w:top w:val="dotted" w:sz="4" w:space="0" w:color="auto"/>
              <w:left w:val="dotted" w:sz="4" w:space="0" w:color="auto"/>
              <w:bottom w:val="dotted" w:sz="4" w:space="0" w:color="auto"/>
              <w:right w:val="dotted" w:sz="4" w:space="0" w:color="auto"/>
            </w:tcBorders>
            <w:shd w:val="clear" w:color="auto" w:fill="FFFFFF"/>
          </w:tcPr>
          <w:p w14:paraId="46F5ED48"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-2.2</w:t>
            </w:r>
          </w:p>
        </w:tc>
        <w:tc>
          <w:tcPr>
            <w:tcW w:w="488" w:type="pct"/>
            <w:tcBorders>
              <w:top w:val="dotted" w:sz="4" w:space="0" w:color="auto"/>
              <w:left w:val="dotted" w:sz="4" w:space="0" w:color="auto"/>
              <w:bottom w:val="dotted" w:sz="4" w:space="0" w:color="auto"/>
              <w:right w:val="dotted" w:sz="4" w:space="0" w:color="auto"/>
            </w:tcBorders>
            <w:shd w:val="clear" w:color="auto" w:fill="FFFFFF"/>
          </w:tcPr>
          <w:p w14:paraId="639CAE62"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-1.7</w:t>
            </w:r>
          </w:p>
        </w:tc>
        <w:tc>
          <w:tcPr>
            <w:tcW w:w="487" w:type="pct"/>
            <w:tcBorders>
              <w:top w:val="dotted" w:sz="4" w:space="0" w:color="auto"/>
              <w:left w:val="dotted" w:sz="4" w:space="0" w:color="auto"/>
              <w:bottom w:val="dotted" w:sz="4" w:space="0" w:color="auto"/>
              <w:right w:val="dotted" w:sz="4" w:space="0" w:color="auto"/>
            </w:tcBorders>
            <w:shd w:val="clear" w:color="auto" w:fill="FFFFFF"/>
          </w:tcPr>
          <w:p w14:paraId="0CDACD88"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-9.2</w:t>
            </w:r>
          </w:p>
        </w:tc>
        <w:tc>
          <w:tcPr>
            <w:tcW w:w="487" w:type="pct"/>
            <w:tcBorders>
              <w:top w:val="dotted" w:sz="4" w:space="0" w:color="auto"/>
              <w:left w:val="dotted" w:sz="4" w:space="0" w:color="auto"/>
              <w:bottom w:val="dotted" w:sz="4" w:space="0" w:color="auto"/>
              <w:right w:val="double" w:sz="4" w:space="0" w:color="auto"/>
            </w:tcBorders>
            <w:shd w:val="clear" w:color="auto" w:fill="FFFFFF"/>
          </w:tcPr>
          <w:p w14:paraId="410B8B69"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-6.9</w:t>
            </w:r>
          </w:p>
        </w:tc>
      </w:tr>
      <w:tr w:rsidR="00C50585" w:rsidRPr="00EE038F" w14:paraId="4A47B33F" w14:textId="77777777" w:rsidTr="00E02AEA">
        <w:trPr>
          <w:trHeight w:val="144"/>
        </w:trPr>
        <w:tc>
          <w:tcPr>
            <w:tcW w:w="1899" w:type="pct"/>
            <w:tcBorders>
              <w:top w:val="dotted" w:sz="4" w:space="0" w:color="auto"/>
              <w:left w:val="double" w:sz="4" w:space="0" w:color="auto"/>
              <w:bottom w:val="dotted" w:sz="4" w:space="0" w:color="auto"/>
              <w:right w:val="dotted" w:sz="4" w:space="0" w:color="auto"/>
            </w:tcBorders>
            <w:shd w:val="clear" w:color="auto" w:fill="FFFFFF"/>
            <w:vAlign w:val="center"/>
            <w:hideMark/>
          </w:tcPr>
          <w:p w14:paraId="7E3126EC" w14:textId="77777777"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sz w:val="18"/>
              </w:rPr>
              <w:t>5. Kostot nominale të punës për njësi</w:t>
            </w:r>
          </w:p>
        </w:tc>
        <w:tc>
          <w:tcPr>
            <w:tcW w:w="664" w:type="pct"/>
            <w:tcBorders>
              <w:top w:val="dotted" w:sz="4" w:space="0" w:color="auto"/>
              <w:left w:val="nil"/>
              <w:bottom w:val="dotted" w:sz="4" w:space="0" w:color="auto"/>
              <w:right w:val="single" w:sz="8" w:space="0" w:color="auto"/>
            </w:tcBorders>
            <w:shd w:val="clear" w:color="auto" w:fill="FFFFFF"/>
            <w:vAlign w:val="center"/>
            <w:hideMark/>
          </w:tcPr>
          <w:p w14:paraId="3EAF3A53" w14:textId="77777777"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 y-o-y</w:t>
            </w:r>
          </w:p>
        </w:tc>
        <w:tc>
          <w:tcPr>
            <w:tcW w:w="487" w:type="pct"/>
            <w:tcBorders>
              <w:top w:val="dotted" w:sz="4" w:space="0" w:color="auto"/>
              <w:left w:val="nil"/>
              <w:bottom w:val="dotted" w:sz="4" w:space="0" w:color="auto"/>
              <w:right w:val="dotted" w:sz="4" w:space="0" w:color="auto"/>
            </w:tcBorders>
            <w:shd w:val="clear" w:color="auto" w:fill="FFFFFF"/>
          </w:tcPr>
          <w:p w14:paraId="635D4F1A"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w:t>
            </w:r>
          </w:p>
        </w:tc>
        <w:tc>
          <w:tcPr>
            <w:tcW w:w="487" w:type="pct"/>
            <w:tcBorders>
              <w:top w:val="dotted" w:sz="4" w:space="0" w:color="auto"/>
              <w:left w:val="dotted" w:sz="4" w:space="0" w:color="auto"/>
              <w:bottom w:val="dotted" w:sz="4" w:space="0" w:color="auto"/>
              <w:right w:val="dotted" w:sz="4" w:space="0" w:color="auto"/>
            </w:tcBorders>
            <w:shd w:val="clear" w:color="auto" w:fill="FFFFFF"/>
          </w:tcPr>
          <w:p w14:paraId="0DB08731"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w:t>
            </w:r>
          </w:p>
        </w:tc>
        <w:tc>
          <w:tcPr>
            <w:tcW w:w="488" w:type="pct"/>
            <w:tcBorders>
              <w:top w:val="dotted" w:sz="4" w:space="0" w:color="auto"/>
              <w:left w:val="dotted" w:sz="4" w:space="0" w:color="auto"/>
              <w:bottom w:val="dotted" w:sz="4" w:space="0" w:color="auto"/>
              <w:right w:val="dotted" w:sz="4" w:space="0" w:color="auto"/>
            </w:tcBorders>
            <w:shd w:val="clear" w:color="auto" w:fill="FFFFFF"/>
          </w:tcPr>
          <w:p w14:paraId="483F281C"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w:t>
            </w:r>
          </w:p>
        </w:tc>
        <w:tc>
          <w:tcPr>
            <w:tcW w:w="487" w:type="pct"/>
            <w:tcBorders>
              <w:top w:val="dotted" w:sz="4" w:space="0" w:color="auto"/>
              <w:left w:val="dotted" w:sz="4" w:space="0" w:color="auto"/>
              <w:bottom w:val="dotted" w:sz="4" w:space="0" w:color="auto"/>
              <w:right w:val="dotted" w:sz="4" w:space="0" w:color="auto"/>
            </w:tcBorders>
            <w:shd w:val="clear" w:color="auto" w:fill="FFFFFF"/>
          </w:tcPr>
          <w:p w14:paraId="39F294B0"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w:t>
            </w:r>
          </w:p>
        </w:tc>
        <w:tc>
          <w:tcPr>
            <w:tcW w:w="487" w:type="pct"/>
            <w:tcBorders>
              <w:top w:val="dotted" w:sz="4" w:space="0" w:color="auto"/>
              <w:left w:val="dotted" w:sz="4" w:space="0" w:color="auto"/>
              <w:bottom w:val="dotted" w:sz="4" w:space="0" w:color="auto"/>
              <w:right w:val="double" w:sz="4" w:space="0" w:color="auto"/>
            </w:tcBorders>
            <w:shd w:val="clear" w:color="auto" w:fill="FFFFFF"/>
          </w:tcPr>
          <w:p w14:paraId="2A3EE799"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w:t>
            </w:r>
          </w:p>
        </w:tc>
      </w:tr>
      <w:tr w:rsidR="00C50585" w:rsidRPr="00EE038F" w14:paraId="4B36FA1F" w14:textId="77777777" w:rsidTr="00E02AEA">
        <w:trPr>
          <w:trHeight w:val="144"/>
        </w:trPr>
        <w:tc>
          <w:tcPr>
            <w:tcW w:w="1899" w:type="pct"/>
            <w:tcBorders>
              <w:top w:val="dotted" w:sz="4" w:space="0" w:color="auto"/>
              <w:left w:val="double" w:sz="4" w:space="0" w:color="auto"/>
              <w:bottom w:val="dotted" w:sz="4" w:space="0" w:color="auto"/>
              <w:right w:val="dotted" w:sz="4" w:space="0" w:color="auto"/>
            </w:tcBorders>
            <w:shd w:val="clear" w:color="auto" w:fill="FFFFFF"/>
            <w:vAlign w:val="center"/>
            <w:hideMark/>
          </w:tcPr>
          <w:p w14:paraId="3BB4497C" w14:textId="77777777"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sz w:val="18"/>
              </w:rPr>
              <w:t>6. Rrjedha e kredisë për sektorin privat</w:t>
            </w:r>
          </w:p>
        </w:tc>
        <w:tc>
          <w:tcPr>
            <w:tcW w:w="664" w:type="pct"/>
            <w:tcBorders>
              <w:top w:val="dotted" w:sz="4" w:space="0" w:color="auto"/>
              <w:left w:val="nil"/>
              <w:bottom w:val="dotted" w:sz="4" w:space="0" w:color="auto"/>
              <w:right w:val="single" w:sz="8" w:space="0" w:color="auto"/>
            </w:tcBorders>
            <w:shd w:val="clear" w:color="auto" w:fill="FFFFFF"/>
            <w:vAlign w:val="center"/>
            <w:hideMark/>
          </w:tcPr>
          <w:p w14:paraId="0E73EC79" w14:textId="77777777"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 e PBB</w:t>
            </w:r>
          </w:p>
        </w:tc>
        <w:tc>
          <w:tcPr>
            <w:tcW w:w="487" w:type="pct"/>
            <w:tcBorders>
              <w:top w:val="dotted" w:sz="4" w:space="0" w:color="auto"/>
              <w:left w:val="nil"/>
              <w:bottom w:val="dotted" w:sz="4" w:space="0" w:color="auto"/>
              <w:right w:val="dotted" w:sz="4" w:space="0" w:color="auto"/>
            </w:tcBorders>
            <w:shd w:val="clear" w:color="auto" w:fill="FFFFFF"/>
          </w:tcPr>
          <w:p w14:paraId="104389F1"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1.6</w:t>
            </w:r>
          </w:p>
        </w:tc>
        <w:tc>
          <w:tcPr>
            <w:tcW w:w="487" w:type="pct"/>
            <w:tcBorders>
              <w:top w:val="dotted" w:sz="4" w:space="0" w:color="auto"/>
              <w:left w:val="dotted" w:sz="4" w:space="0" w:color="auto"/>
              <w:bottom w:val="dotted" w:sz="4" w:space="0" w:color="auto"/>
              <w:right w:val="dotted" w:sz="4" w:space="0" w:color="auto"/>
            </w:tcBorders>
            <w:shd w:val="clear" w:color="auto" w:fill="FFFFFF"/>
          </w:tcPr>
          <w:p w14:paraId="0A0FADEF"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2.6</w:t>
            </w:r>
          </w:p>
        </w:tc>
        <w:tc>
          <w:tcPr>
            <w:tcW w:w="488" w:type="pct"/>
            <w:tcBorders>
              <w:top w:val="dotted" w:sz="4" w:space="0" w:color="auto"/>
              <w:left w:val="dotted" w:sz="4" w:space="0" w:color="auto"/>
              <w:bottom w:val="dotted" w:sz="4" w:space="0" w:color="auto"/>
              <w:right w:val="dotted" w:sz="4" w:space="0" w:color="auto"/>
            </w:tcBorders>
            <w:shd w:val="clear" w:color="auto" w:fill="FFFFFF"/>
          </w:tcPr>
          <w:p w14:paraId="169052F6"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3.0</w:t>
            </w:r>
          </w:p>
        </w:tc>
        <w:tc>
          <w:tcPr>
            <w:tcW w:w="487" w:type="pct"/>
            <w:tcBorders>
              <w:top w:val="dotted" w:sz="4" w:space="0" w:color="auto"/>
              <w:left w:val="dotted" w:sz="4" w:space="0" w:color="auto"/>
              <w:bottom w:val="dotted" w:sz="4" w:space="0" w:color="auto"/>
              <w:right w:val="dotted" w:sz="4" w:space="0" w:color="auto"/>
            </w:tcBorders>
            <w:shd w:val="clear" w:color="auto" w:fill="FFFFFF"/>
          </w:tcPr>
          <w:p w14:paraId="39CB767E"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2.5</w:t>
            </w:r>
          </w:p>
        </w:tc>
        <w:tc>
          <w:tcPr>
            <w:tcW w:w="487" w:type="pct"/>
            <w:tcBorders>
              <w:top w:val="dotted" w:sz="4" w:space="0" w:color="auto"/>
              <w:left w:val="dotted" w:sz="4" w:space="0" w:color="auto"/>
              <w:bottom w:val="dotted" w:sz="4" w:space="0" w:color="auto"/>
              <w:right w:val="double" w:sz="4" w:space="0" w:color="auto"/>
            </w:tcBorders>
            <w:shd w:val="clear" w:color="auto" w:fill="FFFFFF"/>
          </w:tcPr>
          <w:p w14:paraId="4D8D926B"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w:t>
            </w:r>
          </w:p>
        </w:tc>
      </w:tr>
      <w:tr w:rsidR="00C50585" w:rsidRPr="00EE038F" w14:paraId="7189E0B2" w14:textId="77777777" w:rsidTr="00E02AEA">
        <w:trPr>
          <w:trHeight w:val="144"/>
        </w:trPr>
        <w:tc>
          <w:tcPr>
            <w:tcW w:w="1899" w:type="pct"/>
            <w:tcBorders>
              <w:top w:val="dotted" w:sz="4" w:space="0" w:color="auto"/>
              <w:left w:val="double" w:sz="4" w:space="0" w:color="auto"/>
              <w:bottom w:val="dotted" w:sz="4" w:space="0" w:color="auto"/>
              <w:right w:val="dotted" w:sz="4" w:space="0" w:color="auto"/>
            </w:tcBorders>
            <w:shd w:val="clear" w:color="auto" w:fill="FFFFFF"/>
            <w:vAlign w:val="center"/>
            <w:hideMark/>
          </w:tcPr>
          <w:p w14:paraId="17265CA4" w14:textId="77777777"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sz w:val="18"/>
              </w:rPr>
              <w:t>7. Borxhi i sektorit privat</w:t>
            </w:r>
          </w:p>
        </w:tc>
        <w:tc>
          <w:tcPr>
            <w:tcW w:w="664" w:type="pct"/>
            <w:tcBorders>
              <w:top w:val="dotted" w:sz="4" w:space="0" w:color="auto"/>
              <w:left w:val="nil"/>
              <w:bottom w:val="dotted" w:sz="4" w:space="0" w:color="auto"/>
              <w:right w:val="single" w:sz="8" w:space="0" w:color="auto"/>
            </w:tcBorders>
            <w:shd w:val="clear" w:color="auto" w:fill="FFFFFF"/>
            <w:vAlign w:val="center"/>
            <w:hideMark/>
          </w:tcPr>
          <w:p w14:paraId="35BCD034" w14:textId="77777777"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 e PBB</w:t>
            </w:r>
          </w:p>
        </w:tc>
        <w:tc>
          <w:tcPr>
            <w:tcW w:w="487" w:type="pct"/>
            <w:tcBorders>
              <w:top w:val="dotted" w:sz="4" w:space="0" w:color="auto"/>
              <w:left w:val="nil"/>
              <w:bottom w:val="dotted" w:sz="4" w:space="0" w:color="auto"/>
              <w:right w:val="dotted" w:sz="4" w:space="0" w:color="auto"/>
            </w:tcBorders>
            <w:shd w:val="clear" w:color="auto" w:fill="FFFFFF"/>
          </w:tcPr>
          <w:p w14:paraId="278C1F74"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58.0</w:t>
            </w:r>
          </w:p>
        </w:tc>
        <w:tc>
          <w:tcPr>
            <w:tcW w:w="487" w:type="pct"/>
            <w:tcBorders>
              <w:top w:val="dotted" w:sz="4" w:space="0" w:color="auto"/>
              <w:left w:val="dotted" w:sz="4" w:space="0" w:color="auto"/>
              <w:bottom w:val="dotted" w:sz="4" w:space="0" w:color="auto"/>
              <w:right w:val="dotted" w:sz="4" w:space="0" w:color="auto"/>
            </w:tcBorders>
            <w:shd w:val="clear" w:color="auto" w:fill="FFFFFF"/>
          </w:tcPr>
          <w:p w14:paraId="459F6055"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54.5</w:t>
            </w:r>
          </w:p>
        </w:tc>
        <w:tc>
          <w:tcPr>
            <w:tcW w:w="488" w:type="pct"/>
            <w:tcBorders>
              <w:top w:val="dotted" w:sz="4" w:space="0" w:color="auto"/>
              <w:left w:val="dotted" w:sz="4" w:space="0" w:color="auto"/>
              <w:bottom w:val="dotted" w:sz="4" w:space="0" w:color="auto"/>
              <w:right w:val="dotted" w:sz="4" w:space="0" w:color="auto"/>
            </w:tcBorders>
            <w:shd w:val="clear" w:color="auto" w:fill="FFFFFF"/>
          </w:tcPr>
          <w:p w14:paraId="0E3F89C1"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52.1</w:t>
            </w:r>
          </w:p>
        </w:tc>
        <w:tc>
          <w:tcPr>
            <w:tcW w:w="487" w:type="pct"/>
            <w:tcBorders>
              <w:top w:val="dotted" w:sz="4" w:space="0" w:color="auto"/>
              <w:left w:val="dotted" w:sz="4" w:space="0" w:color="auto"/>
              <w:bottom w:val="dotted" w:sz="4" w:space="0" w:color="auto"/>
              <w:right w:val="dotted" w:sz="4" w:space="0" w:color="auto"/>
            </w:tcBorders>
            <w:shd w:val="clear" w:color="auto" w:fill="FFFFFF"/>
          </w:tcPr>
          <w:p w14:paraId="369461AB"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44.0</w:t>
            </w:r>
          </w:p>
        </w:tc>
        <w:tc>
          <w:tcPr>
            <w:tcW w:w="487" w:type="pct"/>
            <w:tcBorders>
              <w:top w:val="dotted" w:sz="4" w:space="0" w:color="auto"/>
              <w:left w:val="dotted" w:sz="4" w:space="0" w:color="auto"/>
              <w:bottom w:val="dotted" w:sz="4" w:space="0" w:color="auto"/>
              <w:right w:val="double" w:sz="4" w:space="0" w:color="auto"/>
            </w:tcBorders>
            <w:shd w:val="clear" w:color="auto" w:fill="FFFFFF"/>
          </w:tcPr>
          <w:p w14:paraId="7573AB91"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w:t>
            </w:r>
          </w:p>
        </w:tc>
      </w:tr>
      <w:tr w:rsidR="00C50585" w:rsidRPr="00EE038F" w14:paraId="5E056C88" w14:textId="77777777" w:rsidTr="00E02AEA">
        <w:trPr>
          <w:trHeight w:val="144"/>
        </w:trPr>
        <w:tc>
          <w:tcPr>
            <w:tcW w:w="1899" w:type="pct"/>
            <w:tcBorders>
              <w:top w:val="dotted" w:sz="4" w:space="0" w:color="auto"/>
              <w:left w:val="double" w:sz="4" w:space="0" w:color="auto"/>
              <w:bottom w:val="double" w:sz="4" w:space="0" w:color="auto"/>
              <w:right w:val="dotted" w:sz="4" w:space="0" w:color="auto"/>
            </w:tcBorders>
            <w:shd w:val="clear" w:color="auto" w:fill="FFFFFF"/>
            <w:vAlign w:val="center"/>
            <w:hideMark/>
          </w:tcPr>
          <w:p w14:paraId="517DF2CA" w14:textId="30D0125E"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sz w:val="18"/>
              </w:rPr>
              <w:t xml:space="preserve">8. Borxhi i </w:t>
            </w:r>
            <w:r w:rsidR="00FB2058" w:rsidRPr="00EE038F">
              <w:rPr>
                <w:rFonts w:ascii="Garamond" w:hAnsi="Garamond"/>
                <w:sz w:val="18"/>
              </w:rPr>
              <w:t>qeverisë së përgjithshme</w:t>
            </w:r>
          </w:p>
        </w:tc>
        <w:tc>
          <w:tcPr>
            <w:tcW w:w="664" w:type="pct"/>
            <w:tcBorders>
              <w:top w:val="dotted" w:sz="4" w:space="0" w:color="auto"/>
              <w:left w:val="nil"/>
              <w:bottom w:val="double" w:sz="4" w:space="0" w:color="auto"/>
              <w:right w:val="single" w:sz="8" w:space="0" w:color="auto"/>
            </w:tcBorders>
            <w:shd w:val="clear" w:color="auto" w:fill="FFFFFF"/>
            <w:vAlign w:val="center"/>
            <w:hideMark/>
          </w:tcPr>
          <w:p w14:paraId="67D81F66" w14:textId="77777777" w:rsidR="00C50585" w:rsidRPr="00EE038F" w:rsidRDefault="00C50585" w:rsidP="007C70E7">
            <w:pPr>
              <w:keepNext/>
              <w:spacing w:after="0" w:line="240" w:lineRule="auto"/>
              <w:contextualSpacing/>
              <w:jc w:val="both"/>
              <w:rPr>
                <w:rFonts w:ascii="Garamond" w:hAnsi="Garamond"/>
                <w:color w:val="0D0D0D" w:themeColor="text1" w:themeTint="F2"/>
                <w:sz w:val="18"/>
              </w:rPr>
            </w:pPr>
            <w:r w:rsidRPr="00EE038F">
              <w:rPr>
                <w:rFonts w:ascii="Garamond" w:hAnsi="Garamond"/>
                <w:color w:val="0D0D0D" w:themeColor="text1" w:themeTint="F2"/>
                <w:sz w:val="18"/>
              </w:rPr>
              <w:t>% e PBB</w:t>
            </w:r>
          </w:p>
        </w:tc>
        <w:tc>
          <w:tcPr>
            <w:tcW w:w="487" w:type="pct"/>
            <w:tcBorders>
              <w:top w:val="dotted" w:sz="4" w:space="0" w:color="auto"/>
              <w:left w:val="nil"/>
              <w:bottom w:val="double" w:sz="4" w:space="0" w:color="auto"/>
              <w:right w:val="dotted" w:sz="4" w:space="0" w:color="auto"/>
            </w:tcBorders>
            <w:shd w:val="clear" w:color="auto" w:fill="FFFFFF"/>
            <w:hideMark/>
          </w:tcPr>
          <w:p w14:paraId="69397B19"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73.9</w:t>
            </w:r>
          </w:p>
        </w:tc>
        <w:tc>
          <w:tcPr>
            <w:tcW w:w="487" w:type="pct"/>
            <w:tcBorders>
              <w:top w:val="dotted" w:sz="4" w:space="0" w:color="auto"/>
              <w:left w:val="dotted" w:sz="4" w:space="0" w:color="auto"/>
              <w:bottom w:val="double" w:sz="4" w:space="0" w:color="auto"/>
              <w:right w:val="dotted" w:sz="4" w:space="0" w:color="auto"/>
            </w:tcBorders>
            <w:shd w:val="clear" w:color="auto" w:fill="FFFFFF"/>
            <w:hideMark/>
          </w:tcPr>
          <w:p w14:paraId="5D344F43"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74.1</w:t>
            </w:r>
          </w:p>
        </w:tc>
        <w:tc>
          <w:tcPr>
            <w:tcW w:w="488" w:type="pct"/>
            <w:tcBorders>
              <w:top w:val="dotted" w:sz="4" w:space="0" w:color="auto"/>
              <w:left w:val="dotted" w:sz="4" w:space="0" w:color="auto"/>
              <w:bottom w:val="double" w:sz="4" w:space="0" w:color="auto"/>
              <w:right w:val="dotted" w:sz="4" w:space="0" w:color="auto"/>
            </w:tcBorders>
            <w:hideMark/>
          </w:tcPr>
          <w:p w14:paraId="3AD1ADBC"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64.1</w:t>
            </w:r>
          </w:p>
        </w:tc>
        <w:tc>
          <w:tcPr>
            <w:tcW w:w="487" w:type="pct"/>
            <w:tcBorders>
              <w:top w:val="dotted" w:sz="4" w:space="0" w:color="auto"/>
              <w:left w:val="dotted" w:sz="4" w:space="0" w:color="auto"/>
              <w:bottom w:val="double" w:sz="4" w:space="0" w:color="auto"/>
              <w:right w:val="dotted" w:sz="4" w:space="0" w:color="auto"/>
            </w:tcBorders>
            <w:hideMark/>
          </w:tcPr>
          <w:p w14:paraId="1902CA75"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57.5</w:t>
            </w:r>
          </w:p>
        </w:tc>
        <w:tc>
          <w:tcPr>
            <w:tcW w:w="487" w:type="pct"/>
            <w:tcBorders>
              <w:top w:val="dotted" w:sz="4" w:space="0" w:color="auto"/>
              <w:left w:val="dotted" w:sz="4" w:space="0" w:color="auto"/>
              <w:bottom w:val="double" w:sz="4" w:space="0" w:color="auto"/>
              <w:right w:val="double" w:sz="4" w:space="0" w:color="auto"/>
            </w:tcBorders>
            <w:hideMark/>
          </w:tcPr>
          <w:p w14:paraId="1B1DB715"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55.2</w:t>
            </w:r>
          </w:p>
        </w:tc>
      </w:tr>
    </w:tbl>
    <w:p w14:paraId="11217753" w14:textId="77777777" w:rsidR="00C50585" w:rsidRPr="00EE038F" w:rsidRDefault="00C50585" w:rsidP="00C50585">
      <w:pPr>
        <w:spacing w:after="0" w:line="240" w:lineRule="auto"/>
        <w:contextualSpacing/>
        <w:jc w:val="both"/>
        <w:rPr>
          <w:rFonts w:ascii="Garamond" w:hAnsi="Garamond"/>
          <w:b/>
          <w:color w:val="0D0D0D" w:themeColor="text1" w:themeTint="F2"/>
        </w:rPr>
      </w:pPr>
    </w:p>
    <w:p w14:paraId="4BEB5D6E" w14:textId="77777777" w:rsidR="00C50585" w:rsidRPr="00EE038F" w:rsidRDefault="00C50585" w:rsidP="00066DFC">
      <w:pPr>
        <w:spacing w:after="0" w:line="240" w:lineRule="auto"/>
        <w:contextualSpacing/>
        <w:jc w:val="center"/>
        <w:rPr>
          <w:rFonts w:ascii="Garamond" w:hAnsi="Garamond"/>
          <w:bCs/>
          <w:i/>
          <w:iCs/>
          <w:sz w:val="24"/>
          <w:szCs w:val="24"/>
        </w:rPr>
      </w:pPr>
      <w:r w:rsidRPr="00EE038F">
        <w:rPr>
          <w:rFonts w:ascii="Garamond" w:hAnsi="Garamond"/>
          <w:bCs/>
          <w:i/>
          <w:iCs/>
          <w:color w:val="0D0D0D" w:themeColor="text1" w:themeTint="F2"/>
          <w:sz w:val="24"/>
          <w:szCs w:val="24"/>
        </w:rPr>
        <w:t>Tabela</w:t>
      </w:r>
      <w:r w:rsidRPr="00EE038F">
        <w:rPr>
          <w:rFonts w:ascii="Garamond" w:hAnsi="Garamond"/>
          <w:bCs/>
          <w:i/>
          <w:iCs/>
          <w:sz w:val="24"/>
          <w:szCs w:val="24"/>
        </w:rPr>
        <w:t xml:space="preserve"> 2a: </w:t>
      </w:r>
      <w:r w:rsidRPr="00EE038F">
        <w:rPr>
          <w:rFonts w:ascii="Garamond" w:hAnsi="Garamond"/>
          <w:bCs/>
          <w:i/>
          <w:iCs/>
          <w:color w:val="0D0D0D" w:themeColor="text1" w:themeTint="F2"/>
          <w:sz w:val="24"/>
          <w:szCs w:val="24"/>
        </w:rPr>
        <w:t>Perspektivat buxhetore të qeverisë së përgjithshme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762"/>
        <w:gridCol w:w="873"/>
        <w:gridCol w:w="1118"/>
        <w:gridCol w:w="647"/>
        <w:gridCol w:w="647"/>
        <w:gridCol w:w="647"/>
        <w:gridCol w:w="647"/>
        <w:gridCol w:w="649"/>
      </w:tblGrid>
      <w:tr w:rsidR="00C50585" w:rsidRPr="00EE038F" w14:paraId="5EB44E8B" w14:textId="77777777" w:rsidTr="00FB5945">
        <w:trPr>
          <w:trHeight w:val="20"/>
          <w:jc w:val="center"/>
        </w:trPr>
        <w:tc>
          <w:tcPr>
            <w:tcW w:w="2092" w:type="pct"/>
            <w:tcBorders>
              <w:top w:val="double" w:sz="4" w:space="0" w:color="auto"/>
              <w:left w:val="double" w:sz="4" w:space="0" w:color="auto"/>
              <w:bottom w:val="nil"/>
              <w:right w:val="dotted" w:sz="4" w:space="0" w:color="auto"/>
            </w:tcBorders>
            <w:vAlign w:val="center"/>
          </w:tcPr>
          <w:p w14:paraId="1F6C1A3B" w14:textId="77777777" w:rsidR="00C50585" w:rsidRPr="00EE038F" w:rsidRDefault="00C50585" w:rsidP="007C70E7">
            <w:pPr>
              <w:spacing w:after="0" w:line="240" w:lineRule="auto"/>
              <w:contextualSpacing/>
              <w:jc w:val="both"/>
              <w:rPr>
                <w:rFonts w:ascii="Garamond" w:hAnsi="Garamond"/>
                <w:b/>
                <w:bCs/>
                <w:sz w:val="18"/>
              </w:rPr>
            </w:pPr>
          </w:p>
        </w:tc>
        <w:tc>
          <w:tcPr>
            <w:tcW w:w="485" w:type="pct"/>
            <w:vMerge w:val="restart"/>
            <w:tcBorders>
              <w:top w:val="double" w:sz="4" w:space="0" w:color="auto"/>
              <w:left w:val="dotted" w:sz="4" w:space="0" w:color="auto"/>
              <w:bottom w:val="single" w:sz="6" w:space="0" w:color="000000"/>
              <w:right w:val="single" w:sz="6" w:space="0" w:color="000000"/>
            </w:tcBorders>
            <w:vAlign w:val="center"/>
          </w:tcPr>
          <w:p w14:paraId="11371809"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Kodi</w:t>
            </w:r>
          </w:p>
          <w:p w14:paraId="09A1D981"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ESA</w:t>
            </w:r>
          </w:p>
        </w:tc>
        <w:tc>
          <w:tcPr>
            <w:tcW w:w="622" w:type="pct"/>
            <w:tcBorders>
              <w:top w:val="double" w:sz="4" w:space="0" w:color="auto"/>
              <w:left w:val="single" w:sz="6" w:space="0" w:color="000000"/>
              <w:bottom w:val="dotted" w:sz="4" w:space="0" w:color="auto"/>
              <w:right w:val="single" w:sz="4" w:space="0" w:color="auto"/>
            </w:tcBorders>
            <w:vAlign w:val="center"/>
          </w:tcPr>
          <w:p w14:paraId="2121E13D"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 xml:space="preserve">Viti </w:t>
            </w:r>
          </w:p>
          <w:p w14:paraId="2BCA9D8E"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2023</w:t>
            </w:r>
          </w:p>
        </w:tc>
        <w:tc>
          <w:tcPr>
            <w:tcW w:w="360" w:type="pct"/>
            <w:tcBorders>
              <w:top w:val="double" w:sz="4" w:space="0" w:color="auto"/>
              <w:left w:val="single" w:sz="4" w:space="0" w:color="auto"/>
              <w:bottom w:val="dotted" w:sz="4" w:space="0" w:color="auto"/>
              <w:right w:val="dotted" w:sz="4" w:space="0" w:color="auto"/>
            </w:tcBorders>
            <w:vAlign w:val="center"/>
          </w:tcPr>
          <w:p w14:paraId="170B1380"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2023</w:t>
            </w:r>
          </w:p>
        </w:tc>
        <w:tc>
          <w:tcPr>
            <w:tcW w:w="360" w:type="pct"/>
            <w:tcBorders>
              <w:top w:val="double" w:sz="4" w:space="0" w:color="auto"/>
              <w:left w:val="dotted" w:sz="4" w:space="0" w:color="auto"/>
              <w:bottom w:val="dotted" w:sz="4" w:space="0" w:color="auto"/>
              <w:right w:val="dotted" w:sz="4" w:space="0" w:color="auto"/>
            </w:tcBorders>
            <w:vAlign w:val="center"/>
          </w:tcPr>
          <w:p w14:paraId="1EF7D0D8"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2024</w:t>
            </w:r>
          </w:p>
        </w:tc>
        <w:tc>
          <w:tcPr>
            <w:tcW w:w="360" w:type="pct"/>
            <w:tcBorders>
              <w:top w:val="double" w:sz="4" w:space="0" w:color="auto"/>
              <w:left w:val="dotted" w:sz="4" w:space="0" w:color="auto"/>
              <w:bottom w:val="dotted" w:sz="4" w:space="0" w:color="auto"/>
              <w:right w:val="dotted" w:sz="4" w:space="0" w:color="auto"/>
            </w:tcBorders>
            <w:vAlign w:val="center"/>
          </w:tcPr>
          <w:p w14:paraId="2413C2EA"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2025</w:t>
            </w:r>
          </w:p>
        </w:tc>
        <w:tc>
          <w:tcPr>
            <w:tcW w:w="360" w:type="pct"/>
            <w:tcBorders>
              <w:top w:val="double" w:sz="4" w:space="0" w:color="auto"/>
              <w:left w:val="dotted" w:sz="4" w:space="0" w:color="auto"/>
              <w:bottom w:val="dotted" w:sz="4" w:space="0" w:color="auto"/>
              <w:right w:val="dotted" w:sz="4" w:space="0" w:color="auto"/>
            </w:tcBorders>
            <w:vAlign w:val="center"/>
          </w:tcPr>
          <w:p w14:paraId="252959AF"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2026</w:t>
            </w:r>
          </w:p>
        </w:tc>
        <w:tc>
          <w:tcPr>
            <w:tcW w:w="363" w:type="pct"/>
            <w:tcBorders>
              <w:top w:val="double" w:sz="4" w:space="0" w:color="auto"/>
              <w:left w:val="dotted" w:sz="4" w:space="0" w:color="auto"/>
              <w:bottom w:val="dotted" w:sz="4" w:space="0" w:color="auto"/>
              <w:right w:val="double" w:sz="4" w:space="0" w:color="auto"/>
            </w:tcBorders>
            <w:vAlign w:val="center"/>
          </w:tcPr>
          <w:p w14:paraId="3E625DC6"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2027</w:t>
            </w:r>
          </w:p>
        </w:tc>
      </w:tr>
      <w:tr w:rsidR="00C50585" w:rsidRPr="00EE038F" w14:paraId="62898905" w14:textId="77777777" w:rsidTr="00FB5945">
        <w:trPr>
          <w:trHeight w:val="20"/>
          <w:jc w:val="center"/>
        </w:trPr>
        <w:tc>
          <w:tcPr>
            <w:tcW w:w="2092" w:type="pct"/>
            <w:tcBorders>
              <w:top w:val="nil"/>
              <w:left w:val="double" w:sz="4" w:space="0" w:color="auto"/>
              <w:bottom w:val="single" w:sz="6" w:space="0" w:color="000000"/>
              <w:right w:val="dotted" w:sz="4" w:space="0" w:color="auto"/>
            </w:tcBorders>
            <w:vAlign w:val="center"/>
          </w:tcPr>
          <w:p w14:paraId="46360DA0" w14:textId="77777777" w:rsidR="00C50585" w:rsidRPr="00EE038F" w:rsidRDefault="00C50585" w:rsidP="007C70E7">
            <w:pPr>
              <w:spacing w:after="0" w:line="240" w:lineRule="auto"/>
              <w:contextualSpacing/>
              <w:jc w:val="both"/>
              <w:rPr>
                <w:rFonts w:ascii="Garamond" w:hAnsi="Garamond"/>
                <w:b/>
                <w:bCs/>
                <w:sz w:val="18"/>
              </w:rPr>
            </w:pPr>
          </w:p>
        </w:tc>
        <w:tc>
          <w:tcPr>
            <w:tcW w:w="485" w:type="pct"/>
            <w:vMerge/>
            <w:tcBorders>
              <w:left w:val="dotted" w:sz="4" w:space="0" w:color="auto"/>
              <w:bottom w:val="single" w:sz="6" w:space="0" w:color="000000"/>
              <w:right w:val="single" w:sz="6" w:space="0" w:color="000000"/>
            </w:tcBorders>
            <w:vAlign w:val="center"/>
          </w:tcPr>
          <w:p w14:paraId="22B598E1" w14:textId="77777777" w:rsidR="00C50585" w:rsidRPr="00EE038F" w:rsidRDefault="00C50585" w:rsidP="007C70E7">
            <w:pPr>
              <w:spacing w:after="0" w:line="240" w:lineRule="auto"/>
              <w:contextualSpacing/>
              <w:jc w:val="both"/>
              <w:rPr>
                <w:rFonts w:ascii="Garamond" w:hAnsi="Garamond"/>
                <w:b/>
                <w:bCs/>
                <w:sz w:val="18"/>
              </w:rPr>
            </w:pPr>
          </w:p>
        </w:tc>
        <w:tc>
          <w:tcPr>
            <w:tcW w:w="622" w:type="pct"/>
            <w:tcBorders>
              <w:top w:val="dotted" w:sz="4" w:space="0" w:color="auto"/>
              <w:left w:val="single" w:sz="6" w:space="0" w:color="000000"/>
              <w:bottom w:val="single" w:sz="6" w:space="0" w:color="000000"/>
              <w:right w:val="single" w:sz="4" w:space="0" w:color="auto"/>
            </w:tcBorders>
            <w:vAlign w:val="center"/>
          </w:tcPr>
          <w:p w14:paraId="2BB6BCD7"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Niveli</w:t>
            </w:r>
          </w:p>
          <w:p w14:paraId="1C775A6D" w14:textId="1759D8F9"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color w:val="0D0D0D" w:themeColor="text1" w:themeTint="F2"/>
                <w:sz w:val="18"/>
              </w:rPr>
              <w:t>(mld LEK)</w:t>
            </w:r>
          </w:p>
        </w:tc>
        <w:tc>
          <w:tcPr>
            <w:tcW w:w="1801" w:type="pct"/>
            <w:gridSpan w:val="5"/>
            <w:tcBorders>
              <w:top w:val="dotted" w:sz="4" w:space="0" w:color="auto"/>
              <w:left w:val="single" w:sz="4" w:space="0" w:color="auto"/>
              <w:bottom w:val="single" w:sz="6" w:space="0" w:color="000000"/>
              <w:right w:val="double" w:sz="4" w:space="0" w:color="auto"/>
            </w:tcBorders>
            <w:vAlign w:val="center"/>
          </w:tcPr>
          <w:p w14:paraId="29D4C4AA"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 e PBB-së</w:t>
            </w:r>
          </w:p>
        </w:tc>
      </w:tr>
      <w:tr w:rsidR="00C50585" w:rsidRPr="00EE038F" w14:paraId="144CD4EE" w14:textId="77777777" w:rsidTr="00FB5945">
        <w:trPr>
          <w:trHeight w:val="20"/>
          <w:jc w:val="center"/>
        </w:trPr>
        <w:tc>
          <w:tcPr>
            <w:tcW w:w="5000" w:type="pct"/>
            <w:gridSpan w:val="8"/>
            <w:tcBorders>
              <w:top w:val="single" w:sz="6" w:space="0" w:color="000000"/>
              <w:left w:val="double" w:sz="4" w:space="0" w:color="auto"/>
              <w:bottom w:val="single" w:sz="4" w:space="0" w:color="auto"/>
              <w:right w:val="double" w:sz="4" w:space="0" w:color="auto"/>
            </w:tcBorders>
            <w:vAlign w:val="center"/>
          </w:tcPr>
          <w:p w14:paraId="515A67CC"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b/>
                <w:bCs/>
                <w:color w:val="0D0D0D" w:themeColor="text1" w:themeTint="F2"/>
                <w:sz w:val="18"/>
              </w:rPr>
              <w:t>Kreditimi neto (B9) sipas nënsektorëve</w:t>
            </w:r>
          </w:p>
        </w:tc>
      </w:tr>
      <w:tr w:rsidR="00C50585" w:rsidRPr="00EE038F" w14:paraId="4BCD1AC4" w14:textId="77777777" w:rsidTr="00FB5945">
        <w:trPr>
          <w:trHeight w:val="20"/>
          <w:jc w:val="center"/>
        </w:trPr>
        <w:tc>
          <w:tcPr>
            <w:tcW w:w="2092" w:type="pct"/>
            <w:tcBorders>
              <w:top w:val="single" w:sz="4" w:space="0" w:color="auto"/>
              <w:left w:val="double" w:sz="4" w:space="0" w:color="auto"/>
              <w:bottom w:val="dotted" w:sz="4" w:space="0" w:color="auto"/>
              <w:right w:val="dotted" w:sz="4" w:space="0" w:color="auto"/>
            </w:tcBorders>
            <w:vAlign w:val="center"/>
          </w:tcPr>
          <w:p w14:paraId="62915D70"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1. Qeveria e përgjithshme</w:t>
            </w:r>
          </w:p>
        </w:tc>
        <w:tc>
          <w:tcPr>
            <w:tcW w:w="485" w:type="pct"/>
            <w:tcBorders>
              <w:top w:val="single" w:sz="4" w:space="0" w:color="auto"/>
              <w:left w:val="dotted" w:sz="4" w:space="0" w:color="auto"/>
              <w:bottom w:val="dotted" w:sz="4" w:space="0" w:color="auto"/>
              <w:right w:val="single" w:sz="6" w:space="0" w:color="000000"/>
            </w:tcBorders>
            <w:vAlign w:val="center"/>
          </w:tcPr>
          <w:p w14:paraId="7DBA8D9E"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S13</w:t>
            </w:r>
          </w:p>
        </w:tc>
        <w:tc>
          <w:tcPr>
            <w:tcW w:w="622" w:type="pct"/>
            <w:tcBorders>
              <w:top w:val="single" w:sz="4" w:space="0" w:color="auto"/>
              <w:left w:val="single" w:sz="6" w:space="0" w:color="000000"/>
              <w:bottom w:val="dotted" w:sz="4" w:space="0" w:color="auto"/>
              <w:right w:val="single" w:sz="4" w:space="0" w:color="auto"/>
            </w:tcBorders>
            <w:vAlign w:val="center"/>
          </w:tcPr>
          <w:p w14:paraId="78D7D0D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-31.18</w:t>
            </w:r>
          </w:p>
        </w:tc>
        <w:tc>
          <w:tcPr>
            <w:tcW w:w="360" w:type="pct"/>
            <w:tcBorders>
              <w:top w:val="single" w:sz="4" w:space="0" w:color="auto"/>
              <w:left w:val="single" w:sz="4" w:space="0" w:color="auto"/>
              <w:bottom w:val="dotted" w:sz="4" w:space="0" w:color="auto"/>
              <w:right w:val="dotted" w:sz="4" w:space="0" w:color="auto"/>
            </w:tcBorders>
            <w:vAlign w:val="center"/>
          </w:tcPr>
          <w:p w14:paraId="0A74D93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-1.3</w:t>
            </w:r>
          </w:p>
        </w:tc>
        <w:tc>
          <w:tcPr>
            <w:tcW w:w="360" w:type="pct"/>
            <w:tcBorders>
              <w:top w:val="single" w:sz="4" w:space="0" w:color="auto"/>
              <w:left w:val="dotted" w:sz="4" w:space="0" w:color="auto"/>
              <w:bottom w:val="dotted" w:sz="4" w:space="0" w:color="auto"/>
              <w:right w:val="dotted" w:sz="4" w:space="0" w:color="auto"/>
            </w:tcBorders>
            <w:vAlign w:val="center"/>
          </w:tcPr>
          <w:p w14:paraId="3FBD397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-1.5</w:t>
            </w:r>
          </w:p>
        </w:tc>
        <w:tc>
          <w:tcPr>
            <w:tcW w:w="360" w:type="pct"/>
            <w:tcBorders>
              <w:top w:val="single" w:sz="4" w:space="0" w:color="auto"/>
              <w:left w:val="dotted" w:sz="4" w:space="0" w:color="auto"/>
              <w:bottom w:val="dotted" w:sz="4" w:space="0" w:color="auto"/>
              <w:right w:val="dotted" w:sz="4" w:space="0" w:color="auto"/>
            </w:tcBorders>
            <w:vAlign w:val="center"/>
          </w:tcPr>
          <w:p w14:paraId="59517B9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-2.6</w:t>
            </w:r>
          </w:p>
        </w:tc>
        <w:tc>
          <w:tcPr>
            <w:tcW w:w="360" w:type="pct"/>
            <w:tcBorders>
              <w:top w:val="single" w:sz="4" w:space="0" w:color="auto"/>
              <w:left w:val="dotted" w:sz="4" w:space="0" w:color="auto"/>
              <w:bottom w:val="dotted" w:sz="4" w:space="0" w:color="auto"/>
              <w:right w:val="dotted" w:sz="4" w:space="0" w:color="auto"/>
            </w:tcBorders>
            <w:vAlign w:val="center"/>
          </w:tcPr>
          <w:p w14:paraId="25FE498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-1.9</w:t>
            </w:r>
          </w:p>
        </w:tc>
        <w:tc>
          <w:tcPr>
            <w:tcW w:w="363" w:type="pct"/>
            <w:tcBorders>
              <w:top w:val="single" w:sz="4" w:space="0" w:color="auto"/>
              <w:left w:val="dotted" w:sz="4" w:space="0" w:color="auto"/>
              <w:bottom w:val="dotted" w:sz="4" w:space="0" w:color="auto"/>
              <w:right w:val="double" w:sz="4" w:space="0" w:color="auto"/>
            </w:tcBorders>
            <w:vAlign w:val="center"/>
          </w:tcPr>
          <w:p w14:paraId="2756E64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-1.6</w:t>
            </w:r>
          </w:p>
        </w:tc>
      </w:tr>
      <w:tr w:rsidR="00C50585" w:rsidRPr="00EE038F" w14:paraId="07104A8E" w14:textId="77777777" w:rsidTr="00FB5945">
        <w:trPr>
          <w:trHeight w:val="20"/>
          <w:jc w:val="center"/>
        </w:trPr>
        <w:tc>
          <w:tcPr>
            <w:tcW w:w="2092" w:type="pct"/>
            <w:tcBorders>
              <w:top w:val="dotted" w:sz="4" w:space="0" w:color="auto"/>
              <w:left w:val="double" w:sz="4" w:space="0" w:color="auto"/>
              <w:bottom w:val="dotted" w:sz="4" w:space="0" w:color="auto"/>
              <w:right w:val="dotted" w:sz="4" w:space="0" w:color="auto"/>
            </w:tcBorders>
            <w:vAlign w:val="center"/>
          </w:tcPr>
          <w:p w14:paraId="1688BD67"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2. Pushteti qendror</w:t>
            </w:r>
          </w:p>
        </w:tc>
        <w:tc>
          <w:tcPr>
            <w:tcW w:w="485" w:type="pct"/>
            <w:tcBorders>
              <w:top w:val="dotted" w:sz="4" w:space="0" w:color="auto"/>
              <w:left w:val="dotted" w:sz="4" w:space="0" w:color="auto"/>
              <w:bottom w:val="dotted" w:sz="4" w:space="0" w:color="auto"/>
              <w:right w:val="single" w:sz="6" w:space="0" w:color="000000"/>
            </w:tcBorders>
            <w:vAlign w:val="center"/>
          </w:tcPr>
          <w:p w14:paraId="16D6D6FC"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S1311</w:t>
            </w:r>
          </w:p>
        </w:tc>
        <w:tc>
          <w:tcPr>
            <w:tcW w:w="622" w:type="pct"/>
            <w:tcBorders>
              <w:top w:val="dotted" w:sz="4" w:space="0" w:color="auto"/>
              <w:left w:val="single" w:sz="6" w:space="0" w:color="000000"/>
              <w:bottom w:val="dotted" w:sz="4" w:space="0" w:color="auto"/>
              <w:right w:val="single" w:sz="4" w:space="0" w:color="auto"/>
            </w:tcBorders>
            <w:vAlign w:val="center"/>
          </w:tcPr>
          <w:p w14:paraId="4B024EB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89.20</w:t>
            </w:r>
          </w:p>
        </w:tc>
        <w:tc>
          <w:tcPr>
            <w:tcW w:w="360" w:type="pct"/>
            <w:tcBorders>
              <w:top w:val="dotted" w:sz="4" w:space="0" w:color="auto"/>
              <w:left w:val="single" w:sz="4" w:space="0" w:color="auto"/>
              <w:bottom w:val="dotted" w:sz="4" w:space="0" w:color="auto"/>
              <w:right w:val="dotted" w:sz="4" w:space="0" w:color="auto"/>
            </w:tcBorders>
            <w:vAlign w:val="center"/>
          </w:tcPr>
          <w:p w14:paraId="3292EC7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3.8</w:t>
            </w:r>
          </w:p>
        </w:tc>
        <w:tc>
          <w:tcPr>
            <w:tcW w:w="360" w:type="pct"/>
            <w:tcBorders>
              <w:top w:val="dotted" w:sz="4" w:space="0" w:color="auto"/>
              <w:left w:val="dotted" w:sz="4" w:space="0" w:color="auto"/>
              <w:bottom w:val="dotted" w:sz="4" w:space="0" w:color="auto"/>
              <w:right w:val="dotted" w:sz="4" w:space="0" w:color="auto"/>
            </w:tcBorders>
            <w:vAlign w:val="center"/>
          </w:tcPr>
          <w:p w14:paraId="49877D1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3.0</w:t>
            </w:r>
          </w:p>
        </w:tc>
        <w:tc>
          <w:tcPr>
            <w:tcW w:w="360" w:type="pct"/>
            <w:tcBorders>
              <w:top w:val="dotted" w:sz="4" w:space="0" w:color="auto"/>
              <w:left w:val="dotted" w:sz="4" w:space="0" w:color="auto"/>
              <w:bottom w:val="dotted" w:sz="4" w:space="0" w:color="auto"/>
              <w:right w:val="dotted" w:sz="4" w:space="0" w:color="auto"/>
            </w:tcBorders>
            <w:vAlign w:val="center"/>
          </w:tcPr>
          <w:p w14:paraId="6DD66A4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2.2</w:t>
            </w:r>
          </w:p>
        </w:tc>
        <w:tc>
          <w:tcPr>
            <w:tcW w:w="360" w:type="pct"/>
            <w:tcBorders>
              <w:top w:val="dotted" w:sz="4" w:space="0" w:color="auto"/>
              <w:left w:val="dotted" w:sz="4" w:space="0" w:color="auto"/>
              <w:bottom w:val="dotted" w:sz="4" w:space="0" w:color="auto"/>
              <w:right w:val="dotted" w:sz="4" w:space="0" w:color="auto"/>
            </w:tcBorders>
            <w:vAlign w:val="center"/>
          </w:tcPr>
          <w:p w14:paraId="55B7922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3.1</w:t>
            </w:r>
          </w:p>
        </w:tc>
        <w:tc>
          <w:tcPr>
            <w:tcW w:w="363" w:type="pct"/>
            <w:tcBorders>
              <w:top w:val="dotted" w:sz="4" w:space="0" w:color="auto"/>
              <w:left w:val="dotted" w:sz="4" w:space="0" w:color="auto"/>
              <w:bottom w:val="dotted" w:sz="4" w:space="0" w:color="auto"/>
              <w:right w:val="double" w:sz="4" w:space="0" w:color="auto"/>
            </w:tcBorders>
            <w:vAlign w:val="center"/>
          </w:tcPr>
          <w:p w14:paraId="7E6F189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3.5</w:t>
            </w:r>
          </w:p>
        </w:tc>
      </w:tr>
      <w:tr w:rsidR="00C50585" w:rsidRPr="00EE038F" w14:paraId="5857D4D8" w14:textId="77777777" w:rsidTr="00FB5945">
        <w:trPr>
          <w:trHeight w:val="20"/>
          <w:jc w:val="center"/>
        </w:trPr>
        <w:tc>
          <w:tcPr>
            <w:tcW w:w="2092" w:type="pct"/>
            <w:tcBorders>
              <w:top w:val="dotted" w:sz="4" w:space="0" w:color="auto"/>
              <w:left w:val="double" w:sz="4" w:space="0" w:color="auto"/>
              <w:bottom w:val="dotted" w:sz="4" w:space="0" w:color="auto"/>
              <w:right w:val="dotted" w:sz="4" w:space="0" w:color="auto"/>
            </w:tcBorders>
            <w:vAlign w:val="center"/>
          </w:tcPr>
          <w:p w14:paraId="1708E575"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3. Qeverisja e shtetit</w:t>
            </w:r>
          </w:p>
        </w:tc>
        <w:tc>
          <w:tcPr>
            <w:tcW w:w="485" w:type="pct"/>
            <w:tcBorders>
              <w:top w:val="dotted" w:sz="4" w:space="0" w:color="auto"/>
              <w:left w:val="dotted" w:sz="4" w:space="0" w:color="auto"/>
              <w:bottom w:val="dotted" w:sz="4" w:space="0" w:color="auto"/>
              <w:right w:val="single" w:sz="6" w:space="0" w:color="000000"/>
            </w:tcBorders>
            <w:vAlign w:val="center"/>
          </w:tcPr>
          <w:p w14:paraId="4B577200"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S1312</w:t>
            </w:r>
          </w:p>
        </w:tc>
        <w:tc>
          <w:tcPr>
            <w:tcW w:w="622" w:type="pct"/>
            <w:tcBorders>
              <w:top w:val="dotted" w:sz="4" w:space="0" w:color="auto"/>
              <w:left w:val="single" w:sz="6" w:space="0" w:color="000000"/>
              <w:bottom w:val="dotted" w:sz="4" w:space="0" w:color="auto"/>
              <w:right w:val="single" w:sz="4" w:space="0" w:color="auto"/>
            </w:tcBorders>
            <w:vAlign w:val="center"/>
          </w:tcPr>
          <w:p w14:paraId="74BD423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60" w:type="pct"/>
            <w:tcBorders>
              <w:top w:val="dotted" w:sz="4" w:space="0" w:color="auto"/>
              <w:left w:val="single" w:sz="4" w:space="0" w:color="auto"/>
              <w:bottom w:val="dotted" w:sz="4" w:space="0" w:color="auto"/>
              <w:right w:val="dotted" w:sz="4" w:space="0" w:color="auto"/>
            </w:tcBorders>
            <w:vAlign w:val="center"/>
          </w:tcPr>
          <w:p w14:paraId="1BA123A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60" w:type="pct"/>
            <w:tcBorders>
              <w:top w:val="dotted" w:sz="4" w:space="0" w:color="auto"/>
              <w:left w:val="dotted" w:sz="4" w:space="0" w:color="auto"/>
              <w:bottom w:val="dotted" w:sz="4" w:space="0" w:color="auto"/>
              <w:right w:val="dotted" w:sz="4" w:space="0" w:color="auto"/>
            </w:tcBorders>
            <w:vAlign w:val="center"/>
          </w:tcPr>
          <w:p w14:paraId="0FE0721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60" w:type="pct"/>
            <w:tcBorders>
              <w:top w:val="dotted" w:sz="4" w:space="0" w:color="auto"/>
              <w:left w:val="dotted" w:sz="4" w:space="0" w:color="auto"/>
              <w:bottom w:val="dotted" w:sz="4" w:space="0" w:color="auto"/>
              <w:right w:val="dotted" w:sz="4" w:space="0" w:color="auto"/>
            </w:tcBorders>
            <w:vAlign w:val="center"/>
          </w:tcPr>
          <w:p w14:paraId="3085A25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60" w:type="pct"/>
            <w:tcBorders>
              <w:top w:val="dotted" w:sz="4" w:space="0" w:color="auto"/>
              <w:left w:val="dotted" w:sz="4" w:space="0" w:color="auto"/>
              <w:bottom w:val="dotted" w:sz="4" w:space="0" w:color="auto"/>
              <w:right w:val="dotted" w:sz="4" w:space="0" w:color="auto"/>
            </w:tcBorders>
            <w:vAlign w:val="center"/>
          </w:tcPr>
          <w:p w14:paraId="11B1B01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63" w:type="pct"/>
            <w:tcBorders>
              <w:top w:val="dotted" w:sz="4" w:space="0" w:color="auto"/>
              <w:left w:val="dotted" w:sz="4" w:space="0" w:color="auto"/>
              <w:bottom w:val="dotted" w:sz="4" w:space="0" w:color="auto"/>
              <w:right w:val="double" w:sz="4" w:space="0" w:color="auto"/>
            </w:tcBorders>
            <w:vAlign w:val="center"/>
          </w:tcPr>
          <w:p w14:paraId="68BDE71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2B778AA7" w14:textId="77777777" w:rsidTr="00FB5945">
        <w:trPr>
          <w:trHeight w:val="20"/>
          <w:jc w:val="center"/>
        </w:trPr>
        <w:tc>
          <w:tcPr>
            <w:tcW w:w="2092" w:type="pct"/>
            <w:tcBorders>
              <w:top w:val="dotted" w:sz="4" w:space="0" w:color="auto"/>
              <w:left w:val="double" w:sz="4" w:space="0" w:color="auto"/>
              <w:bottom w:val="dotted" w:sz="4" w:space="0" w:color="auto"/>
              <w:right w:val="dotted" w:sz="4" w:space="0" w:color="auto"/>
            </w:tcBorders>
            <w:vAlign w:val="center"/>
          </w:tcPr>
          <w:p w14:paraId="3C8D3ABC"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4. Pushteti vendor</w:t>
            </w:r>
          </w:p>
        </w:tc>
        <w:tc>
          <w:tcPr>
            <w:tcW w:w="485" w:type="pct"/>
            <w:tcBorders>
              <w:top w:val="dotted" w:sz="4" w:space="0" w:color="auto"/>
              <w:left w:val="dotted" w:sz="4" w:space="0" w:color="auto"/>
              <w:bottom w:val="dotted" w:sz="4" w:space="0" w:color="auto"/>
              <w:right w:val="single" w:sz="6" w:space="0" w:color="000000"/>
            </w:tcBorders>
            <w:vAlign w:val="center"/>
          </w:tcPr>
          <w:p w14:paraId="11131717"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S1313</w:t>
            </w:r>
          </w:p>
        </w:tc>
        <w:tc>
          <w:tcPr>
            <w:tcW w:w="622" w:type="pct"/>
            <w:tcBorders>
              <w:top w:val="dotted" w:sz="4" w:space="0" w:color="auto"/>
              <w:left w:val="single" w:sz="6" w:space="0" w:color="000000"/>
              <w:bottom w:val="dotted" w:sz="4" w:space="0" w:color="auto"/>
              <w:right w:val="single" w:sz="4" w:space="0" w:color="auto"/>
            </w:tcBorders>
            <w:vAlign w:val="center"/>
          </w:tcPr>
          <w:p w14:paraId="24698A3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-27.01</w:t>
            </w:r>
          </w:p>
        </w:tc>
        <w:tc>
          <w:tcPr>
            <w:tcW w:w="360" w:type="pct"/>
            <w:tcBorders>
              <w:top w:val="dotted" w:sz="4" w:space="0" w:color="auto"/>
              <w:left w:val="single" w:sz="4" w:space="0" w:color="auto"/>
              <w:bottom w:val="dotted" w:sz="4" w:space="0" w:color="auto"/>
              <w:right w:val="dotted" w:sz="4" w:space="0" w:color="auto"/>
            </w:tcBorders>
            <w:vAlign w:val="center"/>
          </w:tcPr>
          <w:p w14:paraId="7FE78CE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-1.1</w:t>
            </w:r>
          </w:p>
        </w:tc>
        <w:tc>
          <w:tcPr>
            <w:tcW w:w="360" w:type="pct"/>
            <w:tcBorders>
              <w:top w:val="dotted" w:sz="4" w:space="0" w:color="auto"/>
              <w:left w:val="dotted" w:sz="4" w:space="0" w:color="auto"/>
              <w:bottom w:val="dotted" w:sz="4" w:space="0" w:color="auto"/>
              <w:right w:val="dotted" w:sz="4" w:space="0" w:color="auto"/>
            </w:tcBorders>
            <w:vAlign w:val="center"/>
          </w:tcPr>
          <w:p w14:paraId="7114A97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-1.2</w:t>
            </w:r>
          </w:p>
        </w:tc>
        <w:tc>
          <w:tcPr>
            <w:tcW w:w="360" w:type="pct"/>
            <w:tcBorders>
              <w:top w:val="dotted" w:sz="4" w:space="0" w:color="auto"/>
              <w:left w:val="dotted" w:sz="4" w:space="0" w:color="auto"/>
              <w:bottom w:val="dotted" w:sz="4" w:space="0" w:color="auto"/>
              <w:right w:val="dotted" w:sz="4" w:space="0" w:color="auto"/>
            </w:tcBorders>
            <w:vAlign w:val="center"/>
          </w:tcPr>
          <w:p w14:paraId="40B5514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-1.5</w:t>
            </w:r>
          </w:p>
        </w:tc>
        <w:tc>
          <w:tcPr>
            <w:tcW w:w="360" w:type="pct"/>
            <w:tcBorders>
              <w:top w:val="dotted" w:sz="4" w:space="0" w:color="auto"/>
              <w:left w:val="dotted" w:sz="4" w:space="0" w:color="auto"/>
              <w:bottom w:val="dotted" w:sz="4" w:space="0" w:color="auto"/>
              <w:right w:val="dotted" w:sz="4" w:space="0" w:color="auto"/>
            </w:tcBorders>
            <w:vAlign w:val="center"/>
          </w:tcPr>
          <w:p w14:paraId="06FB188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-1.7</w:t>
            </w:r>
          </w:p>
        </w:tc>
        <w:tc>
          <w:tcPr>
            <w:tcW w:w="363" w:type="pct"/>
            <w:tcBorders>
              <w:top w:val="dotted" w:sz="4" w:space="0" w:color="auto"/>
              <w:left w:val="dotted" w:sz="4" w:space="0" w:color="auto"/>
              <w:bottom w:val="dotted" w:sz="4" w:space="0" w:color="auto"/>
              <w:right w:val="double" w:sz="4" w:space="0" w:color="auto"/>
            </w:tcBorders>
            <w:vAlign w:val="center"/>
          </w:tcPr>
          <w:p w14:paraId="69E9052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-1.7</w:t>
            </w:r>
          </w:p>
        </w:tc>
      </w:tr>
      <w:tr w:rsidR="00C50585" w:rsidRPr="00EE038F" w14:paraId="12D95254" w14:textId="77777777" w:rsidTr="00FB5945">
        <w:trPr>
          <w:trHeight w:val="20"/>
          <w:jc w:val="center"/>
        </w:trPr>
        <w:tc>
          <w:tcPr>
            <w:tcW w:w="2092" w:type="pct"/>
            <w:tcBorders>
              <w:top w:val="dotted" w:sz="4" w:space="0" w:color="auto"/>
              <w:left w:val="double" w:sz="4" w:space="0" w:color="auto"/>
              <w:bottom w:val="single" w:sz="6" w:space="0" w:color="000000"/>
              <w:right w:val="dotted" w:sz="4" w:space="0" w:color="auto"/>
            </w:tcBorders>
            <w:vAlign w:val="center"/>
          </w:tcPr>
          <w:p w14:paraId="240EE836"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5. Fondet e sigurimeve shoqërore</w:t>
            </w:r>
          </w:p>
        </w:tc>
        <w:tc>
          <w:tcPr>
            <w:tcW w:w="485" w:type="pct"/>
            <w:tcBorders>
              <w:top w:val="dotted" w:sz="4" w:space="0" w:color="auto"/>
              <w:left w:val="dotted" w:sz="4" w:space="0" w:color="auto"/>
              <w:bottom w:val="single" w:sz="6" w:space="0" w:color="000000"/>
              <w:right w:val="single" w:sz="6" w:space="0" w:color="000000"/>
            </w:tcBorders>
            <w:vAlign w:val="center"/>
          </w:tcPr>
          <w:p w14:paraId="6AEF144A"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S1314</w:t>
            </w:r>
          </w:p>
        </w:tc>
        <w:tc>
          <w:tcPr>
            <w:tcW w:w="622" w:type="pct"/>
            <w:tcBorders>
              <w:top w:val="dotted" w:sz="4" w:space="0" w:color="auto"/>
              <w:left w:val="single" w:sz="6" w:space="0" w:color="000000"/>
              <w:bottom w:val="single" w:sz="6" w:space="0" w:color="000000"/>
              <w:right w:val="single" w:sz="4" w:space="0" w:color="auto"/>
            </w:tcBorders>
            <w:vAlign w:val="center"/>
          </w:tcPr>
          <w:p w14:paraId="70EA4F5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-93.37</w:t>
            </w:r>
          </w:p>
        </w:tc>
        <w:tc>
          <w:tcPr>
            <w:tcW w:w="360" w:type="pct"/>
            <w:tcBorders>
              <w:top w:val="dotted" w:sz="4" w:space="0" w:color="auto"/>
              <w:left w:val="single" w:sz="4" w:space="0" w:color="auto"/>
              <w:bottom w:val="single" w:sz="6" w:space="0" w:color="000000"/>
              <w:right w:val="dotted" w:sz="4" w:space="0" w:color="auto"/>
            </w:tcBorders>
            <w:vAlign w:val="center"/>
          </w:tcPr>
          <w:p w14:paraId="67F1E11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-3.9</w:t>
            </w:r>
          </w:p>
        </w:tc>
        <w:tc>
          <w:tcPr>
            <w:tcW w:w="360" w:type="pct"/>
            <w:tcBorders>
              <w:top w:val="dotted" w:sz="4" w:space="0" w:color="auto"/>
              <w:left w:val="dotted" w:sz="4" w:space="0" w:color="auto"/>
              <w:bottom w:val="single" w:sz="6" w:space="0" w:color="000000"/>
              <w:right w:val="dotted" w:sz="4" w:space="0" w:color="auto"/>
            </w:tcBorders>
            <w:vAlign w:val="center"/>
          </w:tcPr>
          <w:p w14:paraId="45561E2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-3.3</w:t>
            </w:r>
          </w:p>
        </w:tc>
        <w:tc>
          <w:tcPr>
            <w:tcW w:w="360" w:type="pct"/>
            <w:tcBorders>
              <w:top w:val="dotted" w:sz="4" w:space="0" w:color="auto"/>
              <w:left w:val="dotted" w:sz="4" w:space="0" w:color="auto"/>
              <w:bottom w:val="single" w:sz="6" w:space="0" w:color="000000"/>
              <w:right w:val="dotted" w:sz="4" w:space="0" w:color="auto"/>
            </w:tcBorders>
            <w:vAlign w:val="center"/>
          </w:tcPr>
          <w:p w14:paraId="13CEB6DA"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-3.3</w:t>
            </w:r>
          </w:p>
        </w:tc>
        <w:tc>
          <w:tcPr>
            <w:tcW w:w="360" w:type="pct"/>
            <w:tcBorders>
              <w:top w:val="dotted" w:sz="4" w:space="0" w:color="auto"/>
              <w:left w:val="dotted" w:sz="4" w:space="0" w:color="auto"/>
              <w:bottom w:val="single" w:sz="6" w:space="0" w:color="000000"/>
              <w:right w:val="dotted" w:sz="4" w:space="0" w:color="auto"/>
            </w:tcBorders>
            <w:vAlign w:val="center"/>
          </w:tcPr>
          <w:p w14:paraId="7C497B0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-3.3</w:t>
            </w:r>
          </w:p>
        </w:tc>
        <w:tc>
          <w:tcPr>
            <w:tcW w:w="363" w:type="pct"/>
            <w:tcBorders>
              <w:top w:val="dotted" w:sz="4" w:space="0" w:color="auto"/>
              <w:left w:val="dotted" w:sz="4" w:space="0" w:color="auto"/>
              <w:bottom w:val="single" w:sz="6" w:space="0" w:color="000000"/>
              <w:right w:val="double" w:sz="4" w:space="0" w:color="auto"/>
            </w:tcBorders>
            <w:vAlign w:val="center"/>
          </w:tcPr>
          <w:p w14:paraId="2A01670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-3.3</w:t>
            </w:r>
          </w:p>
        </w:tc>
      </w:tr>
      <w:tr w:rsidR="00C50585" w:rsidRPr="00EE038F" w14:paraId="2329C901" w14:textId="77777777" w:rsidTr="00FB5945">
        <w:trPr>
          <w:trHeight w:val="20"/>
          <w:jc w:val="center"/>
        </w:trPr>
        <w:tc>
          <w:tcPr>
            <w:tcW w:w="5000" w:type="pct"/>
            <w:gridSpan w:val="8"/>
            <w:tcBorders>
              <w:top w:val="single" w:sz="6" w:space="0" w:color="000000"/>
              <w:left w:val="double" w:sz="4" w:space="0" w:color="auto"/>
              <w:bottom w:val="single" w:sz="4" w:space="0" w:color="auto"/>
              <w:right w:val="double" w:sz="4" w:space="0" w:color="auto"/>
            </w:tcBorders>
            <w:vAlign w:val="center"/>
          </w:tcPr>
          <w:p w14:paraId="36382680" w14:textId="77777777" w:rsidR="00C50585" w:rsidRPr="00EE038F" w:rsidRDefault="00C50585" w:rsidP="00280C20">
            <w:pPr>
              <w:keepNext/>
              <w:spacing w:after="0" w:line="240" w:lineRule="auto"/>
              <w:contextualSpacing/>
              <w:rPr>
                <w:rFonts w:ascii="Garamond" w:hAnsi="Garamond"/>
                <w:sz w:val="18"/>
              </w:rPr>
            </w:pPr>
            <w:r w:rsidRPr="00EE038F">
              <w:rPr>
                <w:rFonts w:ascii="Garamond" w:hAnsi="Garamond"/>
                <w:b/>
                <w:bCs/>
                <w:color w:val="0D0D0D" w:themeColor="text1" w:themeTint="F2"/>
                <w:sz w:val="18"/>
              </w:rPr>
              <w:lastRenderedPageBreak/>
              <w:t>Qeverisja e përgjithshme (S13)</w:t>
            </w:r>
          </w:p>
        </w:tc>
      </w:tr>
      <w:tr w:rsidR="00C50585" w:rsidRPr="00EE038F" w14:paraId="17F87889" w14:textId="77777777" w:rsidTr="00FB5945">
        <w:trPr>
          <w:trHeight w:val="20"/>
          <w:jc w:val="center"/>
        </w:trPr>
        <w:tc>
          <w:tcPr>
            <w:tcW w:w="2092" w:type="pct"/>
            <w:tcBorders>
              <w:top w:val="single" w:sz="4" w:space="0" w:color="auto"/>
              <w:left w:val="double" w:sz="4" w:space="0" w:color="auto"/>
              <w:bottom w:val="dotted" w:sz="4" w:space="0" w:color="auto"/>
              <w:right w:val="dotted" w:sz="4" w:space="0" w:color="auto"/>
            </w:tcBorders>
            <w:vAlign w:val="center"/>
          </w:tcPr>
          <w:p w14:paraId="1510F04D"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6. Të ardhurat totale</w:t>
            </w:r>
          </w:p>
        </w:tc>
        <w:tc>
          <w:tcPr>
            <w:tcW w:w="485" w:type="pct"/>
            <w:tcBorders>
              <w:top w:val="single" w:sz="4" w:space="0" w:color="auto"/>
              <w:left w:val="dotted" w:sz="4" w:space="0" w:color="auto"/>
              <w:bottom w:val="dotted" w:sz="4" w:space="0" w:color="auto"/>
              <w:right w:val="single" w:sz="6" w:space="0" w:color="000000"/>
            </w:tcBorders>
            <w:vAlign w:val="center"/>
          </w:tcPr>
          <w:p w14:paraId="45DF71A5"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TR</w:t>
            </w:r>
          </w:p>
        </w:tc>
        <w:tc>
          <w:tcPr>
            <w:tcW w:w="622" w:type="pct"/>
            <w:tcBorders>
              <w:top w:val="single" w:sz="4" w:space="0" w:color="auto"/>
              <w:left w:val="single" w:sz="6" w:space="0" w:color="000000"/>
              <w:bottom w:val="dotted" w:sz="4" w:space="0" w:color="auto"/>
              <w:right w:val="single" w:sz="4" w:space="0" w:color="auto"/>
            </w:tcBorders>
            <w:vAlign w:val="center"/>
          </w:tcPr>
          <w:p w14:paraId="28179F3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643.68</w:t>
            </w:r>
          </w:p>
        </w:tc>
        <w:tc>
          <w:tcPr>
            <w:tcW w:w="360" w:type="pct"/>
            <w:tcBorders>
              <w:top w:val="single" w:sz="4" w:space="0" w:color="auto"/>
              <w:left w:val="single" w:sz="4" w:space="0" w:color="auto"/>
              <w:bottom w:val="dotted" w:sz="4" w:space="0" w:color="auto"/>
              <w:right w:val="dotted" w:sz="4" w:space="0" w:color="auto"/>
            </w:tcBorders>
            <w:vAlign w:val="center"/>
          </w:tcPr>
          <w:p w14:paraId="2D438D0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27.2</w:t>
            </w:r>
          </w:p>
        </w:tc>
        <w:tc>
          <w:tcPr>
            <w:tcW w:w="360" w:type="pct"/>
            <w:tcBorders>
              <w:top w:val="single" w:sz="4" w:space="0" w:color="auto"/>
              <w:left w:val="dotted" w:sz="4" w:space="0" w:color="auto"/>
              <w:bottom w:val="dotted" w:sz="4" w:space="0" w:color="auto"/>
              <w:right w:val="dotted" w:sz="4" w:space="0" w:color="auto"/>
            </w:tcBorders>
            <w:vAlign w:val="center"/>
          </w:tcPr>
          <w:p w14:paraId="1386C23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28.6</w:t>
            </w:r>
          </w:p>
        </w:tc>
        <w:tc>
          <w:tcPr>
            <w:tcW w:w="360" w:type="pct"/>
            <w:tcBorders>
              <w:top w:val="single" w:sz="4" w:space="0" w:color="auto"/>
              <w:left w:val="dotted" w:sz="4" w:space="0" w:color="auto"/>
              <w:bottom w:val="dotted" w:sz="4" w:space="0" w:color="auto"/>
              <w:right w:val="dotted" w:sz="4" w:space="0" w:color="auto"/>
            </w:tcBorders>
            <w:vAlign w:val="center"/>
          </w:tcPr>
          <w:p w14:paraId="33D50B4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28.9</w:t>
            </w:r>
          </w:p>
        </w:tc>
        <w:tc>
          <w:tcPr>
            <w:tcW w:w="360" w:type="pct"/>
            <w:tcBorders>
              <w:top w:val="single" w:sz="4" w:space="0" w:color="auto"/>
              <w:left w:val="dotted" w:sz="4" w:space="0" w:color="auto"/>
              <w:bottom w:val="dotted" w:sz="4" w:space="0" w:color="auto"/>
              <w:right w:val="dotted" w:sz="4" w:space="0" w:color="auto"/>
            </w:tcBorders>
            <w:vAlign w:val="center"/>
          </w:tcPr>
          <w:p w14:paraId="0F1D5F3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29.0</w:t>
            </w:r>
          </w:p>
        </w:tc>
        <w:tc>
          <w:tcPr>
            <w:tcW w:w="363" w:type="pct"/>
            <w:tcBorders>
              <w:top w:val="single" w:sz="4" w:space="0" w:color="auto"/>
              <w:left w:val="dotted" w:sz="4" w:space="0" w:color="auto"/>
              <w:bottom w:val="dotted" w:sz="4" w:space="0" w:color="auto"/>
              <w:right w:val="double" w:sz="4" w:space="0" w:color="auto"/>
            </w:tcBorders>
            <w:vAlign w:val="center"/>
          </w:tcPr>
          <w:p w14:paraId="74DB311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29.3</w:t>
            </w:r>
          </w:p>
        </w:tc>
      </w:tr>
      <w:tr w:rsidR="00C50585" w:rsidRPr="00EE038F" w14:paraId="73E04D61" w14:textId="77777777" w:rsidTr="00FB5945">
        <w:trPr>
          <w:trHeight w:val="20"/>
          <w:jc w:val="center"/>
        </w:trPr>
        <w:tc>
          <w:tcPr>
            <w:tcW w:w="2092" w:type="pct"/>
            <w:tcBorders>
              <w:top w:val="dotted" w:sz="4" w:space="0" w:color="auto"/>
              <w:left w:val="double" w:sz="4" w:space="0" w:color="auto"/>
              <w:bottom w:val="dotted" w:sz="4" w:space="0" w:color="auto"/>
              <w:right w:val="dotted" w:sz="4" w:space="0" w:color="auto"/>
            </w:tcBorders>
            <w:vAlign w:val="center"/>
          </w:tcPr>
          <w:p w14:paraId="3234E66E"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7. Shpenzimet totale</w:t>
            </w:r>
            <w:r w:rsidRPr="00EE038F">
              <w:rPr>
                <w:rStyle w:val="FootnoteReference"/>
                <w:rFonts w:ascii="Garamond" w:hAnsi="Garamond"/>
                <w:sz w:val="18"/>
              </w:rPr>
              <w:footnoteReference w:id="20"/>
            </w:r>
          </w:p>
        </w:tc>
        <w:tc>
          <w:tcPr>
            <w:tcW w:w="485" w:type="pct"/>
            <w:tcBorders>
              <w:top w:val="dotted" w:sz="4" w:space="0" w:color="auto"/>
              <w:left w:val="dotted" w:sz="4" w:space="0" w:color="auto"/>
              <w:bottom w:val="dotted" w:sz="4" w:space="0" w:color="auto"/>
              <w:right w:val="single" w:sz="6" w:space="0" w:color="000000"/>
            </w:tcBorders>
            <w:vAlign w:val="center"/>
          </w:tcPr>
          <w:p w14:paraId="3278C874"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TE</w:t>
            </w:r>
          </w:p>
        </w:tc>
        <w:tc>
          <w:tcPr>
            <w:tcW w:w="622" w:type="pct"/>
            <w:tcBorders>
              <w:top w:val="dotted" w:sz="4" w:space="0" w:color="auto"/>
              <w:left w:val="single" w:sz="6" w:space="0" w:color="000000"/>
              <w:bottom w:val="dotted" w:sz="4" w:space="0" w:color="auto"/>
              <w:right w:val="single" w:sz="4" w:space="0" w:color="auto"/>
            </w:tcBorders>
            <w:vAlign w:val="center"/>
          </w:tcPr>
          <w:p w14:paraId="5EAED05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674.86</w:t>
            </w:r>
          </w:p>
        </w:tc>
        <w:tc>
          <w:tcPr>
            <w:tcW w:w="360" w:type="pct"/>
            <w:tcBorders>
              <w:top w:val="dotted" w:sz="4" w:space="0" w:color="auto"/>
              <w:left w:val="single" w:sz="4" w:space="0" w:color="auto"/>
              <w:bottom w:val="dotted" w:sz="4" w:space="0" w:color="auto"/>
              <w:right w:val="dotted" w:sz="4" w:space="0" w:color="auto"/>
            </w:tcBorders>
            <w:vAlign w:val="center"/>
          </w:tcPr>
          <w:p w14:paraId="737BC7B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28.5</w:t>
            </w:r>
          </w:p>
        </w:tc>
        <w:tc>
          <w:tcPr>
            <w:tcW w:w="360" w:type="pct"/>
            <w:tcBorders>
              <w:top w:val="dotted" w:sz="4" w:space="0" w:color="auto"/>
              <w:left w:val="dotted" w:sz="4" w:space="0" w:color="auto"/>
              <w:bottom w:val="dotted" w:sz="4" w:space="0" w:color="auto"/>
              <w:right w:val="dotted" w:sz="4" w:space="0" w:color="auto"/>
            </w:tcBorders>
            <w:vAlign w:val="center"/>
          </w:tcPr>
          <w:p w14:paraId="6EAA7C9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30.1</w:t>
            </w:r>
          </w:p>
        </w:tc>
        <w:tc>
          <w:tcPr>
            <w:tcW w:w="360" w:type="pct"/>
            <w:tcBorders>
              <w:top w:val="dotted" w:sz="4" w:space="0" w:color="auto"/>
              <w:left w:val="dotted" w:sz="4" w:space="0" w:color="auto"/>
              <w:bottom w:val="dotted" w:sz="4" w:space="0" w:color="auto"/>
              <w:right w:val="dotted" w:sz="4" w:space="0" w:color="auto"/>
            </w:tcBorders>
            <w:vAlign w:val="center"/>
          </w:tcPr>
          <w:p w14:paraId="1D7AB27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31.5</w:t>
            </w:r>
          </w:p>
        </w:tc>
        <w:tc>
          <w:tcPr>
            <w:tcW w:w="360" w:type="pct"/>
            <w:tcBorders>
              <w:top w:val="dotted" w:sz="4" w:space="0" w:color="auto"/>
              <w:left w:val="dotted" w:sz="4" w:space="0" w:color="auto"/>
              <w:bottom w:val="dotted" w:sz="4" w:space="0" w:color="auto"/>
              <w:right w:val="dotted" w:sz="4" w:space="0" w:color="auto"/>
            </w:tcBorders>
            <w:vAlign w:val="center"/>
          </w:tcPr>
          <w:p w14:paraId="071CE0E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30.8</w:t>
            </w:r>
          </w:p>
        </w:tc>
        <w:tc>
          <w:tcPr>
            <w:tcW w:w="363" w:type="pct"/>
            <w:tcBorders>
              <w:top w:val="dotted" w:sz="4" w:space="0" w:color="auto"/>
              <w:left w:val="dotted" w:sz="4" w:space="0" w:color="auto"/>
              <w:bottom w:val="dotted" w:sz="4" w:space="0" w:color="auto"/>
              <w:right w:val="double" w:sz="4" w:space="0" w:color="auto"/>
            </w:tcBorders>
            <w:vAlign w:val="center"/>
          </w:tcPr>
          <w:p w14:paraId="79EC28A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30.8</w:t>
            </w:r>
          </w:p>
        </w:tc>
      </w:tr>
      <w:tr w:rsidR="00C50585" w:rsidRPr="00EE038F" w14:paraId="7B899ACC" w14:textId="77777777" w:rsidTr="00FB5945">
        <w:trPr>
          <w:trHeight w:val="20"/>
          <w:jc w:val="center"/>
        </w:trPr>
        <w:tc>
          <w:tcPr>
            <w:tcW w:w="2092" w:type="pct"/>
            <w:tcBorders>
              <w:top w:val="dotted" w:sz="4" w:space="0" w:color="auto"/>
              <w:left w:val="double" w:sz="4" w:space="0" w:color="auto"/>
              <w:bottom w:val="dotted" w:sz="4" w:space="0" w:color="auto"/>
              <w:right w:val="dotted" w:sz="4" w:space="0" w:color="auto"/>
            </w:tcBorders>
            <w:vAlign w:val="center"/>
          </w:tcPr>
          <w:p w14:paraId="7F0583C9"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8. Huamarrje/huadhënie neto</w:t>
            </w:r>
          </w:p>
        </w:tc>
        <w:tc>
          <w:tcPr>
            <w:tcW w:w="485" w:type="pct"/>
            <w:tcBorders>
              <w:top w:val="dotted" w:sz="4" w:space="0" w:color="auto"/>
              <w:left w:val="dotted" w:sz="4" w:space="0" w:color="auto"/>
              <w:bottom w:val="dotted" w:sz="4" w:space="0" w:color="auto"/>
              <w:right w:val="single" w:sz="6" w:space="0" w:color="000000"/>
            </w:tcBorders>
            <w:vAlign w:val="center"/>
          </w:tcPr>
          <w:p w14:paraId="119DB879"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EDP.B9</w:t>
            </w:r>
          </w:p>
        </w:tc>
        <w:tc>
          <w:tcPr>
            <w:tcW w:w="622" w:type="pct"/>
            <w:tcBorders>
              <w:top w:val="dotted" w:sz="4" w:space="0" w:color="auto"/>
              <w:left w:val="single" w:sz="6" w:space="0" w:color="000000"/>
              <w:bottom w:val="dotted" w:sz="4" w:space="0" w:color="auto"/>
              <w:right w:val="single" w:sz="4" w:space="0" w:color="auto"/>
            </w:tcBorders>
            <w:vAlign w:val="center"/>
          </w:tcPr>
          <w:p w14:paraId="6ABAB69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-31.18</w:t>
            </w:r>
          </w:p>
        </w:tc>
        <w:tc>
          <w:tcPr>
            <w:tcW w:w="360" w:type="pct"/>
            <w:tcBorders>
              <w:top w:val="dotted" w:sz="4" w:space="0" w:color="auto"/>
              <w:left w:val="single" w:sz="4" w:space="0" w:color="auto"/>
              <w:bottom w:val="dotted" w:sz="4" w:space="0" w:color="auto"/>
              <w:right w:val="dotted" w:sz="4" w:space="0" w:color="auto"/>
            </w:tcBorders>
            <w:vAlign w:val="center"/>
          </w:tcPr>
          <w:p w14:paraId="17FAFD3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-1.3</w:t>
            </w:r>
          </w:p>
        </w:tc>
        <w:tc>
          <w:tcPr>
            <w:tcW w:w="360" w:type="pct"/>
            <w:tcBorders>
              <w:top w:val="dotted" w:sz="4" w:space="0" w:color="auto"/>
              <w:left w:val="dotted" w:sz="4" w:space="0" w:color="auto"/>
              <w:bottom w:val="dotted" w:sz="4" w:space="0" w:color="auto"/>
              <w:right w:val="dotted" w:sz="4" w:space="0" w:color="auto"/>
            </w:tcBorders>
            <w:vAlign w:val="center"/>
          </w:tcPr>
          <w:p w14:paraId="12D122B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-1.5</w:t>
            </w:r>
          </w:p>
        </w:tc>
        <w:tc>
          <w:tcPr>
            <w:tcW w:w="360" w:type="pct"/>
            <w:tcBorders>
              <w:top w:val="dotted" w:sz="4" w:space="0" w:color="auto"/>
              <w:left w:val="dotted" w:sz="4" w:space="0" w:color="auto"/>
              <w:bottom w:val="dotted" w:sz="4" w:space="0" w:color="auto"/>
              <w:right w:val="dotted" w:sz="4" w:space="0" w:color="auto"/>
            </w:tcBorders>
            <w:vAlign w:val="center"/>
          </w:tcPr>
          <w:p w14:paraId="7C2C8F8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-2.6</w:t>
            </w:r>
          </w:p>
        </w:tc>
        <w:tc>
          <w:tcPr>
            <w:tcW w:w="360" w:type="pct"/>
            <w:tcBorders>
              <w:top w:val="dotted" w:sz="4" w:space="0" w:color="auto"/>
              <w:left w:val="dotted" w:sz="4" w:space="0" w:color="auto"/>
              <w:bottom w:val="dotted" w:sz="4" w:space="0" w:color="auto"/>
              <w:right w:val="dotted" w:sz="4" w:space="0" w:color="auto"/>
            </w:tcBorders>
            <w:vAlign w:val="center"/>
          </w:tcPr>
          <w:p w14:paraId="548A325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-1.9</w:t>
            </w:r>
          </w:p>
        </w:tc>
        <w:tc>
          <w:tcPr>
            <w:tcW w:w="363" w:type="pct"/>
            <w:tcBorders>
              <w:top w:val="dotted" w:sz="4" w:space="0" w:color="auto"/>
              <w:left w:val="dotted" w:sz="4" w:space="0" w:color="auto"/>
              <w:bottom w:val="dotted" w:sz="4" w:space="0" w:color="auto"/>
              <w:right w:val="double" w:sz="4" w:space="0" w:color="auto"/>
            </w:tcBorders>
            <w:vAlign w:val="center"/>
          </w:tcPr>
          <w:p w14:paraId="54B9EB6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-1.6</w:t>
            </w:r>
          </w:p>
        </w:tc>
      </w:tr>
      <w:tr w:rsidR="00C50585" w:rsidRPr="00EE038F" w14:paraId="0ED615C9" w14:textId="77777777" w:rsidTr="00FB5945">
        <w:trPr>
          <w:trHeight w:val="20"/>
          <w:jc w:val="center"/>
        </w:trPr>
        <w:tc>
          <w:tcPr>
            <w:tcW w:w="2092" w:type="pct"/>
            <w:tcBorders>
              <w:top w:val="dotted" w:sz="4" w:space="0" w:color="auto"/>
              <w:left w:val="double" w:sz="4" w:space="0" w:color="auto"/>
              <w:bottom w:val="dotted" w:sz="4" w:space="0" w:color="auto"/>
              <w:right w:val="dotted" w:sz="4" w:space="0" w:color="auto"/>
            </w:tcBorders>
            <w:vAlign w:val="center"/>
          </w:tcPr>
          <w:p w14:paraId="69047B05"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9. Shpenzimet e interesit</w:t>
            </w:r>
          </w:p>
        </w:tc>
        <w:tc>
          <w:tcPr>
            <w:tcW w:w="485" w:type="pct"/>
            <w:tcBorders>
              <w:top w:val="dotted" w:sz="4" w:space="0" w:color="auto"/>
              <w:left w:val="dotted" w:sz="4" w:space="0" w:color="auto"/>
              <w:bottom w:val="dotted" w:sz="4" w:space="0" w:color="auto"/>
              <w:right w:val="single" w:sz="6" w:space="0" w:color="000000"/>
            </w:tcBorders>
            <w:vAlign w:val="center"/>
          </w:tcPr>
          <w:p w14:paraId="6BF052D8"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EDP.D41</w:t>
            </w:r>
          </w:p>
        </w:tc>
        <w:tc>
          <w:tcPr>
            <w:tcW w:w="622" w:type="pct"/>
            <w:tcBorders>
              <w:top w:val="dotted" w:sz="4" w:space="0" w:color="auto"/>
              <w:left w:val="single" w:sz="6" w:space="0" w:color="000000"/>
              <w:bottom w:val="dotted" w:sz="4" w:space="0" w:color="auto"/>
              <w:right w:val="single" w:sz="4" w:space="0" w:color="auto"/>
            </w:tcBorders>
            <w:vAlign w:val="center"/>
          </w:tcPr>
          <w:p w14:paraId="7DA7151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47.59</w:t>
            </w:r>
          </w:p>
        </w:tc>
        <w:tc>
          <w:tcPr>
            <w:tcW w:w="360" w:type="pct"/>
            <w:tcBorders>
              <w:top w:val="dotted" w:sz="4" w:space="0" w:color="auto"/>
              <w:left w:val="single" w:sz="4" w:space="0" w:color="auto"/>
              <w:bottom w:val="dotted" w:sz="4" w:space="0" w:color="auto"/>
              <w:right w:val="dotted" w:sz="4" w:space="0" w:color="auto"/>
            </w:tcBorders>
            <w:vAlign w:val="center"/>
          </w:tcPr>
          <w:p w14:paraId="0DE1E21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2.0</w:t>
            </w:r>
          </w:p>
        </w:tc>
        <w:tc>
          <w:tcPr>
            <w:tcW w:w="360" w:type="pct"/>
            <w:tcBorders>
              <w:top w:val="dotted" w:sz="4" w:space="0" w:color="auto"/>
              <w:left w:val="dotted" w:sz="4" w:space="0" w:color="auto"/>
              <w:bottom w:val="dotted" w:sz="4" w:space="0" w:color="auto"/>
              <w:right w:val="dotted" w:sz="4" w:space="0" w:color="auto"/>
            </w:tcBorders>
            <w:vAlign w:val="center"/>
          </w:tcPr>
          <w:p w14:paraId="2DAA424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2.2</w:t>
            </w:r>
          </w:p>
        </w:tc>
        <w:tc>
          <w:tcPr>
            <w:tcW w:w="360" w:type="pct"/>
            <w:tcBorders>
              <w:top w:val="dotted" w:sz="4" w:space="0" w:color="auto"/>
              <w:left w:val="dotted" w:sz="4" w:space="0" w:color="auto"/>
              <w:bottom w:val="dotted" w:sz="4" w:space="0" w:color="auto"/>
              <w:right w:val="dotted" w:sz="4" w:space="0" w:color="auto"/>
            </w:tcBorders>
            <w:vAlign w:val="center"/>
          </w:tcPr>
          <w:p w14:paraId="77BD55B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2.6</w:t>
            </w:r>
          </w:p>
        </w:tc>
        <w:tc>
          <w:tcPr>
            <w:tcW w:w="360" w:type="pct"/>
            <w:tcBorders>
              <w:top w:val="dotted" w:sz="4" w:space="0" w:color="auto"/>
              <w:left w:val="dotted" w:sz="4" w:space="0" w:color="auto"/>
              <w:bottom w:val="dotted" w:sz="4" w:space="0" w:color="auto"/>
              <w:right w:val="dotted" w:sz="4" w:space="0" w:color="auto"/>
            </w:tcBorders>
            <w:vAlign w:val="center"/>
          </w:tcPr>
          <w:p w14:paraId="358D2E1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2.5</w:t>
            </w:r>
          </w:p>
        </w:tc>
        <w:tc>
          <w:tcPr>
            <w:tcW w:w="363" w:type="pct"/>
            <w:tcBorders>
              <w:top w:val="dotted" w:sz="4" w:space="0" w:color="auto"/>
              <w:left w:val="dotted" w:sz="4" w:space="0" w:color="auto"/>
              <w:bottom w:val="dotted" w:sz="4" w:space="0" w:color="auto"/>
              <w:right w:val="double" w:sz="4" w:space="0" w:color="auto"/>
            </w:tcBorders>
            <w:vAlign w:val="center"/>
          </w:tcPr>
          <w:p w14:paraId="042EB4A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2.5</w:t>
            </w:r>
          </w:p>
        </w:tc>
      </w:tr>
      <w:tr w:rsidR="00C50585" w:rsidRPr="00EE038F" w14:paraId="0B10B3D9" w14:textId="77777777" w:rsidTr="00FB5945">
        <w:trPr>
          <w:trHeight w:val="20"/>
          <w:jc w:val="center"/>
        </w:trPr>
        <w:tc>
          <w:tcPr>
            <w:tcW w:w="2092" w:type="pct"/>
            <w:tcBorders>
              <w:top w:val="dotted" w:sz="4" w:space="0" w:color="auto"/>
              <w:left w:val="double" w:sz="4" w:space="0" w:color="auto"/>
              <w:bottom w:val="dotted" w:sz="4" w:space="0" w:color="auto"/>
              <w:right w:val="dotted" w:sz="4" w:space="0" w:color="auto"/>
            </w:tcBorders>
            <w:vAlign w:val="center"/>
          </w:tcPr>
          <w:p w14:paraId="460E77B1"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10. Bilanci primar</w:t>
            </w:r>
            <w:r w:rsidRPr="00EE038F">
              <w:rPr>
                <w:rStyle w:val="FootnoteReference"/>
                <w:rFonts w:ascii="Garamond" w:hAnsi="Garamond"/>
                <w:sz w:val="18"/>
              </w:rPr>
              <w:footnoteReference w:id="21"/>
            </w:r>
          </w:p>
        </w:tc>
        <w:tc>
          <w:tcPr>
            <w:tcW w:w="485" w:type="pct"/>
            <w:tcBorders>
              <w:top w:val="dotted" w:sz="4" w:space="0" w:color="auto"/>
              <w:left w:val="dotted" w:sz="4" w:space="0" w:color="auto"/>
              <w:bottom w:val="dotted" w:sz="4" w:space="0" w:color="auto"/>
              <w:right w:val="single" w:sz="6" w:space="0" w:color="000000"/>
            </w:tcBorders>
            <w:vAlign w:val="center"/>
          </w:tcPr>
          <w:p w14:paraId="34129991" w14:textId="77777777" w:rsidR="00C50585" w:rsidRPr="00EE038F" w:rsidRDefault="00C50585" w:rsidP="007C70E7">
            <w:pPr>
              <w:spacing w:after="0" w:line="240" w:lineRule="auto"/>
              <w:contextualSpacing/>
              <w:jc w:val="both"/>
              <w:rPr>
                <w:rFonts w:ascii="Garamond" w:hAnsi="Garamond"/>
                <w:sz w:val="18"/>
              </w:rPr>
            </w:pPr>
          </w:p>
        </w:tc>
        <w:tc>
          <w:tcPr>
            <w:tcW w:w="622" w:type="pct"/>
            <w:tcBorders>
              <w:top w:val="dotted" w:sz="4" w:space="0" w:color="auto"/>
              <w:left w:val="single" w:sz="6" w:space="0" w:color="000000"/>
              <w:bottom w:val="dotted" w:sz="4" w:space="0" w:color="auto"/>
              <w:right w:val="single" w:sz="4" w:space="0" w:color="auto"/>
            </w:tcBorders>
            <w:vAlign w:val="center"/>
          </w:tcPr>
          <w:p w14:paraId="489A287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16.41</w:t>
            </w:r>
          </w:p>
        </w:tc>
        <w:tc>
          <w:tcPr>
            <w:tcW w:w="360" w:type="pct"/>
            <w:tcBorders>
              <w:top w:val="dotted" w:sz="4" w:space="0" w:color="auto"/>
              <w:left w:val="single" w:sz="4" w:space="0" w:color="auto"/>
              <w:bottom w:val="dotted" w:sz="4" w:space="0" w:color="auto"/>
              <w:right w:val="dotted" w:sz="4" w:space="0" w:color="auto"/>
            </w:tcBorders>
            <w:vAlign w:val="center"/>
          </w:tcPr>
          <w:p w14:paraId="5D0F406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0.7</w:t>
            </w:r>
          </w:p>
        </w:tc>
        <w:tc>
          <w:tcPr>
            <w:tcW w:w="360" w:type="pct"/>
            <w:tcBorders>
              <w:top w:val="dotted" w:sz="4" w:space="0" w:color="auto"/>
              <w:left w:val="dotted" w:sz="4" w:space="0" w:color="auto"/>
              <w:bottom w:val="dotted" w:sz="4" w:space="0" w:color="auto"/>
              <w:right w:val="dotted" w:sz="4" w:space="0" w:color="auto"/>
            </w:tcBorders>
            <w:vAlign w:val="center"/>
          </w:tcPr>
          <w:p w14:paraId="2D27CF0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0.7</w:t>
            </w:r>
          </w:p>
        </w:tc>
        <w:tc>
          <w:tcPr>
            <w:tcW w:w="360" w:type="pct"/>
            <w:tcBorders>
              <w:top w:val="dotted" w:sz="4" w:space="0" w:color="auto"/>
              <w:left w:val="dotted" w:sz="4" w:space="0" w:color="auto"/>
              <w:bottom w:val="dotted" w:sz="4" w:space="0" w:color="auto"/>
              <w:right w:val="dotted" w:sz="4" w:space="0" w:color="auto"/>
            </w:tcBorders>
            <w:vAlign w:val="center"/>
          </w:tcPr>
          <w:p w14:paraId="6B3EC85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360" w:type="pct"/>
            <w:tcBorders>
              <w:top w:val="dotted" w:sz="4" w:space="0" w:color="auto"/>
              <w:left w:val="dotted" w:sz="4" w:space="0" w:color="auto"/>
              <w:bottom w:val="dotted" w:sz="4" w:space="0" w:color="auto"/>
              <w:right w:val="dotted" w:sz="4" w:space="0" w:color="auto"/>
            </w:tcBorders>
            <w:vAlign w:val="center"/>
          </w:tcPr>
          <w:p w14:paraId="6298884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0.7</w:t>
            </w:r>
          </w:p>
        </w:tc>
        <w:tc>
          <w:tcPr>
            <w:tcW w:w="363" w:type="pct"/>
            <w:tcBorders>
              <w:top w:val="dotted" w:sz="4" w:space="0" w:color="auto"/>
              <w:left w:val="dotted" w:sz="4" w:space="0" w:color="auto"/>
              <w:bottom w:val="dotted" w:sz="4" w:space="0" w:color="auto"/>
              <w:right w:val="double" w:sz="4" w:space="0" w:color="auto"/>
            </w:tcBorders>
            <w:vAlign w:val="center"/>
          </w:tcPr>
          <w:p w14:paraId="10B1AB9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0.9</w:t>
            </w:r>
          </w:p>
        </w:tc>
      </w:tr>
      <w:tr w:rsidR="00C50585" w:rsidRPr="00EE038F" w14:paraId="5546D282" w14:textId="77777777" w:rsidTr="00FB5945">
        <w:trPr>
          <w:trHeight w:val="20"/>
          <w:jc w:val="center"/>
        </w:trPr>
        <w:tc>
          <w:tcPr>
            <w:tcW w:w="2092" w:type="pct"/>
            <w:tcBorders>
              <w:top w:val="dotted" w:sz="4" w:space="0" w:color="auto"/>
              <w:left w:val="double" w:sz="4" w:space="0" w:color="auto"/>
              <w:bottom w:val="single" w:sz="6" w:space="0" w:color="000000"/>
              <w:right w:val="dotted" w:sz="4" w:space="0" w:color="auto"/>
            </w:tcBorders>
            <w:vAlign w:val="center"/>
          </w:tcPr>
          <w:p w14:paraId="1AD04634"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11. Masat e njëhershme dhe masa të tjera të përkohshme</w:t>
            </w:r>
            <w:r w:rsidRPr="00EE038F">
              <w:rPr>
                <w:rStyle w:val="FootnoteReference"/>
                <w:rFonts w:ascii="Garamond" w:hAnsi="Garamond"/>
                <w:sz w:val="18"/>
              </w:rPr>
              <w:footnoteReference w:id="22"/>
            </w:r>
          </w:p>
        </w:tc>
        <w:tc>
          <w:tcPr>
            <w:tcW w:w="485" w:type="pct"/>
            <w:tcBorders>
              <w:top w:val="dotted" w:sz="4" w:space="0" w:color="auto"/>
              <w:left w:val="dotted" w:sz="4" w:space="0" w:color="auto"/>
              <w:bottom w:val="single" w:sz="6" w:space="0" w:color="000000"/>
              <w:right w:val="single" w:sz="6" w:space="0" w:color="000000"/>
            </w:tcBorders>
            <w:vAlign w:val="center"/>
          </w:tcPr>
          <w:p w14:paraId="4321FF79" w14:textId="77777777" w:rsidR="00C50585" w:rsidRPr="00EE038F" w:rsidRDefault="00C50585" w:rsidP="007C70E7">
            <w:pPr>
              <w:spacing w:after="0" w:line="240" w:lineRule="auto"/>
              <w:contextualSpacing/>
              <w:jc w:val="both"/>
              <w:rPr>
                <w:rFonts w:ascii="Garamond" w:hAnsi="Garamond"/>
                <w:sz w:val="18"/>
              </w:rPr>
            </w:pPr>
          </w:p>
        </w:tc>
        <w:tc>
          <w:tcPr>
            <w:tcW w:w="622" w:type="pct"/>
            <w:tcBorders>
              <w:top w:val="dotted" w:sz="4" w:space="0" w:color="auto"/>
              <w:left w:val="single" w:sz="6" w:space="0" w:color="000000"/>
              <w:bottom w:val="single" w:sz="6" w:space="0" w:color="000000"/>
              <w:right w:val="single" w:sz="4" w:space="0" w:color="auto"/>
            </w:tcBorders>
            <w:vAlign w:val="center"/>
          </w:tcPr>
          <w:p w14:paraId="0A52A2D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60" w:type="pct"/>
            <w:tcBorders>
              <w:top w:val="dotted" w:sz="4" w:space="0" w:color="auto"/>
              <w:left w:val="single" w:sz="4" w:space="0" w:color="auto"/>
              <w:bottom w:val="single" w:sz="6" w:space="0" w:color="000000"/>
              <w:right w:val="dotted" w:sz="4" w:space="0" w:color="auto"/>
            </w:tcBorders>
            <w:vAlign w:val="center"/>
          </w:tcPr>
          <w:p w14:paraId="1F3E02C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60" w:type="pct"/>
            <w:tcBorders>
              <w:top w:val="dotted" w:sz="4" w:space="0" w:color="auto"/>
              <w:left w:val="dotted" w:sz="4" w:space="0" w:color="auto"/>
              <w:bottom w:val="single" w:sz="6" w:space="0" w:color="000000"/>
              <w:right w:val="dotted" w:sz="4" w:space="0" w:color="auto"/>
            </w:tcBorders>
            <w:vAlign w:val="center"/>
          </w:tcPr>
          <w:p w14:paraId="28FE2D2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60" w:type="pct"/>
            <w:tcBorders>
              <w:top w:val="dotted" w:sz="4" w:space="0" w:color="auto"/>
              <w:left w:val="dotted" w:sz="4" w:space="0" w:color="auto"/>
              <w:bottom w:val="single" w:sz="6" w:space="0" w:color="000000"/>
              <w:right w:val="dotted" w:sz="4" w:space="0" w:color="auto"/>
            </w:tcBorders>
            <w:vAlign w:val="center"/>
          </w:tcPr>
          <w:p w14:paraId="3A16A08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60" w:type="pct"/>
            <w:tcBorders>
              <w:top w:val="dotted" w:sz="4" w:space="0" w:color="auto"/>
              <w:left w:val="dotted" w:sz="4" w:space="0" w:color="auto"/>
              <w:bottom w:val="single" w:sz="6" w:space="0" w:color="000000"/>
              <w:right w:val="dotted" w:sz="4" w:space="0" w:color="auto"/>
            </w:tcBorders>
            <w:vAlign w:val="center"/>
          </w:tcPr>
          <w:p w14:paraId="1119752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63" w:type="pct"/>
            <w:tcBorders>
              <w:top w:val="dotted" w:sz="4" w:space="0" w:color="auto"/>
              <w:left w:val="dotted" w:sz="4" w:space="0" w:color="auto"/>
              <w:bottom w:val="single" w:sz="6" w:space="0" w:color="000000"/>
              <w:right w:val="double" w:sz="4" w:space="0" w:color="auto"/>
            </w:tcBorders>
            <w:vAlign w:val="center"/>
          </w:tcPr>
          <w:p w14:paraId="18B0E4D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2E813BCE" w14:textId="77777777" w:rsidTr="00FB5945">
        <w:trPr>
          <w:trHeight w:val="20"/>
          <w:jc w:val="center"/>
        </w:trPr>
        <w:tc>
          <w:tcPr>
            <w:tcW w:w="5000" w:type="pct"/>
            <w:gridSpan w:val="8"/>
            <w:tcBorders>
              <w:top w:val="single" w:sz="6" w:space="0" w:color="000000"/>
              <w:left w:val="double" w:sz="4" w:space="0" w:color="auto"/>
              <w:bottom w:val="single" w:sz="4" w:space="0" w:color="auto"/>
              <w:right w:val="double" w:sz="4" w:space="0" w:color="auto"/>
            </w:tcBorders>
            <w:vAlign w:val="center"/>
          </w:tcPr>
          <w:p w14:paraId="1906A1FE" w14:textId="77777777" w:rsidR="00C50585" w:rsidRPr="00EE038F" w:rsidRDefault="00C50585" w:rsidP="00280C20">
            <w:pPr>
              <w:keepNext/>
              <w:spacing w:after="0" w:line="240" w:lineRule="auto"/>
              <w:contextualSpacing/>
              <w:rPr>
                <w:rFonts w:ascii="Garamond" w:hAnsi="Garamond"/>
                <w:sz w:val="18"/>
              </w:rPr>
            </w:pPr>
            <w:r w:rsidRPr="00EE038F">
              <w:rPr>
                <w:rFonts w:ascii="Garamond" w:hAnsi="Garamond"/>
                <w:b/>
                <w:bCs/>
                <w:color w:val="0D0D0D" w:themeColor="text1" w:themeTint="F2"/>
                <w:sz w:val="18"/>
              </w:rPr>
              <w:t>Përbërësit e të ardhurave</w:t>
            </w:r>
          </w:p>
        </w:tc>
      </w:tr>
      <w:tr w:rsidR="00C50585" w:rsidRPr="00EE038F" w14:paraId="6988A4F0" w14:textId="77777777" w:rsidTr="00FE67AA">
        <w:trPr>
          <w:trHeight w:val="20"/>
          <w:jc w:val="center"/>
        </w:trPr>
        <w:tc>
          <w:tcPr>
            <w:tcW w:w="2092" w:type="pct"/>
            <w:tcBorders>
              <w:top w:val="single" w:sz="4" w:space="0" w:color="auto"/>
              <w:left w:val="double" w:sz="4" w:space="0" w:color="auto"/>
              <w:bottom w:val="dotted" w:sz="4" w:space="0" w:color="auto"/>
              <w:right w:val="dotted" w:sz="4" w:space="0" w:color="auto"/>
            </w:tcBorders>
            <w:vAlign w:val="center"/>
          </w:tcPr>
          <w:p w14:paraId="2EE01FF5" w14:textId="77777777" w:rsidR="00C50585" w:rsidRPr="004E4EAB" w:rsidRDefault="00C50585" w:rsidP="004E4EAB">
            <w:pPr>
              <w:tabs>
                <w:tab w:val="left" w:pos="199"/>
              </w:tabs>
              <w:spacing w:after="0" w:line="240" w:lineRule="auto"/>
              <w:ind w:left="109" w:hanging="90"/>
              <w:contextualSpacing/>
              <w:rPr>
                <w:rFonts w:ascii="Garamond" w:hAnsi="Garamond"/>
                <w:sz w:val="18"/>
              </w:rPr>
            </w:pPr>
            <w:r w:rsidRPr="004E4EAB">
              <w:rPr>
                <w:rFonts w:ascii="Garamond" w:hAnsi="Garamond"/>
                <w:sz w:val="18"/>
              </w:rPr>
              <w:t>12. Taksat totale (12 = 12a+12b+12c)</w:t>
            </w:r>
          </w:p>
        </w:tc>
        <w:tc>
          <w:tcPr>
            <w:tcW w:w="485" w:type="pct"/>
            <w:tcBorders>
              <w:top w:val="single" w:sz="4" w:space="0" w:color="auto"/>
              <w:left w:val="dotted" w:sz="4" w:space="0" w:color="auto"/>
              <w:bottom w:val="dotted" w:sz="4" w:space="0" w:color="auto"/>
              <w:right w:val="single" w:sz="6" w:space="0" w:color="000000"/>
            </w:tcBorders>
            <w:vAlign w:val="center"/>
          </w:tcPr>
          <w:p w14:paraId="6736D6D7" w14:textId="77777777" w:rsidR="00C50585" w:rsidRPr="00EE038F" w:rsidRDefault="00C50585" w:rsidP="007C70E7">
            <w:pPr>
              <w:spacing w:after="0" w:line="240" w:lineRule="auto"/>
              <w:contextualSpacing/>
              <w:jc w:val="both"/>
              <w:rPr>
                <w:rFonts w:ascii="Garamond" w:hAnsi="Garamond"/>
                <w:sz w:val="18"/>
              </w:rPr>
            </w:pPr>
          </w:p>
        </w:tc>
        <w:tc>
          <w:tcPr>
            <w:tcW w:w="622" w:type="pct"/>
            <w:tcBorders>
              <w:top w:val="single" w:sz="4" w:space="0" w:color="auto"/>
              <w:left w:val="single" w:sz="6" w:space="0" w:color="000000"/>
              <w:bottom w:val="dotted" w:sz="4" w:space="0" w:color="auto"/>
              <w:right w:val="single" w:sz="4" w:space="0" w:color="auto"/>
            </w:tcBorders>
            <w:vAlign w:val="center"/>
          </w:tcPr>
          <w:p w14:paraId="3DDCD1F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388.48</w:t>
            </w:r>
          </w:p>
        </w:tc>
        <w:tc>
          <w:tcPr>
            <w:tcW w:w="360" w:type="pct"/>
            <w:tcBorders>
              <w:top w:val="single" w:sz="4" w:space="0" w:color="auto"/>
              <w:left w:val="single" w:sz="4" w:space="0" w:color="auto"/>
              <w:bottom w:val="dotted" w:sz="4" w:space="0" w:color="auto"/>
              <w:right w:val="dotted" w:sz="4" w:space="0" w:color="auto"/>
            </w:tcBorders>
            <w:vAlign w:val="center"/>
          </w:tcPr>
          <w:p w14:paraId="5B6FE51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16.4</w:t>
            </w:r>
          </w:p>
        </w:tc>
        <w:tc>
          <w:tcPr>
            <w:tcW w:w="360" w:type="pct"/>
            <w:tcBorders>
              <w:top w:val="single" w:sz="4" w:space="0" w:color="auto"/>
              <w:left w:val="dotted" w:sz="4" w:space="0" w:color="auto"/>
              <w:bottom w:val="dotted" w:sz="4" w:space="0" w:color="auto"/>
              <w:right w:val="dotted" w:sz="4" w:space="0" w:color="auto"/>
            </w:tcBorders>
            <w:vAlign w:val="center"/>
          </w:tcPr>
          <w:p w14:paraId="6EB4A6E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16.8</w:t>
            </w:r>
          </w:p>
        </w:tc>
        <w:tc>
          <w:tcPr>
            <w:tcW w:w="360" w:type="pct"/>
            <w:tcBorders>
              <w:top w:val="single" w:sz="4" w:space="0" w:color="auto"/>
              <w:left w:val="dotted" w:sz="4" w:space="0" w:color="auto"/>
              <w:bottom w:val="dotted" w:sz="4" w:space="0" w:color="auto"/>
              <w:right w:val="dotted" w:sz="4" w:space="0" w:color="auto"/>
            </w:tcBorders>
            <w:vAlign w:val="center"/>
          </w:tcPr>
          <w:p w14:paraId="2374D0C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17.6</w:t>
            </w:r>
          </w:p>
        </w:tc>
        <w:tc>
          <w:tcPr>
            <w:tcW w:w="360" w:type="pct"/>
            <w:tcBorders>
              <w:top w:val="single" w:sz="4" w:space="0" w:color="auto"/>
              <w:left w:val="dotted" w:sz="4" w:space="0" w:color="auto"/>
              <w:bottom w:val="dotted" w:sz="4" w:space="0" w:color="auto"/>
              <w:right w:val="dotted" w:sz="4" w:space="0" w:color="auto"/>
            </w:tcBorders>
            <w:vAlign w:val="center"/>
          </w:tcPr>
          <w:p w14:paraId="537B284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17.7</w:t>
            </w:r>
          </w:p>
        </w:tc>
        <w:tc>
          <w:tcPr>
            <w:tcW w:w="363" w:type="pct"/>
            <w:tcBorders>
              <w:top w:val="single" w:sz="4" w:space="0" w:color="auto"/>
              <w:left w:val="dotted" w:sz="4" w:space="0" w:color="auto"/>
              <w:bottom w:val="dotted" w:sz="4" w:space="0" w:color="auto"/>
              <w:right w:val="double" w:sz="4" w:space="0" w:color="auto"/>
            </w:tcBorders>
            <w:vAlign w:val="center"/>
          </w:tcPr>
          <w:p w14:paraId="36C61E6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17.9</w:t>
            </w:r>
          </w:p>
        </w:tc>
      </w:tr>
      <w:tr w:rsidR="00C50585" w:rsidRPr="00EE038F" w14:paraId="428B224B" w14:textId="77777777" w:rsidTr="00FE67AA">
        <w:trPr>
          <w:trHeight w:val="20"/>
          <w:jc w:val="center"/>
        </w:trPr>
        <w:tc>
          <w:tcPr>
            <w:tcW w:w="2092" w:type="pct"/>
            <w:tcBorders>
              <w:top w:val="dotted" w:sz="4" w:space="0" w:color="auto"/>
              <w:left w:val="double" w:sz="4" w:space="0" w:color="auto"/>
              <w:bottom w:val="dotted" w:sz="4" w:space="0" w:color="auto"/>
              <w:right w:val="dotted" w:sz="4" w:space="0" w:color="auto"/>
            </w:tcBorders>
            <w:vAlign w:val="center"/>
          </w:tcPr>
          <w:p w14:paraId="3A2C7762" w14:textId="77777777" w:rsidR="00C50585" w:rsidRPr="004E4EAB" w:rsidRDefault="00C50585" w:rsidP="004E4EAB">
            <w:pPr>
              <w:spacing w:after="0" w:line="240" w:lineRule="auto"/>
              <w:ind w:firstLine="19"/>
              <w:contextualSpacing/>
              <w:rPr>
                <w:rFonts w:ascii="Garamond" w:hAnsi="Garamond"/>
                <w:sz w:val="18"/>
              </w:rPr>
            </w:pPr>
            <w:r w:rsidRPr="004E4EAB">
              <w:rPr>
                <w:rFonts w:ascii="Garamond" w:hAnsi="Garamond"/>
                <w:sz w:val="18"/>
              </w:rPr>
              <w:t>12a. Taksat në prodhim dhe import</w:t>
            </w:r>
          </w:p>
        </w:tc>
        <w:tc>
          <w:tcPr>
            <w:tcW w:w="485" w:type="pct"/>
            <w:tcBorders>
              <w:top w:val="dotted" w:sz="4" w:space="0" w:color="auto"/>
              <w:left w:val="dotted" w:sz="4" w:space="0" w:color="auto"/>
              <w:bottom w:val="dotted" w:sz="4" w:space="0" w:color="auto"/>
              <w:right w:val="single" w:sz="6" w:space="0" w:color="000000"/>
            </w:tcBorders>
            <w:vAlign w:val="center"/>
          </w:tcPr>
          <w:p w14:paraId="56ECCF87"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D2</w:t>
            </w:r>
          </w:p>
        </w:tc>
        <w:tc>
          <w:tcPr>
            <w:tcW w:w="622" w:type="pct"/>
            <w:tcBorders>
              <w:top w:val="dotted" w:sz="4" w:space="0" w:color="auto"/>
              <w:left w:val="single" w:sz="6" w:space="0" w:color="000000"/>
              <w:bottom w:val="dotted" w:sz="4" w:space="0" w:color="auto"/>
              <w:right w:val="single" w:sz="4" w:space="0" w:color="auto"/>
            </w:tcBorders>
            <w:vAlign w:val="center"/>
          </w:tcPr>
          <w:p w14:paraId="55E2619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259.85</w:t>
            </w:r>
          </w:p>
        </w:tc>
        <w:tc>
          <w:tcPr>
            <w:tcW w:w="360" w:type="pct"/>
            <w:tcBorders>
              <w:top w:val="dotted" w:sz="4" w:space="0" w:color="auto"/>
              <w:left w:val="single" w:sz="4" w:space="0" w:color="auto"/>
              <w:bottom w:val="dotted" w:sz="4" w:space="0" w:color="auto"/>
              <w:right w:val="dotted" w:sz="4" w:space="0" w:color="auto"/>
            </w:tcBorders>
            <w:vAlign w:val="center"/>
          </w:tcPr>
          <w:p w14:paraId="68C66E6A"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11.0</w:t>
            </w:r>
          </w:p>
        </w:tc>
        <w:tc>
          <w:tcPr>
            <w:tcW w:w="360" w:type="pct"/>
            <w:tcBorders>
              <w:top w:val="dotted" w:sz="4" w:space="0" w:color="auto"/>
              <w:left w:val="dotted" w:sz="4" w:space="0" w:color="auto"/>
              <w:bottom w:val="dotted" w:sz="4" w:space="0" w:color="auto"/>
              <w:right w:val="dotted" w:sz="4" w:space="0" w:color="auto"/>
            </w:tcBorders>
            <w:vAlign w:val="center"/>
          </w:tcPr>
          <w:p w14:paraId="1F86B7D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11.5</w:t>
            </w:r>
          </w:p>
        </w:tc>
        <w:tc>
          <w:tcPr>
            <w:tcW w:w="360" w:type="pct"/>
            <w:tcBorders>
              <w:top w:val="dotted" w:sz="4" w:space="0" w:color="auto"/>
              <w:left w:val="dotted" w:sz="4" w:space="0" w:color="auto"/>
              <w:bottom w:val="dotted" w:sz="4" w:space="0" w:color="auto"/>
              <w:right w:val="dotted" w:sz="4" w:space="0" w:color="auto"/>
            </w:tcBorders>
            <w:vAlign w:val="center"/>
          </w:tcPr>
          <w:p w14:paraId="0E46A89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12.0</w:t>
            </w:r>
          </w:p>
        </w:tc>
        <w:tc>
          <w:tcPr>
            <w:tcW w:w="360" w:type="pct"/>
            <w:tcBorders>
              <w:top w:val="dotted" w:sz="4" w:space="0" w:color="auto"/>
              <w:left w:val="dotted" w:sz="4" w:space="0" w:color="auto"/>
              <w:bottom w:val="dotted" w:sz="4" w:space="0" w:color="auto"/>
              <w:right w:val="dotted" w:sz="4" w:space="0" w:color="auto"/>
            </w:tcBorders>
            <w:vAlign w:val="center"/>
          </w:tcPr>
          <w:p w14:paraId="47BD7BC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12.2</w:t>
            </w:r>
          </w:p>
        </w:tc>
        <w:tc>
          <w:tcPr>
            <w:tcW w:w="363" w:type="pct"/>
            <w:tcBorders>
              <w:top w:val="dotted" w:sz="4" w:space="0" w:color="auto"/>
              <w:left w:val="dotted" w:sz="4" w:space="0" w:color="auto"/>
              <w:bottom w:val="dotted" w:sz="4" w:space="0" w:color="auto"/>
              <w:right w:val="double" w:sz="4" w:space="0" w:color="auto"/>
            </w:tcBorders>
            <w:vAlign w:val="center"/>
          </w:tcPr>
          <w:p w14:paraId="4B421E2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12.3</w:t>
            </w:r>
          </w:p>
        </w:tc>
      </w:tr>
      <w:tr w:rsidR="00C50585" w:rsidRPr="00EE038F" w14:paraId="72706F17" w14:textId="77777777" w:rsidTr="00FB5945">
        <w:trPr>
          <w:trHeight w:val="20"/>
          <w:jc w:val="center"/>
        </w:trPr>
        <w:tc>
          <w:tcPr>
            <w:tcW w:w="2092" w:type="pct"/>
            <w:tcBorders>
              <w:top w:val="dotted" w:sz="4" w:space="0" w:color="auto"/>
              <w:left w:val="double" w:sz="4" w:space="0" w:color="auto"/>
              <w:bottom w:val="dotted" w:sz="4" w:space="0" w:color="auto"/>
              <w:right w:val="dotted" w:sz="4" w:space="0" w:color="auto"/>
            </w:tcBorders>
            <w:vAlign w:val="center"/>
          </w:tcPr>
          <w:p w14:paraId="6EAF8191" w14:textId="77777777" w:rsidR="00C50585" w:rsidRPr="00EE038F" w:rsidRDefault="00C50585" w:rsidP="007C70E7">
            <w:pPr>
              <w:spacing w:after="0" w:line="240" w:lineRule="auto"/>
              <w:ind w:hanging="340"/>
              <w:contextualSpacing/>
              <w:jc w:val="both"/>
              <w:rPr>
                <w:rFonts w:ascii="Garamond" w:hAnsi="Garamond"/>
                <w:sz w:val="18"/>
              </w:rPr>
            </w:pPr>
            <w:r w:rsidRPr="00EE038F">
              <w:rPr>
                <w:rFonts w:ascii="Garamond" w:hAnsi="Garamond"/>
                <w:sz w:val="18"/>
              </w:rPr>
              <w:t>12b. Taksat aktuale mbi të ardhurat dhe pasurinë</w:t>
            </w:r>
          </w:p>
        </w:tc>
        <w:tc>
          <w:tcPr>
            <w:tcW w:w="485" w:type="pct"/>
            <w:tcBorders>
              <w:top w:val="dotted" w:sz="4" w:space="0" w:color="auto"/>
              <w:left w:val="dotted" w:sz="4" w:space="0" w:color="auto"/>
              <w:bottom w:val="dotted" w:sz="4" w:space="0" w:color="auto"/>
              <w:right w:val="single" w:sz="6" w:space="0" w:color="000000"/>
            </w:tcBorders>
            <w:vAlign w:val="center"/>
          </w:tcPr>
          <w:p w14:paraId="5E0A8E36"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D5</w:t>
            </w:r>
          </w:p>
        </w:tc>
        <w:tc>
          <w:tcPr>
            <w:tcW w:w="622" w:type="pct"/>
            <w:tcBorders>
              <w:top w:val="dotted" w:sz="4" w:space="0" w:color="auto"/>
              <w:left w:val="single" w:sz="6" w:space="0" w:color="000000"/>
              <w:bottom w:val="dotted" w:sz="4" w:space="0" w:color="auto"/>
              <w:right w:val="single" w:sz="4" w:space="0" w:color="auto"/>
            </w:tcBorders>
            <w:vAlign w:val="center"/>
          </w:tcPr>
          <w:p w14:paraId="55FE953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64.06</w:t>
            </w:r>
          </w:p>
        </w:tc>
        <w:tc>
          <w:tcPr>
            <w:tcW w:w="360" w:type="pct"/>
            <w:tcBorders>
              <w:top w:val="dotted" w:sz="4" w:space="0" w:color="auto"/>
              <w:left w:val="single" w:sz="4" w:space="0" w:color="auto"/>
              <w:bottom w:val="dotted" w:sz="4" w:space="0" w:color="auto"/>
              <w:right w:val="dotted" w:sz="4" w:space="0" w:color="auto"/>
            </w:tcBorders>
            <w:vAlign w:val="center"/>
          </w:tcPr>
          <w:p w14:paraId="22B04D6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2.7</w:t>
            </w:r>
          </w:p>
        </w:tc>
        <w:tc>
          <w:tcPr>
            <w:tcW w:w="360" w:type="pct"/>
            <w:tcBorders>
              <w:top w:val="dotted" w:sz="4" w:space="0" w:color="auto"/>
              <w:left w:val="dotted" w:sz="4" w:space="0" w:color="auto"/>
              <w:bottom w:val="dotted" w:sz="4" w:space="0" w:color="auto"/>
              <w:right w:val="dotted" w:sz="4" w:space="0" w:color="auto"/>
            </w:tcBorders>
            <w:vAlign w:val="center"/>
          </w:tcPr>
          <w:p w14:paraId="6095649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2.9</w:t>
            </w:r>
          </w:p>
        </w:tc>
        <w:tc>
          <w:tcPr>
            <w:tcW w:w="360" w:type="pct"/>
            <w:tcBorders>
              <w:top w:val="dotted" w:sz="4" w:space="0" w:color="auto"/>
              <w:left w:val="dotted" w:sz="4" w:space="0" w:color="auto"/>
              <w:bottom w:val="dotted" w:sz="4" w:space="0" w:color="auto"/>
              <w:right w:val="dotted" w:sz="4" w:space="0" w:color="auto"/>
            </w:tcBorders>
            <w:vAlign w:val="center"/>
          </w:tcPr>
          <w:p w14:paraId="5E41EE3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3.0</w:t>
            </w:r>
          </w:p>
        </w:tc>
        <w:tc>
          <w:tcPr>
            <w:tcW w:w="360" w:type="pct"/>
            <w:tcBorders>
              <w:top w:val="dotted" w:sz="4" w:space="0" w:color="auto"/>
              <w:left w:val="dotted" w:sz="4" w:space="0" w:color="auto"/>
              <w:bottom w:val="dotted" w:sz="4" w:space="0" w:color="auto"/>
              <w:right w:val="dotted" w:sz="4" w:space="0" w:color="auto"/>
            </w:tcBorders>
            <w:vAlign w:val="center"/>
          </w:tcPr>
          <w:p w14:paraId="225BC41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3.0</w:t>
            </w:r>
          </w:p>
        </w:tc>
        <w:tc>
          <w:tcPr>
            <w:tcW w:w="363" w:type="pct"/>
            <w:tcBorders>
              <w:top w:val="dotted" w:sz="4" w:space="0" w:color="auto"/>
              <w:left w:val="dotted" w:sz="4" w:space="0" w:color="auto"/>
              <w:bottom w:val="dotted" w:sz="4" w:space="0" w:color="auto"/>
              <w:right w:val="double" w:sz="4" w:space="0" w:color="auto"/>
            </w:tcBorders>
            <w:vAlign w:val="center"/>
          </w:tcPr>
          <w:p w14:paraId="357F5F1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3.0</w:t>
            </w:r>
          </w:p>
        </w:tc>
      </w:tr>
      <w:tr w:rsidR="00C50585" w:rsidRPr="00EE038F" w14:paraId="38E31882" w14:textId="77777777" w:rsidTr="00FB5945">
        <w:trPr>
          <w:trHeight w:val="20"/>
          <w:jc w:val="center"/>
        </w:trPr>
        <w:tc>
          <w:tcPr>
            <w:tcW w:w="2092" w:type="pct"/>
            <w:tcBorders>
              <w:top w:val="dotted" w:sz="4" w:space="0" w:color="auto"/>
              <w:left w:val="double" w:sz="4" w:space="0" w:color="auto"/>
              <w:bottom w:val="dotted" w:sz="4" w:space="0" w:color="auto"/>
              <w:right w:val="dotted" w:sz="4" w:space="0" w:color="auto"/>
            </w:tcBorders>
            <w:vAlign w:val="center"/>
          </w:tcPr>
          <w:p w14:paraId="5E62AEDA"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12c. Taksat mbi kapitalin</w:t>
            </w:r>
          </w:p>
        </w:tc>
        <w:tc>
          <w:tcPr>
            <w:tcW w:w="485" w:type="pct"/>
            <w:tcBorders>
              <w:top w:val="dotted" w:sz="4" w:space="0" w:color="auto"/>
              <w:left w:val="dotted" w:sz="4" w:space="0" w:color="auto"/>
              <w:bottom w:val="dotted" w:sz="4" w:space="0" w:color="auto"/>
              <w:right w:val="single" w:sz="6" w:space="0" w:color="000000"/>
            </w:tcBorders>
            <w:vAlign w:val="center"/>
          </w:tcPr>
          <w:p w14:paraId="0ADAD7CF"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D91</w:t>
            </w:r>
          </w:p>
        </w:tc>
        <w:tc>
          <w:tcPr>
            <w:tcW w:w="622" w:type="pct"/>
            <w:tcBorders>
              <w:top w:val="dotted" w:sz="4" w:space="0" w:color="auto"/>
              <w:left w:val="single" w:sz="6" w:space="0" w:color="000000"/>
              <w:bottom w:val="dotted" w:sz="4" w:space="0" w:color="auto"/>
              <w:right w:val="single" w:sz="4" w:space="0" w:color="auto"/>
            </w:tcBorders>
            <w:vAlign w:val="center"/>
          </w:tcPr>
          <w:p w14:paraId="0895E84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64.58</w:t>
            </w:r>
          </w:p>
        </w:tc>
        <w:tc>
          <w:tcPr>
            <w:tcW w:w="360" w:type="pct"/>
            <w:tcBorders>
              <w:top w:val="dotted" w:sz="4" w:space="0" w:color="auto"/>
              <w:left w:val="single" w:sz="4" w:space="0" w:color="auto"/>
              <w:bottom w:val="dotted" w:sz="4" w:space="0" w:color="auto"/>
              <w:right w:val="dotted" w:sz="4" w:space="0" w:color="auto"/>
            </w:tcBorders>
            <w:vAlign w:val="center"/>
          </w:tcPr>
          <w:p w14:paraId="79FCE1F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2.7</w:t>
            </w:r>
          </w:p>
        </w:tc>
        <w:tc>
          <w:tcPr>
            <w:tcW w:w="360" w:type="pct"/>
            <w:tcBorders>
              <w:top w:val="dotted" w:sz="4" w:space="0" w:color="auto"/>
              <w:left w:val="dotted" w:sz="4" w:space="0" w:color="auto"/>
              <w:bottom w:val="dotted" w:sz="4" w:space="0" w:color="auto"/>
              <w:right w:val="dotted" w:sz="4" w:space="0" w:color="auto"/>
            </w:tcBorders>
            <w:vAlign w:val="center"/>
          </w:tcPr>
          <w:p w14:paraId="757538A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2.4</w:t>
            </w:r>
          </w:p>
        </w:tc>
        <w:tc>
          <w:tcPr>
            <w:tcW w:w="360" w:type="pct"/>
            <w:tcBorders>
              <w:top w:val="dotted" w:sz="4" w:space="0" w:color="auto"/>
              <w:left w:val="dotted" w:sz="4" w:space="0" w:color="auto"/>
              <w:bottom w:val="dotted" w:sz="4" w:space="0" w:color="auto"/>
              <w:right w:val="dotted" w:sz="4" w:space="0" w:color="auto"/>
            </w:tcBorders>
            <w:vAlign w:val="center"/>
          </w:tcPr>
          <w:p w14:paraId="2D0AADB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2.5</w:t>
            </w:r>
          </w:p>
        </w:tc>
        <w:tc>
          <w:tcPr>
            <w:tcW w:w="360" w:type="pct"/>
            <w:tcBorders>
              <w:top w:val="dotted" w:sz="4" w:space="0" w:color="auto"/>
              <w:left w:val="dotted" w:sz="4" w:space="0" w:color="auto"/>
              <w:bottom w:val="dotted" w:sz="4" w:space="0" w:color="auto"/>
              <w:right w:val="dotted" w:sz="4" w:space="0" w:color="auto"/>
            </w:tcBorders>
            <w:vAlign w:val="center"/>
          </w:tcPr>
          <w:p w14:paraId="0DB8147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2.5</w:t>
            </w:r>
          </w:p>
        </w:tc>
        <w:tc>
          <w:tcPr>
            <w:tcW w:w="363" w:type="pct"/>
            <w:tcBorders>
              <w:top w:val="dotted" w:sz="4" w:space="0" w:color="auto"/>
              <w:left w:val="dotted" w:sz="4" w:space="0" w:color="auto"/>
              <w:bottom w:val="dotted" w:sz="4" w:space="0" w:color="auto"/>
              <w:right w:val="double" w:sz="4" w:space="0" w:color="auto"/>
            </w:tcBorders>
            <w:vAlign w:val="center"/>
          </w:tcPr>
          <w:p w14:paraId="69F6B74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2.5</w:t>
            </w:r>
          </w:p>
        </w:tc>
      </w:tr>
      <w:tr w:rsidR="00C50585" w:rsidRPr="00EE038F" w14:paraId="00F9508F" w14:textId="77777777" w:rsidTr="00FB5945">
        <w:trPr>
          <w:trHeight w:val="20"/>
          <w:jc w:val="center"/>
        </w:trPr>
        <w:tc>
          <w:tcPr>
            <w:tcW w:w="2092" w:type="pct"/>
            <w:tcBorders>
              <w:top w:val="dotted" w:sz="4" w:space="0" w:color="auto"/>
              <w:left w:val="double" w:sz="4" w:space="0" w:color="auto"/>
              <w:bottom w:val="dotted" w:sz="4" w:space="0" w:color="auto"/>
              <w:right w:val="dotted" w:sz="4" w:space="0" w:color="auto"/>
            </w:tcBorders>
            <w:vAlign w:val="center"/>
          </w:tcPr>
          <w:p w14:paraId="7B2FFFA6"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13. Kontributet sociale</w:t>
            </w:r>
          </w:p>
        </w:tc>
        <w:tc>
          <w:tcPr>
            <w:tcW w:w="485" w:type="pct"/>
            <w:tcBorders>
              <w:top w:val="dotted" w:sz="4" w:space="0" w:color="auto"/>
              <w:left w:val="dotted" w:sz="4" w:space="0" w:color="auto"/>
              <w:bottom w:val="dotted" w:sz="4" w:space="0" w:color="auto"/>
              <w:right w:val="single" w:sz="6" w:space="0" w:color="000000"/>
            </w:tcBorders>
            <w:vAlign w:val="center"/>
          </w:tcPr>
          <w:p w14:paraId="7B6F8DFE"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D61</w:t>
            </w:r>
          </w:p>
        </w:tc>
        <w:tc>
          <w:tcPr>
            <w:tcW w:w="622" w:type="pct"/>
            <w:tcBorders>
              <w:top w:val="dotted" w:sz="4" w:space="0" w:color="auto"/>
              <w:left w:val="single" w:sz="6" w:space="0" w:color="000000"/>
              <w:bottom w:val="dotted" w:sz="4" w:space="0" w:color="auto"/>
              <w:right w:val="single" w:sz="4" w:space="0" w:color="auto"/>
            </w:tcBorders>
            <w:vAlign w:val="center"/>
          </w:tcPr>
          <w:p w14:paraId="01A751D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143.65</w:t>
            </w:r>
          </w:p>
        </w:tc>
        <w:tc>
          <w:tcPr>
            <w:tcW w:w="360" w:type="pct"/>
            <w:tcBorders>
              <w:top w:val="dotted" w:sz="4" w:space="0" w:color="auto"/>
              <w:left w:val="single" w:sz="4" w:space="0" w:color="auto"/>
              <w:bottom w:val="dotted" w:sz="4" w:space="0" w:color="auto"/>
              <w:right w:val="dotted" w:sz="4" w:space="0" w:color="auto"/>
            </w:tcBorders>
            <w:vAlign w:val="center"/>
          </w:tcPr>
          <w:p w14:paraId="0AFC909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6.1</w:t>
            </w:r>
          </w:p>
        </w:tc>
        <w:tc>
          <w:tcPr>
            <w:tcW w:w="360" w:type="pct"/>
            <w:tcBorders>
              <w:top w:val="dotted" w:sz="4" w:space="0" w:color="auto"/>
              <w:left w:val="dotted" w:sz="4" w:space="0" w:color="auto"/>
              <w:bottom w:val="dotted" w:sz="4" w:space="0" w:color="auto"/>
              <w:right w:val="dotted" w:sz="4" w:space="0" w:color="auto"/>
            </w:tcBorders>
            <w:vAlign w:val="center"/>
          </w:tcPr>
          <w:p w14:paraId="1643834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6.4</w:t>
            </w:r>
          </w:p>
        </w:tc>
        <w:tc>
          <w:tcPr>
            <w:tcW w:w="360" w:type="pct"/>
            <w:tcBorders>
              <w:top w:val="dotted" w:sz="4" w:space="0" w:color="auto"/>
              <w:left w:val="dotted" w:sz="4" w:space="0" w:color="auto"/>
              <w:bottom w:val="dotted" w:sz="4" w:space="0" w:color="auto"/>
              <w:right w:val="dotted" w:sz="4" w:space="0" w:color="auto"/>
            </w:tcBorders>
            <w:vAlign w:val="center"/>
          </w:tcPr>
          <w:p w14:paraId="3710871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6.4</w:t>
            </w:r>
          </w:p>
        </w:tc>
        <w:tc>
          <w:tcPr>
            <w:tcW w:w="360" w:type="pct"/>
            <w:tcBorders>
              <w:top w:val="dotted" w:sz="4" w:space="0" w:color="auto"/>
              <w:left w:val="dotted" w:sz="4" w:space="0" w:color="auto"/>
              <w:bottom w:val="dotted" w:sz="4" w:space="0" w:color="auto"/>
              <w:right w:val="dotted" w:sz="4" w:space="0" w:color="auto"/>
            </w:tcBorders>
            <w:vAlign w:val="center"/>
          </w:tcPr>
          <w:p w14:paraId="101B26F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6.3</w:t>
            </w:r>
          </w:p>
        </w:tc>
        <w:tc>
          <w:tcPr>
            <w:tcW w:w="363" w:type="pct"/>
            <w:tcBorders>
              <w:top w:val="dotted" w:sz="4" w:space="0" w:color="auto"/>
              <w:left w:val="dotted" w:sz="4" w:space="0" w:color="auto"/>
              <w:bottom w:val="dotted" w:sz="4" w:space="0" w:color="auto"/>
              <w:right w:val="double" w:sz="4" w:space="0" w:color="auto"/>
            </w:tcBorders>
            <w:vAlign w:val="center"/>
          </w:tcPr>
          <w:p w14:paraId="7CB32E0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6.2</w:t>
            </w:r>
          </w:p>
        </w:tc>
      </w:tr>
      <w:tr w:rsidR="00C50585" w:rsidRPr="00EE038F" w14:paraId="12840D00" w14:textId="77777777" w:rsidTr="00FB5945">
        <w:trPr>
          <w:trHeight w:val="20"/>
          <w:jc w:val="center"/>
        </w:trPr>
        <w:tc>
          <w:tcPr>
            <w:tcW w:w="2092" w:type="pct"/>
            <w:tcBorders>
              <w:top w:val="dotted" w:sz="4" w:space="0" w:color="auto"/>
              <w:left w:val="double" w:sz="4" w:space="0" w:color="auto"/>
              <w:bottom w:val="dotted" w:sz="4" w:space="0" w:color="auto"/>
              <w:right w:val="dotted" w:sz="4" w:space="0" w:color="auto"/>
            </w:tcBorders>
            <w:vAlign w:val="center"/>
          </w:tcPr>
          <w:p w14:paraId="77943039"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14. Të ardhura nga pronësia</w:t>
            </w:r>
          </w:p>
        </w:tc>
        <w:tc>
          <w:tcPr>
            <w:tcW w:w="485" w:type="pct"/>
            <w:tcBorders>
              <w:top w:val="dotted" w:sz="4" w:space="0" w:color="auto"/>
              <w:left w:val="dotted" w:sz="4" w:space="0" w:color="auto"/>
              <w:bottom w:val="dotted" w:sz="4" w:space="0" w:color="auto"/>
              <w:right w:val="single" w:sz="6" w:space="0" w:color="000000"/>
            </w:tcBorders>
            <w:vAlign w:val="center"/>
          </w:tcPr>
          <w:p w14:paraId="0B0AF658"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D4</w:t>
            </w:r>
          </w:p>
        </w:tc>
        <w:tc>
          <w:tcPr>
            <w:tcW w:w="622" w:type="pct"/>
            <w:tcBorders>
              <w:top w:val="dotted" w:sz="4" w:space="0" w:color="auto"/>
              <w:left w:val="single" w:sz="6" w:space="0" w:color="000000"/>
              <w:bottom w:val="dotted" w:sz="4" w:space="0" w:color="auto"/>
              <w:right w:val="single" w:sz="4" w:space="0" w:color="auto"/>
            </w:tcBorders>
            <w:vAlign w:val="center"/>
          </w:tcPr>
          <w:p w14:paraId="3E9941B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0.05</w:t>
            </w:r>
          </w:p>
        </w:tc>
        <w:tc>
          <w:tcPr>
            <w:tcW w:w="360" w:type="pct"/>
            <w:tcBorders>
              <w:top w:val="dotted" w:sz="4" w:space="0" w:color="auto"/>
              <w:left w:val="single" w:sz="4" w:space="0" w:color="auto"/>
              <w:bottom w:val="dotted" w:sz="4" w:space="0" w:color="auto"/>
              <w:right w:val="dotted" w:sz="4" w:space="0" w:color="auto"/>
            </w:tcBorders>
            <w:vAlign w:val="center"/>
          </w:tcPr>
          <w:p w14:paraId="187C039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360" w:type="pct"/>
            <w:tcBorders>
              <w:top w:val="dotted" w:sz="4" w:space="0" w:color="auto"/>
              <w:left w:val="dotted" w:sz="4" w:space="0" w:color="auto"/>
              <w:bottom w:val="dotted" w:sz="4" w:space="0" w:color="auto"/>
              <w:right w:val="dotted" w:sz="4" w:space="0" w:color="auto"/>
            </w:tcBorders>
            <w:vAlign w:val="center"/>
          </w:tcPr>
          <w:p w14:paraId="68A1C0F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360" w:type="pct"/>
            <w:tcBorders>
              <w:top w:val="dotted" w:sz="4" w:space="0" w:color="auto"/>
              <w:left w:val="dotted" w:sz="4" w:space="0" w:color="auto"/>
              <w:bottom w:val="dotted" w:sz="4" w:space="0" w:color="auto"/>
              <w:right w:val="dotted" w:sz="4" w:space="0" w:color="auto"/>
            </w:tcBorders>
            <w:vAlign w:val="center"/>
          </w:tcPr>
          <w:p w14:paraId="2073D3A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360" w:type="pct"/>
            <w:tcBorders>
              <w:top w:val="dotted" w:sz="4" w:space="0" w:color="auto"/>
              <w:left w:val="dotted" w:sz="4" w:space="0" w:color="auto"/>
              <w:bottom w:val="dotted" w:sz="4" w:space="0" w:color="auto"/>
              <w:right w:val="dotted" w:sz="4" w:space="0" w:color="auto"/>
            </w:tcBorders>
            <w:vAlign w:val="center"/>
          </w:tcPr>
          <w:p w14:paraId="168AF83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363" w:type="pct"/>
            <w:tcBorders>
              <w:top w:val="dotted" w:sz="4" w:space="0" w:color="auto"/>
              <w:left w:val="dotted" w:sz="4" w:space="0" w:color="auto"/>
              <w:bottom w:val="dotted" w:sz="4" w:space="0" w:color="auto"/>
              <w:right w:val="double" w:sz="4" w:space="0" w:color="auto"/>
            </w:tcBorders>
            <w:vAlign w:val="center"/>
          </w:tcPr>
          <w:p w14:paraId="6C624F2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r>
      <w:tr w:rsidR="00C50585" w:rsidRPr="00EE038F" w14:paraId="5EABC392" w14:textId="77777777" w:rsidTr="00FB5945">
        <w:trPr>
          <w:trHeight w:val="20"/>
          <w:jc w:val="center"/>
        </w:trPr>
        <w:tc>
          <w:tcPr>
            <w:tcW w:w="2092" w:type="pct"/>
            <w:tcBorders>
              <w:top w:val="dotted" w:sz="4" w:space="0" w:color="auto"/>
              <w:left w:val="double" w:sz="4" w:space="0" w:color="auto"/>
              <w:bottom w:val="dotted" w:sz="4" w:space="0" w:color="auto"/>
              <w:right w:val="dotted" w:sz="4" w:space="0" w:color="auto"/>
            </w:tcBorders>
            <w:vAlign w:val="center"/>
          </w:tcPr>
          <w:p w14:paraId="6EF36D86"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15. Të tjera (15 = 16-(12+13+14))</w:t>
            </w:r>
            <w:r w:rsidRPr="00EE038F">
              <w:rPr>
                <w:rStyle w:val="FootnoteReference"/>
                <w:rFonts w:ascii="Garamond" w:hAnsi="Garamond"/>
                <w:sz w:val="18"/>
              </w:rPr>
              <w:footnoteReference w:id="23"/>
            </w:r>
          </w:p>
        </w:tc>
        <w:tc>
          <w:tcPr>
            <w:tcW w:w="485" w:type="pct"/>
            <w:tcBorders>
              <w:top w:val="dotted" w:sz="4" w:space="0" w:color="auto"/>
              <w:left w:val="dotted" w:sz="4" w:space="0" w:color="auto"/>
              <w:bottom w:val="dotted" w:sz="4" w:space="0" w:color="auto"/>
              <w:right w:val="single" w:sz="6" w:space="0" w:color="000000"/>
            </w:tcBorders>
            <w:vAlign w:val="center"/>
          </w:tcPr>
          <w:p w14:paraId="0BBD942F" w14:textId="77777777" w:rsidR="00C50585" w:rsidRPr="00EE038F" w:rsidRDefault="00C50585" w:rsidP="007C70E7">
            <w:pPr>
              <w:spacing w:after="0" w:line="240" w:lineRule="auto"/>
              <w:contextualSpacing/>
              <w:jc w:val="both"/>
              <w:rPr>
                <w:rFonts w:ascii="Garamond" w:hAnsi="Garamond"/>
                <w:sz w:val="18"/>
              </w:rPr>
            </w:pPr>
          </w:p>
        </w:tc>
        <w:tc>
          <w:tcPr>
            <w:tcW w:w="622" w:type="pct"/>
            <w:tcBorders>
              <w:top w:val="dotted" w:sz="4" w:space="0" w:color="auto"/>
              <w:left w:val="single" w:sz="6" w:space="0" w:color="000000"/>
              <w:bottom w:val="dotted" w:sz="4" w:space="0" w:color="auto"/>
              <w:right w:val="single" w:sz="4" w:space="0" w:color="auto"/>
            </w:tcBorders>
            <w:vAlign w:val="center"/>
          </w:tcPr>
          <w:p w14:paraId="02EA952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111.50</w:t>
            </w:r>
          </w:p>
        </w:tc>
        <w:tc>
          <w:tcPr>
            <w:tcW w:w="360" w:type="pct"/>
            <w:tcBorders>
              <w:top w:val="dotted" w:sz="4" w:space="0" w:color="auto"/>
              <w:left w:val="single" w:sz="4" w:space="0" w:color="auto"/>
              <w:bottom w:val="dotted" w:sz="4" w:space="0" w:color="auto"/>
              <w:right w:val="dotted" w:sz="4" w:space="0" w:color="auto"/>
            </w:tcBorders>
            <w:vAlign w:val="center"/>
          </w:tcPr>
          <w:p w14:paraId="7C680CD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4.7</w:t>
            </w:r>
          </w:p>
        </w:tc>
        <w:tc>
          <w:tcPr>
            <w:tcW w:w="360" w:type="pct"/>
            <w:tcBorders>
              <w:top w:val="dotted" w:sz="4" w:space="0" w:color="auto"/>
              <w:left w:val="dotted" w:sz="4" w:space="0" w:color="auto"/>
              <w:bottom w:val="dotted" w:sz="4" w:space="0" w:color="auto"/>
              <w:right w:val="dotted" w:sz="4" w:space="0" w:color="auto"/>
            </w:tcBorders>
            <w:vAlign w:val="center"/>
          </w:tcPr>
          <w:p w14:paraId="3EC0BB7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5.4</w:t>
            </w:r>
          </w:p>
        </w:tc>
        <w:tc>
          <w:tcPr>
            <w:tcW w:w="360" w:type="pct"/>
            <w:tcBorders>
              <w:top w:val="dotted" w:sz="4" w:space="0" w:color="auto"/>
              <w:left w:val="dotted" w:sz="4" w:space="0" w:color="auto"/>
              <w:bottom w:val="dotted" w:sz="4" w:space="0" w:color="auto"/>
              <w:right w:val="dotted" w:sz="4" w:space="0" w:color="auto"/>
            </w:tcBorders>
            <w:vAlign w:val="center"/>
          </w:tcPr>
          <w:p w14:paraId="02E4B9A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4.9</w:t>
            </w:r>
          </w:p>
        </w:tc>
        <w:tc>
          <w:tcPr>
            <w:tcW w:w="360" w:type="pct"/>
            <w:tcBorders>
              <w:top w:val="dotted" w:sz="4" w:space="0" w:color="auto"/>
              <w:left w:val="dotted" w:sz="4" w:space="0" w:color="auto"/>
              <w:bottom w:val="dotted" w:sz="4" w:space="0" w:color="auto"/>
              <w:right w:val="dotted" w:sz="4" w:space="0" w:color="auto"/>
            </w:tcBorders>
            <w:vAlign w:val="center"/>
          </w:tcPr>
          <w:p w14:paraId="1BB2BA9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4.9</w:t>
            </w:r>
          </w:p>
        </w:tc>
        <w:tc>
          <w:tcPr>
            <w:tcW w:w="363" w:type="pct"/>
            <w:tcBorders>
              <w:top w:val="dotted" w:sz="4" w:space="0" w:color="auto"/>
              <w:left w:val="dotted" w:sz="4" w:space="0" w:color="auto"/>
              <w:bottom w:val="dotted" w:sz="4" w:space="0" w:color="auto"/>
              <w:right w:val="double" w:sz="4" w:space="0" w:color="auto"/>
            </w:tcBorders>
            <w:vAlign w:val="center"/>
          </w:tcPr>
          <w:p w14:paraId="32AE2AC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5.1</w:t>
            </w:r>
          </w:p>
        </w:tc>
      </w:tr>
      <w:tr w:rsidR="00C50585" w:rsidRPr="00EE038F" w14:paraId="4FD2DD66" w14:textId="77777777" w:rsidTr="00FB5945">
        <w:trPr>
          <w:trHeight w:val="20"/>
          <w:jc w:val="center"/>
        </w:trPr>
        <w:tc>
          <w:tcPr>
            <w:tcW w:w="2092" w:type="pct"/>
            <w:tcBorders>
              <w:top w:val="dotted" w:sz="4" w:space="0" w:color="auto"/>
              <w:left w:val="double" w:sz="4" w:space="0" w:color="auto"/>
              <w:bottom w:val="dotted" w:sz="4" w:space="0" w:color="auto"/>
              <w:right w:val="dotted" w:sz="4" w:space="0" w:color="auto"/>
            </w:tcBorders>
            <w:vAlign w:val="center"/>
          </w:tcPr>
          <w:p w14:paraId="7E7AA97A"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16 = 6. Të ardhurat totale</w:t>
            </w:r>
          </w:p>
        </w:tc>
        <w:tc>
          <w:tcPr>
            <w:tcW w:w="485" w:type="pct"/>
            <w:tcBorders>
              <w:top w:val="dotted" w:sz="4" w:space="0" w:color="auto"/>
              <w:left w:val="dotted" w:sz="4" w:space="0" w:color="auto"/>
              <w:bottom w:val="dotted" w:sz="4" w:space="0" w:color="auto"/>
              <w:right w:val="single" w:sz="6" w:space="0" w:color="000000"/>
            </w:tcBorders>
            <w:vAlign w:val="center"/>
          </w:tcPr>
          <w:p w14:paraId="42C4ADAC"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TR</w:t>
            </w:r>
          </w:p>
        </w:tc>
        <w:tc>
          <w:tcPr>
            <w:tcW w:w="622" w:type="pct"/>
            <w:tcBorders>
              <w:top w:val="dotted" w:sz="4" w:space="0" w:color="auto"/>
              <w:left w:val="single" w:sz="6" w:space="0" w:color="000000"/>
              <w:bottom w:val="dotted" w:sz="4" w:space="0" w:color="auto"/>
              <w:right w:val="single" w:sz="4" w:space="0" w:color="auto"/>
            </w:tcBorders>
            <w:vAlign w:val="center"/>
          </w:tcPr>
          <w:p w14:paraId="0E477F2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643.68</w:t>
            </w:r>
          </w:p>
        </w:tc>
        <w:tc>
          <w:tcPr>
            <w:tcW w:w="360" w:type="pct"/>
            <w:tcBorders>
              <w:top w:val="dotted" w:sz="4" w:space="0" w:color="auto"/>
              <w:left w:val="single" w:sz="4" w:space="0" w:color="auto"/>
              <w:bottom w:val="dotted" w:sz="4" w:space="0" w:color="auto"/>
              <w:right w:val="dotted" w:sz="4" w:space="0" w:color="auto"/>
            </w:tcBorders>
            <w:vAlign w:val="center"/>
          </w:tcPr>
          <w:p w14:paraId="67E66CB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27.2</w:t>
            </w:r>
          </w:p>
        </w:tc>
        <w:tc>
          <w:tcPr>
            <w:tcW w:w="360" w:type="pct"/>
            <w:tcBorders>
              <w:top w:val="dotted" w:sz="4" w:space="0" w:color="auto"/>
              <w:left w:val="dotted" w:sz="4" w:space="0" w:color="auto"/>
              <w:bottom w:val="dotted" w:sz="4" w:space="0" w:color="auto"/>
              <w:right w:val="dotted" w:sz="4" w:space="0" w:color="auto"/>
            </w:tcBorders>
            <w:vAlign w:val="center"/>
          </w:tcPr>
          <w:p w14:paraId="0DE6598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28.6</w:t>
            </w:r>
          </w:p>
        </w:tc>
        <w:tc>
          <w:tcPr>
            <w:tcW w:w="360" w:type="pct"/>
            <w:tcBorders>
              <w:top w:val="dotted" w:sz="4" w:space="0" w:color="auto"/>
              <w:left w:val="dotted" w:sz="4" w:space="0" w:color="auto"/>
              <w:bottom w:val="dotted" w:sz="4" w:space="0" w:color="auto"/>
              <w:right w:val="dotted" w:sz="4" w:space="0" w:color="auto"/>
            </w:tcBorders>
            <w:vAlign w:val="center"/>
          </w:tcPr>
          <w:p w14:paraId="5904E20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28.9</w:t>
            </w:r>
          </w:p>
        </w:tc>
        <w:tc>
          <w:tcPr>
            <w:tcW w:w="360" w:type="pct"/>
            <w:tcBorders>
              <w:top w:val="dotted" w:sz="4" w:space="0" w:color="auto"/>
              <w:left w:val="dotted" w:sz="4" w:space="0" w:color="auto"/>
              <w:bottom w:val="dotted" w:sz="4" w:space="0" w:color="auto"/>
              <w:right w:val="dotted" w:sz="4" w:space="0" w:color="auto"/>
            </w:tcBorders>
            <w:vAlign w:val="center"/>
          </w:tcPr>
          <w:p w14:paraId="2B605F3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29.0</w:t>
            </w:r>
          </w:p>
        </w:tc>
        <w:tc>
          <w:tcPr>
            <w:tcW w:w="363" w:type="pct"/>
            <w:tcBorders>
              <w:top w:val="dotted" w:sz="4" w:space="0" w:color="auto"/>
              <w:left w:val="dotted" w:sz="4" w:space="0" w:color="auto"/>
              <w:bottom w:val="dotted" w:sz="4" w:space="0" w:color="auto"/>
              <w:right w:val="double" w:sz="4" w:space="0" w:color="auto"/>
            </w:tcBorders>
            <w:vAlign w:val="center"/>
          </w:tcPr>
          <w:p w14:paraId="2B329D8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29.3</w:t>
            </w:r>
          </w:p>
        </w:tc>
      </w:tr>
      <w:tr w:rsidR="00C50585" w:rsidRPr="00EE038F" w14:paraId="7438AB2C" w14:textId="77777777" w:rsidTr="00FB5945">
        <w:trPr>
          <w:trHeight w:val="20"/>
          <w:jc w:val="center"/>
        </w:trPr>
        <w:tc>
          <w:tcPr>
            <w:tcW w:w="2092" w:type="pct"/>
            <w:tcBorders>
              <w:top w:val="dotted" w:sz="4" w:space="0" w:color="auto"/>
              <w:left w:val="double" w:sz="4" w:space="0" w:color="auto"/>
              <w:bottom w:val="single" w:sz="6" w:space="0" w:color="000000"/>
              <w:right w:val="dotted" w:sz="4" w:space="0" w:color="auto"/>
            </w:tcBorders>
            <w:vAlign w:val="center"/>
          </w:tcPr>
          <w:p w14:paraId="67846E37" w14:textId="77777777" w:rsidR="00C50585" w:rsidRPr="00EE038F" w:rsidRDefault="00C50585" w:rsidP="00AA2487">
            <w:pPr>
              <w:spacing w:after="0" w:line="240" w:lineRule="auto"/>
              <w:ind w:firstLine="19"/>
              <w:contextualSpacing/>
              <w:jc w:val="both"/>
              <w:rPr>
                <w:rFonts w:ascii="Garamond" w:hAnsi="Garamond"/>
                <w:sz w:val="18"/>
              </w:rPr>
            </w:pPr>
            <w:r w:rsidRPr="00EE038F">
              <w:rPr>
                <w:rFonts w:ascii="Garamond" w:hAnsi="Garamond"/>
                <w:sz w:val="18"/>
              </w:rPr>
              <w:t>p.m.: Barra tatimore (D2+D5+D61+D91-D995)</w:t>
            </w:r>
            <w:r w:rsidRPr="00EE038F">
              <w:rPr>
                <w:rStyle w:val="FootnoteReference"/>
                <w:rFonts w:ascii="Garamond" w:hAnsi="Garamond"/>
                <w:sz w:val="18"/>
              </w:rPr>
              <w:footnoteReference w:id="24"/>
            </w:r>
          </w:p>
        </w:tc>
        <w:tc>
          <w:tcPr>
            <w:tcW w:w="485" w:type="pct"/>
            <w:tcBorders>
              <w:top w:val="dotted" w:sz="4" w:space="0" w:color="auto"/>
              <w:left w:val="dotted" w:sz="4" w:space="0" w:color="auto"/>
              <w:bottom w:val="single" w:sz="6" w:space="0" w:color="000000"/>
              <w:right w:val="single" w:sz="6" w:space="0" w:color="000000"/>
            </w:tcBorders>
            <w:vAlign w:val="center"/>
          </w:tcPr>
          <w:p w14:paraId="5E851DDA" w14:textId="77777777" w:rsidR="00C50585" w:rsidRPr="00EE038F" w:rsidRDefault="00C50585" w:rsidP="007C70E7">
            <w:pPr>
              <w:spacing w:after="0" w:line="240" w:lineRule="auto"/>
              <w:contextualSpacing/>
              <w:jc w:val="both"/>
              <w:rPr>
                <w:rFonts w:ascii="Garamond" w:hAnsi="Garamond"/>
                <w:sz w:val="18"/>
              </w:rPr>
            </w:pPr>
          </w:p>
        </w:tc>
        <w:tc>
          <w:tcPr>
            <w:tcW w:w="622" w:type="pct"/>
            <w:tcBorders>
              <w:top w:val="dotted" w:sz="4" w:space="0" w:color="auto"/>
              <w:left w:val="single" w:sz="6" w:space="0" w:color="000000"/>
              <w:bottom w:val="single" w:sz="6" w:space="0" w:color="000000"/>
              <w:right w:val="single" w:sz="4" w:space="0" w:color="auto"/>
            </w:tcBorders>
            <w:vAlign w:val="center"/>
          </w:tcPr>
          <w:p w14:paraId="33D7274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532.13</w:t>
            </w:r>
          </w:p>
        </w:tc>
        <w:tc>
          <w:tcPr>
            <w:tcW w:w="360" w:type="pct"/>
            <w:tcBorders>
              <w:top w:val="dotted" w:sz="4" w:space="0" w:color="auto"/>
              <w:left w:val="single" w:sz="4" w:space="0" w:color="auto"/>
              <w:bottom w:val="single" w:sz="6" w:space="0" w:color="000000"/>
              <w:right w:val="dotted" w:sz="4" w:space="0" w:color="auto"/>
            </w:tcBorders>
            <w:vAlign w:val="center"/>
          </w:tcPr>
          <w:p w14:paraId="600AF55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22.5</w:t>
            </w:r>
          </w:p>
        </w:tc>
        <w:tc>
          <w:tcPr>
            <w:tcW w:w="360" w:type="pct"/>
            <w:tcBorders>
              <w:top w:val="dotted" w:sz="4" w:space="0" w:color="auto"/>
              <w:left w:val="dotted" w:sz="4" w:space="0" w:color="auto"/>
              <w:bottom w:val="single" w:sz="6" w:space="0" w:color="000000"/>
              <w:right w:val="dotted" w:sz="4" w:space="0" w:color="auto"/>
            </w:tcBorders>
            <w:vAlign w:val="center"/>
          </w:tcPr>
          <w:p w14:paraId="1F739C1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23.2</w:t>
            </w:r>
          </w:p>
        </w:tc>
        <w:tc>
          <w:tcPr>
            <w:tcW w:w="360" w:type="pct"/>
            <w:tcBorders>
              <w:top w:val="dotted" w:sz="4" w:space="0" w:color="auto"/>
              <w:left w:val="dotted" w:sz="4" w:space="0" w:color="auto"/>
              <w:bottom w:val="single" w:sz="6" w:space="0" w:color="000000"/>
              <w:right w:val="dotted" w:sz="4" w:space="0" w:color="auto"/>
            </w:tcBorders>
            <w:vAlign w:val="center"/>
          </w:tcPr>
          <w:p w14:paraId="31381E1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24.0</w:t>
            </w:r>
          </w:p>
        </w:tc>
        <w:tc>
          <w:tcPr>
            <w:tcW w:w="360" w:type="pct"/>
            <w:tcBorders>
              <w:top w:val="dotted" w:sz="4" w:space="0" w:color="auto"/>
              <w:left w:val="dotted" w:sz="4" w:space="0" w:color="auto"/>
              <w:bottom w:val="single" w:sz="6" w:space="0" w:color="000000"/>
              <w:right w:val="dotted" w:sz="4" w:space="0" w:color="auto"/>
            </w:tcBorders>
            <w:vAlign w:val="center"/>
          </w:tcPr>
          <w:p w14:paraId="50E7E66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24.1</w:t>
            </w:r>
          </w:p>
        </w:tc>
        <w:tc>
          <w:tcPr>
            <w:tcW w:w="363" w:type="pct"/>
            <w:tcBorders>
              <w:top w:val="dotted" w:sz="4" w:space="0" w:color="auto"/>
              <w:left w:val="dotted" w:sz="4" w:space="0" w:color="auto"/>
              <w:bottom w:val="single" w:sz="6" w:space="0" w:color="000000"/>
              <w:right w:val="double" w:sz="4" w:space="0" w:color="auto"/>
            </w:tcBorders>
            <w:vAlign w:val="center"/>
          </w:tcPr>
          <w:p w14:paraId="6B7EA2C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24.1</w:t>
            </w:r>
          </w:p>
        </w:tc>
      </w:tr>
    </w:tbl>
    <w:p w14:paraId="069371C6" w14:textId="77777777" w:rsidR="00C50585" w:rsidRPr="00EE038F" w:rsidRDefault="00C50585" w:rsidP="00C50585">
      <w:pPr>
        <w:spacing w:after="0" w:line="240" w:lineRule="auto"/>
        <w:contextualSpacing/>
        <w:jc w:val="both"/>
        <w:rPr>
          <w:rFonts w:ascii="Garamond" w:hAnsi="Garamond"/>
          <w:b/>
          <w:color w:val="0D0D0D" w:themeColor="text1" w:themeTint="F2"/>
        </w:rPr>
      </w:pPr>
    </w:p>
    <w:p w14:paraId="618066EF" w14:textId="77777777" w:rsidR="00C50585" w:rsidRPr="00EE038F" w:rsidRDefault="00C50585" w:rsidP="00066DFC">
      <w:pPr>
        <w:spacing w:after="0" w:line="240" w:lineRule="auto"/>
        <w:contextualSpacing/>
        <w:jc w:val="center"/>
        <w:rPr>
          <w:rFonts w:ascii="Garamond" w:hAnsi="Garamond"/>
          <w:bCs/>
          <w:i/>
          <w:iCs/>
          <w:color w:val="0D0D0D" w:themeColor="text1" w:themeTint="F2"/>
          <w:sz w:val="24"/>
          <w:szCs w:val="24"/>
        </w:rPr>
      </w:pPr>
      <w:r w:rsidRPr="00EE038F">
        <w:rPr>
          <w:rFonts w:ascii="Garamond" w:hAnsi="Garamond"/>
          <w:bCs/>
          <w:i/>
          <w:iCs/>
          <w:color w:val="0D0D0D" w:themeColor="text1" w:themeTint="F2"/>
          <w:sz w:val="24"/>
          <w:szCs w:val="24"/>
        </w:rPr>
        <w:t>Tabela 2a: (vazhdim)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470"/>
        <w:gridCol w:w="54"/>
        <w:gridCol w:w="1142"/>
        <w:gridCol w:w="1072"/>
        <w:gridCol w:w="649"/>
        <w:gridCol w:w="649"/>
        <w:gridCol w:w="649"/>
        <w:gridCol w:w="649"/>
        <w:gridCol w:w="656"/>
      </w:tblGrid>
      <w:tr w:rsidR="00C50585" w:rsidRPr="00EE038F" w14:paraId="4E9CD644" w14:textId="77777777" w:rsidTr="00AA2487">
        <w:trPr>
          <w:trHeight w:val="20"/>
          <w:jc w:val="center"/>
        </w:trPr>
        <w:tc>
          <w:tcPr>
            <w:tcW w:w="1960" w:type="pct"/>
            <w:gridSpan w:val="2"/>
            <w:tcBorders>
              <w:top w:val="single" w:sz="4" w:space="0" w:color="auto"/>
              <w:left w:val="double" w:sz="4" w:space="0" w:color="auto"/>
              <w:bottom w:val="nil"/>
              <w:right w:val="dotted" w:sz="4" w:space="0" w:color="auto"/>
            </w:tcBorders>
            <w:vAlign w:val="center"/>
          </w:tcPr>
          <w:p w14:paraId="15F9CCE6" w14:textId="77777777" w:rsidR="00C50585" w:rsidRPr="00EE038F" w:rsidRDefault="00C50585" w:rsidP="007C70E7">
            <w:pPr>
              <w:spacing w:after="0" w:line="240" w:lineRule="auto"/>
              <w:contextualSpacing/>
              <w:jc w:val="both"/>
              <w:rPr>
                <w:rFonts w:ascii="Garamond" w:hAnsi="Garamond"/>
                <w:b/>
                <w:bCs/>
                <w:sz w:val="18"/>
              </w:rPr>
            </w:pPr>
          </w:p>
        </w:tc>
        <w:tc>
          <w:tcPr>
            <w:tcW w:w="635" w:type="pct"/>
            <w:vMerge w:val="restart"/>
            <w:tcBorders>
              <w:top w:val="single" w:sz="4" w:space="0" w:color="auto"/>
              <w:left w:val="dotted" w:sz="4" w:space="0" w:color="auto"/>
              <w:bottom w:val="single" w:sz="6" w:space="0" w:color="000000"/>
              <w:right w:val="single" w:sz="6" w:space="0" w:color="000000"/>
            </w:tcBorders>
            <w:vAlign w:val="center"/>
          </w:tcPr>
          <w:p w14:paraId="2B364083"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Kodi</w:t>
            </w:r>
          </w:p>
          <w:p w14:paraId="5B55BAD4"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ESA</w:t>
            </w:r>
          </w:p>
        </w:tc>
        <w:tc>
          <w:tcPr>
            <w:tcW w:w="596" w:type="pct"/>
            <w:tcBorders>
              <w:top w:val="single" w:sz="4" w:space="0" w:color="auto"/>
              <w:left w:val="single" w:sz="6" w:space="0" w:color="000000"/>
              <w:bottom w:val="dotted" w:sz="4" w:space="0" w:color="auto"/>
              <w:right w:val="single" w:sz="4" w:space="0" w:color="auto"/>
            </w:tcBorders>
            <w:vAlign w:val="center"/>
          </w:tcPr>
          <w:p w14:paraId="02ED3DAC"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w:t>
            </w:r>
          </w:p>
          <w:p w14:paraId="62639D1D"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2023</w:t>
            </w:r>
          </w:p>
        </w:tc>
        <w:tc>
          <w:tcPr>
            <w:tcW w:w="361" w:type="pct"/>
            <w:tcBorders>
              <w:top w:val="single" w:sz="4" w:space="0" w:color="auto"/>
              <w:left w:val="single" w:sz="4" w:space="0" w:color="auto"/>
              <w:bottom w:val="dotted" w:sz="4" w:space="0" w:color="auto"/>
              <w:right w:val="dotted" w:sz="4" w:space="0" w:color="auto"/>
            </w:tcBorders>
            <w:vAlign w:val="center"/>
          </w:tcPr>
          <w:p w14:paraId="228F5322"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2023</w:t>
            </w:r>
          </w:p>
        </w:tc>
        <w:tc>
          <w:tcPr>
            <w:tcW w:w="361" w:type="pct"/>
            <w:tcBorders>
              <w:top w:val="single" w:sz="4" w:space="0" w:color="auto"/>
              <w:left w:val="dotted" w:sz="4" w:space="0" w:color="auto"/>
              <w:bottom w:val="dotted" w:sz="4" w:space="0" w:color="auto"/>
              <w:right w:val="dotted" w:sz="4" w:space="0" w:color="auto"/>
            </w:tcBorders>
            <w:vAlign w:val="center"/>
          </w:tcPr>
          <w:p w14:paraId="6F74F18D"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2024</w:t>
            </w:r>
          </w:p>
        </w:tc>
        <w:tc>
          <w:tcPr>
            <w:tcW w:w="361" w:type="pct"/>
            <w:tcBorders>
              <w:top w:val="single" w:sz="4" w:space="0" w:color="auto"/>
              <w:left w:val="dotted" w:sz="4" w:space="0" w:color="auto"/>
              <w:bottom w:val="dotted" w:sz="4" w:space="0" w:color="auto"/>
              <w:right w:val="dotted" w:sz="4" w:space="0" w:color="auto"/>
            </w:tcBorders>
            <w:vAlign w:val="center"/>
          </w:tcPr>
          <w:p w14:paraId="7463A2E2"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2025</w:t>
            </w:r>
          </w:p>
        </w:tc>
        <w:tc>
          <w:tcPr>
            <w:tcW w:w="361" w:type="pct"/>
            <w:tcBorders>
              <w:top w:val="single" w:sz="4" w:space="0" w:color="auto"/>
              <w:left w:val="dotted" w:sz="4" w:space="0" w:color="auto"/>
              <w:bottom w:val="dotted" w:sz="4" w:space="0" w:color="auto"/>
              <w:right w:val="dotted" w:sz="4" w:space="0" w:color="auto"/>
            </w:tcBorders>
            <w:vAlign w:val="center"/>
          </w:tcPr>
          <w:p w14:paraId="2D6CB143"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2026</w:t>
            </w:r>
          </w:p>
        </w:tc>
        <w:tc>
          <w:tcPr>
            <w:tcW w:w="366" w:type="pct"/>
            <w:tcBorders>
              <w:top w:val="single" w:sz="4" w:space="0" w:color="auto"/>
              <w:left w:val="dotted" w:sz="4" w:space="0" w:color="auto"/>
              <w:bottom w:val="dotted" w:sz="4" w:space="0" w:color="auto"/>
              <w:right w:val="double" w:sz="4" w:space="0" w:color="auto"/>
            </w:tcBorders>
            <w:vAlign w:val="center"/>
          </w:tcPr>
          <w:p w14:paraId="3DD9263D"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2027</w:t>
            </w:r>
          </w:p>
        </w:tc>
      </w:tr>
      <w:tr w:rsidR="00C50585" w:rsidRPr="00EE038F" w14:paraId="1F9669E4" w14:textId="77777777" w:rsidTr="00AA2487">
        <w:trPr>
          <w:trHeight w:val="20"/>
          <w:jc w:val="center"/>
        </w:trPr>
        <w:tc>
          <w:tcPr>
            <w:tcW w:w="1960" w:type="pct"/>
            <w:gridSpan w:val="2"/>
            <w:tcBorders>
              <w:top w:val="nil"/>
              <w:left w:val="double" w:sz="4" w:space="0" w:color="auto"/>
              <w:bottom w:val="single" w:sz="6" w:space="0" w:color="000000"/>
              <w:right w:val="dotted" w:sz="4" w:space="0" w:color="auto"/>
            </w:tcBorders>
            <w:vAlign w:val="center"/>
          </w:tcPr>
          <w:p w14:paraId="71D4BBF4" w14:textId="77777777" w:rsidR="00C50585" w:rsidRPr="00EE038F" w:rsidRDefault="00C50585" w:rsidP="007C70E7">
            <w:pPr>
              <w:spacing w:after="0" w:line="240" w:lineRule="auto"/>
              <w:contextualSpacing/>
              <w:jc w:val="both"/>
              <w:rPr>
                <w:rFonts w:ascii="Garamond" w:hAnsi="Garamond"/>
                <w:b/>
                <w:bCs/>
                <w:sz w:val="18"/>
              </w:rPr>
            </w:pPr>
          </w:p>
        </w:tc>
        <w:tc>
          <w:tcPr>
            <w:tcW w:w="635" w:type="pct"/>
            <w:vMerge/>
            <w:tcBorders>
              <w:left w:val="dotted" w:sz="4" w:space="0" w:color="auto"/>
              <w:bottom w:val="single" w:sz="6" w:space="0" w:color="000000"/>
              <w:right w:val="single" w:sz="6" w:space="0" w:color="000000"/>
            </w:tcBorders>
            <w:vAlign w:val="center"/>
          </w:tcPr>
          <w:p w14:paraId="093B63E6" w14:textId="77777777" w:rsidR="00C50585" w:rsidRPr="00EE038F" w:rsidRDefault="00C50585" w:rsidP="007C70E7">
            <w:pPr>
              <w:spacing w:after="0" w:line="240" w:lineRule="auto"/>
              <w:contextualSpacing/>
              <w:jc w:val="both"/>
              <w:rPr>
                <w:rFonts w:ascii="Garamond" w:hAnsi="Garamond"/>
                <w:b/>
                <w:bCs/>
                <w:sz w:val="18"/>
              </w:rPr>
            </w:pPr>
          </w:p>
        </w:tc>
        <w:tc>
          <w:tcPr>
            <w:tcW w:w="596" w:type="pct"/>
            <w:tcBorders>
              <w:top w:val="dotted" w:sz="4" w:space="0" w:color="auto"/>
              <w:left w:val="single" w:sz="6" w:space="0" w:color="000000"/>
              <w:bottom w:val="single" w:sz="6" w:space="0" w:color="000000"/>
              <w:right w:val="single" w:sz="4" w:space="0" w:color="auto"/>
            </w:tcBorders>
            <w:vAlign w:val="center"/>
          </w:tcPr>
          <w:p w14:paraId="46742387"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Niveli</w:t>
            </w:r>
          </w:p>
          <w:p w14:paraId="7083DBFD"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color w:val="0D0D0D" w:themeColor="text1" w:themeTint="F2"/>
                <w:sz w:val="18"/>
              </w:rPr>
              <w:t>(mld LEK)</w:t>
            </w:r>
          </w:p>
        </w:tc>
        <w:tc>
          <w:tcPr>
            <w:tcW w:w="1810" w:type="pct"/>
            <w:gridSpan w:val="5"/>
            <w:tcBorders>
              <w:top w:val="dotted" w:sz="4" w:space="0" w:color="auto"/>
              <w:left w:val="single" w:sz="4" w:space="0" w:color="auto"/>
              <w:bottom w:val="single" w:sz="6" w:space="0" w:color="000000"/>
              <w:right w:val="double" w:sz="4" w:space="0" w:color="auto"/>
            </w:tcBorders>
            <w:vAlign w:val="center"/>
          </w:tcPr>
          <w:p w14:paraId="0D9B72F9"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 e PBB-së</w:t>
            </w:r>
          </w:p>
        </w:tc>
      </w:tr>
      <w:tr w:rsidR="00C50585" w:rsidRPr="00EE038F" w14:paraId="1F90FA6F" w14:textId="77777777" w:rsidTr="00FB5945">
        <w:trPr>
          <w:trHeight w:val="20"/>
          <w:jc w:val="center"/>
        </w:trPr>
        <w:tc>
          <w:tcPr>
            <w:tcW w:w="5000" w:type="pct"/>
            <w:gridSpan w:val="9"/>
            <w:tcBorders>
              <w:top w:val="single" w:sz="6" w:space="0" w:color="000000"/>
              <w:left w:val="double" w:sz="4" w:space="0" w:color="auto"/>
              <w:bottom w:val="single" w:sz="4" w:space="0" w:color="auto"/>
              <w:right w:val="double" w:sz="4" w:space="0" w:color="auto"/>
            </w:tcBorders>
            <w:vAlign w:val="center"/>
          </w:tcPr>
          <w:p w14:paraId="6869027A"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b/>
                <w:bCs/>
                <w:color w:val="0D0D0D" w:themeColor="text1" w:themeTint="F2"/>
                <w:sz w:val="18"/>
              </w:rPr>
              <w:t>Komponentët e zgjedhur të shpenzimeve</w:t>
            </w:r>
          </w:p>
        </w:tc>
      </w:tr>
      <w:tr w:rsidR="00C50585" w:rsidRPr="00EE038F" w14:paraId="66F3DCC2" w14:textId="77777777" w:rsidTr="00AA2487">
        <w:trPr>
          <w:trHeight w:val="20"/>
          <w:jc w:val="center"/>
        </w:trPr>
        <w:tc>
          <w:tcPr>
            <w:tcW w:w="1930" w:type="pct"/>
            <w:tcBorders>
              <w:top w:val="single" w:sz="4" w:space="0" w:color="auto"/>
              <w:left w:val="double" w:sz="4" w:space="0" w:color="auto"/>
              <w:bottom w:val="dotted" w:sz="4" w:space="0" w:color="auto"/>
              <w:right w:val="dotted" w:sz="4" w:space="0" w:color="auto"/>
            </w:tcBorders>
          </w:tcPr>
          <w:p w14:paraId="17E42E52"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17. Konsumi kolektiv</w:t>
            </w:r>
          </w:p>
        </w:tc>
        <w:tc>
          <w:tcPr>
            <w:tcW w:w="665" w:type="pct"/>
            <w:gridSpan w:val="2"/>
            <w:tcBorders>
              <w:top w:val="single" w:sz="4" w:space="0" w:color="auto"/>
              <w:left w:val="dotted" w:sz="4" w:space="0" w:color="auto"/>
              <w:bottom w:val="dotted" w:sz="4" w:space="0" w:color="auto"/>
              <w:right w:val="single" w:sz="6" w:space="0" w:color="000000"/>
            </w:tcBorders>
            <w:vAlign w:val="center"/>
          </w:tcPr>
          <w:p w14:paraId="27D1C9E5"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P32</w:t>
            </w:r>
          </w:p>
        </w:tc>
        <w:tc>
          <w:tcPr>
            <w:tcW w:w="596" w:type="pct"/>
            <w:tcBorders>
              <w:top w:val="single" w:sz="4" w:space="0" w:color="auto"/>
              <w:left w:val="single" w:sz="6" w:space="0" w:color="000000"/>
              <w:bottom w:val="dotted" w:sz="4" w:space="0" w:color="auto"/>
              <w:right w:val="single" w:sz="4" w:space="0" w:color="auto"/>
            </w:tcBorders>
            <w:vAlign w:val="center"/>
          </w:tcPr>
          <w:p w14:paraId="363B2252"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200.26</w:t>
            </w:r>
          </w:p>
        </w:tc>
        <w:tc>
          <w:tcPr>
            <w:tcW w:w="361" w:type="pct"/>
            <w:tcBorders>
              <w:top w:val="single" w:sz="4" w:space="0" w:color="auto"/>
              <w:left w:val="single" w:sz="4" w:space="0" w:color="auto"/>
              <w:bottom w:val="dotted" w:sz="4" w:space="0" w:color="auto"/>
              <w:right w:val="dotted" w:sz="4" w:space="0" w:color="auto"/>
            </w:tcBorders>
            <w:vAlign w:val="center"/>
          </w:tcPr>
          <w:p w14:paraId="15A06C3F"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8.5</w:t>
            </w:r>
          </w:p>
        </w:tc>
        <w:tc>
          <w:tcPr>
            <w:tcW w:w="361" w:type="pct"/>
            <w:tcBorders>
              <w:top w:val="single" w:sz="4" w:space="0" w:color="auto"/>
              <w:left w:val="dotted" w:sz="4" w:space="0" w:color="auto"/>
              <w:bottom w:val="dotted" w:sz="4" w:space="0" w:color="auto"/>
              <w:right w:val="dotted" w:sz="4" w:space="0" w:color="auto"/>
            </w:tcBorders>
            <w:vAlign w:val="center"/>
          </w:tcPr>
          <w:p w14:paraId="4665792A"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9.4</w:t>
            </w:r>
          </w:p>
        </w:tc>
        <w:tc>
          <w:tcPr>
            <w:tcW w:w="361" w:type="pct"/>
            <w:tcBorders>
              <w:top w:val="single" w:sz="4" w:space="0" w:color="auto"/>
              <w:left w:val="dotted" w:sz="4" w:space="0" w:color="auto"/>
              <w:bottom w:val="dotted" w:sz="4" w:space="0" w:color="auto"/>
              <w:right w:val="dotted" w:sz="4" w:space="0" w:color="auto"/>
            </w:tcBorders>
            <w:vAlign w:val="center"/>
          </w:tcPr>
          <w:p w14:paraId="3DE616A7"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9.3</w:t>
            </w:r>
          </w:p>
        </w:tc>
        <w:tc>
          <w:tcPr>
            <w:tcW w:w="361" w:type="pct"/>
            <w:tcBorders>
              <w:top w:val="single" w:sz="4" w:space="0" w:color="auto"/>
              <w:left w:val="dotted" w:sz="4" w:space="0" w:color="auto"/>
              <w:bottom w:val="dotted" w:sz="4" w:space="0" w:color="auto"/>
              <w:right w:val="dotted" w:sz="4" w:space="0" w:color="auto"/>
            </w:tcBorders>
            <w:vAlign w:val="center"/>
          </w:tcPr>
          <w:p w14:paraId="3EFFC8B4"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9.1</w:t>
            </w:r>
          </w:p>
        </w:tc>
        <w:tc>
          <w:tcPr>
            <w:tcW w:w="366" w:type="pct"/>
            <w:tcBorders>
              <w:top w:val="single" w:sz="4" w:space="0" w:color="auto"/>
              <w:left w:val="dotted" w:sz="4" w:space="0" w:color="auto"/>
              <w:bottom w:val="dotted" w:sz="4" w:space="0" w:color="auto"/>
              <w:right w:val="double" w:sz="4" w:space="0" w:color="auto"/>
            </w:tcBorders>
            <w:vAlign w:val="center"/>
          </w:tcPr>
          <w:p w14:paraId="75C37887"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8.9</w:t>
            </w:r>
          </w:p>
        </w:tc>
      </w:tr>
      <w:tr w:rsidR="00C50585" w:rsidRPr="00EE038F" w14:paraId="3D531E69" w14:textId="77777777" w:rsidTr="00AA2487">
        <w:trPr>
          <w:trHeight w:val="20"/>
          <w:jc w:val="center"/>
        </w:trPr>
        <w:tc>
          <w:tcPr>
            <w:tcW w:w="1930" w:type="pct"/>
            <w:tcBorders>
              <w:top w:val="dotted" w:sz="4" w:space="0" w:color="auto"/>
              <w:left w:val="double" w:sz="4" w:space="0" w:color="auto"/>
              <w:bottom w:val="dotted" w:sz="4" w:space="0" w:color="auto"/>
              <w:right w:val="dotted" w:sz="4" w:space="0" w:color="auto"/>
            </w:tcBorders>
          </w:tcPr>
          <w:p w14:paraId="3468F949"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18. Totali i transfertave sociale</w:t>
            </w:r>
          </w:p>
        </w:tc>
        <w:tc>
          <w:tcPr>
            <w:tcW w:w="665" w:type="pct"/>
            <w:gridSpan w:val="2"/>
            <w:tcBorders>
              <w:top w:val="dotted" w:sz="4" w:space="0" w:color="auto"/>
              <w:left w:val="dotted" w:sz="4" w:space="0" w:color="auto"/>
              <w:bottom w:val="dotted" w:sz="4" w:space="0" w:color="auto"/>
              <w:right w:val="single" w:sz="6" w:space="0" w:color="000000"/>
            </w:tcBorders>
            <w:vAlign w:val="center"/>
          </w:tcPr>
          <w:p w14:paraId="3A303432"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D62 + D63</w:t>
            </w:r>
          </w:p>
        </w:tc>
        <w:tc>
          <w:tcPr>
            <w:tcW w:w="596" w:type="pct"/>
            <w:tcBorders>
              <w:top w:val="dotted" w:sz="4" w:space="0" w:color="auto"/>
              <w:left w:val="single" w:sz="6" w:space="0" w:color="000000"/>
              <w:bottom w:val="dotted" w:sz="4" w:space="0" w:color="auto"/>
              <w:right w:val="single" w:sz="4" w:space="0" w:color="auto"/>
            </w:tcBorders>
            <w:vAlign w:val="center"/>
          </w:tcPr>
          <w:p w14:paraId="664F315C"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257.74</w:t>
            </w:r>
          </w:p>
        </w:tc>
        <w:tc>
          <w:tcPr>
            <w:tcW w:w="361" w:type="pct"/>
            <w:tcBorders>
              <w:top w:val="dotted" w:sz="4" w:space="0" w:color="auto"/>
              <w:left w:val="single" w:sz="4" w:space="0" w:color="auto"/>
              <w:bottom w:val="dotted" w:sz="4" w:space="0" w:color="auto"/>
              <w:right w:val="dotted" w:sz="4" w:space="0" w:color="auto"/>
            </w:tcBorders>
            <w:vAlign w:val="center"/>
          </w:tcPr>
          <w:p w14:paraId="07259667"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10.9</w:t>
            </w:r>
          </w:p>
        </w:tc>
        <w:tc>
          <w:tcPr>
            <w:tcW w:w="361" w:type="pct"/>
            <w:tcBorders>
              <w:top w:val="dotted" w:sz="4" w:space="0" w:color="auto"/>
              <w:left w:val="dotted" w:sz="4" w:space="0" w:color="auto"/>
              <w:bottom w:val="dotted" w:sz="4" w:space="0" w:color="auto"/>
              <w:right w:val="dotted" w:sz="4" w:space="0" w:color="auto"/>
            </w:tcBorders>
            <w:vAlign w:val="center"/>
          </w:tcPr>
          <w:p w14:paraId="4807AA2F"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11.3</w:t>
            </w:r>
          </w:p>
        </w:tc>
        <w:tc>
          <w:tcPr>
            <w:tcW w:w="361" w:type="pct"/>
            <w:tcBorders>
              <w:top w:val="dotted" w:sz="4" w:space="0" w:color="auto"/>
              <w:left w:val="dotted" w:sz="4" w:space="0" w:color="auto"/>
              <w:bottom w:val="dotted" w:sz="4" w:space="0" w:color="auto"/>
              <w:right w:val="dotted" w:sz="4" w:space="0" w:color="auto"/>
            </w:tcBorders>
            <w:vAlign w:val="center"/>
          </w:tcPr>
          <w:p w14:paraId="6918B2D3"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11.1</w:t>
            </w:r>
          </w:p>
        </w:tc>
        <w:tc>
          <w:tcPr>
            <w:tcW w:w="361" w:type="pct"/>
            <w:tcBorders>
              <w:top w:val="dotted" w:sz="4" w:space="0" w:color="auto"/>
              <w:left w:val="dotted" w:sz="4" w:space="0" w:color="auto"/>
              <w:bottom w:val="dotted" w:sz="4" w:space="0" w:color="auto"/>
              <w:right w:val="dotted" w:sz="4" w:space="0" w:color="auto"/>
            </w:tcBorders>
            <w:vAlign w:val="center"/>
          </w:tcPr>
          <w:p w14:paraId="73913C1D"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11.0</w:t>
            </w:r>
          </w:p>
        </w:tc>
        <w:tc>
          <w:tcPr>
            <w:tcW w:w="366" w:type="pct"/>
            <w:tcBorders>
              <w:top w:val="dotted" w:sz="4" w:space="0" w:color="auto"/>
              <w:left w:val="dotted" w:sz="4" w:space="0" w:color="auto"/>
              <w:bottom w:val="dotted" w:sz="4" w:space="0" w:color="auto"/>
              <w:right w:val="double" w:sz="4" w:space="0" w:color="auto"/>
            </w:tcBorders>
            <w:vAlign w:val="center"/>
          </w:tcPr>
          <w:p w14:paraId="25BC2138"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11.1</w:t>
            </w:r>
          </w:p>
        </w:tc>
      </w:tr>
      <w:tr w:rsidR="00C50585" w:rsidRPr="00EE038F" w14:paraId="26786C12" w14:textId="77777777" w:rsidTr="00AA2487">
        <w:trPr>
          <w:trHeight w:val="20"/>
          <w:jc w:val="center"/>
        </w:trPr>
        <w:tc>
          <w:tcPr>
            <w:tcW w:w="1930" w:type="pct"/>
            <w:tcBorders>
              <w:top w:val="dotted" w:sz="4" w:space="0" w:color="auto"/>
              <w:left w:val="double" w:sz="4" w:space="0" w:color="auto"/>
              <w:bottom w:val="dotted" w:sz="4" w:space="0" w:color="auto"/>
              <w:right w:val="dotted" w:sz="4" w:space="0" w:color="auto"/>
            </w:tcBorders>
          </w:tcPr>
          <w:p w14:paraId="38C27D68"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18a. Transfertat sociale në natyrë</w:t>
            </w:r>
          </w:p>
        </w:tc>
        <w:tc>
          <w:tcPr>
            <w:tcW w:w="665" w:type="pct"/>
            <w:gridSpan w:val="2"/>
            <w:tcBorders>
              <w:top w:val="dotted" w:sz="4" w:space="0" w:color="auto"/>
              <w:left w:val="dotted" w:sz="4" w:space="0" w:color="auto"/>
              <w:bottom w:val="dotted" w:sz="4" w:space="0" w:color="auto"/>
              <w:right w:val="single" w:sz="6" w:space="0" w:color="000000"/>
            </w:tcBorders>
            <w:vAlign w:val="center"/>
          </w:tcPr>
          <w:p w14:paraId="1851E1C4"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P31 = D63</w:t>
            </w:r>
          </w:p>
        </w:tc>
        <w:tc>
          <w:tcPr>
            <w:tcW w:w="596" w:type="pct"/>
            <w:tcBorders>
              <w:top w:val="dotted" w:sz="4" w:space="0" w:color="auto"/>
              <w:left w:val="single" w:sz="6" w:space="0" w:color="000000"/>
              <w:bottom w:val="dotted" w:sz="4" w:space="0" w:color="auto"/>
              <w:right w:val="single" w:sz="4" w:space="0" w:color="auto"/>
            </w:tcBorders>
            <w:vAlign w:val="center"/>
          </w:tcPr>
          <w:p w14:paraId="184ECDA9"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w:t>
            </w:r>
          </w:p>
        </w:tc>
        <w:tc>
          <w:tcPr>
            <w:tcW w:w="361" w:type="pct"/>
            <w:tcBorders>
              <w:top w:val="dotted" w:sz="4" w:space="0" w:color="auto"/>
              <w:left w:val="single" w:sz="4" w:space="0" w:color="auto"/>
              <w:bottom w:val="dotted" w:sz="4" w:space="0" w:color="auto"/>
              <w:right w:val="dotted" w:sz="4" w:space="0" w:color="auto"/>
            </w:tcBorders>
            <w:vAlign w:val="center"/>
          </w:tcPr>
          <w:p w14:paraId="22347B60"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w:t>
            </w:r>
          </w:p>
        </w:tc>
        <w:tc>
          <w:tcPr>
            <w:tcW w:w="361" w:type="pct"/>
            <w:tcBorders>
              <w:top w:val="dotted" w:sz="4" w:space="0" w:color="auto"/>
              <w:left w:val="dotted" w:sz="4" w:space="0" w:color="auto"/>
              <w:bottom w:val="dotted" w:sz="4" w:space="0" w:color="auto"/>
              <w:right w:val="dotted" w:sz="4" w:space="0" w:color="auto"/>
            </w:tcBorders>
            <w:vAlign w:val="center"/>
          </w:tcPr>
          <w:p w14:paraId="526DE771"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w:t>
            </w:r>
          </w:p>
        </w:tc>
        <w:tc>
          <w:tcPr>
            <w:tcW w:w="361" w:type="pct"/>
            <w:tcBorders>
              <w:top w:val="dotted" w:sz="4" w:space="0" w:color="auto"/>
              <w:left w:val="dotted" w:sz="4" w:space="0" w:color="auto"/>
              <w:bottom w:val="dotted" w:sz="4" w:space="0" w:color="auto"/>
              <w:right w:val="dotted" w:sz="4" w:space="0" w:color="auto"/>
            </w:tcBorders>
            <w:vAlign w:val="center"/>
          </w:tcPr>
          <w:p w14:paraId="5D54C486"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w:t>
            </w:r>
          </w:p>
        </w:tc>
        <w:tc>
          <w:tcPr>
            <w:tcW w:w="361" w:type="pct"/>
            <w:tcBorders>
              <w:top w:val="dotted" w:sz="4" w:space="0" w:color="auto"/>
              <w:left w:val="dotted" w:sz="4" w:space="0" w:color="auto"/>
              <w:bottom w:val="dotted" w:sz="4" w:space="0" w:color="auto"/>
              <w:right w:val="dotted" w:sz="4" w:space="0" w:color="auto"/>
            </w:tcBorders>
            <w:vAlign w:val="center"/>
          </w:tcPr>
          <w:p w14:paraId="180426CB"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w:t>
            </w:r>
          </w:p>
        </w:tc>
        <w:tc>
          <w:tcPr>
            <w:tcW w:w="366" w:type="pct"/>
            <w:tcBorders>
              <w:top w:val="dotted" w:sz="4" w:space="0" w:color="auto"/>
              <w:left w:val="dotted" w:sz="4" w:space="0" w:color="auto"/>
              <w:bottom w:val="dotted" w:sz="4" w:space="0" w:color="auto"/>
              <w:right w:val="double" w:sz="4" w:space="0" w:color="auto"/>
            </w:tcBorders>
            <w:vAlign w:val="center"/>
          </w:tcPr>
          <w:p w14:paraId="7250F29D"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572E0690" w14:textId="77777777" w:rsidTr="00AA2487">
        <w:trPr>
          <w:trHeight w:val="20"/>
          <w:jc w:val="center"/>
        </w:trPr>
        <w:tc>
          <w:tcPr>
            <w:tcW w:w="1930" w:type="pct"/>
            <w:tcBorders>
              <w:top w:val="dotted" w:sz="4" w:space="0" w:color="auto"/>
              <w:left w:val="double" w:sz="4" w:space="0" w:color="auto"/>
              <w:bottom w:val="dotted" w:sz="4" w:space="0" w:color="auto"/>
              <w:right w:val="dotted" w:sz="4" w:space="0" w:color="auto"/>
            </w:tcBorders>
          </w:tcPr>
          <w:p w14:paraId="74D6ABE7"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18b. Transfertat sociale përveç në natyrë</w:t>
            </w:r>
          </w:p>
        </w:tc>
        <w:tc>
          <w:tcPr>
            <w:tcW w:w="665" w:type="pct"/>
            <w:gridSpan w:val="2"/>
            <w:tcBorders>
              <w:top w:val="dotted" w:sz="4" w:space="0" w:color="auto"/>
              <w:left w:val="dotted" w:sz="4" w:space="0" w:color="auto"/>
              <w:bottom w:val="dotted" w:sz="4" w:space="0" w:color="auto"/>
              <w:right w:val="single" w:sz="6" w:space="0" w:color="000000"/>
            </w:tcBorders>
            <w:vAlign w:val="center"/>
          </w:tcPr>
          <w:p w14:paraId="6A8DB40D"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D62</w:t>
            </w:r>
          </w:p>
        </w:tc>
        <w:tc>
          <w:tcPr>
            <w:tcW w:w="596" w:type="pct"/>
            <w:tcBorders>
              <w:top w:val="dotted" w:sz="4" w:space="0" w:color="auto"/>
              <w:left w:val="single" w:sz="6" w:space="0" w:color="000000"/>
              <w:bottom w:val="dotted" w:sz="4" w:space="0" w:color="auto"/>
              <w:right w:val="single" w:sz="4" w:space="0" w:color="auto"/>
            </w:tcBorders>
            <w:vAlign w:val="center"/>
          </w:tcPr>
          <w:p w14:paraId="59414FBB"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257.74</w:t>
            </w:r>
          </w:p>
        </w:tc>
        <w:tc>
          <w:tcPr>
            <w:tcW w:w="361" w:type="pct"/>
            <w:tcBorders>
              <w:top w:val="dotted" w:sz="4" w:space="0" w:color="auto"/>
              <w:left w:val="single" w:sz="4" w:space="0" w:color="auto"/>
              <w:bottom w:val="dotted" w:sz="4" w:space="0" w:color="auto"/>
              <w:right w:val="dotted" w:sz="4" w:space="0" w:color="auto"/>
            </w:tcBorders>
            <w:vAlign w:val="center"/>
          </w:tcPr>
          <w:p w14:paraId="399CA02F"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10.9</w:t>
            </w:r>
          </w:p>
        </w:tc>
        <w:tc>
          <w:tcPr>
            <w:tcW w:w="361" w:type="pct"/>
            <w:tcBorders>
              <w:top w:val="dotted" w:sz="4" w:space="0" w:color="auto"/>
              <w:left w:val="dotted" w:sz="4" w:space="0" w:color="auto"/>
              <w:bottom w:val="dotted" w:sz="4" w:space="0" w:color="auto"/>
              <w:right w:val="dotted" w:sz="4" w:space="0" w:color="auto"/>
            </w:tcBorders>
            <w:vAlign w:val="center"/>
          </w:tcPr>
          <w:p w14:paraId="48BA1074"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11.3</w:t>
            </w:r>
          </w:p>
        </w:tc>
        <w:tc>
          <w:tcPr>
            <w:tcW w:w="361" w:type="pct"/>
            <w:tcBorders>
              <w:top w:val="dotted" w:sz="4" w:space="0" w:color="auto"/>
              <w:left w:val="dotted" w:sz="4" w:space="0" w:color="auto"/>
              <w:bottom w:val="dotted" w:sz="4" w:space="0" w:color="auto"/>
              <w:right w:val="dotted" w:sz="4" w:space="0" w:color="auto"/>
            </w:tcBorders>
            <w:vAlign w:val="center"/>
          </w:tcPr>
          <w:p w14:paraId="251602C4"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11.1</w:t>
            </w:r>
          </w:p>
        </w:tc>
        <w:tc>
          <w:tcPr>
            <w:tcW w:w="361" w:type="pct"/>
            <w:tcBorders>
              <w:top w:val="dotted" w:sz="4" w:space="0" w:color="auto"/>
              <w:left w:val="dotted" w:sz="4" w:space="0" w:color="auto"/>
              <w:bottom w:val="dotted" w:sz="4" w:space="0" w:color="auto"/>
              <w:right w:val="dotted" w:sz="4" w:space="0" w:color="auto"/>
            </w:tcBorders>
            <w:vAlign w:val="center"/>
          </w:tcPr>
          <w:p w14:paraId="5874DDC3"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11.0</w:t>
            </w:r>
          </w:p>
        </w:tc>
        <w:tc>
          <w:tcPr>
            <w:tcW w:w="366" w:type="pct"/>
            <w:tcBorders>
              <w:top w:val="dotted" w:sz="4" w:space="0" w:color="auto"/>
              <w:left w:val="dotted" w:sz="4" w:space="0" w:color="auto"/>
              <w:bottom w:val="dotted" w:sz="4" w:space="0" w:color="auto"/>
              <w:right w:val="double" w:sz="4" w:space="0" w:color="auto"/>
            </w:tcBorders>
            <w:vAlign w:val="center"/>
          </w:tcPr>
          <w:p w14:paraId="166C6366"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11.1</w:t>
            </w:r>
          </w:p>
        </w:tc>
      </w:tr>
      <w:tr w:rsidR="00C50585" w:rsidRPr="00EE038F" w14:paraId="11E064A7" w14:textId="77777777" w:rsidTr="00AA2487">
        <w:trPr>
          <w:trHeight w:val="20"/>
          <w:jc w:val="center"/>
        </w:trPr>
        <w:tc>
          <w:tcPr>
            <w:tcW w:w="1930" w:type="pct"/>
            <w:tcBorders>
              <w:top w:val="dotted" w:sz="4" w:space="0" w:color="auto"/>
              <w:left w:val="double" w:sz="4" w:space="0" w:color="auto"/>
              <w:bottom w:val="dotted" w:sz="4" w:space="0" w:color="auto"/>
              <w:right w:val="dotted" w:sz="4" w:space="0" w:color="auto"/>
            </w:tcBorders>
          </w:tcPr>
          <w:p w14:paraId="1BBE993B" w14:textId="77777777" w:rsidR="00C50585" w:rsidRPr="00EE038F" w:rsidRDefault="00C50585" w:rsidP="007C70E7">
            <w:pPr>
              <w:keepNext/>
              <w:spacing w:after="0" w:line="240" w:lineRule="auto"/>
              <w:contextualSpacing/>
              <w:jc w:val="both"/>
              <w:rPr>
                <w:rFonts w:ascii="Garamond" w:hAnsi="Garamond"/>
                <w:sz w:val="18"/>
              </w:rPr>
            </w:pPr>
            <w:r w:rsidRPr="00FD0FAE">
              <w:rPr>
                <w:rFonts w:ascii="Garamond" w:hAnsi="Garamond"/>
                <w:sz w:val="18"/>
              </w:rPr>
              <w:t>19 = 9. Shpenzimet</w:t>
            </w:r>
            <w:r w:rsidRPr="00EE038F">
              <w:rPr>
                <w:rFonts w:ascii="Garamond" w:hAnsi="Garamond"/>
                <w:sz w:val="18"/>
              </w:rPr>
              <w:t xml:space="preserve"> e interesit (përfshirë FISIM)</w:t>
            </w:r>
          </w:p>
        </w:tc>
        <w:tc>
          <w:tcPr>
            <w:tcW w:w="665" w:type="pct"/>
            <w:gridSpan w:val="2"/>
            <w:tcBorders>
              <w:top w:val="dotted" w:sz="4" w:space="0" w:color="auto"/>
              <w:left w:val="dotted" w:sz="4" w:space="0" w:color="auto"/>
              <w:bottom w:val="dotted" w:sz="4" w:space="0" w:color="auto"/>
              <w:right w:val="single" w:sz="6" w:space="0" w:color="000000"/>
            </w:tcBorders>
            <w:vAlign w:val="center"/>
          </w:tcPr>
          <w:p w14:paraId="7A093AE1"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EDP.D41 + FISIM</w:t>
            </w:r>
          </w:p>
        </w:tc>
        <w:tc>
          <w:tcPr>
            <w:tcW w:w="596" w:type="pct"/>
            <w:tcBorders>
              <w:top w:val="dotted" w:sz="4" w:space="0" w:color="auto"/>
              <w:left w:val="single" w:sz="6" w:space="0" w:color="000000"/>
              <w:bottom w:val="dotted" w:sz="4" w:space="0" w:color="auto"/>
              <w:right w:val="single" w:sz="4" w:space="0" w:color="auto"/>
            </w:tcBorders>
            <w:vAlign w:val="center"/>
          </w:tcPr>
          <w:p w14:paraId="4F24D0C2"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47.59</w:t>
            </w:r>
          </w:p>
        </w:tc>
        <w:tc>
          <w:tcPr>
            <w:tcW w:w="361" w:type="pct"/>
            <w:tcBorders>
              <w:top w:val="dotted" w:sz="4" w:space="0" w:color="auto"/>
              <w:left w:val="single" w:sz="4" w:space="0" w:color="auto"/>
              <w:bottom w:val="dotted" w:sz="4" w:space="0" w:color="auto"/>
              <w:right w:val="dotted" w:sz="4" w:space="0" w:color="auto"/>
            </w:tcBorders>
            <w:vAlign w:val="center"/>
          </w:tcPr>
          <w:p w14:paraId="5269889A"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2.0</w:t>
            </w:r>
          </w:p>
        </w:tc>
        <w:tc>
          <w:tcPr>
            <w:tcW w:w="361" w:type="pct"/>
            <w:tcBorders>
              <w:top w:val="dotted" w:sz="4" w:space="0" w:color="auto"/>
              <w:left w:val="dotted" w:sz="4" w:space="0" w:color="auto"/>
              <w:bottom w:val="dotted" w:sz="4" w:space="0" w:color="auto"/>
              <w:right w:val="dotted" w:sz="4" w:space="0" w:color="auto"/>
            </w:tcBorders>
            <w:vAlign w:val="center"/>
          </w:tcPr>
          <w:p w14:paraId="35AA6BE4"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2.2</w:t>
            </w:r>
          </w:p>
        </w:tc>
        <w:tc>
          <w:tcPr>
            <w:tcW w:w="361" w:type="pct"/>
            <w:tcBorders>
              <w:top w:val="dotted" w:sz="4" w:space="0" w:color="auto"/>
              <w:left w:val="dotted" w:sz="4" w:space="0" w:color="auto"/>
              <w:bottom w:val="dotted" w:sz="4" w:space="0" w:color="auto"/>
              <w:right w:val="dotted" w:sz="4" w:space="0" w:color="auto"/>
            </w:tcBorders>
            <w:vAlign w:val="center"/>
          </w:tcPr>
          <w:p w14:paraId="65F9CB8A"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2.6</w:t>
            </w:r>
          </w:p>
        </w:tc>
        <w:tc>
          <w:tcPr>
            <w:tcW w:w="361" w:type="pct"/>
            <w:tcBorders>
              <w:top w:val="dotted" w:sz="4" w:space="0" w:color="auto"/>
              <w:left w:val="dotted" w:sz="4" w:space="0" w:color="auto"/>
              <w:bottom w:val="dotted" w:sz="4" w:space="0" w:color="auto"/>
              <w:right w:val="dotted" w:sz="4" w:space="0" w:color="auto"/>
            </w:tcBorders>
            <w:vAlign w:val="center"/>
          </w:tcPr>
          <w:p w14:paraId="3B025270"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2.5</w:t>
            </w:r>
          </w:p>
        </w:tc>
        <w:tc>
          <w:tcPr>
            <w:tcW w:w="366" w:type="pct"/>
            <w:tcBorders>
              <w:top w:val="dotted" w:sz="4" w:space="0" w:color="auto"/>
              <w:left w:val="dotted" w:sz="4" w:space="0" w:color="auto"/>
              <w:bottom w:val="dotted" w:sz="4" w:space="0" w:color="auto"/>
              <w:right w:val="double" w:sz="4" w:space="0" w:color="auto"/>
            </w:tcBorders>
            <w:vAlign w:val="center"/>
          </w:tcPr>
          <w:p w14:paraId="63215C57"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2.5</w:t>
            </w:r>
          </w:p>
        </w:tc>
      </w:tr>
      <w:tr w:rsidR="00C50585" w:rsidRPr="00EE038F" w14:paraId="1D31DA09" w14:textId="77777777" w:rsidTr="00AA2487">
        <w:trPr>
          <w:trHeight w:val="20"/>
          <w:jc w:val="center"/>
        </w:trPr>
        <w:tc>
          <w:tcPr>
            <w:tcW w:w="1930" w:type="pct"/>
            <w:tcBorders>
              <w:top w:val="dotted" w:sz="4" w:space="0" w:color="auto"/>
              <w:left w:val="double" w:sz="4" w:space="0" w:color="auto"/>
              <w:bottom w:val="dotted" w:sz="4" w:space="0" w:color="auto"/>
              <w:right w:val="dotted" w:sz="4" w:space="0" w:color="auto"/>
            </w:tcBorders>
          </w:tcPr>
          <w:p w14:paraId="6882157C"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20. Subvencionet</w:t>
            </w:r>
          </w:p>
        </w:tc>
        <w:tc>
          <w:tcPr>
            <w:tcW w:w="665" w:type="pct"/>
            <w:gridSpan w:val="2"/>
            <w:tcBorders>
              <w:top w:val="dotted" w:sz="4" w:space="0" w:color="auto"/>
              <w:left w:val="dotted" w:sz="4" w:space="0" w:color="auto"/>
              <w:bottom w:val="dotted" w:sz="4" w:space="0" w:color="auto"/>
              <w:right w:val="single" w:sz="6" w:space="0" w:color="000000"/>
            </w:tcBorders>
            <w:vAlign w:val="center"/>
          </w:tcPr>
          <w:p w14:paraId="617F2670"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D3</w:t>
            </w:r>
          </w:p>
        </w:tc>
        <w:tc>
          <w:tcPr>
            <w:tcW w:w="596" w:type="pct"/>
            <w:tcBorders>
              <w:top w:val="dotted" w:sz="4" w:space="0" w:color="auto"/>
              <w:left w:val="single" w:sz="6" w:space="0" w:color="000000"/>
              <w:bottom w:val="dotted" w:sz="4" w:space="0" w:color="auto"/>
              <w:right w:val="single" w:sz="4" w:space="0" w:color="auto"/>
            </w:tcBorders>
            <w:vAlign w:val="center"/>
          </w:tcPr>
          <w:p w14:paraId="65F28235"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1.91</w:t>
            </w:r>
          </w:p>
        </w:tc>
        <w:tc>
          <w:tcPr>
            <w:tcW w:w="361" w:type="pct"/>
            <w:tcBorders>
              <w:top w:val="dotted" w:sz="4" w:space="0" w:color="auto"/>
              <w:left w:val="single" w:sz="4" w:space="0" w:color="auto"/>
              <w:bottom w:val="dotted" w:sz="4" w:space="0" w:color="auto"/>
              <w:right w:val="dotted" w:sz="4" w:space="0" w:color="auto"/>
            </w:tcBorders>
            <w:vAlign w:val="center"/>
          </w:tcPr>
          <w:p w14:paraId="237A1E32"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0.1</w:t>
            </w:r>
          </w:p>
        </w:tc>
        <w:tc>
          <w:tcPr>
            <w:tcW w:w="361" w:type="pct"/>
            <w:tcBorders>
              <w:top w:val="dotted" w:sz="4" w:space="0" w:color="auto"/>
              <w:left w:val="dotted" w:sz="4" w:space="0" w:color="auto"/>
              <w:bottom w:val="dotted" w:sz="4" w:space="0" w:color="auto"/>
              <w:right w:val="dotted" w:sz="4" w:space="0" w:color="auto"/>
            </w:tcBorders>
            <w:vAlign w:val="center"/>
          </w:tcPr>
          <w:p w14:paraId="1EE53012"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0.1</w:t>
            </w:r>
          </w:p>
        </w:tc>
        <w:tc>
          <w:tcPr>
            <w:tcW w:w="361" w:type="pct"/>
            <w:tcBorders>
              <w:top w:val="dotted" w:sz="4" w:space="0" w:color="auto"/>
              <w:left w:val="dotted" w:sz="4" w:space="0" w:color="auto"/>
              <w:bottom w:val="dotted" w:sz="4" w:space="0" w:color="auto"/>
              <w:right w:val="dotted" w:sz="4" w:space="0" w:color="auto"/>
            </w:tcBorders>
            <w:vAlign w:val="center"/>
          </w:tcPr>
          <w:p w14:paraId="5971D617"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0.1</w:t>
            </w:r>
          </w:p>
        </w:tc>
        <w:tc>
          <w:tcPr>
            <w:tcW w:w="361" w:type="pct"/>
            <w:tcBorders>
              <w:top w:val="dotted" w:sz="4" w:space="0" w:color="auto"/>
              <w:left w:val="dotted" w:sz="4" w:space="0" w:color="auto"/>
              <w:bottom w:val="dotted" w:sz="4" w:space="0" w:color="auto"/>
              <w:right w:val="dotted" w:sz="4" w:space="0" w:color="auto"/>
            </w:tcBorders>
            <w:vAlign w:val="center"/>
          </w:tcPr>
          <w:p w14:paraId="7F2F08FE"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0.1</w:t>
            </w:r>
          </w:p>
        </w:tc>
        <w:tc>
          <w:tcPr>
            <w:tcW w:w="366" w:type="pct"/>
            <w:tcBorders>
              <w:top w:val="dotted" w:sz="4" w:space="0" w:color="auto"/>
              <w:left w:val="dotted" w:sz="4" w:space="0" w:color="auto"/>
              <w:bottom w:val="dotted" w:sz="4" w:space="0" w:color="auto"/>
              <w:right w:val="double" w:sz="4" w:space="0" w:color="auto"/>
            </w:tcBorders>
            <w:vAlign w:val="center"/>
          </w:tcPr>
          <w:p w14:paraId="4A78F3E8"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0.1</w:t>
            </w:r>
          </w:p>
        </w:tc>
      </w:tr>
      <w:tr w:rsidR="00C50585" w:rsidRPr="00EE038F" w14:paraId="6B086673" w14:textId="77777777" w:rsidTr="00AA2487">
        <w:trPr>
          <w:trHeight w:val="20"/>
          <w:jc w:val="center"/>
        </w:trPr>
        <w:tc>
          <w:tcPr>
            <w:tcW w:w="1930" w:type="pct"/>
            <w:tcBorders>
              <w:top w:val="dotted" w:sz="4" w:space="0" w:color="auto"/>
              <w:left w:val="double" w:sz="4" w:space="0" w:color="auto"/>
              <w:bottom w:val="dotted" w:sz="4" w:space="0" w:color="auto"/>
              <w:right w:val="dotted" w:sz="4" w:space="0" w:color="auto"/>
            </w:tcBorders>
          </w:tcPr>
          <w:p w14:paraId="1C863B14"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21. Formimi i kapitalit fiks bruto</w:t>
            </w:r>
          </w:p>
        </w:tc>
        <w:tc>
          <w:tcPr>
            <w:tcW w:w="665" w:type="pct"/>
            <w:gridSpan w:val="2"/>
            <w:tcBorders>
              <w:top w:val="dotted" w:sz="4" w:space="0" w:color="auto"/>
              <w:left w:val="dotted" w:sz="4" w:space="0" w:color="auto"/>
              <w:bottom w:val="dotted" w:sz="4" w:space="0" w:color="auto"/>
              <w:right w:val="single" w:sz="6" w:space="0" w:color="000000"/>
            </w:tcBorders>
            <w:vAlign w:val="center"/>
          </w:tcPr>
          <w:p w14:paraId="64951D65"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P51</w:t>
            </w:r>
          </w:p>
        </w:tc>
        <w:tc>
          <w:tcPr>
            <w:tcW w:w="596" w:type="pct"/>
            <w:tcBorders>
              <w:top w:val="dotted" w:sz="4" w:space="0" w:color="auto"/>
              <w:left w:val="single" w:sz="6" w:space="0" w:color="000000"/>
              <w:bottom w:val="dotted" w:sz="4" w:space="0" w:color="auto"/>
              <w:right w:val="single" w:sz="4" w:space="0" w:color="auto"/>
            </w:tcBorders>
            <w:vAlign w:val="center"/>
          </w:tcPr>
          <w:p w14:paraId="47958F32"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141.82</w:t>
            </w:r>
          </w:p>
        </w:tc>
        <w:tc>
          <w:tcPr>
            <w:tcW w:w="361" w:type="pct"/>
            <w:tcBorders>
              <w:top w:val="dotted" w:sz="4" w:space="0" w:color="auto"/>
              <w:left w:val="single" w:sz="4" w:space="0" w:color="auto"/>
              <w:bottom w:val="dotted" w:sz="4" w:space="0" w:color="auto"/>
              <w:right w:val="dotted" w:sz="4" w:space="0" w:color="auto"/>
            </w:tcBorders>
            <w:vAlign w:val="center"/>
          </w:tcPr>
          <w:p w14:paraId="4FA35365"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6.0</w:t>
            </w:r>
          </w:p>
        </w:tc>
        <w:tc>
          <w:tcPr>
            <w:tcW w:w="361" w:type="pct"/>
            <w:tcBorders>
              <w:top w:val="dotted" w:sz="4" w:space="0" w:color="auto"/>
              <w:left w:val="dotted" w:sz="4" w:space="0" w:color="auto"/>
              <w:bottom w:val="dotted" w:sz="4" w:space="0" w:color="auto"/>
              <w:right w:val="dotted" w:sz="4" w:space="0" w:color="auto"/>
            </w:tcBorders>
            <w:vAlign w:val="center"/>
          </w:tcPr>
          <w:p w14:paraId="47C3288D"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6.1</w:t>
            </w:r>
          </w:p>
        </w:tc>
        <w:tc>
          <w:tcPr>
            <w:tcW w:w="361" w:type="pct"/>
            <w:tcBorders>
              <w:top w:val="dotted" w:sz="4" w:space="0" w:color="auto"/>
              <w:left w:val="dotted" w:sz="4" w:space="0" w:color="auto"/>
              <w:bottom w:val="dotted" w:sz="4" w:space="0" w:color="auto"/>
              <w:right w:val="dotted" w:sz="4" w:space="0" w:color="auto"/>
            </w:tcBorders>
            <w:vAlign w:val="center"/>
          </w:tcPr>
          <w:p w14:paraId="24F7816A"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7.3</w:t>
            </w:r>
          </w:p>
        </w:tc>
        <w:tc>
          <w:tcPr>
            <w:tcW w:w="361" w:type="pct"/>
            <w:tcBorders>
              <w:top w:val="dotted" w:sz="4" w:space="0" w:color="auto"/>
              <w:left w:val="dotted" w:sz="4" w:space="0" w:color="auto"/>
              <w:bottom w:val="dotted" w:sz="4" w:space="0" w:color="auto"/>
              <w:right w:val="dotted" w:sz="4" w:space="0" w:color="auto"/>
            </w:tcBorders>
            <w:vAlign w:val="center"/>
          </w:tcPr>
          <w:p w14:paraId="462C9154"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7.2</w:t>
            </w:r>
          </w:p>
        </w:tc>
        <w:tc>
          <w:tcPr>
            <w:tcW w:w="366" w:type="pct"/>
            <w:tcBorders>
              <w:top w:val="dotted" w:sz="4" w:space="0" w:color="auto"/>
              <w:left w:val="dotted" w:sz="4" w:space="0" w:color="auto"/>
              <w:bottom w:val="dotted" w:sz="4" w:space="0" w:color="auto"/>
              <w:right w:val="double" w:sz="4" w:space="0" w:color="auto"/>
            </w:tcBorders>
            <w:vAlign w:val="center"/>
          </w:tcPr>
          <w:p w14:paraId="36D02AD8"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7.2</w:t>
            </w:r>
          </w:p>
        </w:tc>
      </w:tr>
      <w:tr w:rsidR="00C50585" w:rsidRPr="00EE038F" w14:paraId="28556215" w14:textId="77777777" w:rsidTr="00AA2487">
        <w:trPr>
          <w:trHeight w:val="20"/>
          <w:jc w:val="center"/>
        </w:trPr>
        <w:tc>
          <w:tcPr>
            <w:tcW w:w="1930" w:type="pct"/>
            <w:tcBorders>
              <w:top w:val="dotted" w:sz="4" w:space="0" w:color="auto"/>
              <w:left w:val="double" w:sz="4" w:space="0" w:color="auto"/>
              <w:bottom w:val="dotted" w:sz="4" w:space="0" w:color="auto"/>
              <w:right w:val="dotted" w:sz="4" w:space="0" w:color="auto"/>
            </w:tcBorders>
          </w:tcPr>
          <w:p w14:paraId="3C4F3CA5"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22. Të tjera (22 = 23-(17+18+19+20+21)</w:t>
            </w:r>
            <w:r w:rsidRPr="00EE038F">
              <w:rPr>
                <w:rStyle w:val="FootnoteReference"/>
                <w:rFonts w:ascii="Garamond" w:hAnsi="Garamond"/>
                <w:sz w:val="18"/>
              </w:rPr>
              <w:footnoteReference w:id="25"/>
            </w:r>
          </w:p>
        </w:tc>
        <w:tc>
          <w:tcPr>
            <w:tcW w:w="665" w:type="pct"/>
            <w:gridSpan w:val="2"/>
            <w:tcBorders>
              <w:top w:val="dotted" w:sz="4" w:space="0" w:color="auto"/>
              <w:left w:val="dotted" w:sz="4" w:space="0" w:color="auto"/>
              <w:bottom w:val="dotted" w:sz="4" w:space="0" w:color="auto"/>
              <w:right w:val="single" w:sz="6" w:space="0" w:color="000000"/>
            </w:tcBorders>
            <w:vAlign w:val="center"/>
          </w:tcPr>
          <w:p w14:paraId="46D64AF3" w14:textId="77777777" w:rsidR="00C50585" w:rsidRPr="00EE038F" w:rsidRDefault="00C50585" w:rsidP="007C70E7">
            <w:pPr>
              <w:keepNext/>
              <w:spacing w:after="0" w:line="240" w:lineRule="auto"/>
              <w:contextualSpacing/>
              <w:jc w:val="both"/>
              <w:rPr>
                <w:rFonts w:ascii="Garamond" w:hAnsi="Garamond"/>
                <w:sz w:val="18"/>
              </w:rPr>
            </w:pPr>
          </w:p>
        </w:tc>
        <w:tc>
          <w:tcPr>
            <w:tcW w:w="596" w:type="pct"/>
            <w:tcBorders>
              <w:top w:val="dotted" w:sz="4" w:space="0" w:color="auto"/>
              <w:left w:val="single" w:sz="6" w:space="0" w:color="000000"/>
              <w:bottom w:val="dotted" w:sz="4" w:space="0" w:color="auto"/>
              <w:right w:val="single" w:sz="4" w:space="0" w:color="auto"/>
            </w:tcBorders>
            <w:vAlign w:val="center"/>
          </w:tcPr>
          <w:p w14:paraId="26063148"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25.54</w:t>
            </w:r>
          </w:p>
        </w:tc>
        <w:tc>
          <w:tcPr>
            <w:tcW w:w="361" w:type="pct"/>
            <w:tcBorders>
              <w:top w:val="dotted" w:sz="4" w:space="0" w:color="auto"/>
              <w:left w:val="single" w:sz="4" w:space="0" w:color="auto"/>
              <w:bottom w:val="dotted" w:sz="4" w:space="0" w:color="auto"/>
              <w:right w:val="dotted" w:sz="4" w:space="0" w:color="auto"/>
            </w:tcBorders>
            <w:vAlign w:val="center"/>
          </w:tcPr>
          <w:p w14:paraId="569D6B4D"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1.1</w:t>
            </w:r>
          </w:p>
        </w:tc>
        <w:tc>
          <w:tcPr>
            <w:tcW w:w="361" w:type="pct"/>
            <w:tcBorders>
              <w:top w:val="dotted" w:sz="4" w:space="0" w:color="auto"/>
              <w:left w:val="dotted" w:sz="4" w:space="0" w:color="auto"/>
              <w:bottom w:val="dotted" w:sz="4" w:space="0" w:color="auto"/>
              <w:right w:val="dotted" w:sz="4" w:space="0" w:color="auto"/>
            </w:tcBorders>
            <w:vAlign w:val="center"/>
          </w:tcPr>
          <w:p w14:paraId="702A4222"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1.0</w:t>
            </w:r>
          </w:p>
        </w:tc>
        <w:tc>
          <w:tcPr>
            <w:tcW w:w="361" w:type="pct"/>
            <w:tcBorders>
              <w:top w:val="dotted" w:sz="4" w:space="0" w:color="auto"/>
              <w:left w:val="dotted" w:sz="4" w:space="0" w:color="auto"/>
              <w:bottom w:val="dotted" w:sz="4" w:space="0" w:color="auto"/>
              <w:right w:val="dotted" w:sz="4" w:space="0" w:color="auto"/>
            </w:tcBorders>
            <w:vAlign w:val="center"/>
          </w:tcPr>
          <w:p w14:paraId="20381867"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1.0</w:t>
            </w:r>
          </w:p>
        </w:tc>
        <w:tc>
          <w:tcPr>
            <w:tcW w:w="361" w:type="pct"/>
            <w:tcBorders>
              <w:top w:val="dotted" w:sz="4" w:space="0" w:color="auto"/>
              <w:left w:val="dotted" w:sz="4" w:space="0" w:color="auto"/>
              <w:bottom w:val="dotted" w:sz="4" w:space="0" w:color="auto"/>
              <w:right w:val="dotted" w:sz="4" w:space="0" w:color="auto"/>
            </w:tcBorders>
            <w:vAlign w:val="center"/>
          </w:tcPr>
          <w:p w14:paraId="230CD93F"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0.9</w:t>
            </w:r>
          </w:p>
        </w:tc>
        <w:tc>
          <w:tcPr>
            <w:tcW w:w="366" w:type="pct"/>
            <w:tcBorders>
              <w:top w:val="dotted" w:sz="4" w:space="0" w:color="auto"/>
              <w:left w:val="dotted" w:sz="4" w:space="0" w:color="auto"/>
              <w:bottom w:val="dotted" w:sz="4" w:space="0" w:color="auto"/>
              <w:right w:val="double" w:sz="4" w:space="0" w:color="auto"/>
            </w:tcBorders>
            <w:vAlign w:val="center"/>
          </w:tcPr>
          <w:p w14:paraId="3EF717B5"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1.0</w:t>
            </w:r>
          </w:p>
        </w:tc>
      </w:tr>
      <w:tr w:rsidR="00C50585" w:rsidRPr="00EE038F" w14:paraId="282B68A0" w14:textId="77777777" w:rsidTr="00AA2487">
        <w:trPr>
          <w:trHeight w:val="20"/>
          <w:jc w:val="center"/>
        </w:trPr>
        <w:tc>
          <w:tcPr>
            <w:tcW w:w="1930" w:type="pct"/>
            <w:tcBorders>
              <w:top w:val="dotted" w:sz="4" w:space="0" w:color="auto"/>
              <w:left w:val="double" w:sz="4" w:space="0" w:color="auto"/>
              <w:bottom w:val="dotted" w:sz="4" w:space="0" w:color="auto"/>
              <w:right w:val="dotted" w:sz="4" w:space="0" w:color="auto"/>
            </w:tcBorders>
          </w:tcPr>
          <w:p w14:paraId="6EA0859C"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23. Shpenzimet totale</w:t>
            </w:r>
          </w:p>
        </w:tc>
        <w:tc>
          <w:tcPr>
            <w:tcW w:w="665" w:type="pct"/>
            <w:gridSpan w:val="2"/>
            <w:tcBorders>
              <w:top w:val="dotted" w:sz="4" w:space="0" w:color="auto"/>
              <w:left w:val="dotted" w:sz="4" w:space="0" w:color="auto"/>
              <w:bottom w:val="dotted" w:sz="4" w:space="0" w:color="auto"/>
              <w:right w:val="single" w:sz="6" w:space="0" w:color="000000"/>
            </w:tcBorders>
            <w:vAlign w:val="center"/>
          </w:tcPr>
          <w:p w14:paraId="1F32A48A"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TE</w:t>
            </w:r>
            <w:r w:rsidRPr="00EE038F">
              <w:rPr>
                <w:rStyle w:val="FootnoteReference"/>
                <w:rFonts w:ascii="Garamond" w:hAnsi="Garamond"/>
                <w:sz w:val="18"/>
              </w:rPr>
              <w:footnoteReference w:id="26"/>
            </w:r>
          </w:p>
        </w:tc>
        <w:tc>
          <w:tcPr>
            <w:tcW w:w="596" w:type="pct"/>
            <w:tcBorders>
              <w:top w:val="dotted" w:sz="4" w:space="0" w:color="auto"/>
              <w:left w:val="single" w:sz="6" w:space="0" w:color="000000"/>
              <w:bottom w:val="dotted" w:sz="4" w:space="0" w:color="auto"/>
              <w:right w:val="single" w:sz="4" w:space="0" w:color="auto"/>
            </w:tcBorders>
            <w:vAlign w:val="center"/>
          </w:tcPr>
          <w:p w14:paraId="74DF0724"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674.86</w:t>
            </w:r>
          </w:p>
        </w:tc>
        <w:tc>
          <w:tcPr>
            <w:tcW w:w="361" w:type="pct"/>
            <w:tcBorders>
              <w:top w:val="dotted" w:sz="4" w:space="0" w:color="auto"/>
              <w:left w:val="single" w:sz="4" w:space="0" w:color="auto"/>
              <w:bottom w:val="dotted" w:sz="4" w:space="0" w:color="auto"/>
              <w:right w:val="dotted" w:sz="4" w:space="0" w:color="auto"/>
            </w:tcBorders>
            <w:vAlign w:val="center"/>
          </w:tcPr>
          <w:p w14:paraId="2B21D515"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28.5</w:t>
            </w:r>
          </w:p>
        </w:tc>
        <w:tc>
          <w:tcPr>
            <w:tcW w:w="361" w:type="pct"/>
            <w:tcBorders>
              <w:top w:val="dotted" w:sz="4" w:space="0" w:color="auto"/>
              <w:left w:val="dotted" w:sz="4" w:space="0" w:color="auto"/>
              <w:bottom w:val="dotted" w:sz="4" w:space="0" w:color="auto"/>
              <w:right w:val="dotted" w:sz="4" w:space="0" w:color="auto"/>
            </w:tcBorders>
            <w:vAlign w:val="center"/>
          </w:tcPr>
          <w:p w14:paraId="4BF85AC6"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30.1</w:t>
            </w:r>
          </w:p>
        </w:tc>
        <w:tc>
          <w:tcPr>
            <w:tcW w:w="361" w:type="pct"/>
            <w:tcBorders>
              <w:top w:val="dotted" w:sz="4" w:space="0" w:color="auto"/>
              <w:left w:val="dotted" w:sz="4" w:space="0" w:color="auto"/>
              <w:bottom w:val="dotted" w:sz="4" w:space="0" w:color="auto"/>
              <w:right w:val="dotted" w:sz="4" w:space="0" w:color="auto"/>
            </w:tcBorders>
            <w:vAlign w:val="center"/>
          </w:tcPr>
          <w:p w14:paraId="11BF3719"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31.5</w:t>
            </w:r>
          </w:p>
        </w:tc>
        <w:tc>
          <w:tcPr>
            <w:tcW w:w="361" w:type="pct"/>
            <w:tcBorders>
              <w:top w:val="dotted" w:sz="4" w:space="0" w:color="auto"/>
              <w:left w:val="dotted" w:sz="4" w:space="0" w:color="auto"/>
              <w:bottom w:val="dotted" w:sz="4" w:space="0" w:color="auto"/>
              <w:right w:val="dotted" w:sz="4" w:space="0" w:color="auto"/>
            </w:tcBorders>
            <w:vAlign w:val="center"/>
          </w:tcPr>
          <w:p w14:paraId="6FB17366"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30.8</w:t>
            </w:r>
          </w:p>
        </w:tc>
        <w:tc>
          <w:tcPr>
            <w:tcW w:w="366" w:type="pct"/>
            <w:tcBorders>
              <w:top w:val="dotted" w:sz="4" w:space="0" w:color="auto"/>
              <w:left w:val="dotted" w:sz="4" w:space="0" w:color="auto"/>
              <w:bottom w:val="dotted" w:sz="4" w:space="0" w:color="auto"/>
              <w:right w:val="double" w:sz="4" w:space="0" w:color="auto"/>
            </w:tcBorders>
            <w:vAlign w:val="center"/>
          </w:tcPr>
          <w:p w14:paraId="05A50E8A" w14:textId="77777777" w:rsidR="00C50585" w:rsidRPr="00EE038F" w:rsidRDefault="00C50585" w:rsidP="00280C20">
            <w:pPr>
              <w:keepNext/>
              <w:spacing w:after="0" w:line="240" w:lineRule="auto"/>
              <w:contextualSpacing/>
              <w:jc w:val="right"/>
              <w:rPr>
                <w:rFonts w:ascii="Garamond" w:hAnsi="Garamond"/>
                <w:sz w:val="18"/>
              </w:rPr>
            </w:pPr>
            <w:r w:rsidRPr="00EE038F">
              <w:rPr>
                <w:rFonts w:ascii="Garamond" w:hAnsi="Garamond"/>
                <w:sz w:val="18"/>
              </w:rPr>
              <w:t>30.8</w:t>
            </w:r>
          </w:p>
        </w:tc>
      </w:tr>
      <w:tr w:rsidR="00C50585" w:rsidRPr="00EE038F" w14:paraId="2B589CC4" w14:textId="77777777" w:rsidTr="00AA2487">
        <w:trPr>
          <w:trHeight w:val="20"/>
          <w:jc w:val="center"/>
        </w:trPr>
        <w:tc>
          <w:tcPr>
            <w:tcW w:w="1930" w:type="pct"/>
            <w:tcBorders>
              <w:top w:val="dotted" w:sz="4" w:space="0" w:color="auto"/>
              <w:left w:val="double" w:sz="4" w:space="0" w:color="auto"/>
              <w:bottom w:val="double" w:sz="4" w:space="0" w:color="auto"/>
              <w:right w:val="dotted" w:sz="4" w:space="0" w:color="auto"/>
            </w:tcBorders>
          </w:tcPr>
          <w:p w14:paraId="24598736" w14:textId="77777777" w:rsidR="00C50585" w:rsidRPr="00EE038F" w:rsidRDefault="00C50585" w:rsidP="00AA2487">
            <w:pPr>
              <w:spacing w:after="0" w:line="240" w:lineRule="auto"/>
              <w:contextualSpacing/>
              <w:jc w:val="both"/>
              <w:rPr>
                <w:rFonts w:ascii="Garamond" w:hAnsi="Garamond"/>
                <w:sz w:val="18"/>
              </w:rPr>
            </w:pPr>
            <w:r w:rsidRPr="00EE038F">
              <w:rPr>
                <w:rFonts w:ascii="Garamond" w:hAnsi="Garamond"/>
                <w:sz w:val="18"/>
              </w:rPr>
              <w:t>p.m.kompensimi i punonjësve</w:t>
            </w:r>
          </w:p>
        </w:tc>
        <w:tc>
          <w:tcPr>
            <w:tcW w:w="665" w:type="pct"/>
            <w:gridSpan w:val="2"/>
            <w:tcBorders>
              <w:top w:val="dotted" w:sz="4" w:space="0" w:color="auto"/>
              <w:left w:val="dotted" w:sz="4" w:space="0" w:color="auto"/>
              <w:bottom w:val="double" w:sz="4" w:space="0" w:color="auto"/>
              <w:right w:val="single" w:sz="6" w:space="0" w:color="000000"/>
            </w:tcBorders>
            <w:vAlign w:val="center"/>
          </w:tcPr>
          <w:p w14:paraId="19A4E83A"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D1</w:t>
            </w:r>
          </w:p>
        </w:tc>
        <w:tc>
          <w:tcPr>
            <w:tcW w:w="596" w:type="pct"/>
            <w:tcBorders>
              <w:top w:val="dotted" w:sz="4" w:space="0" w:color="auto"/>
              <w:left w:val="single" w:sz="6" w:space="0" w:color="000000"/>
              <w:bottom w:val="double" w:sz="4" w:space="0" w:color="auto"/>
              <w:right w:val="single" w:sz="4" w:space="0" w:color="auto"/>
            </w:tcBorders>
            <w:vAlign w:val="center"/>
          </w:tcPr>
          <w:p w14:paraId="666DC91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125.17</w:t>
            </w:r>
          </w:p>
        </w:tc>
        <w:tc>
          <w:tcPr>
            <w:tcW w:w="361" w:type="pct"/>
            <w:tcBorders>
              <w:top w:val="dotted" w:sz="4" w:space="0" w:color="auto"/>
              <w:left w:val="single" w:sz="4" w:space="0" w:color="auto"/>
              <w:bottom w:val="double" w:sz="4" w:space="0" w:color="auto"/>
              <w:right w:val="dotted" w:sz="4" w:space="0" w:color="auto"/>
            </w:tcBorders>
            <w:vAlign w:val="center"/>
          </w:tcPr>
          <w:p w14:paraId="1CC8774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5.3</w:t>
            </w:r>
          </w:p>
        </w:tc>
        <w:tc>
          <w:tcPr>
            <w:tcW w:w="361" w:type="pct"/>
            <w:tcBorders>
              <w:top w:val="dotted" w:sz="4" w:space="0" w:color="auto"/>
              <w:left w:val="dotted" w:sz="4" w:space="0" w:color="auto"/>
              <w:bottom w:val="double" w:sz="4" w:space="0" w:color="auto"/>
              <w:right w:val="dotted" w:sz="4" w:space="0" w:color="auto"/>
            </w:tcBorders>
            <w:vAlign w:val="center"/>
          </w:tcPr>
          <w:p w14:paraId="5193FB2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5.8</w:t>
            </w:r>
          </w:p>
        </w:tc>
        <w:tc>
          <w:tcPr>
            <w:tcW w:w="361" w:type="pct"/>
            <w:tcBorders>
              <w:top w:val="dotted" w:sz="4" w:space="0" w:color="auto"/>
              <w:left w:val="dotted" w:sz="4" w:space="0" w:color="auto"/>
              <w:bottom w:val="double" w:sz="4" w:space="0" w:color="auto"/>
              <w:right w:val="dotted" w:sz="4" w:space="0" w:color="auto"/>
            </w:tcBorders>
            <w:vAlign w:val="center"/>
          </w:tcPr>
          <w:p w14:paraId="3516579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6.1</w:t>
            </w:r>
          </w:p>
        </w:tc>
        <w:tc>
          <w:tcPr>
            <w:tcW w:w="361" w:type="pct"/>
            <w:tcBorders>
              <w:top w:val="dotted" w:sz="4" w:space="0" w:color="auto"/>
              <w:left w:val="dotted" w:sz="4" w:space="0" w:color="auto"/>
              <w:bottom w:val="double" w:sz="4" w:space="0" w:color="auto"/>
              <w:right w:val="dotted" w:sz="4" w:space="0" w:color="auto"/>
            </w:tcBorders>
            <w:vAlign w:val="center"/>
          </w:tcPr>
          <w:p w14:paraId="352B089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5.9</w:t>
            </w:r>
          </w:p>
        </w:tc>
        <w:tc>
          <w:tcPr>
            <w:tcW w:w="366" w:type="pct"/>
            <w:tcBorders>
              <w:top w:val="dotted" w:sz="4" w:space="0" w:color="auto"/>
              <w:left w:val="dotted" w:sz="4" w:space="0" w:color="auto"/>
              <w:bottom w:val="double" w:sz="4" w:space="0" w:color="auto"/>
              <w:right w:val="double" w:sz="4" w:space="0" w:color="auto"/>
            </w:tcBorders>
            <w:vAlign w:val="center"/>
          </w:tcPr>
          <w:p w14:paraId="4EF515F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5.7</w:t>
            </w:r>
          </w:p>
        </w:tc>
      </w:tr>
    </w:tbl>
    <w:p w14:paraId="15886972" w14:textId="77777777" w:rsidR="003C0887" w:rsidRPr="00EE038F" w:rsidRDefault="003C0887" w:rsidP="00C50585">
      <w:pPr>
        <w:spacing w:after="0" w:line="240" w:lineRule="auto"/>
        <w:contextualSpacing/>
        <w:jc w:val="both"/>
        <w:rPr>
          <w:rFonts w:ascii="Garamond" w:hAnsi="Garamond"/>
          <w:b/>
          <w:color w:val="0D0D0D" w:themeColor="text1" w:themeTint="F2"/>
        </w:rPr>
      </w:pPr>
    </w:p>
    <w:p w14:paraId="2D42062B" w14:textId="77777777" w:rsidR="00C50585" w:rsidRPr="00EE038F" w:rsidRDefault="00C50585" w:rsidP="00066DFC">
      <w:pPr>
        <w:spacing w:after="0" w:line="240" w:lineRule="auto"/>
        <w:contextualSpacing/>
        <w:jc w:val="center"/>
        <w:rPr>
          <w:rFonts w:ascii="Garamond" w:hAnsi="Garamond"/>
          <w:bCs/>
          <w:i/>
          <w:iCs/>
          <w:sz w:val="24"/>
          <w:szCs w:val="24"/>
        </w:rPr>
      </w:pPr>
      <w:r w:rsidRPr="00EE038F">
        <w:rPr>
          <w:rFonts w:ascii="Garamond" w:hAnsi="Garamond"/>
          <w:bCs/>
          <w:i/>
          <w:iCs/>
          <w:color w:val="0D0D0D" w:themeColor="text1" w:themeTint="F2"/>
          <w:sz w:val="24"/>
          <w:szCs w:val="24"/>
        </w:rPr>
        <w:t>Tabela</w:t>
      </w:r>
      <w:r w:rsidRPr="00EE038F">
        <w:rPr>
          <w:rFonts w:ascii="Garamond" w:hAnsi="Garamond"/>
          <w:bCs/>
          <w:i/>
          <w:iCs/>
          <w:sz w:val="24"/>
          <w:szCs w:val="24"/>
        </w:rPr>
        <w:t xml:space="preserve"> 2b: Perspektivat buxhetore të qeverisë së përgjithshme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468"/>
        <w:gridCol w:w="953"/>
        <w:gridCol w:w="913"/>
        <w:gridCol w:w="913"/>
        <w:gridCol w:w="913"/>
        <w:gridCol w:w="913"/>
        <w:gridCol w:w="917"/>
      </w:tblGrid>
      <w:tr w:rsidR="00C50585" w:rsidRPr="00EE038F" w14:paraId="7FACE0C7" w14:textId="77777777" w:rsidTr="00066DFC">
        <w:trPr>
          <w:trHeight w:val="20"/>
          <w:jc w:val="center"/>
        </w:trPr>
        <w:tc>
          <w:tcPr>
            <w:tcW w:w="1928" w:type="pct"/>
            <w:tcBorders>
              <w:top w:val="double" w:sz="4" w:space="0" w:color="auto"/>
              <w:left w:val="double" w:sz="4" w:space="0" w:color="auto"/>
              <w:bottom w:val="nil"/>
              <w:right w:val="dotted" w:sz="4" w:space="0" w:color="auto"/>
            </w:tcBorders>
            <w:vAlign w:val="center"/>
          </w:tcPr>
          <w:p w14:paraId="58F37719" w14:textId="77777777" w:rsidR="00C50585" w:rsidRPr="00EE038F" w:rsidRDefault="00C50585" w:rsidP="007C70E7">
            <w:pPr>
              <w:spacing w:after="0" w:line="240" w:lineRule="auto"/>
              <w:contextualSpacing/>
              <w:jc w:val="both"/>
              <w:rPr>
                <w:rFonts w:ascii="Garamond" w:hAnsi="Garamond"/>
                <w:b/>
                <w:bCs/>
                <w:sz w:val="18"/>
              </w:rPr>
            </w:pPr>
          </w:p>
        </w:tc>
        <w:tc>
          <w:tcPr>
            <w:tcW w:w="530" w:type="pct"/>
            <w:vMerge w:val="restart"/>
            <w:tcBorders>
              <w:top w:val="double" w:sz="4" w:space="0" w:color="auto"/>
              <w:left w:val="dotted" w:sz="4" w:space="0" w:color="auto"/>
              <w:bottom w:val="single" w:sz="6" w:space="0" w:color="000000"/>
              <w:right w:val="single" w:sz="6" w:space="0" w:color="000000"/>
            </w:tcBorders>
            <w:vAlign w:val="center"/>
          </w:tcPr>
          <w:p w14:paraId="0F2CE99E"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Kodi</w:t>
            </w:r>
          </w:p>
          <w:p w14:paraId="490B0101"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ESA</w:t>
            </w:r>
          </w:p>
        </w:tc>
        <w:tc>
          <w:tcPr>
            <w:tcW w:w="508" w:type="pct"/>
            <w:tcBorders>
              <w:top w:val="double" w:sz="4" w:space="0" w:color="auto"/>
              <w:left w:val="single" w:sz="6" w:space="0" w:color="000000"/>
              <w:bottom w:val="dotted" w:sz="4" w:space="0" w:color="auto"/>
              <w:right w:val="single" w:sz="4" w:space="0" w:color="auto"/>
            </w:tcBorders>
            <w:vAlign w:val="center"/>
          </w:tcPr>
          <w:p w14:paraId="46325C74"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w:t>
            </w:r>
            <w:r w:rsidRPr="00EE038F">
              <w:rPr>
                <w:rFonts w:ascii="Garamond" w:hAnsi="Garamond"/>
                <w:b/>
                <w:bCs/>
                <w:sz w:val="18"/>
              </w:rPr>
              <w:br/>
              <w:t>2023</w:t>
            </w:r>
          </w:p>
        </w:tc>
        <w:tc>
          <w:tcPr>
            <w:tcW w:w="508" w:type="pct"/>
            <w:tcBorders>
              <w:top w:val="double" w:sz="4" w:space="0" w:color="auto"/>
              <w:left w:val="single" w:sz="4" w:space="0" w:color="auto"/>
              <w:bottom w:val="dotted" w:sz="4" w:space="0" w:color="auto"/>
              <w:right w:val="dotted" w:sz="4" w:space="0" w:color="auto"/>
            </w:tcBorders>
            <w:vAlign w:val="center"/>
          </w:tcPr>
          <w:p w14:paraId="1511A6DC"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2024</w:t>
            </w:r>
          </w:p>
        </w:tc>
        <w:tc>
          <w:tcPr>
            <w:tcW w:w="508" w:type="pct"/>
            <w:tcBorders>
              <w:top w:val="double" w:sz="4" w:space="0" w:color="auto"/>
              <w:left w:val="dotted" w:sz="4" w:space="0" w:color="auto"/>
              <w:bottom w:val="dotted" w:sz="4" w:space="0" w:color="auto"/>
              <w:right w:val="dotted" w:sz="4" w:space="0" w:color="auto"/>
            </w:tcBorders>
            <w:vAlign w:val="center"/>
          </w:tcPr>
          <w:p w14:paraId="613AFBCB"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2025</w:t>
            </w:r>
          </w:p>
        </w:tc>
        <w:tc>
          <w:tcPr>
            <w:tcW w:w="508" w:type="pct"/>
            <w:tcBorders>
              <w:top w:val="double" w:sz="4" w:space="0" w:color="auto"/>
              <w:left w:val="dotted" w:sz="4" w:space="0" w:color="auto"/>
              <w:bottom w:val="dotted" w:sz="4" w:space="0" w:color="auto"/>
              <w:right w:val="dotted" w:sz="4" w:space="0" w:color="auto"/>
            </w:tcBorders>
            <w:vAlign w:val="center"/>
          </w:tcPr>
          <w:p w14:paraId="2EDA8B97"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2026</w:t>
            </w:r>
          </w:p>
        </w:tc>
        <w:tc>
          <w:tcPr>
            <w:tcW w:w="508" w:type="pct"/>
            <w:tcBorders>
              <w:top w:val="double" w:sz="4" w:space="0" w:color="auto"/>
              <w:left w:val="dotted" w:sz="4" w:space="0" w:color="auto"/>
              <w:bottom w:val="dotted" w:sz="4" w:space="0" w:color="auto"/>
              <w:right w:val="double" w:sz="4" w:space="0" w:color="auto"/>
            </w:tcBorders>
            <w:vAlign w:val="center"/>
          </w:tcPr>
          <w:p w14:paraId="1129E877"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w:t>
            </w:r>
          </w:p>
          <w:p w14:paraId="0FC7D116"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2027</w:t>
            </w:r>
          </w:p>
        </w:tc>
      </w:tr>
      <w:tr w:rsidR="00C50585" w:rsidRPr="00EE038F" w14:paraId="4D2F3AE2" w14:textId="77777777" w:rsidTr="00066DFC">
        <w:trPr>
          <w:trHeight w:val="20"/>
          <w:jc w:val="center"/>
        </w:trPr>
        <w:tc>
          <w:tcPr>
            <w:tcW w:w="1928" w:type="pct"/>
            <w:tcBorders>
              <w:top w:val="nil"/>
              <w:left w:val="double" w:sz="4" w:space="0" w:color="auto"/>
              <w:bottom w:val="single" w:sz="6" w:space="0" w:color="000000"/>
              <w:right w:val="dotted" w:sz="4" w:space="0" w:color="auto"/>
            </w:tcBorders>
            <w:vAlign w:val="center"/>
          </w:tcPr>
          <w:p w14:paraId="26381D71" w14:textId="77777777" w:rsidR="00C50585" w:rsidRPr="00EE038F" w:rsidRDefault="00C50585" w:rsidP="007C70E7">
            <w:pPr>
              <w:spacing w:after="0" w:line="240" w:lineRule="auto"/>
              <w:contextualSpacing/>
              <w:jc w:val="both"/>
              <w:rPr>
                <w:rFonts w:ascii="Garamond" w:hAnsi="Garamond"/>
                <w:b/>
                <w:bCs/>
                <w:sz w:val="18"/>
              </w:rPr>
            </w:pPr>
          </w:p>
        </w:tc>
        <w:tc>
          <w:tcPr>
            <w:tcW w:w="530" w:type="pct"/>
            <w:vMerge/>
            <w:tcBorders>
              <w:left w:val="dotted" w:sz="4" w:space="0" w:color="auto"/>
              <w:bottom w:val="single" w:sz="6" w:space="0" w:color="000000"/>
              <w:right w:val="single" w:sz="6" w:space="0" w:color="000000"/>
            </w:tcBorders>
          </w:tcPr>
          <w:p w14:paraId="51CE484C" w14:textId="77777777" w:rsidR="00C50585" w:rsidRPr="00EE038F" w:rsidRDefault="00C50585" w:rsidP="007C70E7">
            <w:pPr>
              <w:spacing w:after="0" w:line="240" w:lineRule="auto"/>
              <w:contextualSpacing/>
              <w:jc w:val="both"/>
              <w:rPr>
                <w:rFonts w:ascii="Garamond" w:hAnsi="Garamond"/>
                <w:b/>
                <w:bCs/>
                <w:sz w:val="18"/>
              </w:rPr>
            </w:pPr>
          </w:p>
        </w:tc>
        <w:tc>
          <w:tcPr>
            <w:tcW w:w="2541" w:type="pct"/>
            <w:gridSpan w:val="5"/>
            <w:tcBorders>
              <w:top w:val="dotted" w:sz="4" w:space="0" w:color="auto"/>
              <w:left w:val="single" w:sz="6" w:space="0" w:color="000000"/>
              <w:bottom w:val="single" w:sz="6" w:space="0" w:color="000000"/>
              <w:right w:val="double" w:sz="4" w:space="0" w:color="auto"/>
            </w:tcBorders>
            <w:vAlign w:val="center"/>
          </w:tcPr>
          <w:p w14:paraId="71B87A0D" w14:textId="77777777" w:rsidR="00C50585" w:rsidRPr="00EE038F" w:rsidRDefault="00C50585" w:rsidP="007C70E7">
            <w:pPr>
              <w:spacing w:after="0" w:line="240" w:lineRule="auto"/>
              <w:contextualSpacing/>
              <w:jc w:val="both"/>
              <w:rPr>
                <w:rFonts w:ascii="Garamond" w:hAnsi="Garamond"/>
                <w:b/>
                <w:bCs/>
                <w:color w:val="0D0D0D" w:themeColor="text1" w:themeTint="F2"/>
                <w:sz w:val="18"/>
              </w:rPr>
            </w:pPr>
            <w:r w:rsidRPr="00EE038F">
              <w:rPr>
                <w:rFonts w:ascii="Garamond" w:hAnsi="Garamond"/>
                <w:b/>
                <w:bCs/>
                <w:color w:val="0D0D0D" w:themeColor="text1" w:themeTint="F2"/>
                <w:sz w:val="18"/>
              </w:rPr>
              <w:t>Niveli (mld LEK)</w:t>
            </w:r>
          </w:p>
        </w:tc>
      </w:tr>
      <w:tr w:rsidR="00C50585" w:rsidRPr="00EE038F" w14:paraId="2ACF167B" w14:textId="77777777" w:rsidTr="00066DFC">
        <w:trPr>
          <w:trHeight w:val="20"/>
          <w:jc w:val="center"/>
        </w:trPr>
        <w:tc>
          <w:tcPr>
            <w:tcW w:w="5000" w:type="pct"/>
            <w:gridSpan w:val="7"/>
            <w:tcBorders>
              <w:top w:val="single" w:sz="6" w:space="0" w:color="000000"/>
              <w:left w:val="double" w:sz="4" w:space="0" w:color="auto"/>
              <w:bottom w:val="dotted" w:sz="4" w:space="0" w:color="auto"/>
              <w:right w:val="double" w:sz="4" w:space="0" w:color="auto"/>
            </w:tcBorders>
            <w:vAlign w:val="center"/>
          </w:tcPr>
          <w:p w14:paraId="27F2DB2D"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eastAsia="Times New Roman" w:hAnsi="Garamond"/>
                <w:b/>
                <w:bCs/>
                <w:color w:val="0D0D0D" w:themeColor="text1" w:themeTint="F2"/>
                <w:sz w:val="18"/>
              </w:rPr>
              <w:t>Kreditimi neto (B9) sipas nënsektorëve</w:t>
            </w:r>
          </w:p>
        </w:tc>
      </w:tr>
      <w:tr w:rsidR="00C50585" w:rsidRPr="00EE038F" w14:paraId="60C79437" w14:textId="77777777" w:rsidTr="00066DFC">
        <w:trPr>
          <w:trHeight w:val="20"/>
          <w:jc w:val="center"/>
        </w:trPr>
        <w:tc>
          <w:tcPr>
            <w:tcW w:w="1928" w:type="pct"/>
            <w:tcBorders>
              <w:top w:val="dotted" w:sz="4" w:space="0" w:color="auto"/>
              <w:left w:val="double" w:sz="4" w:space="0" w:color="auto"/>
              <w:bottom w:val="dotted" w:sz="4" w:space="0" w:color="auto"/>
              <w:right w:val="dotted" w:sz="4" w:space="0" w:color="auto"/>
            </w:tcBorders>
          </w:tcPr>
          <w:p w14:paraId="659E2AF2"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1. Qeveria e përgjithshme</w:t>
            </w:r>
          </w:p>
        </w:tc>
        <w:tc>
          <w:tcPr>
            <w:tcW w:w="530" w:type="pct"/>
            <w:tcBorders>
              <w:top w:val="dotted" w:sz="4" w:space="0" w:color="auto"/>
              <w:left w:val="dotted" w:sz="4" w:space="0" w:color="auto"/>
              <w:bottom w:val="dotted" w:sz="4" w:space="0" w:color="auto"/>
              <w:right w:val="single" w:sz="6" w:space="0" w:color="000000"/>
            </w:tcBorders>
            <w:vAlign w:val="center"/>
          </w:tcPr>
          <w:p w14:paraId="7FE283F1"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S13</w:t>
            </w:r>
          </w:p>
        </w:tc>
        <w:tc>
          <w:tcPr>
            <w:tcW w:w="508" w:type="pct"/>
            <w:tcBorders>
              <w:top w:val="dotted" w:sz="4" w:space="0" w:color="auto"/>
              <w:left w:val="single" w:sz="6" w:space="0" w:color="000000"/>
              <w:bottom w:val="dotted" w:sz="4" w:space="0" w:color="auto"/>
              <w:right w:val="single" w:sz="4" w:space="0" w:color="auto"/>
            </w:tcBorders>
            <w:vAlign w:val="center"/>
          </w:tcPr>
          <w:p w14:paraId="2FECA25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-31.18</w:t>
            </w:r>
          </w:p>
        </w:tc>
        <w:tc>
          <w:tcPr>
            <w:tcW w:w="508" w:type="pct"/>
            <w:tcBorders>
              <w:top w:val="nil"/>
              <w:left w:val="single" w:sz="4" w:space="0" w:color="auto"/>
              <w:bottom w:val="dotted" w:sz="4" w:space="0" w:color="auto"/>
              <w:right w:val="dotted" w:sz="4" w:space="0" w:color="auto"/>
            </w:tcBorders>
            <w:shd w:val="clear" w:color="000000" w:fill="FFFFFF"/>
            <w:vAlign w:val="center"/>
          </w:tcPr>
          <w:p w14:paraId="241C01A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-37.65</w:t>
            </w:r>
          </w:p>
        </w:tc>
        <w:tc>
          <w:tcPr>
            <w:tcW w:w="508" w:type="pct"/>
            <w:tcBorders>
              <w:top w:val="nil"/>
              <w:left w:val="nil"/>
              <w:bottom w:val="dotted" w:sz="4" w:space="0" w:color="auto"/>
              <w:right w:val="dotted" w:sz="4" w:space="0" w:color="auto"/>
            </w:tcBorders>
            <w:shd w:val="clear" w:color="000000" w:fill="FFFFFF"/>
            <w:vAlign w:val="center"/>
          </w:tcPr>
          <w:p w14:paraId="6179142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-68.05</w:t>
            </w:r>
          </w:p>
        </w:tc>
        <w:tc>
          <w:tcPr>
            <w:tcW w:w="508" w:type="pct"/>
            <w:tcBorders>
              <w:top w:val="nil"/>
              <w:left w:val="nil"/>
              <w:bottom w:val="dotted" w:sz="4" w:space="0" w:color="auto"/>
              <w:right w:val="dotted" w:sz="4" w:space="0" w:color="auto"/>
            </w:tcBorders>
            <w:shd w:val="clear" w:color="000000" w:fill="FFFFFF"/>
            <w:vAlign w:val="center"/>
          </w:tcPr>
          <w:p w14:paraId="7D07E36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-51.29</w:t>
            </w:r>
          </w:p>
        </w:tc>
        <w:tc>
          <w:tcPr>
            <w:tcW w:w="508" w:type="pct"/>
            <w:tcBorders>
              <w:top w:val="nil"/>
              <w:left w:val="nil"/>
              <w:bottom w:val="dotted" w:sz="4" w:space="0" w:color="auto"/>
              <w:right w:val="double" w:sz="6" w:space="0" w:color="auto"/>
            </w:tcBorders>
            <w:shd w:val="clear" w:color="000000" w:fill="FFFFFF"/>
            <w:vAlign w:val="center"/>
          </w:tcPr>
          <w:p w14:paraId="32AAE2B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-44.94</w:t>
            </w:r>
          </w:p>
        </w:tc>
      </w:tr>
      <w:tr w:rsidR="00C50585" w:rsidRPr="00EE038F" w14:paraId="0B5956B6" w14:textId="77777777" w:rsidTr="00066DFC">
        <w:trPr>
          <w:trHeight w:val="20"/>
          <w:jc w:val="center"/>
        </w:trPr>
        <w:tc>
          <w:tcPr>
            <w:tcW w:w="1928" w:type="pct"/>
            <w:tcBorders>
              <w:top w:val="dotted" w:sz="4" w:space="0" w:color="auto"/>
              <w:left w:val="double" w:sz="4" w:space="0" w:color="auto"/>
              <w:bottom w:val="dotted" w:sz="4" w:space="0" w:color="auto"/>
              <w:right w:val="dotted" w:sz="4" w:space="0" w:color="auto"/>
            </w:tcBorders>
          </w:tcPr>
          <w:p w14:paraId="638DDBBE"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2. Pushteti qendror</w:t>
            </w:r>
          </w:p>
        </w:tc>
        <w:tc>
          <w:tcPr>
            <w:tcW w:w="530" w:type="pct"/>
            <w:tcBorders>
              <w:top w:val="dotted" w:sz="4" w:space="0" w:color="auto"/>
              <w:left w:val="dotted" w:sz="4" w:space="0" w:color="auto"/>
              <w:bottom w:val="dotted" w:sz="4" w:space="0" w:color="auto"/>
              <w:right w:val="single" w:sz="6" w:space="0" w:color="000000"/>
            </w:tcBorders>
            <w:vAlign w:val="center"/>
          </w:tcPr>
          <w:p w14:paraId="5433F917"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S1311</w:t>
            </w:r>
          </w:p>
        </w:tc>
        <w:tc>
          <w:tcPr>
            <w:tcW w:w="508" w:type="pct"/>
            <w:tcBorders>
              <w:top w:val="dotted" w:sz="4" w:space="0" w:color="auto"/>
              <w:left w:val="single" w:sz="6" w:space="0" w:color="000000"/>
              <w:bottom w:val="dotted" w:sz="4" w:space="0" w:color="auto"/>
              <w:right w:val="single" w:sz="4" w:space="0" w:color="auto"/>
            </w:tcBorders>
            <w:vAlign w:val="center"/>
          </w:tcPr>
          <w:p w14:paraId="68E7C4D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89.20</w:t>
            </w:r>
          </w:p>
        </w:tc>
        <w:tc>
          <w:tcPr>
            <w:tcW w:w="508" w:type="pct"/>
            <w:tcBorders>
              <w:top w:val="nil"/>
              <w:left w:val="single" w:sz="4" w:space="0" w:color="auto"/>
              <w:bottom w:val="dotted" w:sz="4" w:space="0" w:color="auto"/>
              <w:right w:val="dotted" w:sz="4" w:space="0" w:color="auto"/>
            </w:tcBorders>
            <w:shd w:val="clear" w:color="000000" w:fill="FFFFFF"/>
            <w:vAlign w:val="center"/>
          </w:tcPr>
          <w:p w14:paraId="1E78468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73.68</w:t>
            </w:r>
          </w:p>
        </w:tc>
        <w:tc>
          <w:tcPr>
            <w:tcW w:w="508" w:type="pct"/>
            <w:tcBorders>
              <w:top w:val="nil"/>
              <w:left w:val="nil"/>
              <w:bottom w:val="dotted" w:sz="4" w:space="0" w:color="auto"/>
              <w:right w:val="dotted" w:sz="4" w:space="0" w:color="auto"/>
            </w:tcBorders>
            <w:shd w:val="clear" w:color="000000" w:fill="FFFFFF"/>
            <w:vAlign w:val="center"/>
          </w:tcPr>
          <w:p w14:paraId="07356BC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58.25</w:t>
            </w:r>
          </w:p>
        </w:tc>
        <w:tc>
          <w:tcPr>
            <w:tcW w:w="508" w:type="pct"/>
            <w:tcBorders>
              <w:top w:val="nil"/>
              <w:left w:val="nil"/>
              <w:bottom w:val="dotted" w:sz="4" w:space="0" w:color="auto"/>
              <w:right w:val="dotted" w:sz="4" w:space="0" w:color="auto"/>
            </w:tcBorders>
            <w:shd w:val="clear" w:color="000000" w:fill="FFFFFF"/>
            <w:vAlign w:val="center"/>
          </w:tcPr>
          <w:p w14:paraId="27746B8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86.54</w:t>
            </w:r>
          </w:p>
        </w:tc>
        <w:tc>
          <w:tcPr>
            <w:tcW w:w="508" w:type="pct"/>
            <w:tcBorders>
              <w:top w:val="nil"/>
              <w:left w:val="nil"/>
              <w:bottom w:val="dotted" w:sz="4" w:space="0" w:color="auto"/>
              <w:right w:val="double" w:sz="6" w:space="0" w:color="auto"/>
            </w:tcBorders>
            <w:shd w:val="clear" w:color="000000" w:fill="FFFFFF"/>
            <w:vAlign w:val="center"/>
          </w:tcPr>
          <w:p w14:paraId="384D5F9A"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100.34</w:t>
            </w:r>
          </w:p>
        </w:tc>
      </w:tr>
      <w:tr w:rsidR="00C50585" w:rsidRPr="00EE038F" w14:paraId="46140377" w14:textId="77777777" w:rsidTr="00066DFC">
        <w:trPr>
          <w:trHeight w:val="20"/>
          <w:jc w:val="center"/>
        </w:trPr>
        <w:tc>
          <w:tcPr>
            <w:tcW w:w="1928" w:type="pct"/>
            <w:tcBorders>
              <w:top w:val="dotted" w:sz="4" w:space="0" w:color="auto"/>
              <w:left w:val="double" w:sz="4" w:space="0" w:color="auto"/>
              <w:bottom w:val="dotted" w:sz="4" w:space="0" w:color="auto"/>
              <w:right w:val="dotted" w:sz="4" w:space="0" w:color="auto"/>
            </w:tcBorders>
          </w:tcPr>
          <w:p w14:paraId="7D604DB1"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3. Qeverisja e shtetit</w:t>
            </w:r>
          </w:p>
        </w:tc>
        <w:tc>
          <w:tcPr>
            <w:tcW w:w="530" w:type="pct"/>
            <w:tcBorders>
              <w:top w:val="dotted" w:sz="4" w:space="0" w:color="auto"/>
              <w:left w:val="dotted" w:sz="4" w:space="0" w:color="auto"/>
              <w:bottom w:val="dotted" w:sz="4" w:space="0" w:color="auto"/>
              <w:right w:val="single" w:sz="6" w:space="0" w:color="000000"/>
            </w:tcBorders>
            <w:vAlign w:val="center"/>
          </w:tcPr>
          <w:p w14:paraId="72918DBD"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S1312</w:t>
            </w:r>
          </w:p>
        </w:tc>
        <w:tc>
          <w:tcPr>
            <w:tcW w:w="508" w:type="pct"/>
            <w:tcBorders>
              <w:top w:val="dotted" w:sz="4" w:space="0" w:color="auto"/>
              <w:left w:val="single" w:sz="6" w:space="0" w:color="000000"/>
              <w:bottom w:val="dotted" w:sz="4" w:space="0" w:color="auto"/>
              <w:right w:val="single" w:sz="4" w:space="0" w:color="auto"/>
            </w:tcBorders>
            <w:vAlign w:val="center"/>
          </w:tcPr>
          <w:p w14:paraId="54F7710A"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508" w:type="pct"/>
            <w:tcBorders>
              <w:top w:val="nil"/>
              <w:left w:val="single" w:sz="4" w:space="0" w:color="auto"/>
              <w:bottom w:val="dotted" w:sz="4" w:space="0" w:color="auto"/>
              <w:right w:val="dotted" w:sz="4" w:space="0" w:color="auto"/>
            </w:tcBorders>
            <w:shd w:val="clear" w:color="000000" w:fill="FFFFFF"/>
            <w:vAlign w:val="center"/>
          </w:tcPr>
          <w:p w14:paraId="33B85D5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508" w:type="pct"/>
            <w:tcBorders>
              <w:top w:val="nil"/>
              <w:left w:val="nil"/>
              <w:bottom w:val="dotted" w:sz="4" w:space="0" w:color="auto"/>
              <w:right w:val="dotted" w:sz="4" w:space="0" w:color="auto"/>
            </w:tcBorders>
            <w:shd w:val="clear" w:color="000000" w:fill="FFFFFF"/>
            <w:vAlign w:val="center"/>
          </w:tcPr>
          <w:p w14:paraId="42E1516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508" w:type="pct"/>
            <w:tcBorders>
              <w:top w:val="nil"/>
              <w:left w:val="nil"/>
              <w:bottom w:val="dotted" w:sz="4" w:space="0" w:color="auto"/>
              <w:right w:val="dotted" w:sz="4" w:space="0" w:color="auto"/>
            </w:tcBorders>
            <w:shd w:val="clear" w:color="000000" w:fill="FFFFFF"/>
            <w:vAlign w:val="center"/>
          </w:tcPr>
          <w:p w14:paraId="58FCE03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508" w:type="pct"/>
            <w:tcBorders>
              <w:top w:val="nil"/>
              <w:left w:val="nil"/>
              <w:bottom w:val="dotted" w:sz="4" w:space="0" w:color="auto"/>
              <w:right w:val="double" w:sz="6" w:space="0" w:color="auto"/>
            </w:tcBorders>
            <w:shd w:val="clear" w:color="000000" w:fill="FFFFFF"/>
            <w:vAlign w:val="center"/>
          </w:tcPr>
          <w:p w14:paraId="78328B3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2DDD1245" w14:textId="77777777" w:rsidTr="00066DFC">
        <w:trPr>
          <w:trHeight w:val="20"/>
          <w:jc w:val="center"/>
        </w:trPr>
        <w:tc>
          <w:tcPr>
            <w:tcW w:w="1928" w:type="pct"/>
            <w:tcBorders>
              <w:top w:val="dotted" w:sz="4" w:space="0" w:color="auto"/>
              <w:left w:val="double" w:sz="4" w:space="0" w:color="auto"/>
              <w:bottom w:val="dotted" w:sz="4" w:space="0" w:color="auto"/>
              <w:right w:val="dotted" w:sz="4" w:space="0" w:color="auto"/>
            </w:tcBorders>
          </w:tcPr>
          <w:p w14:paraId="08D5CC84"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4. Pushteti vendor</w:t>
            </w:r>
          </w:p>
        </w:tc>
        <w:tc>
          <w:tcPr>
            <w:tcW w:w="530" w:type="pct"/>
            <w:tcBorders>
              <w:top w:val="dotted" w:sz="4" w:space="0" w:color="auto"/>
              <w:left w:val="dotted" w:sz="4" w:space="0" w:color="auto"/>
              <w:bottom w:val="dotted" w:sz="4" w:space="0" w:color="auto"/>
              <w:right w:val="single" w:sz="6" w:space="0" w:color="000000"/>
            </w:tcBorders>
            <w:vAlign w:val="center"/>
          </w:tcPr>
          <w:p w14:paraId="0D13A718"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S1313</w:t>
            </w:r>
          </w:p>
        </w:tc>
        <w:tc>
          <w:tcPr>
            <w:tcW w:w="508" w:type="pct"/>
            <w:tcBorders>
              <w:top w:val="dotted" w:sz="4" w:space="0" w:color="auto"/>
              <w:left w:val="single" w:sz="6" w:space="0" w:color="000000"/>
              <w:bottom w:val="dotted" w:sz="4" w:space="0" w:color="auto"/>
              <w:right w:val="single" w:sz="4" w:space="0" w:color="auto"/>
            </w:tcBorders>
            <w:vAlign w:val="center"/>
          </w:tcPr>
          <w:p w14:paraId="45FDED9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-27.01</w:t>
            </w:r>
          </w:p>
        </w:tc>
        <w:tc>
          <w:tcPr>
            <w:tcW w:w="508" w:type="pct"/>
            <w:tcBorders>
              <w:top w:val="nil"/>
              <w:left w:val="single" w:sz="4" w:space="0" w:color="auto"/>
              <w:bottom w:val="dotted" w:sz="4" w:space="0" w:color="auto"/>
              <w:right w:val="dotted" w:sz="4" w:space="0" w:color="auto"/>
            </w:tcBorders>
            <w:shd w:val="clear" w:color="000000" w:fill="FFFFFF"/>
            <w:vAlign w:val="center"/>
          </w:tcPr>
          <w:p w14:paraId="39911B6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-29.53</w:t>
            </w:r>
          </w:p>
        </w:tc>
        <w:tc>
          <w:tcPr>
            <w:tcW w:w="508" w:type="pct"/>
            <w:tcBorders>
              <w:top w:val="nil"/>
              <w:left w:val="nil"/>
              <w:bottom w:val="dotted" w:sz="4" w:space="0" w:color="auto"/>
              <w:right w:val="dotted" w:sz="4" w:space="0" w:color="auto"/>
            </w:tcBorders>
            <w:shd w:val="clear" w:color="000000" w:fill="FFFFFF"/>
            <w:vAlign w:val="center"/>
          </w:tcPr>
          <w:p w14:paraId="0ED49B2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-40.48</w:t>
            </w:r>
          </w:p>
        </w:tc>
        <w:tc>
          <w:tcPr>
            <w:tcW w:w="508" w:type="pct"/>
            <w:tcBorders>
              <w:top w:val="nil"/>
              <w:left w:val="nil"/>
              <w:bottom w:val="dotted" w:sz="4" w:space="0" w:color="auto"/>
              <w:right w:val="dotted" w:sz="4" w:space="0" w:color="auto"/>
            </w:tcBorders>
            <w:shd w:val="clear" w:color="000000" w:fill="FFFFFF"/>
            <w:vAlign w:val="center"/>
          </w:tcPr>
          <w:p w14:paraId="0D5005A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-45.98</w:t>
            </w:r>
          </w:p>
        </w:tc>
        <w:tc>
          <w:tcPr>
            <w:tcW w:w="508" w:type="pct"/>
            <w:tcBorders>
              <w:top w:val="nil"/>
              <w:left w:val="nil"/>
              <w:bottom w:val="dotted" w:sz="4" w:space="0" w:color="auto"/>
              <w:right w:val="double" w:sz="6" w:space="0" w:color="auto"/>
            </w:tcBorders>
            <w:shd w:val="clear" w:color="000000" w:fill="FFFFFF"/>
            <w:vAlign w:val="center"/>
          </w:tcPr>
          <w:p w14:paraId="51F48D4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-48.25</w:t>
            </w:r>
          </w:p>
        </w:tc>
      </w:tr>
      <w:tr w:rsidR="00C50585" w:rsidRPr="00EE038F" w14:paraId="00122321" w14:textId="77777777" w:rsidTr="00066DFC">
        <w:trPr>
          <w:trHeight w:val="20"/>
          <w:jc w:val="center"/>
        </w:trPr>
        <w:tc>
          <w:tcPr>
            <w:tcW w:w="1928" w:type="pct"/>
            <w:tcBorders>
              <w:top w:val="dotted" w:sz="4" w:space="0" w:color="auto"/>
              <w:left w:val="double" w:sz="4" w:space="0" w:color="auto"/>
              <w:bottom w:val="single" w:sz="6" w:space="0" w:color="000000"/>
              <w:right w:val="dotted" w:sz="4" w:space="0" w:color="auto"/>
            </w:tcBorders>
          </w:tcPr>
          <w:p w14:paraId="1512B85C"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5. Fondet e sigurimeve shoqërore</w:t>
            </w:r>
          </w:p>
        </w:tc>
        <w:tc>
          <w:tcPr>
            <w:tcW w:w="530" w:type="pct"/>
            <w:tcBorders>
              <w:top w:val="dotted" w:sz="4" w:space="0" w:color="auto"/>
              <w:left w:val="dotted" w:sz="4" w:space="0" w:color="auto"/>
              <w:bottom w:val="single" w:sz="6" w:space="0" w:color="000000"/>
              <w:right w:val="single" w:sz="6" w:space="0" w:color="000000"/>
            </w:tcBorders>
            <w:vAlign w:val="center"/>
          </w:tcPr>
          <w:p w14:paraId="0A376C5B"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S1314</w:t>
            </w:r>
          </w:p>
        </w:tc>
        <w:tc>
          <w:tcPr>
            <w:tcW w:w="508" w:type="pct"/>
            <w:tcBorders>
              <w:top w:val="dotted" w:sz="4" w:space="0" w:color="auto"/>
              <w:left w:val="single" w:sz="6" w:space="0" w:color="000000"/>
              <w:bottom w:val="single" w:sz="6" w:space="0" w:color="000000"/>
              <w:right w:val="single" w:sz="4" w:space="0" w:color="auto"/>
            </w:tcBorders>
            <w:vAlign w:val="center"/>
          </w:tcPr>
          <w:p w14:paraId="0B4484C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-93.37</w:t>
            </w:r>
          </w:p>
        </w:tc>
        <w:tc>
          <w:tcPr>
            <w:tcW w:w="508" w:type="pct"/>
            <w:tcBorders>
              <w:top w:val="nil"/>
              <w:left w:val="single" w:sz="4" w:space="0" w:color="auto"/>
              <w:bottom w:val="single" w:sz="8" w:space="0" w:color="auto"/>
              <w:right w:val="dotted" w:sz="4" w:space="0" w:color="auto"/>
            </w:tcBorders>
            <w:shd w:val="clear" w:color="000000" w:fill="FFFFFF"/>
            <w:vAlign w:val="center"/>
          </w:tcPr>
          <w:p w14:paraId="5EA57B3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-81.81</w:t>
            </w:r>
          </w:p>
        </w:tc>
        <w:tc>
          <w:tcPr>
            <w:tcW w:w="508" w:type="pct"/>
            <w:tcBorders>
              <w:top w:val="nil"/>
              <w:left w:val="nil"/>
              <w:bottom w:val="single" w:sz="8" w:space="0" w:color="auto"/>
              <w:right w:val="dotted" w:sz="4" w:space="0" w:color="auto"/>
            </w:tcBorders>
            <w:shd w:val="clear" w:color="000000" w:fill="FFFFFF"/>
            <w:vAlign w:val="center"/>
          </w:tcPr>
          <w:p w14:paraId="0D75A39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-85.83</w:t>
            </w:r>
          </w:p>
        </w:tc>
        <w:tc>
          <w:tcPr>
            <w:tcW w:w="508" w:type="pct"/>
            <w:tcBorders>
              <w:top w:val="nil"/>
              <w:left w:val="nil"/>
              <w:bottom w:val="single" w:sz="8" w:space="0" w:color="auto"/>
              <w:right w:val="dotted" w:sz="4" w:space="0" w:color="auto"/>
            </w:tcBorders>
            <w:shd w:val="clear" w:color="000000" w:fill="FFFFFF"/>
            <w:vAlign w:val="center"/>
          </w:tcPr>
          <w:p w14:paraId="75107AF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-91.85</w:t>
            </w:r>
          </w:p>
        </w:tc>
        <w:tc>
          <w:tcPr>
            <w:tcW w:w="508" w:type="pct"/>
            <w:tcBorders>
              <w:top w:val="nil"/>
              <w:left w:val="nil"/>
              <w:bottom w:val="single" w:sz="8" w:space="0" w:color="auto"/>
              <w:right w:val="double" w:sz="6" w:space="0" w:color="auto"/>
            </w:tcBorders>
            <w:shd w:val="clear" w:color="000000" w:fill="FFFFFF"/>
            <w:vAlign w:val="center"/>
          </w:tcPr>
          <w:p w14:paraId="144A43A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-97.03</w:t>
            </w:r>
          </w:p>
        </w:tc>
      </w:tr>
      <w:tr w:rsidR="00C50585" w:rsidRPr="00EE038F" w14:paraId="204A99B0" w14:textId="77777777" w:rsidTr="00066DFC">
        <w:trPr>
          <w:trHeight w:val="20"/>
          <w:jc w:val="center"/>
        </w:trPr>
        <w:tc>
          <w:tcPr>
            <w:tcW w:w="5000" w:type="pct"/>
            <w:gridSpan w:val="7"/>
            <w:tcBorders>
              <w:top w:val="single" w:sz="6" w:space="0" w:color="000000"/>
              <w:left w:val="double" w:sz="4" w:space="0" w:color="auto"/>
              <w:bottom w:val="single" w:sz="4" w:space="0" w:color="auto"/>
              <w:right w:val="double" w:sz="4" w:space="0" w:color="auto"/>
            </w:tcBorders>
            <w:vAlign w:val="center"/>
          </w:tcPr>
          <w:p w14:paraId="52DA6B13" w14:textId="77777777" w:rsidR="00C50585" w:rsidRPr="00EE038F" w:rsidRDefault="00C50585" w:rsidP="00280C20">
            <w:pPr>
              <w:keepNext/>
              <w:spacing w:after="0" w:line="240" w:lineRule="auto"/>
              <w:contextualSpacing/>
              <w:rPr>
                <w:rFonts w:ascii="Garamond" w:hAnsi="Garamond"/>
                <w:sz w:val="18"/>
              </w:rPr>
            </w:pPr>
            <w:r w:rsidRPr="00EE038F">
              <w:rPr>
                <w:rFonts w:ascii="Garamond" w:eastAsia="Times New Roman" w:hAnsi="Garamond"/>
                <w:b/>
                <w:bCs/>
                <w:color w:val="0D0D0D" w:themeColor="text1" w:themeTint="F2"/>
                <w:sz w:val="18"/>
              </w:rPr>
              <w:t>Qeveria e përgjithshme (S13)</w:t>
            </w:r>
          </w:p>
        </w:tc>
      </w:tr>
      <w:tr w:rsidR="00C50585" w:rsidRPr="00EE038F" w14:paraId="251FBE5A" w14:textId="77777777" w:rsidTr="00066DFC">
        <w:trPr>
          <w:trHeight w:val="20"/>
          <w:jc w:val="center"/>
        </w:trPr>
        <w:tc>
          <w:tcPr>
            <w:tcW w:w="1928" w:type="pct"/>
            <w:tcBorders>
              <w:top w:val="single" w:sz="4" w:space="0" w:color="auto"/>
              <w:left w:val="double" w:sz="4" w:space="0" w:color="auto"/>
              <w:bottom w:val="dotted" w:sz="4" w:space="0" w:color="auto"/>
              <w:right w:val="dotted" w:sz="4" w:space="0" w:color="auto"/>
            </w:tcBorders>
          </w:tcPr>
          <w:p w14:paraId="68F6B79F"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6. Të ardhurat totale</w:t>
            </w:r>
          </w:p>
        </w:tc>
        <w:tc>
          <w:tcPr>
            <w:tcW w:w="530" w:type="pct"/>
            <w:tcBorders>
              <w:top w:val="single" w:sz="4" w:space="0" w:color="auto"/>
              <w:left w:val="dotted" w:sz="4" w:space="0" w:color="auto"/>
              <w:bottom w:val="dotted" w:sz="4" w:space="0" w:color="auto"/>
              <w:right w:val="single" w:sz="6" w:space="0" w:color="000000"/>
            </w:tcBorders>
            <w:vAlign w:val="center"/>
          </w:tcPr>
          <w:p w14:paraId="5BEF41ED"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TR</w:t>
            </w:r>
          </w:p>
        </w:tc>
        <w:tc>
          <w:tcPr>
            <w:tcW w:w="508" w:type="pct"/>
            <w:tcBorders>
              <w:top w:val="single" w:sz="4" w:space="0" w:color="auto"/>
              <w:left w:val="single" w:sz="6" w:space="0" w:color="000000"/>
              <w:bottom w:val="dotted" w:sz="4" w:space="0" w:color="auto"/>
              <w:right w:val="single" w:sz="4" w:space="0" w:color="auto"/>
            </w:tcBorders>
            <w:vAlign w:val="center"/>
          </w:tcPr>
          <w:p w14:paraId="04C101E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643.68</w:t>
            </w:r>
          </w:p>
        </w:tc>
        <w:tc>
          <w:tcPr>
            <w:tcW w:w="508" w:type="pct"/>
            <w:tcBorders>
              <w:top w:val="single" w:sz="4" w:space="0" w:color="auto"/>
              <w:left w:val="single" w:sz="4" w:space="0" w:color="auto"/>
              <w:bottom w:val="dotted" w:sz="4" w:space="0" w:color="auto"/>
              <w:right w:val="dotted" w:sz="4" w:space="0" w:color="auto"/>
            </w:tcBorders>
            <w:shd w:val="clear" w:color="000000" w:fill="FFFFFF"/>
            <w:vAlign w:val="center"/>
          </w:tcPr>
          <w:p w14:paraId="7B72EED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714.31</w:t>
            </w:r>
          </w:p>
        </w:tc>
        <w:tc>
          <w:tcPr>
            <w:tcW w:w="508" w:type="pct"/>
            <w:tcBorders>
              <w:top w:val="single" w:sz="4" w:space="0" w:color="auto"/>
              <w:left w:val="nil"/>
              <w:bottom w:val="dotted" w:sz="4" w:space="0" w:color="auto"/>
              <w:right w:val="dotted" w:sz="4" w:space="0" w:color="auto"/>
            </w:tcBorders>
            <w:shd w:val="clear" w:color="000000" w:fill="FFFFFF"/>
            <w:vAlign w:val="center"/>
          </w:tcPr>
          <w:p w14:paraId="03413B2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757.04</w:t>
            </w:r>
          </w:p>
        </w:tc>
        <w:tc>
          <w:tcPr>
            <w:tcW w:w="508" w:type="pct"/>
            <w:tcBorders>
              <w:top w:val="single" w:sz="4" w:space="0" w:color="auto"/>
              <w:left w:val="nil"/>
              <w:bottom w:val="dotted" w:sz="4" w:space="0" w:color="auto"/>
              <w:right w:val="dotted" w:sz="4" w:space="0" w:color="auto"/>
            </w:tcBorders>
            <w:shd w:val="clear" w:color="000000" w:fill="FFFFFF"/>
            <w:vAlign w:val="center"/>
          </w:tcPr>
          <w:p w14:paraId="7886C54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798.51</w:t>
            </w:r>
          </w:p>
        </w:tc>
        <w:tc>
          <w:tcPr>
            <w:tcW w:w="508" w:type="pct"/>
            <w:tcBorders>
              <w:top w:val="single" w:sz="4" w:space="0" w:color="auto"/>
              <w:left w:val="nil"/>
              <w:bottom w:val="dotted" w:sz="4" w:space="0" w:color="auto"/>
              <w:right w:val="double" w:sz="6" w:space="0" w:color="auto"/>
            </w:tcBorders>
            <w:shd w:val="clear" w:color="000000" w:fill="FFFFFF"/>
            <w:vAlign w:val="center"/>
          </w:tcPr>
          <w:p w14:paraId="654BB9B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848.39</w:t>
            </w:r>
          </w:p>
        </w:tc>
      </w:tr>
      <w:tr w:rsidR="00C50585" w:rsidRPr="00EE038F" w14:paraId="6B6D3ED5" w14:textId="77777777" w:rsidTr="00066DFC">
        <w:trPr>
          <w:trHeight w:val="20"/>
          <w:jc w:val="center"/>
        </w:trPr>
        <w:tc>
          <w:tcPr>
            <w:tcW w:w="1928" w:type="pct"/>
            <w:tcBorders>
              <w:top w:val="dotted" w:sz="4" w:space="0" w:color="auto"/>
              <w:left w:val="double" w:sz="4" w:space="0" w:color="auto"/>
              <w:bottom w:val="dotted" w:sz="4" w:space="0" w:color="auto"/>
              <w:right w:val="dotted" w:sz="4" w:space="0" w:color="auto"/>
            </w:tcBorders>
          </w:tcPr>
          <w:p w14:paraId="4DD6509F"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7. Shpenzimet totale</w:t>
            </w:r>
            <w:r w:rsidRPr="00EE038F">
              <w:rPr>
                <w:rStyle w:val="FootnoteReference"/>
                <w:rFonts w:ascii="Garamond" w:hAnsi="Garamond"/>
                <w:sz w:val="18"/>
              </w:rPr>
              <w:footnoteReference w:id="27"/>
            </w:r>
          </w:p>
        </w:tc>
        <w:tc>
          <w:tcPr>
            <w:tcW w:w="530" w:type="pct"/>
            <w:tcBorders>
              <w:top w:val="dotted" w:sz="4" w:space="0" w:color="auto"/>
              <w:left w:val="dotted" w:sz="4" w:space="0" w:color="auto"/>
              <w:bottom w:val="dotted" w:sz="4" w:space="0" w:color="auto"/>
              <w:right w:val="single" w:sz="6" w:space="0" w:color="000000"/>
            </w:tcBorders>
            <w:vAlign w:val="center"/>
          </w:tcPr>
          <w:p w14:paraId="31DFBA01"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TE</w:t>
            </w:r>
          </w:p>
        </w:tc>
        <w:tc>
          <w:tcPr>
            <w:tcW w:w="508" w:type="pct"/>
            <w:tcBorders>
              <w:top w:val="dotted" w:sz="4" w:space="0" w:color="auto"/>
              <w:left w:val="single" w:sz="6" w:space="0" w:color="000000"/>
              <w:bottom w:val="dotted" w:sz="4" w:space="0" w:color="auto"/>
              <w:right w:val="single" w:sz="4" w:space="0" w:color="auto"/>
            </w:tcBorders>
            <w:vAlign w:val="center"/>
          </w:tcPr>
          <w:p w14:paraId="6EEF94D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674.86</w:t>
            </w:r>
          </w:p>
        </w:tc>
        <w:tc>
          <w:tcPr>
            <w:tcW w:w="508" w:type="pct"/>
            <w:tcBorders>
              <w:top w:val="nil"/>
              <w:left w:val="single" w:sz="4" w:space="0" w:color="auto"/>
              <w:bottom w:val="dotted" w:sz="4" w:space="0" w:color="auto"/>
              <w:right w:val="dotted" w:sz="4" w:space="0" w:color="auto"/>
            </w:tcBorders>
            <w:shd w:val="clear" w:color="000000" w:fill="FFFFFF"/>
            <w:vAlign w:val="center"/>
          </w:tcPr>
          <w:p w14:paraId="782D420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751.95</w:t>
            </w:r>
          </w:p>
        </w:tc>
        <w:tc>
          <w:tcPr>
            <w:tcW w:w="508" w:type="pct"/>
            <w:tcBorders>
              <w:top w:val="nil"/>
              <w:left w:val="nil"/>
              <w:bottom w:val="dotted" w:sz="4" w:space="0" w:color="auto"/>
              <w:right w:val="dotted" w:sz="4" w:space="0" w:color="auto"/>
            </w:tcBorders>
            <w:shd w:val="clear" w:color="000000" w:fill="FFFFFF"/>
            <w:vAlign w:val="center"/>
          </w:tcPr>
          <w:p w14:paraId="7B4B35F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825.09</w:t>
            </w:r>
          </w:p>
        </w:tc>
        <w:tc>
          <w:tcPr>
            <w:tcW w:w="508" w:type="pct"/>
            <w:tcBorders>
              <w:top w:val="nil"/>
              <w:left w:val="nil"/>
              <w:bottom w:val="dotted" w:sz="4" w:space="0" w:color="auto"/>
              <w:right w:val="dotted" w:sz="4" w:space="0" w:color="auto"/>
            </w:tcBorders>
            <w:shd w:val="clear" w:color="000000" w:fill="FFFFFF"/>
            <w:vAlign w:val="center"/>
          </w:tcPr>
          <w:p w14:paraId="0F618DA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849.80</w:t>
            </w:r>
          </w:p>
        </w:tc>
        <w:tc>
          <w:tcPr>
            <w:tcW w:w="508" w:type="pct"/>
            <w:tcBorders>
              <w:top w:val="nil"/>
              <w:left w:val="nil"/>
              <w:bottom w:val="dotted" w:sz="4" w:space="0" w:color="auto"/>
              <w:right w:val="double" w:sz="6" w:space="0" w:color="auto"/>
            </w:tcBorders>
            <w:shd w:val="clear" w:color="000000" w:fill="FFFFFF"/>
            <w:vAlign w:val="center"/>
          </w:tcPr>
          <w:p w14:paraId="2C8452E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893.34</w:t>
            </w:r>
          </w:p>
        </w:tc>
      </w:tr>
      <w:tr w:rsidR="00C50585" w:rsidRPr="00EE038F" w14:paraId="4C9F6D6B" w14:textId="77777777" w:rsidTr="00066DFC">
        <w:trPr>
          <w:trHeight w:val="20"/>
          <w:jc w:val="center"/>
        </w:trPr>
        <w:tc>
          <w:tcPr>
            <w:tcW w:w="1928" w:type="pct"/>
            <w:tcBorders>
              <w:top w:val="dotted" w:sz="4" w:space="0" w:color="auto"/>
              <w:left w:val="double" w:sz="4" w:space="0" w:color="auto"/>
              <w:bottom w:val="dotted" w:sz="4" w:space="0" w:color="auto"/>
              <w:right w:val="dotted" w:sz="4" w:space="0" w:color="auto"/>
            </w:tcBorders>
          </w:tcPr>
          <w:p w14:paraId="59106631"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8. Huamarrje/huadhënie neto</w:t>
            </w:r>
          </w:p>
        </w:tc>
        <w:tc>
          <w:tcPr>
            <w:tcW w:w="530" w:type="pct"/>
            <w:tcBorders>
              <w:top w:val="dotted" w:sz="4" w:space="0" w:color="auto"/>
              <w:left w:val="dotted" w:sz="4" w:space="0" w:color="auto"/>
              <w:bottom w:val="dotted" w:sz="4" w:space="0" w:color="auto"/>
              <w:right w:val="single" w:sz="6" w:space="0" w:color="000000"/>
            </w:tcBorders>
            <w:vAlign w:val="center"/>
          </w:tcPr>
          <w:p w14:paraId="652D4688"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EDP.B9</w:t>
            </w:r>
          </w:p>
        </w:tc>
        <w:tc>
          <w:tcPr>
            <w:tcW w:w="508" w:type="pct"/>
            <w:tcBorders>
              <w:top w:val="dotted" w:sz="4" w:space="0" w:color="auto"/>
              <w:left w:val="single" w:sz="6" w:space="0" w:color="000000"/>
              <w:bottom w:val="dotted" w:sz="4" w:space="0" w:color="auto"/>
              <w:right w:val="single" w:sz="4" w:space="0" w:color="auto"/>
            </w:tcBorders>
            <w:vAlign w:val="center"/>
          </w:tcPr>
          <w:p w14:paraId="14F7BC5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-31.18</w:t>
            </w:r>
          </w:p>
        </w:tc>
        <w:tc>
          <w:tcPr>
            <w:tcW w:w="508" w:type="pct"/>
            <w:tcBorders>
              <w:top w:val="nil"/>
              <w:left w:val="single" w:sz="4" w:space="0" w:color="auto"/>
              <w:bottom w:val="dotted" w:sz="4" w:space="0" w:color="auto"/>
              <w:right w:val="dotted" w:sz="4" w:space="0" w:color="auto"/>
            </w:tcBorders>
            <w:shd w:val="clear" w:color="000000" w:fill="FFFFFF"/>
            <w:vAlign w:val="center"/>
          </w:tcPr>
          <w:p w14:paraId="7F01A69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-37.65</w:t>
            </w:r>
          </w:p>
        </w:tc>
        <w:tc>
          <w:tcPr>
            <w:tcW w:w="508" w:type="pct"/>
            <w:tcBorders>
              <w:top w:val="nil"/>
              <w:left w:val="nil"/>
              <w:bottom w:val="dotted" w:sz="4" w:space="0" w:color="auto"/>
              <w:right w:val="dotted" w:sz="4" w:space="0" w:color="auto"/>
            </w:tcBorders>
            <w:shd w:val="clear" w:color="000000" w:fill="FFFFFF"/>
            <w:vAlign w:val="center"/>
          </w:tcPr>
          <w:p w14:paraId="7D606C7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-68.05</w:t>
            </w:r>
          </w:p>
        </w:tc>
        <w:tc>
          <w:tcPr>
            <w:tcW w:w="508" w:type="pct"/>
            <w:tcBorders>
              <w:top w:val="nil"/>
              <w:left w:val="nil"/>
              <w:bottom w:val="dotted" w:sz="4" w:space="0" w:color="auto"/>
              <w:right w:val="dotted" w:sz="4" w:space="0" w:color="auto"/>
            </w:tcBorders>
            <w:shd w:val="clear" w:color="000000" w:fill="FFFFFF"/>
            <w:vAlign w:val="center"/>
          </w:tcPr>
          <w:p w14:paraId="772DA58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-51.29</w:t>
            </w:r>
          </w:p>
        </w:tc>
        <w:tc>
          <w:tcPr>
            <w:tcW w:w="508" w:type="pct"/>
            <w:tcBorders>
              <w:top w:val="nil"/>
              <w:left w:val="nil"/>
              <w:bottom w:val="dotted" w:sz="4" w:space="0" w:color="auto"/>
              <w:right w:val="double" w:sz="6" w:space="0" w:color="auto"/>
            </w:tcBorders>
            <w:shd w:val="clear" w:color="000000" w:fill="FFFFFF"/>
            <w:vAlign w:val="center"/>
          </w:tcPr>
          <w:p w14:paraId="2D345B4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-44.94</w:t>
            </w:r>
          </w:p>
        </w:tc>
      </w:tr>
      <w:tr w:rsidR="00C50585" w:rsidRPr="00EE038F" w14:paraId="6760D7CB" w14:textId="77777777" w:rsidTr="00066DFC">
        <w:trPr>
          <w:trHeight w:val="20"/>
          <w:jc w:val="center"/>
        </w:trPr>
        <w:tc>
          <w:tcPr>
            <w:tcW w:w="1928" w:type="pct"/>
            <w:tcBorders>
              <w:top w:val="dotted" w:sz="4" w:space="0" w:color="auto"/>
              <w:left w:val="double" w:sz="4" w:space="0" w:color="auto"/>
              <w:bottom w:val="dotted" w:sz="4" w:space="0" w:color="auto"/>
              <w:right w:val="dotted" w:sz="4" w:space="0" w:color="auto"/>
            </w:tcBorders>
          </w:tcPr>
          <w:p w14:paraId="1B35708C"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9. Shpenzimet e interesit</w:t>
            </w:r>
          </w:p>
        </w:tc>
        <w:tc>
          <w:tcPr>
            <w:tcW w:w="530" w:type="pct"/>
            <w:tcBorders>
              <w:top w:val="dotted" w:sz="4" w:space="0" w:color="auto"/>
              <w:left w:val="dotted" w:sz="4" w:space="0" w:color="auto"/>
              <w:bottom w:val="dotted" w:sz="4" w:space="0" w:color="auto"/>
              <w:right w:val="single" w:sz="6" w:space="0" w:color="000000"/>
            </w:tcBorders>
            <w:vAlign w:val="center"/>
          </w:tcPr>
          <w:p w14:paraId="6C2B7A0E"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sz w:val="18"/>
              </w:rPr>
              <w:t>EDP.D41</w:t>
            </w:r>
          </w:p>
        </w:tc>
        <w:tc>
          <w:tcPr>
            <w:tcW w:w="508" w:type="pct"/>
            <w:tcBorders>
              <w:top w:val="dotted" w:sz="4" w:space="0" w:color="auto"/>
              <w:left w:val="single" w:sz="6" w:space="0" w:color="000000"/>
              <w:bottom w:val="dotted" w:sz="4" w:space="0" w:color="auto"/>
              <w:right w:val="single" w:sz="4" w:space="0" w:color="auto"/>
            </w:tcBorders>
            <w:vAlign w:val="center"/>
          </w:tcPr>
          <w:p w14:paraId="5AF66B10" w14:textId="77777777" w:rsidR="00C50585" w:rsidRPr="00EE038F" w:rsidRDefault="00C50585" w:rsidP="00280C20">
            <w:pPr>
              <w:spacing w:after="0" w:line="240" w:lineRule="auto"/>
              <w:contextualSpacing/>
              <w:jc w:val="right"/>
              <w:rPr>
                <w:rFonts w:ascii="Garamond" w:eastAsia="Times New Roman" w:hAnsi="Garamond"/>
                <w:sz w:val="18"/>
              </w:rPr>
            </w:pPr>
            <w:r w:rsidRPr="00EE038F">
              <w:rPr>
                <w:rFonts w:ascii="Garamond" w:hAnsi="Garamond"/>
                <w:sz w:val="18"/>
              </w:rPr>
              <w:t>47.59</w:t>
            </w:r>
          </w:p>
        </w:tc>
        <w:tc>
          <w:tcPr>
            <w:tcW w:w="508" w:type="pct"/>
            <w:tcBorders>
              <w:top w:val="nil"/>
              <w:left w:val="single" w:sz="4" w:space="0" w:color="auto"/>
              <w:bottom w:val="dotted" w:sz="4" w:space="0" w:color="auto"/>
              <w:right w:val="dotted" w:sz="4" w:space="0" w:color="auto"/>
            </w:tcBorders>
            <w:shd w:val="clear" w:color="000000" w:fill="FFFFFF"/>
            <w:vAlign w:val="center"/>
          </w:tcPr>
          <w:p w14:paraId="3A7627F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54.91</w:t>
            </w:r>
          </w:p>
        </w:tc>
        <w:tc>
          <w:tcPr>
            <w:tcW w:w="508" w:type="pct"/>
            <w:tcBorders>
              <w:top w:val="nil"/>
              <w:left w:val="nil"/>
              <w:bottom w:val="dotted" w:sz="4" w:space="0" w:color="auto"/>
              <w:right w:val="dotted" w:sz="4" w:space="0" w:color="auto"/>
            </w:tcBorders>
            <w:shd w:val="clear" w:color="000000" w:fill="FFFFFF"/>
            <w:vAlign w:val="center"/>
          </w:tcPr>
          <w:p w14:paraId="61E72E4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68.55</w:t>
            </w:r>
          </w:p>
        </w:tc>
        <w:tc>
          <w:tcPr>
            <w:tcW w:w="508" w:type="pct"/>
            <w:tcBorders>
              <w:top w:val="nil"/>
              <w:left w:val="nil"/>
              <w:bottom w:val="dotted" w:sz="4" w:space="0" w:color="auto"/>
              <w:right w:val="dotted" w:sz="4" w:space="0" w:color="auto"/>
            </w:tcBorders>
            <w:shd w:val="clear" w:color="000000" w:fill="FFFFFF"/>
            <w:vAlign w:val="center"/>
          </w:tcPr>
          <w:p w14:paraId="7CE8336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70.15</w:t>
            </w:r>
          </w:p>
        </w:tc>
        <w:tc>
          <w:tcPr>
            <w:tcW w:w="508" w:type="pct"/>
            <w:tcBorders>
              <w:top w:val="nil"/>
              <w:left w:val="nil"/>
              <w:bottom w:val="dotted" w:sz="4" w:space="0" w:color="auto"/>
              <w:right w:val="double" w:sz="6" w:space="0" w:color="auto"/>
            </w:tcBorders>
            <w:shd w:val="clear" w:color="000000" w:fill="FFFFFF"/>
            <w:vAlign w:val="center"/>
          </w:tcPr>
          <w:p w14:paraId="730A260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71.55</w:t>
            </w:r>
          </w:p>
        </w:tc>
      </w:tr>
      <w:tr w:rsidR="00C50585" w:rsidRPr="00EE038F" w14:paraId="1F6C0DBF" w14:textId="77777777" w:rsidTr="00066DFC">
        <w:trPr>
          <w:trHeight w:val="20"/>
          <w:jc w:val="center"/>
        </w:trPr>
        <w:tc>
          <w:tcPr>
            <w:tcW w:w="1928" w:type="pct"/>
            <w:tcBorders>
              <w:top w:val="dotted" w:sz="4" w:space="0" w:color="auto"/>
              <w:left w:val="double" w:sz="4" w:space="0" w:color="auto"/>
              <w:bottom w:val="dotted" w:sz="4" w:space="0" w:color="auto"/>
              <w:right w:val="dotted" w:sz="4" w:space="0" w:color="auto"/>
            </w:tcBorders>
          </w:tcPr>
          <w:p w14:paraId="09436216"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lastRenderedPageBreak/>
              <w:t>10. Bilanci primar</w:t>
            </w:r>
            <w:r w:rsidRPr="00EE038F">
              <w:rPr>
                <w:rStyle w:val="FootnoteReference"/>
                <w:rFonts w:ascii="Garamond" w:hAnsi="Garamond"/>
                <w:sz w:val="18"/>
              </w:rPr>
              <w:footnoteReference w:id="28"/>
            </w:r>
          </w:p>
        </w:tc>
        <w:tc>
          <w:tcPr>
            <w:tcW w:w="530" w:type="pct"/>
            <w:tcBorders>
              <w:top w:val="dotted" w:sz="4" w:space="0" w:color="auto"/>
              <w:left w:val="dotted" w:sz="4" w:space="0" w:color="auto"/>
              <w:bottom w:val="dotted" w:sz="4" w:space="0" w:color="auto"/>
              <w:right w:val="single" w:sz="6" w:space="0" w:color="000000"/>
            </w:tcBorders>
            <w:vAlign w:val="center"/>
          </w:tcPr>
          <w:p w14:paraId="7916A993" w14:textId="77777777" w:rsidR="00C50585" w:rsidRPr="00EE038F" w:rsidRDefault="00C50585" w:rsidP="007C70E7">
            <w:pPr>
              <w:spacing w:after="0" w:line="240" w:lineRule="auto"/>
              <w:contextualSpacing/>
              <w:jc w:val="both"/>
              <w:rPr>
                <w:rFonts w:ascii="Garamond" w:hAnsi="Garamond"/>
                <w:sz w:val="18"/>
              </w:rPr>
            </w:pPr>
          </w:p>
        </w:tc>
        <w:tc>
          <w:tcPr>
            <w:tcW w:w="508" w:type="pct"/>
            <w:tcBorders>
              <w:top w:val="dotted" w:sz="4" w:space="0" w:color="auto"/>
              <w:left w:val="single" w:sz="6" w:space="0" w:color="000000"/>
              <w:bottom w:val="dotted" w:sz="4" w:space="0" w:color="auto"/>
              <w:right w:val="single" w:sz="4" w:space="0" w:color="auto"/>
            </w:tcBorders>
            <w:vAlign w:val="center"/>
          </w:tcPr>
          <w:p w14:paraId="7574667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16.41</w:t>
            </w:r>
          </w:p>
        </w:tc>
        <w:tc>
          <w:tcPr>
            <w:tcW w:w="508" w:type="pct"/>
            <w:tcBorders>
              <w:top w:val="dotted" w:sz="4" w:space="0" w:color="auto"/>
              <w:left w:val="single" w:sz="4" w:space="0" w:color="auto"/>
              <w:bottom w:val="dotted" w:sz="4" w:space="0" w:color="auto"/>
              <w:right w:val="dotted" w:sz="4" w:space="0" w:color="auto"/>
            </w:tcBorders>
            <w:shd w:val="clear" w:color="000000" w:fill="FFFFFF"/>
            <w:vAlign w:val="center"/>
          </w:tcPr>
          <w:p w14:paraId="0D8B92AA"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17.26</w:t>
            </w:r>
          </w:p>
        </w:tc>
        <w:tc>
          <w:tcPr>
            <w:tcW w:w="508" w:type="pct"/>
            <w:tcBorders>
              <w:top w:val="dotted" w:sz="4" w:space="0" w:color="auto"/>
              <w:left w:val="nil"/>
              <w:bottom w:val="dotted" w:sz="4" w:space="0" w:color="auto"/>
              <w:right w:val="dotted" w:sz="4" w:space="0" w:color="auto"/>
            </w:tcBorders>
            <w:shd w:val="clear" w:color="000000" w:fill="FFFFFF"/>
            <w:vAlign w:val="center"/>
          </w:tcPr>
          <w:p w14:paraId="3E86367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0.50</w:t>
            </w:r>
          </w:p>
        </w:tc>
        <w:tc>
          <w:tcPr>
            <w:tcW w:w="508" w:type="pct"/>
            <w:tcBorders>
              <w:top w:val="dotted" w:sz="4" w:space="0" w:color="auto"/>
              <w:left w:val="nil"/>
              <w:bottom w:val="dotted" w:sz="4" w:space="0" w:color="auto"/>
              <w:right w:val="dotted" w:sz="4" w:space="0" w:color="auto"/>
            </w:tcBorders>
            <w:shd w:val="clear" w:color="000000" w:fill="FFFFFF"/>
            <w:vAlign w:val="center"/>
          </w:tcPr>
          <w:p w14:paraId="3DE50BC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18.86</w:t>
            </w:r>
          </w:p>
        </w:tc>
        <w:tc>
          <w:tcPr>
            <w:tcW w:w="508" w:type="pct"/>
            <w:tcBorders>
              <w:top w:val="dotted" w:sz="4" w:space="0" w:color="auto"/>
              <w:left w:val="nil"/>
              <w:bottom w:val="dotted" w:sz="4" w:space="0" w:color="auto"/>
              <w:right w:val="double" w:sz="6" w:space="0" w:color="auto"/>
            </w:tcBorders>
            <w:shd w:val="clear" w:color="000000" w:fill="FFFFFF"/>
            <w:vAlign w:val="center"/>
          </w:tcPr>
          <w:p w14:paraId="1701141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26.61</w:t>
            </w:r>
          </w:p>
        </w:tc>
      </w:tr>
      <w:tr w:rsidR="00C50585" w:rsidRPr="00EE038F" w14:paraId="4A96ECDA" w14:textId="77777777" w:rsidTr="00066DFC">
        <w:trPr>
          <w:trHeight w:val="20"/>
          <w:jc w:val="center"/>
        </w:trPr>
        <w:tc>
          <w:tcPr>
            <w:tcW w:w="1928" w:type="pct"/>
            <w:tcBorders>
              <w:top w:val="dotted" w:sz="4" w:space="0" w:color="auto"/>
              <w:left w:val="double" w:sz="4" w:space="0" w:color="auto"/>
              <w:bottom w:val="single" w:sz="6" w:space="0" w:color="000000"/>
              <w:right w:val="dotted" w:sz="4" w:space="0" w:color="auto"/>
            </w:tcBorders>
          </w:tcPr>
          <w:p w14:paraId="0F5820FF"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11. Masat e njëhershme dhe masa të tjera të përkohshme</w:t>
            </w:r>
            <w:r w:rsidRPr="00EE038F">
              <w:rPr>
                <w:rStyle w:val="FootnoteReference"/>
                <w:rFonts w:ascii="Garamond" w:hAnsi="Garamond"/>
                <w:sz w:val="18"/>
              </w:rPr>
              <w:footnoteReference w:id="29"/>
            </w:r>
          </w:p>
        </w:tc>
        <w:tc>
          <w:tcPr>
            <w:tcW w:w="530" w:type="pct"/>
            <w:tcBorders>
              <w:top w:val="dotted" w:sz="4" w:space="0" w:color="auto"/>
              <w:left w:val="dotted" w:sz="4" w:space="0" w:color="auto"/>
              <w:bottom w:val="single" w:sz="6" w:space="0" w:color="000000"/>
              <w:right w:val="single" w:sz="6" w:space="0" w:color="000000"/>
            </w:tcBorders>
            <w:vAlign w:val="center"/>
          </w:tcPr>
          <w:p w14:paraId="42F68A7D" w14:textId="77777777" w:rsidR="00C50585" w:rsidRPr="00EE038F" w:rsidRDefault="00C50585" w:rsidP="007C70E7">
            <w:pPr>
              <w:spacing w:after="0" w:line="240" w:lineRule="auto"/>
              <w:contextualSpacing/>
              <w:jc w:val="both"/>
              <w:rPr>
                <w:rFonts w:ascii="Garamond" w:hAnsi="Garamond"/>
                <w:sz w:val="18"/>
              </w:rPr>
            </w:pPr>
          </w:p>
        </w:tc>
        <w:tc>
          <w:tcPr>
            <w:tcW w:w="508" w:type="pct"/>
            <w:tcBorders>
              <w:top w:val="dotted" w:sz="4" w:space="0" w:color="auto"/>
              <w:left w:val="single" w:sz="6" w:space="0" w:color="000000"/>
              <w:bottom w:val="single" w:sz="6" w:space="0" w:color="000000"/>
              <w:right w:val="single" w:sz="4" w:space="0" w:color="auto"/>
            </w:tcBorders>
            <w:vAlign w:val="center"/>
          </w:tcPr>
          <w:p w14:paraId="072BAB9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508" w:type="pct"/>
            <w:tcBorders>
              <w:top w:val="dotted" w:sz="4" w:space="0" w:color="auto"/>
              <w:left w:val="single" w:sz="4" w:space="0" w:color="auto"/>
              <w:bottom w:val="single" w:sz="8" w:space="0" w:color="auto"/>
              <w:right w:val="dotted" w:sz="4" w:space="0" w:color="auto"/>
            </w:tcBorders>
            <w:shd w:val="clear" w:color="000000" w:fill="FFFFFF"/>
            <w:vAlign w:val="center"/>
          </w:tcPr>
          <w:p w14:paraId="3161781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508" w:type="pct"/>
            <w:tcBorders>
              <w:top w:val="dotted" w:sz="4" w:space="0" w:color="auto"/>
              <w:left w:val="nil"/>
              <w:bottom w:val="single" w:sz="8" w:space="0" w:color="auto"/>
              <w:right w:val="dotted" w:sz="4" w:space="0" w:color="auto"/>
            </w:tcBorders>
            <w:shd w:val="clear" w:color="000000" w:fill="FFFFFF"/>
            <w:vAlign w:val="center"/>
          </w:tcPr>
          <w:p w14:paraId="0349272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508" w:type="pct"/>
            <w:tcBorders>
              <w:top w:val="dotted" w:sz="4" w:space="0" w:color="auto"/>
              <w:left w:val="nil"/>
              <w:bottom w:val="single" w:sz="8" w:space="0" w:color="auto"/>
              <w:right w:val="dotted" w:sz="4" w:space="0" w:color="auto"/>
            </w:tcBorders>
            <w:shd w:val="clear" w:color="000000" w:fill="FFFFFF"/>
            <w:vAlign w:val="center"/>
          </w:tcPr>
          <w:p w14:paraId="2870F03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508" w:type="pct"/>
            <w:tcBorders>
              <w:top w:val="dotted" w:sz="4" w:space="0" w:color="auto"/>
              <w:left w:val="nil"/>
              <w:bottom w:val="single" w:sz="8" w:space="0" w:color="auto"/>
              <w:right w:val="double" w:sz="6" w:space="0" w:color="auto"/>
            </w:tcBorders>
            <w:shd w:val="clear" w:color="000000" w:fill="FFFFFF"/>
            <w:vAlign w:val="center"/>
          </w:tcPr>
          <w:p w14:paraId="0FBC6C6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4EF69216" w14:textId="77777777" w:rsidTr="00066DFC">
        <w:trPr>
          <w:trHeight w:val="20"/>
          <w:jc w:val="center"/>
        </w:trPr>
        <w:tc>
          <w:tcPr>
            <w:tcW w:w="5000" w:type="pct"/>
            <w:gridSpan w:val="7"/>
            <w:tcBorders>
              <w:top w:val="single" w:sz="6" w:space="0" w:color="000000"/>
              <w:left w:val="double" w:sz="4" w:space="0" w:color="auto"/>
              <w:bottom w:val="single" w:sz="4" w:space="0" w:color="auto"/>
              <w:right w:val="double" w:sz="4" w:space="0" w:color="auto"/>
            </w:tcBorders>
            <w:vAlign w:val="center"/>
          </w:tcPr>
          <w:p w14:paraId="1B094DB3" w14:textId="77777777" w:rsidR="00C50585" w:rsidRPr="00EE038F" w:rsidRDefault="00C50585" w:rsidP="007C70E7">
            <w:pPr>
              <w:keepNext/>
              <w:spacing w:after="0" w:line="240" w:lineRule="auto"/>
              <w:contextualSpacing/>
              <w:jc w:val="both"/>
              <w:rPr>
                <w:rFonts w:ascii="Garamond" w:hAnsi="Garamond"/>
                <w:sz w:val="18"/>
              </w:rPr>
            </w:pPr>
            <w:r w:rsidRPr="00EE038F">
              <w:rPr>
                <w:rFonts w:ascii="Garamond" w:hAnsi="Garamond"/>
                <w:b/>
                <w:bCs/>
                <w:color w:val="0D0D0D" w:themeColor="text1" w:themeTint="F2"/>
                <w:sz w:val="18"/>
              </w:rPr>
              <w:t>Përbërësit e të ardhurave</w:t>
            </w:r>
          </w:p>
        </w:tc>
      </w:tr>
      <w:tr w:rsidR="00C50585" w:rsidRPr="00EE038F" w14:paraId="7C0A3E58" w14:textId="77777777" w:rsidTr="00066DFC">
        <w:trPr>
          <w:trHeight w:val="20"/>
          <w:jc w:val="center"/>
        </w:trPr>
        <w:tc>
          <w:tcPr>
            <w:tcW w:w="1928" w:type="pct"/>
            <w:tcBorders>
              <w:top w:val="single" w:sz="4" w:space="0" w:color="auto"/>
              <w:left w:val="double" w:sz="4" w:space="0" w:color="auto"/>
              <w:bottom w:val="dotted" w:sz="4" w:space="0" w:color="auto"/>
              <w:right w:val="dotted" w:sz="4" w:space="0" w:color="auto"/>
            </w:tcBorders>
          </w:tcPr>
          <w:p w14:paraId="644F2976" w14:textId="77777777" w:rsidR="00C50585" w:rsidRPr="00EE038F" w:rsidRDefault="00C50585" w:rsidP="00FD0FAE">
            <w:pPr>
              <w:tabs>
                <w:tab w:val="left" w:pos="317"/>
              </w:tabs>
              <w:spacing w:after="0" w:line="240" w:lineRule="auto"/>
              <w:ind w:firstLine="15"/>
              <w:contextualSpacing/>
              <w:jc w:val="both"/>
              <w:rPr>
                <w:rFonts w:ascii="Garamond" w:hAnsi="Garamond"/>
                <w:sz w:val="18"/>
              </w:rPr>
            </w:pPr>
            <w:r w:rsidRPr="00EE038F">
              <w:rPr>
                <w:rFonts w:ascii="Garamond" w:hAnsi="Garamond"/>
                <w:sz w:val="18"/>
              </w:rPr>
              <w:t>12. Taksat totale (12 = 12a+12b12c)</w:t>
            </w:r>
          </w:p>
        </w:tc>
        <w:tc>
          <w:tcPr>
            <w:tcW w:w="530" w:type="pct"/>
            <w:tcBorders>
              <w:top w:val="single" w:sz="4" w:space="0" w:color="auto"/>
              <w:left w:val="dotted" w:sz="4" w:space="0" w:color="auto"/>
              <w:bottom w:val="dotted" w:sz="4" w:space="0" w:color="auto"/>
              <w:right w:val="single" w:sz="6" w:space="0" w:color="000000"/>
            </w:tcBorders>
            <w:vAlign w:val="center"/>
          </w:tcPr>
          <w:p w14:paraId="4BF67B0B" w14:textId="77777777" w:rsidR="00C50585" w:rsidRPr="00EE038F" w:rsidRDefault="00C50585" w:rsidP="007C70E7">
            <w:pPr>
              <w:spacing w:after="0" w:line="240" w:lineRule="auto"/>
              <w:contextualSpacing/>
              <w:jc w:val="both"/>
              <w:rPr>
                <w:rFonts w:ascii="Garamond" w:hAnsi="Garamond"/>
                <w:sz w:val="18"/>
              </w:rPr>
            </w:pPr>
          </w:p>
        </w:tc>
        <w:tc>
          <w:tcPr>
            <w:tcW w:w="508" w:type="pct"/>
            <w:tcBorders>
              <w:top w:val="single" w:sz="4" w:space="0" w:color="auto"/>
              <w:left w:val="single" w:sz="6" w:space="0" w:color="000000"/>
              <w:bottom w:val="dotted" w:sz="4" w:space="0" w:color="auto"/>
              <w:right w:val="single" w:sz="4" w:space="0" w:color="auto"/>
            </w:tcBorders>
            <w:vAlign w:val="center"/>
          </w:tcPr>
          <w:p w14:paraId="49DB3368" w14:textId="77777777" w:rsidR="00C50585" w:rsidRPr="00EE038F" w:rsidRDefault="00C50585" w:rsidP="00280C20">
            <w:pPr>
              <w:spacing w:after="0" w:line="240" w:lineRule="auto"/>
              <w:contextualSpacing/>
              <w:jc w:val="right"/>
              <w:rPr>
                <w:rFonts w:ascii="Garamond" w:eastAsia="Times New Roman" w:hAnsi="Garamond"/>
                <w:sz w:val="18"/>
              </w:rPr>
            </w:pPr>
            <w:r w:rsidRPr="00EE038F">
              <w:rPr>
                <w:rFonts w:ascii="Garamond" w:hAnsi="Garamond"/>
                <w:sz w:val="18"/>
              </w:rPr>
              <w:t>388.48</w:t>
            </w:r>
          </w:p>
        </w:tc>
        <w:tc>
          <w:tcPr>
            <w:tcW w:w="508" w:type="pct"/>
            <w:tcBorders>
              <w:top w:val="single" w:sz="4" w:space="0" w:color="auto"/>
              <w:left w:val="single" w:sz="4" w:space="0" w:color="auto"/>
              <w:bottom w:val="dotted" w:sz="4" w:space="0" w:color="auto"/>
              <w:right w:val="dotted" w:sz="4" w:space="0" w:color="auto"/>
            </w:tcBorders>
            <w:shd w:val="clear" w:color="000000" w:fill="FFFFFF"/>
            <w:vAlign w:val="center"/>
          </w:tcPr>
          <w:p w14:paraId="794FF186" w14:textId="77777777" w:rsidR="00C50585" w:rsidRPr="00EE038F" w:rsidRDefault="00C50585" w:rsidP="00280C20">
            <w:pPr>
              <w:spacing w:after="0" w:line="240" w:lineRule="auto"/>
              <w:contextualSpacing/>
              <w:jc w:val="right"/>
              <w:rPr>
                <w:rFonts w:ascii="Garamond" w:eastAsia="Times New Roman" w:hAnsi="Garamond"/>
                <w:sz w:val="18"/>
              </w:rPr>
            </w:pPr>
            <w:r w:rsidRPr="00EE038F">
              <w:rPr>
                <w:rFonts w:ascii="Garamond" w:hAnsi="Garamond"/>
                <w:sz w:val="18"/>
              </w:rPr>
              <w:t>418.87</w:t>
            </w:r>
          </w:p>
        </w:tc>
        <w:tc>
          <w:tcPr>
            <w:tcW w:w="508" w:type="pct"/>
            <w:tcBorders>
              <w:top w:val="single" w:sz="4" w:space="0" w:color="auto"/>
              <w:left w:val="nil"/>
              <w:bottom w:val="dotted" w:sz="4" w:space="0" w:color="auto"/>
              <w:right w:val="dotted" w:sz="4" w:space="0" w:color="auto"/>
            </w:tcBorders>
            <w:shd w:val="clear" w:color="000000" w:fill="FFFFFF"/>
            <w:vAlign w:val="center"/>
          </w:tcPr>
          <w:p w14:paraId="0AF18C3B" w14:textId="77777777" w:rsidR="00C50585" w:rsidRPr="00EE038F" w:rsidRDefault="00C50585" w:rsidP="00280C20">
            <w:pPr>
              <w:spacing w:after="0" w:line="240" w:lineRule="auto"/>
              <w:contextualSpacing/>
              <w:jc w:val="right"/>
              <w:rPr>
                <w:rFonts w:ascii="Garamond" w:eastAsia="Times New Roman" w:hAnsi="Garamond"/>
                <w:sz w:val="18"/>
              </w:rPr>
            </w:pPr>
            <w:r w:rsidRPr="00EE038F">
              <w:rPr>
                <w:rFonts w:ascii="Garamond" w:hAnsi="Garamond"/>
                <w:sz w:val="18"/>
              </w:rPr>
              <w:t>460.55</w:t>
            </w:r>
          </w:p>
        </w:tc>
        <w:tc>
          <w:tcPr>
            <w:tcW w:w="508" w:type="pct"/>
            <w:tcBorders>
              <w:top w:val="single" w:sz="4" w:space="0" w:color="auto"/>
              <w:left w:val="nil"/>
              <w:bottom w:val="dotted" w:sz="4" w:space="0" w:color="auto"/>
              <w:right w:val="dotted" w:sz="4" w:space="0" w:color="auto"/>
            </w:tcBorders>
            <w:shd w:val="clear" w:color="000000" w:fill="FFFFFF"/>
            <w:vAlign w:val="center"/>
          </w:tcPr>
          <w:p w14:paraId="6F9D724C" w14:textId="77777777" w:rsidR="00C50585" w:rsidRPr="00EE038F" w:rsidRDefault="00C50585" w:rsidP="00280C20">
            <w:pPr>
              <w:spacing w:after="0" w:line="240" w:lineRule="auto"/>
              <w:contextualSpacing/>
              <w:jc w:val="right"/>
              <w:rPr>
                <w:rFonts w:ascii="Garamond" w:eastAsia="Times New Roman" w:hAnsi="Garamond"/>
                <w:sz w:val="18"/>
              </w:rPr>
            </w:pPr>
            <w:r w:rsidRPr="00EE038F">
              <w:rPr>
                <w:rFonts w:ascii="Garamond" w:hAnsi="Garamond"/>
                <w:sz w:val="18"/>
              </w:rPr>
              <w:t>488.74</w:t>
            </w:r>
          </w:p>
        </w:tc>
        <w:tc>
          <w:tcPr>
            <w:tcW w:w="508" w:type="pct"/>
            <w:tcBorders>
              <w:top w:val="single" w:sz="4" w:space="0" w:color="auto"/>
              <w:left w:val="nil"/>
              <w:bottom w:val="dotted" w:sz="4" w:space="0" w:color="auto"/>
              <w:right w:val="double" w:sz="6" w:space="0" w:color="auto"/>
            </w:tcBorders>
            <w:shd w:val="clear" w:color="000000" w:fill="FFFFFF"/>
            <w:vAlign w:val="center"/>
          </w:tcPr>
          <w:p w14:paraId="0636B6AA" w14:textId="77777777" w:rsidR="00C50585" w:rsidRPr="00EE038F" w:rsidRDefault="00C50585" w:rsidP="00280C20">
            <w:pPr>
              <w:spacing w:after="0" w:line="240" w:lineRule="auto"/>
              <w:contextualSpacing/>
              <w:jc w:val="right"/>
              <w:rPr>
                <w:rFonts w:ascii="Garamond" w:eastAsia="Times New Roman" w:hAnsi="Garamond"/>
                <w:sz w:val="18"/>
              </w:rPr>
            </w:pPr>
            <w:r w:rsidRPr="00EE038F">
              <w:rPr>
                <w:rFonts w:ascii="Garamond" w:hAnsi="Garamond"/>
                <w:sz w:val="18"/>
              </w:rPr>
              <w:t>518.57</w:t>
            </w:r>
          </w:p>
        </w:tc>
      </w:tr>
      <w:tr w:rsidR="00C50585" w:rsidRPr="00EE038F" w14:paraId="2399E73F" w14:textId="77777777" w:rsidTr="00066DFC">
        <w:trPr>
          <w:trHeight w:val="20"/>
          <w:jc w:val="center"/>
        </w:trPr>
        <w:tc>
          <w:tcPr>
            <w:tcW w:w="1928" w:type="pct"/>
            <w:tcBorders>
              <w:top w:val="dotted" w:sz="4" w:space="0" w:color="auto"/>
              <w:left w:val="double" w:sz="4" w:space="0" w:color="auto"/>
              <w:bottom w:val="dotted" w:sz="4" w:space="0" w:color="auto"/>
              <w:right w:val="dotted" w:sz="4" w:space="0" w:color="auto"/>
            </w:tcBorders>
          </w:tcPr>
          <w:p w14:paraId="3006A4B7" w14:textId="77777777" w:rsidR="00C50585" w:rsidRPr="00EE038F" w:rsidRDefault="00C50585" w:rsidP="00FD0FAE">
            <w:pPr>
              <w:spacing w:after="0" w:line="240" w:lineRule="auto"/>
              <w:contextualSpacing/>
              <w:jc w:val="both"/>
              <w:rPr>
                <w:rFonts w:ascii="Garamond" w:hAnsi="Garamond"/>
                <w:sz w:val="18"/>
              </w:rPr>
            </w:pPr>
            <w:r w:rsidRPr="00EE038F">
              <w:rPr>
                <w:rFonts w:ascii="Garamond" w:hAnsi="Garamond"/>
                <w:sz w:val="18"/>
              </w:rPr>
              <w:t>12a. Taksat në prodhim dhe import</w:t>
            </w:r>
          </w:p>
        </w:tc>
        <w:tc>
          <w:tcPr>
            <w:tcW w:w="530" w:type="pct"/>
            <w:tcBorders>
              <w:top w:val="dotted" w:sz="4" w:space="0" w:color="auto"/>
              <w:left w:val="dotted" w:sz="4" w:space="0" w:color="auto"/>
              <w:bottom w:val="dotted" w:sz="4" w:space="0" w:color="auto"/>
              <w:right w:val="single" w:sz="6" w:space="0" w:color="000000"/>
            </w:tcBorders>
            <w:vAlign w:val="center"/>
          </w:tcPr>
          <w:p w14:paraId="09E9C5F1"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D2</w:t>
            </w:r>
          </w:p>
        </w:tc>
        <w:tc>
          <w:tcPr>
            <w:tcW w:w="508" w:type="pct"/>
            <w:tcBorders>
              <w:top w:val="dotted" w:sz="4" w:space="0" w:color="auto"/>
              <w:left w:val="single" w:sz="6" w:space="0" w:color="000000"/>
              <w:bottom w:val="dotted" w:sz="4" w:space="0" w:color="auto"/>
              <w:right w:val="single" w:sz="4" w:space="0" w:color="auto"/>
            </w:tcBorders>
            <w:vAlign w:val="center"/>
          </w:tcPr>
          <w:p w14:paraId="685B70A3" w14:textId="77777777" w:rsidR="00C50585" w:rsidRPr="00EE038F" w:rsidRDefault="00C50585" w:rsidP="00280C20">
            <w:pPr>
              <w:spacing w:after="0" w:line="240" w:lineRule="auto"/>
              <w:contextualSpacing/>
              <w:jc w:val="right"/>
              <w:rPr>
                <w:rFonts w:ascii="Garamond" w:eastAsia="Times New Roman" w:hAnsi="Garamond"/>
                <w:sz w:val="18"/>
              </w:rPr>
            </w:pPr>
            <w:r w:rsidRPr="00EE038F">
              <w:rPr>
                <w:rFonts w:ascii="Garamond" w:hAnsi="Garamond"/>
                <w:sz w:val="18"/>
              </w:rPr>
              <w:t>259.85</w:t>
            </w:r>
          </w:p>
        </w:tc>
        <w:tc>
          <w:tcPr>
            <w:tcW w:w="508" w:type="pct"/>
            <w:tcBorders>
              <w:top w:val="nil"/>
              <w:left w:val="single" w:sz="4" w:space="0" w:color="auto"/>
              <w:bottom w:val="dotted" w:sz="4" w:space="0" w:color="auto"/>
              <w:right w:val="dotted" w:sz="4" w:space="0" w:color="auto"/>
            </w:tcBorders>
            <w:shd w:val="clear" w:color="000000" w:fill="FFFFFF"/>
            <w:vAlign w:val="center"/>
          </w:tcPr>
          <w:p w14:paraId="16FCFF0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287.03</w:t>
            </w:r>
          </w:p>
        </w:tc>
        <w:tc>
          <w:tcPr>
            <w:tcW w:w="508" w:type="pct"/>
            <w:tcBorders>
              <w:top w:val="nil"/>
              <w:left w:val="nil"/>
              <w:bottom w:val="dotted" w:sz="4" w:space="0" w:color="auto"/>
              <w:right w:val="dotted" w:sz="4" w:space="0" w:color="auto"/>
            </w:tcBorders>
            <w:shd w:val="clear" w:color="000000" w:fill="FFFFFF"/>
            <w:vAlign w:val="center"/>
          </w:tcPr>
          <w:p w14:paraId="02CF580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315.48</w:t>
            </w:r>
          </w:p>
        </w:tc>
        <w:tc>
          <w:tcPr>
            <w:tcW w:w="508" w:type="pct"/>
            <w:tcBorders>
              <w:top w:val="nil"/>
              <w:left w:val="nil"/>
              <w:bottom w:val="dotted" w:sz="4" w:space="0" w:color="auto"/>
              <w:right w:val="dotted" w:sz="4" w:space="0" w:color="auto"/>
            </w:tcBorders>
            <w:shd w:val="clear" w:color="000000" w:fill="FFFFFF"/>
            <w:vAlign w:val="center"/>
          </w:tcPr>
          <w:p w14:paraId="6771B54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336.19</w:t>
            </w:r>
          </w:p>
        </w:tc>
        <w:tc>
          <w:tcPr>
            <w:tcW w:w="508" w:type="pct"/>
            <w:tcBorders>
              <w:top w:val="nil"/>
              <w:left w:val="nil"/>
              <w:bottom w:val="dotted" w:sz="4" w:space="0" w:color="auto"/>
              <w:right w:val="double" w:sz="6" w:space="0" w:color="auto"/>
            </w:tcBorders>
            <w:shd w:val="clear" w:color="000000" w:fill="FFFFFF"/>
            <w:vAlign w:val="center"/>
          </w:tcPr>
          <w:p w14:paraId="1044345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356.95</w:t>
            </w:r>
          </w:p>
        </w:tc>
      </w:tr>
      <w:tr w:rsidR="00C50585" w:rsidRPr="00EE038F" w14:paraId="5624AA9E" w14:textId="77777777" w:rsidTr="00066DFC">
        <w:trPr>
          <w:trHeight w:val="20"/>
          <w:jc w:val="center"/>
        </w:trPr>
        <w:tc>
          <w:tcPr>
            <w:tcW w:w="1928" w:type="pct"/>
            <w:tcBorders>
              <w:top w:val="dotted" w:sz="4" w:space="0" w:color="auto"/>
              <w:left w:val="double" w:sz="4" w:space="0" w:color="auto"/>
              <w:bottom w:val="dotted" w:sz="4" w:space="0" w:color="auto"/>
              <w:right w:val="dotted" w:sz="4" w:space="0" w:color="auto"/>
            </w:tcBorders>
          </w:tcPr>
          <w:p w14:paraId="62492158" w14:textId="77777777" w:rsidR="00C50585" w:rsidRPr="00EE038F" w:rsidRDefault="00C50585" w:rsidP="00F4227C">
            <w:pPr>
              <w:spacing w:after="0" w:line="240" w:lineRule="auto"/>
              <w:contextualSpacing/>
              <w:jc w:val="both"/>
              <w:rPr>
                <w:rFonts w:ascii="Garamond" w:hAnsi="Garamond"/>
                <w:sz w:val="18"/>
              </w:rPr>
            </w:pPr>
            <w:r w:rsidRPr="00EE038F">
              <w:rPr>
                <w:rFonts w:ascii="Garamond" w:hAnsi="Garamond"/>
                <w:sz w:val="18"/>
              </w:rPr>
              <w:t>12b. Taksat aktuale mbi të ardhurat dhe pasurinë</w:t>
            </w:r>
          </w:p>
        </w:tc>
        <w:tc>
          <w:tcPr>
            <w:tcW w:w="530" w:type="pct"/>
            <w:tcBorders>
              <w:top w:val="dotted" w:sz="4" w:space="0" w:color="auto"/>
              <w:left w:val="dotted" w:sz="4" w:space="0" w:color="auto"/>
              <w:bottom w:val="dotted" w:sz="4" w:space="0" w:color="auto"/>
              <w:right w:val="single" w:sz="6" w:space="0" w:color="000000"/>
            </w:tcBorders>
            <w:vAlign w:val="center"/>
          </w:tcPr>
          <w:p w14:paraId="2A91156C"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D5</w:t>
            </w:r>
          </w:p>
        </w:tc>
        <w:tc>
          <w:tcPr>
            <w:tcW w:w="508" w:type="pct"/>
            <w:tcBorders>
              <w:top w:val="dotted" w:sz="4" w:space="0" w:color="auto"/>
              <w:left w:val="single" w:sz="6" w:space="0" w:color="000000"/>
              <w:bottom w:val="dotted" w:sz="4" w:space="0" w:color="auto"/>
              <w:right w:val="single" w:sz="4" w:space="0" w:color="auto"/>
            </w:tcBorders>
            <w:vAlign w:val="center"/>
          </w:tcPr>
          <w:p w14:paraId="1AEF8BA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64.06</w:t>
            </w:r>
          </w:p>
        </w:tc>
        <w:tc>
          <w:tcPr>
            <w:tcW w:w="508" w:type="pct"/>
            <w:tcBorders>
              <w:top w:val="nil"/>
              <w:left w:val="single" w:sz="4" w:space="0" w:color="auto"/>
              <w:bottom w:val="dotted" w:sz="4" w:space="0" w:color="auto"/>
              <w:right w:val="dotted" w:sz="4" w:space="0" w:color="auto"/>
            </w:tcBorders>
            <w:shd w:val="clear" w:color="000000" w:fill="FFFFFF"/>
            <w:vAlign w:val="center"/>
          </w:tcPr>
          <w:p w14:paraId="72CD611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73.05</w:t>
            </w:r>
          </w:p>
        </w:tc>
        <w:tc>
          <w:tcPr>
            <w:tcW w:w="508" w:type="pct"/>
            <w:tcBorders>
              <w:top w:val="nil"/>
              <w:left w:val="nil"/>
              <w:bottom w:val="dotted" w:sz="4" w:space="0" w:color="auto"/>
              <w:right w:val="dotted" w:sz="4" w:space="0" w:color="auto"/>
            </w:tcBorders>
            <w:shd w:val="clear" w:color="000000" w:fill="FFFFFF"/>
            <w:vAlign w:val="center"/>
          </w:tcPr>
          <w:p w14:paraId="4C122D2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79.32</w:t>
            </w:r>
          </w:p>
        </w:tc>
        <w:tc>
          <w:tcPr>
            <w:tcW w:w="508" w:type="pct"/>
            <w:tcBorders>
              <w:top w:val="nil"/>
              <w:left w:val="nil"/>
              <w:bottom w:val="dotted" w:sz="4" w:space="0" w:color="auto"/>
              <w:right w:val="dotted" w:sz="4" w:space="0" w:color="auto"/>
            </w:tcBorders>
            <w:shd w:val="clear" w:color="000000" w:fill="FFFFFF"/>
            <w:vAlign w:val="center"/>
          </w:tcPr>
          <w:p w14:paraId="705C33B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83.48</w:t>
            </w:r>
          </w:p>
        </w:tc>
        <w:tc>
          <w:tcPr>
            <w:tcW w:w="508" w:type="pct"/>
            <w:tcBorders>
              <w:top w:val="nil"/>
              <w:left w:val="nil"/>
              <w:bottom w:val="dotted" w:sz="4" w:space="0" w:color="auto"/>
              <w:right w:val="double" w:sz="6" w:space="0" w:color="auto"/>
            </w:tcBorders>
            <w:shd w:val="clear" w:color="000000" w:fill="FFFFFF"/>
            <w:vAlign w:val="center"/>
          </w:tcPr>
          <w:p w14:paraId="1C391D4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88.19</w:t>
            </w:r>
          </w:p>
        </w:tc>
      </w:tr>
      <w:tr w:rsidR="00C50585" w:rsidRPr="00EE038F" w14:paraId="67A05092" w14:textId="77777777" w:rsidTr="00066DFC">
        <w:trPr>
          <w:trHeight w:val="20"/>
          <w:jc w:val="center"/>
        </w:trPr>
        <w:tc>
          <w:tcPr>
            <w:tcW w:w="1928" w:type="pct"/>
            <w:tcBorders>
              <w:top w:val="dotted" w:sz="4" w:space="0" w:color="auto"/>
              <w:left w:val="double" w:sz="4" w:space="0" w:color="auto"/>
              <w:bottom w:val="dotted" w:sz="4" w:space="0" w:color="auto"/>
              <w:right w:val="dotted" w:sz="4" w:space="0" w:color="auto"/>
            </w:tcBorders>
          </w:tcPr>
          <w:p w14:paraId="57B26556"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12c. Taksat mbi kapitalin</w:t>
            </w:r>
          </w:p>
        </w:tc>
        <w:tc>
          <w:tcPr>
            <w:tcW w:w="530" w:type="pct"/>
            <w:tcBorders>
              <w:top w:val="dotted" w:sz="4" w:space="0" w:color="auto"/>
              <w:left w:val="dotted" w:sz="4" w:space="0" w:color="auto"/>
              <w:bottom w:val="dotted" w:sz="4" w:space="0" w:color="auto"/>
              <w:right w:val="single" w:sz="6" w:space="0" w:color="000000"/>
            </w:tcBorders>
            <w:vAlign w:val="center"/>
          </w:tcPr>
          <w:p w14:paraId="71E66A55"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D91</w:t>
            </w:r>
          </w:p>
        </w:tc>
        <w:tc>
          <w:tcPr>
            <w:tcW w:w="508" w:type="pct"/>
            <w:tcBorders>
              <w:top w:val="dotted" w:sz="4" w:space="0" w:color="auto"/>
              <w:left w:val="single" w:sz="6" w:space="0" w:color="000000"/>
              <w:bottom w:val="dotted" w:sz="4" w:space="0" w:color="auto"/>
              <w:right w:val="single" w:sz="4" w:space="0" w:color="auto"/>
            </w:tcBorders>
            <w:vAlign w:val="center"/>
          </w:tcPr>
          <w:p w14:paraId="2F8A33C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64.58</w:t>
            </w:r>
          </w:p>
        </w:tc>
        <w:tc>
          <w:tcPr>
            <w:tcW w:w="508" w:type="pct"/>
            <w:tcBorders>
              <w:top w:val="nil"/>
              <w:left w:val="single" w:sz="4" w:space="0" w:color="auto"/>
              <w:bottom w:val="dotted" w:sz="4" w:space="0" w:color="auto"/>
              <w:right w:val="dotted" w:sz="4" w:space="0" w:color="auto"/>
            </w:tcBorders>
            <w:shd w:val="clear" w:color="000000" w:fill="FFFFFF"/>
            <w:vAlign w:val="center"/>
          </w:tcPr>
          <w:p w14:paraId="63F0CDD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58.79</w:t>
            </w:r>
          </w:p>
        </w:tc>
        <w:tc>
          <w:tcPr>
            <w:tcW w:w="508" w:type="pct"/>
            <w:tcBorders>
              <w:top w:val="nil"/>
              <w:left w:val="nil"/>
              <w:bottom w:val="dotted" w:sz="4" w:space="0" w:color="auto"/>
              <w:right w:val="dotted" w:sz="4" w:space="0" w:color="auto"/>
            </w:tcBorders>
            <w:shd w:val="clear" w:color="000000" w:fill="FFFFFF"/>
            <w:vAlign w:val="center"/>
          </w:tcPr>
          <w:p w14:paraId="28151FE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65.75</w:t>
            </w:r>
          </w:p>
        </w:tc>
        <w:tc>
          <w:tcPr>
            <w:tcW w:w="508" w:type="pct"/>
            <w:tcBorders>
              <w:top w:val="nil"/>
              <w:left w:val="nil"/>
              <w:bottom w:val="dotted" w:sz="4" w:space="0" w:color="auto"/>
              <w:right w:val="dotted" w:sz="4" w:space="0" w:color="auto"/>
            </w:tcBorders>
            <w:shd w:val="clear" w:color="000000" w:fill="FFFFFF"/>
            <w:vAlign w:val="center"/>
          </w:tcPr>
          <w:p w14:paraId="4D74906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69.06</w:t>
            </w:r>
          </w:p>
        </w:tc>
        <w:tc>
          <w:tcPr>
            <w:tcW w:w="508" w:type="pct"/>
            <w:tcBorders>
              <w:top w:val="nil"/>
              <w:left w:val="nil"/>
              <w:bottom w:val="dotted" w:sz="4" w:space="0" w:color="auto"/>
              <w:right w:val="double" w:sz="6" w:space="0" w:color="auto"/>
            </w:tcBorders>
            <w:shd w:val="clear" w:color="000000" w:fill="FFFFFF"/>
            <w:vAlign w:val="center"/>
          </w:tcPr>
          <w:p w14:paraId="0BD4392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73.42</w:t>
            </w:r>
          </w:p>
        </w:tc>
      </w:tr>
      <w:tr w:rsidR="00C50585" w:rsidRPr="00EE038F" w14:paraId="32B373E6" w14:textId="77777777" w:rsidTr="00066DFC">
        <w:trPr>
          <w:trHeight w:val="20"/>
          <w:jc w:val="center"/>
        </w:trPr>
        <w:tc>
          <w:tcPr>
            <w:tcW w:w="1928" w:type="pct"/>
            <w:tcBorders>
              <w:top w:val="dotted" w:sz="4" w:space="0" w:color="auto"/>
              <w:left w:val="double" w:sz="4" w:space="0" w:color="auto"/>
              <w:bottom w:val="dotted" w:sz="4" w:space="0" w:color="auto"/>
              <w:right w:val="dotted" w:sz="4" w:space="0" w:color="auto"/>
            </w:tcBorders>
          </w:tcPr>
          <w:p w14:paraId="0C3FE9FA"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13. Kontributet sociale</w:t>
            </w:r>
          </w:p>
        </w:tc>
        <w:tc>
          <w:tcPr>
            <w:tcW w:w="530" w:type="pct"/>
            <w:tcBorders>
              <w:top w:val="dotted" w:sz="4" w:space="0" w:color="auto"/>
              <w:left w:val="dotted" w:sz="4" w:space="0" w:color="auto"/>
              <w:bottom w:val="dotted" w:sz="4" w:space="0" w:color="auto"/>
              <w:right w:val="single" w:sz="6" w:space="0" w:color="000000"/>
            </w:tcBorders>
            <w:vAlign w:val="center"/>
          </w:tcPr>
          <w:p w14:paraId="0AFFD5BE"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D61</w:t>
            </w:r>
          </w:p>
        </w:tc>
        <w:tc>
          <w:tcPr>
            <w:tcW w:w="508" w:type="pct"/>
            <w:tcBorders>
              <w:top w:val="dotted" w:sz="4" w:space="0" w:color="auto"/>
              <w:left w:val="single" w:sz="6" w:space="0" w:color="000000"/>
              <w:bottom w:val="dotted" w:sz="4" w:space="0" w:color="auto"/>
              <w:right w:val="single" w:sz="4" w:space="0" w:color="auto"/>
            </w:tcBorders>
            <w:vAlign w:val="center"/>
          </w:tcPr>
          <w:p w14:paraId="13B79D2A"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143.65</w:t>
            </w:r>
          </w:p>
        </w:tc>
        <w:tc>
          <w:tcPr>
            <w:tcW w:w="508" w:type="pct"/>
            <w:tcBorders>
              <w:top w:val="nil"/>
              <w:left w:val="single" w:sz="4" w:space="0" w:color="auto"/>
              <w:bottom w:val="dotted" w:sz="4" w:space="0" w:color="auto"/>
              <w:right w:val="dotted" w:sz="4" w:space="0" w:color="auto"/>
            </w:tcBorders>
            <w:shd w:val="clear" w:color="000000" w:fill="FFFFFF"/>
            <w:vAlign w:val="center"/>
          </w:tcPr>
          <w:p w14:paraId="0614FE2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160.73</w:t>
            </w:r>
          </w:p>
        </w:tc>
        <w:tc>
          <w:tcPr>
            <w:tcW w:w="508" w:type="pct"/>
            <w:tcBorders>
              <w:top w:val="nil"/>
              <w:left w:val="nil"/>
              <w:bottom w:val="dotted" w:sz="4" w:space="0" w:color="auto"/>
              <w:right w:val="dotted" w:sz="4" w:space="0" w:color="auto"/>
            </w:tcBorders>
            <w:shd w:val="clear" w:color="000000" w:fill="FFFFFF"/>
            <w:vAlign w:val="center"/>
          </w:tcPr>
          <w:p w14:paraId="6E66998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168.99</w:t>
            </w:r>
          </w:p>
        </w:tc>
        <w:tc>
          <w:tcPr>
            <w:tcW w:w="508" w:type="pct"/>
            <w:tcBorders>
              <w:top w:val="nil"/>
              <w:left w:val="nil"/>
              <w:bottom w:val="dotted" w:sz="4" w:space="0" w:color="auto"/>
              <w:right w:val="dotted" w:sz="4" w:space="0" w:color="auto"/>
            </w:tcBorders>
            <w:shd w:val="clear" w:color="000000" w:fill="FFFFFF"/>
            <w:vAlign w:val="center"/>
          </w:tcPr>
          <w:p w14:paraId="711C797A"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174.81</w:t>
            </w:r>
          </w:p>
        </w:tc>
        <w:tc>
          <w:tcPr>
            <w:tcW w:w="508" w:type="pct"/>
            <w:tcBorders>
              <w:top w:val="nil"/>
              <w:left w:val="nil"/>
              <w:bottom w:val="dotted" w:sz="4" w:space="0" w:color="auto"/>
              <w:right w:val="double" w:sz="6" w:space="0" w:color="auto"/>
            </w:tcBorders>
            <w:shd w:val="clear" w:color="000000" w:fill="FFFFFF"/>
            <w:vAlign w:val="center"/>
          </w:tcPr>
          <w:p w14:paraId="6C6D286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180.87</w:t>
            </w:r>
          </w:p>
        </w:tc>
      </w:tr>
      <w:tr w:rsidR="00C50585" w:rsidRPr="00EE038F" w14:paraId="7E8C43C2" w14:textId="77777777" w:rsidTr="00066DFC">
        <w:trPr>
          <w:trHeight w:val="20"/>
          <w:jc w:val="center"/>
        </w:trPr>
        <w:tc>
          <w:tcPr>
            <w:tcW w:w="1928" w:type="pct"/>
            <w:tcBorders>
              <w:top w:val="dotted" w:sz="4" w:space="0" w:color="auto"/>
              <w:left w:val="double" w:sz="4" w:space="0" w:color="auto"/>
              <w:bottom w:val="dotted" w:sz="4" w:space="0" w:color="auto"/>
              <w:right w:val="dotted" w:sz="4" w:space="0" w:color="auto"/>
            </w:tcBorders>
          </w:tcPr>
          <w:p w14:paraId="297203DD"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14. Të ardhura nga pronësia</w:t>
            </w:r>
          </w:p>
        </w:tc>
        <w:tc>
          <w:tcPr>
            <w:tcW w:w="530" w:type="pct"/>
            <w:tcBorders>
              <w:top w:val="dotted" w:sz="4" w:space="0" w:color="auto"/>
              <w:left w:val="dotted" w:sz="4" w:space="0" w:color="auto"/>
              <w:bottom w:val="dotted" w:sz="4" w:space="0" w:color="auto"/>
              <w:right w:val="single" w:sz="6" w:space="0" w:color="000000"/>
            </w:tcBorders>
            <w:vAlign w:val="center"/>
          </w:tcPr>
          <w:p w14:paraId="160B0FCD"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D4</w:t>
            </w:r>
          </w:p>
        </w:tc>
        <w:tc>
          <w:tcPr>
            <w:tcW w:w="508" w:type="pct"/>
            <w:tcBorders>
              <w:top w:val="dotted" w:sz="4" w:space="0" w:color="auto"/>
              <w:left w:val="single" w:sz="6" w:space="0" w:color="000000"/>
              <w:bottom w:val="dotted" w:sz="4" w:space="0" w:color="auto"/>
              <w:right w:val="single" w:sz="4" w:space="0" w:color="auto"/>
            </w:tcBorders>
            <w:vAlign w:val="center"/>
          </w:tcPr>
          <w:p w14:paraId="4169EF2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0.05</w:t>
            </w:r>
          </w:p>
        </w:tc>
        <w:tc>
          <w:tcPr>
            <w:tcW w:w="508" w:type="pct"/>
            <w:tcBorders>
              <w:top w:val="nil"/>
              <w:left w:val="single" w:sz="4" w:space="0" w:color="auto"/>
              <w:bottom w:val="dotted" w:sz="4" w:space="0" w:color="auto"/>
              <w:right w:val="dotted" w:sz="4" w:space="0" w:color="auto"/>
            </w:tcBorders>
            <w:shd w:val="clear" w:color="000000" w:fill="FFFFFF"/>
            <w:vAlign w:val="center"/>
          </w:tcPr>
          <w:p w14:paraId="1807C60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0.30</w:t>
            </w:r>
          </w:p>
        </w:tc>
        <w:tc>
          <w:tcPr>
            <w:tcW w:w="508" w:type="pct"/>
            <w:tcBorders>
              <w:top w:val="nil"/>
              <w:left w:val="nil"/>
              <w:bottom w:val="dotted" w:sz="4" w:space="0" w:color="auto"/>
              <w:right w:val="dotted" w:sz="4" w:space="0" w:color="auto"/>
            </w:tcBorders>
            <w:shd w:val="clear" w:color="000000" w:fill="FFFFFF"/>
            <w:vAlign w:val="center"/>
          </w:tcPr>
          <w:p w14:paraId="7D44590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0.30</w:t>
            </w:r>
          </w:p>
        </w:tc>
        <w:tc>
          <w:tcPr>
            <w:tcW w:w="508" w:type="pct"/>
            <w:tcBorders>
              <w:top w:val="nil"/>
              <w:left w:val="nil"/>
              <w:bottom w:val="dotted" w:sz="4" w:space="0" w:color="auto"/>
              <w:right w:val="dotted" w:sz="4" w:space="0" w:color="auto"/>
            </w:tcBorders>
            <w:shd w:val="clear" w:color="000000" w:fill="FFFFFF"/>
            <w:vAlign w:val="center"/>
          </w:tcPr>
          <w:p w14:paraId="42191A2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0.30</w:t>
            </w:r>
          </w:p>
        </w:tc>
        <w:tc>
          <w:tcPr>
            <w:tcW w:w="508" w:type="pct"/>
            <w:tcBorders>
              <w:top w:val="nil"/>
              <w:left w:val="nil"/>
              <w:bottom w:val="dotted" w:sz="4" w:space="0" w:color="auto"/>
              <w:right w:val="double" w:sz="6" w:space="0" w:color="auto"/>
            </w:tcBorders>
            <w:shd w:val="clear" w:color="000000" w:fill="FFFFFF"/>
            <w:vAlign w:val="center"/>
          </w:tcPr>
          <w:p w14:paraId="580CCFC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0.30</w:t>
            </w:r>
          </w:p>
        </w:tc>
      </w:tr>
      <w:tr w:rsidR="00C50585" w:rsidRPr="00EE038F" w14:paraId="03871373" w14:textId="77777777" w:rsidTr="00066DFC">
        <w:trPr>
          <w:trHeight w:val="20"/>
          <w:jc w:val="center"/>
        </w:trPr>
        <w:tc>
          <w:tcPr>
            <w:tcW w:w="1928" w:type="pct"/>
            <w:tcBorders>
              <w:top w:val="dotted" w:sz="4" w:space="0" w:color="auto"/>
              <w:left w:val="double" w:sz="4" w:space="0" w:color="auto"/>
              <w:bottom w:val="dotted" w:sz="4" w:space="0" w:color="auto"/>
              <w:right w:val="dotted" w:sz="4" w:space="0" w:color="auto"/>
            </w:tcBorders>
          </w:tcPr>
          <w:p w14:paraId="66105F56"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15. Të tjera (15 = 16-(12+13+14))</w:t>
            </w:r>
            <w:r w:rsidRPr="00EE038F">
              <w:rPr>
                <w:rStyle w:val="FootnoteReference"/>
                <w:rFonts w:ascii="Garamond" w:hAnsi="Garamond"/>
                <w:sz w:val="18"/>
              </w:rPr>
              <w:footnoteReference w:id="30"/>
            </w:r>
          </w:p>
        </w:tc>
        <w:tc>
          <w:tcPr>
            <w:tcW w:w="530" w:type="pct"/>
            <w:tcBorders>
              <w:top w:val="dotted" w:sz="4" w:space="0" w:color="auto"/>
              <w:left w:val="dotted" w:sz="4" w:space="0" w:color="auto"/>
              <w:bottom w:val="dotted" w:sz="4" w:space="0" w:color="auto"/>
              <w:right w:val="single" w:sz="6" w:space="0" w:color="000000"/>
            </w:tcBorders>
            <w:vAlign w:val="center"/>
          </w:tcPr>
          <w:p w14:paraId="1D265BCF" w14:textId="77777777" w:rsidR="00C50585" w:rsidRPr="00EE038F" w:rsidRDefault="00C50585" w:rsidP="007C70E7">
            <w:pPr>
              <w:spacing w:after="0" w:line="240" w:lineRule="auto"/>
              <w:contextualSpacing/>
              <w:jc w:val="both"/>
              <w:rPr>
                <w:rFonts w:ascii="Garamond" w:hAnsi="Garamond"/>
                <w:sz w:val="18"/>
              </w:rPr>
            </w:pPr>
          </w:p>
        </w:tc>
        <w:tc>
          <w:tcPr>
            <w:tcW w:w="508" w:type="pct"/>
            <w:tcBorders>
              <w:top w:val="dotted" w:sz="4" w:space="0" w:color="auto"/>
              <w:left w:val="single" w:sz="6" w:space="0" w:color="000000"/>
              <w:bottom w:val="dotted" w:sz="4" w:space="0" w:color="auto"/>
              <w:right w:val="single" w:sz="4" w:space="0" w:color="auto"/>
            </w:tcBorders>
            <w:vAlign w:val="center"/>
          </w:tcPr>
          <w:p w14:paraId="639CC77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111.50</w:t>
            </w:r>
          </w:p>
        </w:tc>
        <w:tc>
          <w:tcPr>
            <w:tcW w:w="508" w:type="pct"/>
            <w:tcBorders>
              <w:top w:val="nil"/>
              <w:left w:val="single" w:sz="4" w:space="0" w:color="auto"/>
              <w:bottom w:val="dotted" w:sz="4" w:space="0" w:color="auto"/>
              <w:right w:val="dotted" w:sz="4" w:space="0" w:color="auto"/>
            </w:tcBorders>
            <w:shd w:val="clear" w:color="000000" w:fill="FFFFFF"/>
            <w:vAlign w:val="center"/>
          </w:tcPr>
          <w:p w14:paraId="109C69E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134.41</w:t>
            </w:r>
          </w:p>
        </w:tc>
        <w:tc>
          <w:tcPr>
            <w:tcW w:w="508" w:type="pct"/>
            <w:tcBorders>
              <w:top w:val="nil"/>
              <w:left w:val="nil"/>
              <w:bottom w:val="dotted" w:sz="4" w:space="0" w:color="auto"/>
              <w:right w:val="dotted" w:sz="4" w:space="0" w:color="auto"/>
            </w:tcBorders>
            <w:shd w:val="clear" w:color="000000" w:fill="FFFFFF"/>
            <w:vAlign w:val="center"/>
          </w:tcPr>
          <w:p w14:paraId="5B97CF0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127.20</w:t>
            </w:r>
          </w:p>
        </w:tc>
        <w:tc>
          <w:tcPr>
            <w:tcW w:w="508" w:type="pct"/>
            <w:tcBorders>
              <w:top w:val="nil"/>
              <w:left w:val="nil"/>
              <w:bottom w:val="dotted" w:sz="4" w:space="0" w:color="auto"/>
              <w:right w:val="dotted" w:sz="4" w:space="0" w:color="auto"/>
            </w:tcBorders>
            <w:shd w:val="clear" w:color="000000" w:fill="FFFFFF"/>
            <w:vAlign w:val="center"/>
          </w:tcPr>
          <w:p w14:paraId="69EE595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134.66</w:t>
            </w:r>
          </w:p>
        </w:tc>
        <w:tc>
          <w:tcPr>
            <w:tcW w:w="508" w:type="pct"/>
            <w:tcBorders>
              <w:top w:val="nil"/>
              <w:left w:val="nil"/>
              <w:bottom w:val="dotted" w:sz="4" w:space="0" w:color="auto"/>
              <w:right w:val="double" w:sz="6" w:space="0" w:color="auto"/>
            </w:tcBorders>
            <w:shd w:val="clear" w:color="000000" w:fill="FFFFFF"/>
            <w:vAlign w:val="center"/>
          </w:tcPr>
          <w:p w14:paraId="77E767D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148.65</w:t>
            </w:r>
          </w:p>
        </w:tc>
      </w:tr>
      <w:tr w:rsidR="00C50585" w:rsidRPr="00EE038F" w14:paraId="12BAD804" w14:textId="77777777" w:rsidTr="00066DFC">
        <w:trPr>
          <w:trHeight w:val="20"/>
          <w:jc w:val="center"/>
        </w:trPr>
        <w:tc>
          <w:tcPr>
            <w:tcW w:w="1928" w:type="pct"/>
            <w:tcBorders>
              <w:top w:val="dotted" w:sz="4" w:space="0" w:color="auto"/>
              <w:left w:val="double" w:sz="4" w:space="0" w:color="auto"/>
              <w:bottom w:val="dotted" w:sz="4" w:space="0" w:color="auto"/>
              <w:right w:val="dotted" w:sz="4" w:space="0" w:color="auto"/>
            </w:tcBorders>
          </w:tcPr>
          <w:p w14:paraId="7001D7C0"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16 = 6. Të ardhurat totale</w:t>
            </w:r>
          </w:p>
        </w:tc>
        <w:tc>
          <w:tcPr>
            <w:tcW w:w="530" w:type="pct"/>
            <w:tcBorders>
              <w:top w:val="dotted" w:sz="4" w:space="0" w:color="auto"/>
              <w:left w:val="dotted" w:sz="4" w:space="0" w:color="auto"/>
              <w:bottom w:val="dotted" w:sz="4" w:space="0" w:color="auto"/>
              <w:right w:val="single" w:sz="6" w:space="0" w:color="000000"/>
            </w:tcBorders>
            <w:vAlign w:val="center"/>
          </w:tcPr>
          <w:p w14:paraId="11BECAB4"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TR</w:t>
            </w:r>
          </w:p>
        </w:tc>
        <w:tc>
          <w:tcPr>
            <w:tcW w:w="508" w:type="pct"/>
            <w:tcBorders>
              <w:top w:val="dotted" w:sz="4" w:space="0" w:color="auto"/>
              <w:left w:val="single" w:sz="6" w:space="0" w:color="000000"/>
              <w:bottom w:val="dotted" w:sz="4" w:space="0" w:color="auto"/>
              <w:right w:val="single" w:sz="4" w:space="0" w:color="auto"/>
            </w:tcBorders>
            <w:vAlign w:val="center"/>
          </w:tcPr>
          <w:p w14:paraId="5F7308D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643.68</w:t>
            </w:r>
          </w:p>
        </w:tc>
        <w:tc>
          <w:tcPr>
            <w:tcW w:w="508" w:type="pct"/>
            <w:tcBorders>
              <w:top w:val="nil"/>
              <w:left w:val="single" w:sz="4" w:space="0" w:color="auto"/>
              <w:bottom w:val="dotted" w:sz="4" w:space="0" w:color="auto"/>
              <w:right w:val="dotted" w:sz="4" w:space="0" w:color="auto"/>
            </w:tcBorders>
            <w:shd w:val="clear" w:color="000000" w:fill="FFFFFF"/>
            <w:vAlign w:val="center"/>
          </w:tcPr>
          <w:p w14:paraId="5B2836AA"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714.31</w:t>
            </w:r>
          </w:p>
        </w:tc>
        <w:tc>
          <w:tcPr>
            <w:tcW w:w="508" w:type="pct"/>
            <w:tcBorders>
              <w:top w:val="nil"/>
              <w:left w:val="nil"/>
              <w:bottom w:val="dotted" w:sz="4" w:space="0" w:color="auto"/>
              <w:right w:val="dotted" w:sz="4" w:space="0" w:color="auto"/>
            </w:tcBorders>
            <w:shd w:val="clear" w:color="000000" w:fill="FFFFFF"/>
            <w:vAlign w:val="center"/>
          </w:tcPr>
          <w:p w14:paraId="30C607E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757.04</w:t>
            </w:r>
          </w:p>
        </w:tc>
        <w:tc>
          <w:tcPr>
            <w:tcW w:w="508" w:type="pct"/>
            <w:tcBorders>
              <w:top w:val="nil"/>
              <w:left w:val="nil"/>
              <w:bottom w:val="dotted" w:sz="4" w:space="0" w:color="auto"/>
              <w:right w:val="dotted" w:sz="4" w:space="0" w:color="auto"/>
            </w:tcBorders>
            <w:shd w:val="clear" w:color="000000" w:fill="FFFFFF"/>
            <w:vAlign w:val="center"/>
          </w:tcPr>
          <w:p w14:paraId="382AE5B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798.51</w:t>
            </w:r>
          </w:p>
        </w:tc>
        <w:tc>
          <w:tcPr>
            <w:tcW w:w="508" w:type="pct"/>
            <w:tcBorders>
              <w:top w:val="nil"/>
              <w:left w:val="nil"/>
              <w:bottom w:val="dotted" w:sz="4" w:space="0" w:color="auto"/>
              <w:right w:val="double" w:sz="6" w:space="0" w:color="auto"/>
            </w:tcBorders>
            <w:shd w:val="clear" w:color="000000" w:fill="FFFFFF"/>
            <w:vAlign w:val="center"/>
          </w:tcPr>
          <w:p w14:paraId="60BB766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848.39</w:t>
            </w:r>
          </w:p>
        </w:tc>
      </w:tr>
      <w:tr w:rsidR="00C50585" w:rsidRPr="00EE038F" w14:paraId="70D71227" w14:textId="77777777" w:rsidTr="00066DFC">
        <w:trPr>
          <w:trHeight w:val="20"/>
          <w:jc w:val="center"/>
        </w:trPr>
        <w:tc>
          <w:tcPr>
            <w:tcW w:w="1928" w:type="pct"/>
            <w:tcBorders>
              <w:top w:val="dotted" w:sz="4" w:space="0" w:color="auto"/>
              <w:left w:val="double" w:sz="4" w:space="0" w:color="auto"/>
              <w:bottom w:val="single" w:sz="6" w:space="0" w:color="000000"/>
              <w:right w:val="dotted" w:sz="4" w:space="0" w:color="auto"/>
            </w:tcBorders>
          </w:tcPr>
          <w:p w14:paraId="24FDCF92" w14:textId="77777777" w:rsidR="00C50585" w:rsidRPr="00EE038F" w:rsidRDefault="00C50585" w:rsidP="00FD0FAE">
            <w:pPr>
              <w:spacing w:after="0" w:line="240" w:lineRule="auto"/>
              <w:ind w:firstLine="15"/>
              <w:contextualSpacing/>
              <w:jc w:val="both"/>
              <w:rPr>
                <w:rFonts w:ascii="Garamond" w:hAnsi="Garamond"/>
                <w:sz w:val="18"/>
              </w:rPr>
            </w:pPr>
            <w:r w:rsidRPr="00EE038F">
              <w:rPr>
                <w:rFonts w:ascii="Garamond" w:hAnsi="Garamond"/>
                <w:sz w:val="18"/>
              </w:rPr>
              <w:t>p.m.: Barra tatimore (D2+D5+D61+D91-D995)</w:t>
            </w:r>
            <w:r w:rsidRPr="00EE038F">
              <w:rPr>
                <w:rStyle w:val="FootnoteReference"/>
                <w:rFonts w:ascii="Garamond" w:hAnsi="Garamond"/>
                <w:sz w:val="18"/>
              </w:rPr>
              <w:footnoteReference w:id="31"/>
            </w:r>
          </w:p>
        </w:tc>
        <w:tc>
          <w:tcPr>
            <w:tcW w:w="530" w:type="pct"/>
            <w:tcBorders>
              <w:top w:val="dotted" w:sz="4" w:space="0" w:color="auto"/>
              <w:left w:val="dotted" w:sz="4" w:space="0" w:color="auto"/>
              <w:bottom w:val="single" w:sz="6" w:space="0" w:color="000000"/>
              <w:right w:val="single" w:sz="6" w:space="0" w:color="000000"/>
            </w:tcBorders>
            <w:vAlign w:val="center"/>
          </w:tcPr>
          <w:p w14:paraId="3810DDC5" w14:textId="77777777" w:rsidR="00C50585" w:rsidRPr="00EE038F" w:rsidRDefault="00C50585" w:rsidP="007C70E7">
            <w:pPr>
              <w:spacing w:after="0" w:line="240" w:lineRule="auto"/>
              <w:contextualSpacing/>
              <w:jc w:val="both"/>
              <w:rPr>
                <w:rFonts w:ascii="Garamond" w:hAnsi="Garamond"/>
                <w:sz w:val="18"/>
              </w:rPr>
            </w:pPr>
          </w:p>
        </w:tc>
        <w:tc>
          <w:tcPr>
            <w:tcW w:w="508" w:type="pct"/>
            <w:tcBorders>
              <w:top w:val="dotted" w:sz="4" w:space="0" w:color="auto"/>
              <w:left w:val="single" w:sz="6" w:space="0" w:color="000000"/>
              <w:bottom w:val="single" w:sz="6" w:space="0" w:color="000000"/>
              <w:right w:val="dotted" w:sz="4" w:space="0" w:color="auto"/>
            </w:tcBorders>
            <w:vAlign w:val="center"/>
          </w:tcPr>
          <w:p w14:paraId="7A189E3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532.13</w:t>
            </w:r>
          </w:p>
        </w:tc>
        <w:tc>
          <w:tcPr>
            <w:tcW w:w="508" w:type="pct"/>
            <w:tcBorders>
              <w:top w:val="nil"/>
              <w:left w:val="nil"/>
              <w:bottom w:val="single" w:sz="8" w:space="0" w:color="000000"/>
              <w:right w:val="dotted" w:sz="4" w:space="0" w:color="auto"/>
            </w:tcBorders>
            <w:shd w:val="clear" w:color="000000" w:fill="FFFFFF"/>
            <w:vAlign w:val="center"/>
          </w:tcPr>
          <w:p w14:paraId="1D7A810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579.59</w:t>
            </w:r>
          </w:p>
        </w:tc>
        <w:tc>
          <w:tcPr>
            <w:tcW w:w="508" w:type="pct"/>
            <w:tcBorders>
              <w:top w:val="nil"/>
              <w:left w:val="nil"/>
              <w:bottom w:val="single" w:sz="8" w:space="0" w:color="000000"/>
              <w:right w:val="dotted" w:sz="4" w:space="0" w:color="auto"/>
            </w:tcBorders>
            <w:shd w:val="clear" w:color="000000" w:fill="FFFFFF"/>
            <w:vAlign w:val="center"/>
          </w:tcPr>
          <w:p w14:paraId="7FB54D8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629.54</w:t>
            </w:r>
          </w:p>
        </w:tc>
        <w:tc>
          <w:tcPr>
            <w:tcW w:w="508" w:type="pct"/>
            <w:tcBorders>
              <w:top w:val="nil"/>
              <w:left w:val="nil"/>
              <w:bottom w:val="single" w:sz="8" w:space="0" w:color="000000"/>
              <w:right w:val="dotted" w:sz="4" w:space="0" w:color="auto"/>
            </w:tcBorders>
            <w:shd w:val="clear" w:color="000000" w:fill="FFFFFF"/>
            <w:vAlign w:val="center"/>
          </w:tcPr>
          <w:p w14:paraId="696CE9C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663.55</w:t>
            </w:r>
          </w:p>
        </w:tc>
        <w:tc>
          <w:tcPr>
            <w:tcW w:w="508" w:type="pct"/>
            <w:tcBorders>
              <w:top w:val="nil"/>
              <w:left w:val="nil"/>
              <w:bottom w:val="single" w:sz="8" w:space="0" w:color="auto"/>
              <w:right w:val="double" w:sz="6" w:space="0" w:color="auto"/>
            </w:tcBorders>
            <w:shd w:val="clear" w:color="000000" w:fill="FFFFFF"/>
            <w:vAlign w:val="center"/>
          </w:tcPr>
          <w:p w14:paraId="12520D5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699.44</w:t>
            </w:r>
          </w:p>
        </w:tc>
      </w:tr>
    </w:tbl>
    <w:p w14:paraId="05E067EB" w14:textId="77777777" w:rsidR="00C50585" w:rsidRPr="00EE038F" w:rsidRDefault="00C50585" w:rsidP="00C50585">
      <w:pPr>
        <w:spacing w:after="0" w:line="240" w:lineRule="auto"/>
        <w:contextualSpacing/>
        <w:jc w:val="both"/>
        <w:rPr>
          <w:rFonts w:ascii="Garamond" w:hAnsi="Garamond"/>
          <w:b/>
          <w:color w:val="0D0D0D" w:themeColor="text1" w:themeTint="F2"/>
        </w:rPr>
      </w:pPr>
    </w:p>
    <w:p w14:paraId="3BE0683E" w14:textId="213A86D8" w:rsidR="00C50585" w:rsidRPr="00EE038F" w:rsidRDefault="00C50585" w:rsidP="00066DFC">
      <w:pPr>
        <w:spacing w:after="0" w:line="240" w:lineRule="auto"/>
        <w:contextualSpacing/>
        <w:jc w:val="center"/>
        <w:rPr>
          <w:rFonts w:ascii="Garamond" w:hAnsi="Garamond"/>
          <w:bCs/>
          <w:i/>
          <w:iCs/>
          <w:color w:val="0D0D0D" w:themeColor="text1" w:themeTint="F2"/>
          <w:sz w:val="24"/>
          <w:szCs w:val="24"/>
        </w:rPr>
      </w:pPr>
      <w:r w:rsidRPr="00EE038F">
        <w:rPr>
          <w:rFonts w:ascii="Garamond" w:hAnsi="Garamond"/>
          <w:bCs/>
          <w:i/>
          <w:iCs/>
          <w:color w:val="0D0D0D" w:themeColor="text1" w:themeTint="F2"/>
          <w:sz w:val="24"/>
          <w:szCs w:val="24"/>
        </w:rPr>
        <w:t>Tabela 2b: (vazhdim)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449"/>
        <w:gridCol w:w="1027"/>
        <w:gridCol w:w="901"/>
        <w:gridCol w:w="901"/>
        <w:gridCol w:w="903"/>
        <w:gridCol w:w="901"/>
        <w:gridCol w:w="908"/>
      </w:tblGrid>
      <w:tr w:rsidR="00C50585" w:rsidRPr="00EE038F" w14:paraId="41AD2C0B" w14:textId="77777777" w:rsidTr="00066DFC">
        <w:trPr>
          <w:trHeight w:val="20"/>
          <w:jc w:val="center"/>
        </w:trPr>
        <w:tc>
          <w:tcPr>
            <w:tcW w:w="1919" w:type="pct"/>
            <w:tcBorders>
              <w:top w:val="single" w:sz="4" w:space="0" w:color="auto"/>
              <w:left w:val="double" w:sz="4" w:space="0" w:color="auto"/>
              <w:bottom w:val="nil"/>
              <w:right w:val="dotted" w:sz="4" w:space="0" w:color="auto"/>
            </w:tcBorders>
            <w:vAlign w:val="center"/>
          </w:tcPr>
          <w:p w14:paraId="2B0BF85A" w14:textId="77777777" w:rsidR="00C50585" w:rsidRPr="00EE038F" w:rsidRDefault="00C50585" w:rsidP="007C70E7">
            <w:pPr>
              <w:spacing w:after="0" w:line="240" w:lineRule="auto"/>
              <w:contextualSpacing/>
              <w:jc w:val="both"/>
              <w:rPr>
                <w:rFonts w:ascii="Garamond" w:hAnsi="Garamond"/>
                <w:b/>
                <w:bCs/>
                <w:sz w:val="20"/>
                <w:szCs w:val="20"/>
              </w:rPr>
            </w:pPr>
          </w:p>
        </w:tc>
        <w:tc>
          <w:tcPr>
            <w:tcW w:w="571" w:type="pct"/>
            <w:vMerge w:val="restart"/>
            <w:tcBorders>
              <w:top w:val="single" w:sz="4" w:space="0" w:color="auto"/>
              <w:left w:val="dotted" w:sz="4" w:space="0" w:color="auto"/>
              <w:bottom w:val="single" w:sz="6" w:space="0" w:color="000000"/>
              <w:right w:val="single" w:sz="6" w:space="0" w:color="000000"/>
            </w:tcBorders>
            <w:vAlign w:val="center"/>
          </w:tcPr>
          <w:p w14:paraId="054368C5" w14:textId="77777777" w:rsidR="00C50585" w:rsidRPr="00EE038F" w:rsidRDefault="00C50585" w:rsidP="007C70E7">
            <w:pPr>
              <w:spacing w:after="0" w:line="240" w:lineRule="auto"/>
              <w:contextualSpacing/>
              <w:jc w:val="both"/>
              <w:rPr>
                <w:rFonts w:ascii="Garamond" w:hAnsi="Garamond"/>
                <w:b/>
                <w:bCs/>
                <w:sz w:val="20"/>
                <w:szCs w:val="20"/>
              </w:rPr>
            </w:pPr>
            <w:r w:rsidRPr="00EE038F">
              <w:rPr>
                <w:rFonts w:ascii="Garamond" w:hAnsi="Garamond"/>
                <w:b/>
                <w:bCs/>
                <w:sz w:val="20"/>
                <w:szCs w:val="20"/>
              </w:rPr>
              <w:t>Kodi</w:t>
            </w:r>
          </w:p>
          <w:p w14:paraId="0616F967" w14:textId="77777777" w:rsidR="00C50585" w:rsidRPr="00EE038F" w:rsidRDefault="00C50585" w:rsidP="007C70E7">
            <w:pPr>
              <w:spacing w:after="0" w:line="240" w:lineRule="auto"/>
              <w:contextualSpacing/>
              <w:jc w:val="both"/>
              <w:rPr>
                <w:rFonts w:ascii="Garamond" w:hAnsi="Garamond"/>
                <w:b/>
                <w:bCs/>
                <w:sz w:val="20"/>
                <w:szCs w:val="20"/>
              </w:rPr>
            </w:pPr>
            <w:r w:rsidRPr="00EE038F">
              <w:rPr>
                <w:rFonts w:ascii="Garamond" w:hAnsi="Garamond"/>
                <w:b/>
                <w:bCs/>
                <w:sz w:val="20"/>
                <w:szCs w:val="20"/>
              </w:rPr>
              <w:t>ESA</w:t>
            </w:r>
          </w:p>
        </w:tc>
        <w:tc>
          <w:tcPr>
            <w:tcW w:w="501" w:type="pct"/>
            <w:tcBorders>
              <w:top w:val="single" w:sz="4" w:space="0" w:color="auto"/>
              <w:left w:val="single" w:sz="6" w:space="0" w:color="000000"/>
              <w:bottom w:val="dotted" w:sz="4" w:space="0" w:color="auto"/>
              <w:right w:val="single" w:sz="4" w:space="0" w:color="auto"/>
            </w:tcBorders>
            <w:vAlign w:val="center"/>
          </w:tcPr>
          <w:p w14:paraId="3A6AA1DC" w14:textId="77777777" w:rsidR="00C50585" w:rsidRPr="00EE038F" w:rsidRDefault="00C50585" w:rsidP="007C70E7">
            <w:pPr>
              <w:spacing w:after="0" w:line="240" w:lineRule="auto"/>
              <w:contextualSpacing/>
              <w:jc w:val="both"/>
              <w:rPr>
                <w:rFonts w:ascii="Garamond" w:hAnsi="Garamond"/>
                <w:b/>
                <w:bCs/>
                <w:sz w:val="20"/>
                <w:szCs w:val="20"/>
              </w:rPr>
            </w:pPr>
            <w:r w:rsidRPr="00EE038F">
              <w:rPr>
                <w:rFonts w:ascii="Garamond" w:hAnsi="Garamond"/>
                <w:b/>
                <w:bCs/>
                <w:sz w:val="20"/>
                <w:szCs w:val="20"/>
              </w:rPr>
              <w:t>Viti</w:t>
            </w:r>
            <w:r w:rsidRPr="00EE038F">
              <w:rPr>
                <w:rFonts w:ascii="Garamond" w:hAnsi="Garamond"/>
                <w:b/>
                <w:bCs/>
                <w:sz w:val="20"/>
                <w:szCs w:val="20"/>
              </w:rPr>
              <w:br/>
              <w:t>2023</w:t>
            </w:r>
          </w:p>
        </w:tc>
        <w:tc>
          <w:tcPr>
            <w:tcW w:w="501" w:type="pct"/>
            <w:tcBorders>
              <w:top w:val="single" w:sz="4" w:space="0" w:color="auto"/>
              <w:left w:val="single" w:sz="4" w:space="0" w:color="auto"/>
              <w:bottom w:val="dotted" w:sz="4" w:space="0" w:color="auto"/>
              <w:right w:val="dotted" w:sz="4" w:space="0" w:color="auto"/>
            </w:tcBorders>
            <w:vAlign w:val="center"/>
          </w:tcPr>
          <w:p w14:paraId="27D04CAA" w14:textId="77777777" w:rsidR="00C50585" w:rsidRPr="00EE038F" w:rsidRDefault="00C50585" w:rsidP="007C70E7">
            <w:pPr>
              <w:spacing w:after="0" w:line="240" w:lineRule="auto"/>
              <w:contextualSpacing/>
              <w:jc w:val="both"/>
              <w:rPr>
                <w:rFonts w:ascii="Garamond" w:hAnsi="Garamond"/>
                <w:b/>
                <w:bCs/>
                <w:sz w:val="20"/>
                <w:szCs w:val="20"/>
              </w:rPr>
            </w:pPr>
            <w:r w:rsidRPr="00EE038F">
              <w:rPr>
                <w:rFonts w:ascii="Garamond" w:hAnsi="Garamond"/>
                <w:b/>
                <w:bCs/>
                <w:sz w:val="20"/>
                <w:szCs w:val="20"/>
              </w:rPr>
              <w:t>Viti 2024</w:t>
            </w:r>
          </w:p>
        </w:tc>
        <w:tc>
          <w:tcPr>
            <w:tcW w:w="502" w:type="pct"/>
            <w:tcBorders>
              <w:top w:val="single" w:sz="4" w:space="0" w:color="auto"/>
              <w:left w:val="dotted" w:sz="4" w:space="0" w:color="auto"/>
              <w:bottom w:val="dotted" w:sz="4" w:space="0" w:color="auto"/>
              <w:right w:val="dotted" w:sz="4" w:space="0" w:color="auto"/>
            </w:tcBorders>
            <w:vAlign w:val="center"/>
          </w:tcPr>
          <w:p w14:paraId="7D19E421" w14:textId="77777777" w:rsidR="00C50585" w:rsidRPr="00EE038F" w:rsidRDefault="00C50585" w:rsidP="007C70E7">
            <w:pPr>
              <w:spacing w:after="0" w:line="240" w:lineRule="auto"/>
              <w:contextualSpacing/>
              <w:jc w:val="both"/>
              <w:rPr>
                <w:rFonts w:ascii="Garamond" w:hAnsi="Garamond"/>
                <w:b/>
                <w:bCs/>
                <w:sz w:val="20"/>
                <w:szCs w:val="20"/>
              </w:rPr>
            </w:pPr>
            <w:r w:rsidRPr="00EE038F">
              <w:rPr>
                <w:rFonts w:ascii="Garamond" w:hAnsi="Garamond"/>
                <w:b/>
                <w:bCs/>
                <w:sz w:val="20"/>
                <w:szCs w:val="20"/>
              </w:rPr>
              <w:t>Viti 2025</w:t>
            </w:r>
          </w:p>
        </w:tc>
        <w:tc>
          <w:tcPr>
            <w:tcW w:w="501" w:type="pct"/>
            <w:tcBorders>
              <w:top w:val="single" w:sz="4" w:space="0" w:color="auto"/>
              <w:left w:val="dotted" w:sz="4" w:space="0" w:color="auto"/>
              <w:bottom w:val="dotted" w:sz="4" w:space="0" w:color="auto"/>
              <w:right w:val="dotted" w:sz="4" w:space="0" w:color="auto"/>
            </w:tcBorders>
            <w:vAlign w:val="center"/>
          </w:tcPr>
          <w:p w14:paraId="6551C60A" w14:textId="77777777" w:rsidR="00C50585" w:rsidRPr="00EE038F" w:rsidRDefault="00C50585" w:rsidP="007C70E7">
            <w:pPr>
              <w:spacing w:after="0" w:line="240" w:lineRule="auto"/>
              <w:contextualSpacing/>
              <w:jc w:val="both"/>
              <w:rPr>
                <w:rFonts w:ascii="Garamond" w:hAnsi="Garamond"/>
                <w:b/>
                <w:bCs/>
                <w:sz w:val="20"/>
                <w:szCs w:val="20"/>
              </w:rPr>
            </w:pPr>
            <w:r w:rsidRPr="00EE038F">
              <w:rPr>
                <w:rFonts w:ascii="Garamond" w:hAnsi="Garamond"/>
                <w:b/>
                <w:bCs/>
                <w:sz w:val="20"/>
                <w:szCs w:val="20"/>
              </w:rPr>
              <w:t>Viti 2026</w:t>
            </w:r>
          </w:p>
        </w:tc>
        <w:tc>
          <w:tcPr>
            <w:tcW w:w="504" w:type="pct"/>
            <w:tcBorders>
              <w:top w:val="single" w:sz="4" w:space="0" w:color="auto"/>
              <w:left w:val="dotted" w:sz="4" w:space="0" w:color="auto"/>
              <w:bottom w:val="dotted" w:sz="4" w:space="0" w:color="auto"/>
              <w:right w:val="double" w:sz="4" w:space="0" w:color="auto"/>
            </w:tcBorders>
            <w:vAlign w:val="center"/>
          </w:tcPr>
          <w:p w14:paraId="0D2757CF" w14:textId="77777777" w:rsidR="00C50585" w:rsidRPr="00EE038F" w:rsidRDefault="00C50585" w:rsidP="007C70E7">
            <w:pPr>
              <w:spacing w:after="0" w:line="240" w:lineRule="auto"/>
              <w:contextualSpacing/>
              <w:jc w:val="both"/>
              <w:rPr>
                <w:rFonts w:ascii="Garamond" w:hAnsi="Garamond"/>
                <w:b/>
                <w:bCs/>
                <w:sz w:val="20"/>
                <w:szCs w:val="20"/>
              </w:rPr>
            </w:pPr>
            <w:r w:rsidRPr="00EE038F">
              <w:rPr>
                <w:rFonts w:ascii="Garamond" w:hAnsi="Garamond"/>
                <w:b/>
                <w:bCs/>
                <w:sz w:val="20"/>
                <w:szCs w:val="20"/>
              </w:rPr>
              <w:t>Viti</w:t>
            </w:r>
          </w:p>
          <w:p w14:paraId="39606270" w14:textId="77777777" w:rsidR="00C50585" w:rsidRPr="00EE038F" w:rsidRDefault="00C50585" w:rsidP="007C70E7">
            <w:pPr>
              <w:spacing w:after="0" w:line="240" w:lineRule="auto"/>
              <w:contextualSpacing/>
              <w:jc w:val="both"/>
              <w:rPr>
                <w:rFonts w:ascii="Garamond" w:hAnsi="Garamond"/>
                <w:b/>
                <w:bCs/>
                <w:sz w:val="20"/>
                <w:szCs w:val="20"/>
              </w:rPr>
            </w:pPr>
            <w:r w:rsidRPr="00EE038F">
              <w:rPr>
                <w:rFonts w:ascii="Garamond" w:hAnsi="Garamond"/>
                <w:b/>
                <w:bCs/>
                <w:sz w:val="20"/>
                <w:szCs w:val="20"/>
              </w:rPr>
              <w:t>2027</w:t>
            </w:r>
          </w:p>
        </w:tc>
      </w:tr>
      <w:tr w:rsidR="00C50585" w:rsidRPr="00EE038F" w14:paraId="3C43F4BC" w14:textId="77777777" w:rsidTr="00066DFC">
        <w:trPr>
          <w:trHeight w:val="20"/>
          <w:jc w:val="center"/>
        </w:trPr>
        <w:tc>
          <w:tcPr>
            <w:tcW w:w="1919" w:type="pct"/>
            <w:tcBorders>
              <w:top w:val="nil"/>
              <w:left w:val="double" w:sz="4" w:space="0" w:color="auto"/>
              <w:bottom w:val="single" w:sz="6" w:space="0" w:color="000000"/>
              <w:right w:val="dotted" w:sz="4" w:space="0" w:color="auto"/>
            </w:tcBorders>
            <w:vAlign w:val="center"/>
          </w:tcPr>
          <w:p w14:paraId="2B7F752B" w14:textId="77777777" w:rsidR="00C50585" w:rsidRPr="00EE038F" w:rsidRDefault="00C50585" w:rsidP="007C70E7">
            <w:pPr>
              <w:spacing w:after="0" w:line="240" w:lineRule="auto"/>
              <w:contextualSpacing/>
              <w:jc w:val="both"/>
              <w:rPr>
                <w:rFonts w:ascii="Garamond" w:hAnsi="Garamond"/>
                <w:sz w:val="20"/>
                <w:szCs w:val="20"/>
              </w:rPr>
            </w:pPr>
          </w:p>
        </w:tc>
        <w:tc>
          <w:tcPr>
            <w:tcW w:w="571" w:type="pct"/>
            <w:vMerge/>
            <w:tcBorders>
              <w:left w:val="dotted" w:sz="4" w:space="0" w:color="auto"/>
              <w:bottom w:val="single" w:sz="6" w:space="0" w:color="000000"/>
              <w:right w:val="single" w:sz="6" w:space="0" w:color="000000"/>
            </w:tcBorders>
            <w:vAlign w:val="center"/>
          </w:tcPr>
          <w:p w14:paraId="53BEBDEC" w14:textId="77777777" w:rsidR="00C50585" w:rsidRPr="00EE038F" w:rsidRDefault="00C50585" w:rsidP="007C70E7">
            <w:pPr>
              <w:spacing w:after="0" w:line="240" w:lineRule="auto"/>
              <w:contextualSpacing/>
              <w:jc w:val="both"/>
              <w:rPr>
                <w:rFonts w:ascii="Garamond" w:hAnsi="Garamond"/>
                <w:sz w:val="20"/>
                <w:szCs w:val="20"/>
              </w:rPr>
            </w:pPr>
          </w:p>
        </w:tc>
        <w:tc>
          <w:tcPr>
            <w:tcW w:w="2509" w:type="pct"/>
            <w:gridSpan w:val="5"/>
            <w:tcBorders>
              <w:top w:val="dotted" w:sz="4" w:space="0" w:color="auto"/>
              <w:left w:val="single" w:sz="6" w:space="0" w:color="000000"/>
              <w:bottom w:val="single" w:sz="6" w:space="0" w:color="000000"/>
              <w:right w:val="double" w:sz="4" w:space="0" w:color="auto"/>
            </w:tcBorders>
            <w:vAlign w:val="center"/>
          </w:tcPr>
          <w:p w14:paraId="5788F5A1" w14:textId="77777777" w:rsidR="00C50585" w:rsidRPr="00EE038F" w:rsidRDefault="00C50585" w:rsidP="007C70E7">
            <w:pPr>
              <w:spacing w:after="0" w:line="240" w:lineRule="auto"/>
              <w:contextualSpacing/>
              <w:jc w:val="both"/>
              <w:rPr>
                <w:rFonts w:ascii="Garamond" w:hAnsi="Garamond"/>
                <w:b/>
                <w:sz w:val="20"/>
                <w:szCs w:val="20"/>
              </w:rPr>
            </w:pPr>
            <w:r w:rsidRPr="00EE038F">
              <w:rPr>
                <w:rFonts w:ascii="Garamond" w:hAnsi="Garamond"/>
                <w:b/>
                <w:color w:val="0D0D0D" w:themeColor="text1" w:themeTint="F2"/>
                <w:sz w:val="20"/>
                <w:szCs w:val="20"/>
              </w:rPr>
              <w:t>Niveli (mld LEK)</w:t>
            </w:r>
          </w:p>
        </w:tc>
      </w:tr>
      <w:tr w:rsidR="00C50585" w:rsidRPr="00EE038F" w14:paraId="17397F74" w14:textId="77777777" w:rsidTr="00066DFC">
        <w:trPr>
          <w:trHeight w:val="20"/>
          <w:jc w:val="center"/>
        </w:trPr>
        <w:tc>
          <w:tcPr>
            <w:tcW w:w="5000" w:type="pct"/>
            <w:gridSpan w:val="7"/>
            <w:tcBorders>
              <w:top w:val="single" w:sz="6" w:space="0" w:color="000000"/>
              <w:left w:val="double" w:sz="4" w:space="0" w:color="auto"/>
              <w:bottom w:val="single" w:sz="4" w:space="0" w:color="auto"/>
              <w:right w:val="double" w:sz="4" w:space="0" w:color="auto"/>
            </w:tcBorders>
            <w:vAlign w:val="center"/>
          </w:tcPr>
          <w:p w14:paraId="1610A292"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eastAsia="Times New Roman" w:hAnsi="Garamond"/>
                <w:b/>
                <w:bCs/>
                <w:color w:val="0D0D0D" w:themeColor="text1" w:themeTint="F2"/>
                <w:sz w:val="20"/>
                <w:szCs w:val="20"/>
              </w:rPr>
              <w:t>Komponentët e zgjedhur të shpenzimeve</w:t>
            </w:r>
          </w:p>
        </w:tc>
      </w:tr>
      <w:tr w:rsidR="00C50585" w:rsidRPr="00EE038F" w14:paraId="684F83BF" w14:textId="77777777" w:rsidTr="00066DFC">
        <w:trPr>
          <w:trHeight w:val="20"/>
          <w:jc w:val="center"/>
        </w:trPr>
        <w:tc>
          <w:tcPr>
            <w:tcW w:w="1919" w:type="pct"/>
            <w:tcBorders>
              <w:top w:val="single" w:sz="4" w:space="0" w:color="auto"/>
              <w:left w:val="double" w:sz="4" w:space="0" w:color="auto"/>
              <w:bottom w:val="dotted" w:sz="4" w:space="0" w:color="auto"/>
              <w:right w:val="dotted" w:sz="4" w:space="0" w:color="auto"/>
            </w:tcBorders>
          </w:tcPr>
          <w:p w14:paraId="13DB3266"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17. Konsumi kolektiv</w:t>
            </w:r>
          </w:p>
        </w:tc>
        <w:tc>
          <w:tcPr>
            <w:tcW w:w="571" w:type="pct"/>
            <w:tcBorders>
              <w:top w:val="single" w:sz="4" w:space="0" w:color="auto"/>
              <w:left w:val="dotted" w:sz="4" w:space="0" w:color="auto"/>
              <w:bottom w:val="dotted" w:sz="4" w:space="0" w:color="auto"/>
              <w:right w:val="single" w:sz="6" w:space="0" w:color="000000"/>
            </w:tcBorders>
            <w:vAlign w:val="center"/>
          </w:tcPr>
          <w:p w14:paraId="5B2941CE"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P32</w:t>
            </w:r>
          </w:p>
        </w:tc>
        <w:tc>
          <w:tcPr>
            <w:tcW w:w="501" w:type="pct"/>
            <w:tcBorders>
              <w:top w:val="single" w:sz="4" w:space="0" w:color="auto"/>
              <w:left w:val="single" w:sz="6" w:space="0" w:color="000000"/>
              <w:bottom w:val="dotted" w:sz="4" w:space="0" w:color="auto"/>
              <w:right w:val="single" w:sz="4" w:space="0" w:color="auto"/>
            </w:tcBorders>
            <w:vAlign w:val="center"/>
          </w:tcPr>
          <w:p w14:paraId="58CE5201"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200.26</w:t>
            </w:r>
          </w:p>
        </w:tc>
        <w:tc>
          <w:tcPr>
            <w:tcW w:w="501" w:type="pct"/>
            <w:tcBorders>
              <w:top w:val="single" w:sz="4" w:space="0" w:color="auto"/>
              <w:left w:val="single" w:sz="4" w:space="0" w:color="auto"/>
              <w:bottom w:val="dotted" w:sz="4" w:space="0" w:color="auto"/>
              <w:right w:val="dotted" w:sz="4" w:space="0" w:color="auto"/>
            </w:tcBorders>
            <w:vAlign w:val="center"/>
          </w:tcPr>
          <w:p w14:paraId="7E2CC5DA"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234.00</w:t>
            </w:r>
          </w:p>
        </w:tc>
        <w:tc>
          <w:tcPr>
            <w:tcW w:w="502" w:type="pct"/>
            <w:tcBorders>
              <w:top w:val="single" w:sz="4" w:space="0" w:color="auto"/>
              <w:left w:val="dotted" w:sz="4" w:space="0" w:color="auto"/>
              <w:bottom w:val="dotted" w:sz="4" w:space="0" w:color="auto"/>
              <w:right w:val="dotted" w:sz="4" w:space="0" w:color="auto"/>
            </w:tcBorders>
            <w:vAlign w:val="center"/>
          </w:tcPr>
          <w:p w14:paraId="16AF4611"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243.26</w:t>
            </w:r>
          </w:p>
        </w:tc>
        <w:tc>
          <w:tcPr>
            <w:tcW w:w="501" w:type="pct"/>
            <w:tcBorders>
              <w:top w:val="single" w:sz="4" w:space="0" w:color="auto"/>
              <w:left w:val="dotted" w:sz="4" w:space="0" w:color="auto"/>
              <w:bottom w:val="dotted" w:sz="4" w:space="0" w:color="auto"/>
              <w:right w:val="dotted" w:sz="4" w:space="0" w:color="auto"/>
            </w:tcBorders>
            <w:vAlign w:val="center"/>
          </w:tcPr>
          <w:p w14:paraId="5D1FB60B"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251.64</w:t>
            </w:r>
          </w:p>
        </w:tc>
        <w:tc>
          <w:tcPr>
            <w:tcW w:w="504" w:type="pct"/>
            <w:tcBorders>
              <w:top w:val="single" w:sz="4" w:space="0" w:color="auto"/>
              <w:left w:val="dotted" w:sz="4" w:space="0" w:color="auto"/>
              <w:bottom w:val="dotted" w:sz="4" w:space="0" w:color="auto"/>
              <w:right w:val="double" w:sz="4" w:space="0" w:color="auto"/>
            </w:tcBorders>
            <w:vAlign w:val="center"/>
          </w:tcPr>
          <w:p w14:paraId="2497A2DB"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259.01</w:t>
            </w:r>
          </w:p>
        </w:tc>
      </w:tr>
      <w:tr w:rsidR="00C50585" w:rsidRPr="00EE038F" w14:paraId="53A3F8F6" w14:textId="77777777" w:rsidTr="00066DFC">
        <w:trPr>
          <w:trHeight w:val="20"/>
          <w:jc w:val="center"/>
        </w:trPr>
        <w:tc>
          <w:tcPr>
            <w:tcW w:w="1919" w:type="pct"/>
            <w:tcBorders>
              <w:top w:val="dotted" w:sz="4" w:space="0" w:color="auto"/>
              <w:left w:val="double" w:sz="4" w:space="0" w:color="auto"/>
              <w:bottom w:val="dotted" w:sz="4" w:space="0" w:color="auto"/>
              <w:right w:val="dotted" w:sz="4" w:space="0" w:color="auto"/>
            </w:tcBorders>
          </w:tcPr>
          <w:p w14:paraId="4D7E2E92"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18. Totali i transfertave sociale</w:t>
            </w:r>
          </w:p>
        </w:tc>
        <w:tc>
          <w:tcPr>
            <w:tcW w:w="571" w:type="pct"/>
            <w:tcBorders>
              <w:top w:val="dotted" w:sz="4" w:space="0" w:color="auto"/>
              <w:left w:val="dotted" w:sz="4" w:space="0" w:color="auto"/>
              <w:bottom w:val="dotted" w:sz="4" w:space="0" w:color="auto"/>
              <w:right w:val="single" w:sz="6" w:space="0" w:color="000000"/>
            </w:tcBorders>
            <w:vAlign w:val="center"/>
          </w:tcPr>
          <w:p w14:paraId="7CCD7E5D"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D62 + D63</w:t>
            </w:r>
          </w:p>
        </w:tc>
        <w:tc>
          <w:tcPr>
            <w:tcW w:w="501" w:type="pct"/>
            <w:tcBorders>
              <w:top w:val="dotted" w:sz="4" w:space="0" w:color="auto"/>
              <w:left w:val="single" w:sz="6" w:space="0" w:color="000000"/>
              <w:bottom w:val="dotted" w:sz="4" w:space="0" w:color="auto"/>
              <w:right w:val="single" w:sz="4" w:space="0" w:color="auto"/>
            </w:tcBorders>
            <w:vAlign w:val="center"/>
          </w:tcPr>
          <w:p w14:paraId="7275A221"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257.74</w:t>
            </w:r>
          </w:p>
        </w:tc>
        <w:tc>
          <w:tcPr>
            <w:tcW w:w="501" w:type="pct"/>
            <w:tcBorders>
              <w:top w:val="dotted" w:sz="4" w:space="0" w:color="auto"/>
              <w:left w:val="single" w:sz="4" w:space="0" w:color="auto"/>
              <w:bottom w:val="dotted" w:sz="4" w:space="0" w:color="auto"/>
              <w:right w:val="dotted" w:sz="4" w:space="0" w:color="auto"/>
            </w:tcBorders>
            <w:vAlign w:val="center"/>
          </w:tcPr>
          <w:p w14:paraId="25D9BF01"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282.36</w:t>
            </w:r>
          </w:p>
        </w:tc>
        <w:tc>
          <w:tcPr>
            <w:tcW w:w="502" w:type="pct"/>
            <w:tcBorders>
              <w:top w:val="dotted" w:sz="4" w:space="0" w:color="auto"/>
              <w:left w:val="dotted" w:sz="4" w:space="0" w:color="auto"/>
              <w:bottom w:val="dotted" w:sz="4" w:space="0" w:color="auto"/>
              <w:right w:val="dotted" w:sz="4" w:space="0" w:color="auto"/>
            </w:tcBorders>
            <w:vAlign w:val="center"/>
          </w:tcPr>
          <w:p w14:paraId="2D815C4F"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291.99</w:t>
            </w:r>
          </w:p>
        </w:tc>
        <w:tc>
          <w:tcPr>
            <w:tcW w:w="501" w:type="pct"/>
            <w:tcBorders>
              <w:top w:val="dotted" w:sz="4" w:space="0" w:color="auto"/>
              <w:left w:val="dotted" w:sz="4" w:space="0" w:color="auto"/>
              <w:bottom w:val="dotted" w:sz="4" w:space="0" w:color="auto"/>
              <w:right w:val="dotted" w:sz="4" w:space="0" w:color="auto"/>
            </w:tcBorders>
            <w:vAlign w:val="center"/>
          </w:tcPr>
          <w:p w14:paraId="56BF1F76"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303.44</w:t>
            </w:r>
          </w:p>
        </w:tc>
        <w:tc>
          <w:tcPr>
            <w:tcW w:w="504" w:type="pct"/>
            <w:tcBorders>
              <w:top w:val="dotted" w:sz="4" w:space="0" w:color="auto"/>
              <w:left w:val="dotted" w:sz="4" w:space="0" w:color="auto"/>
              <w:bottom w:val="dotted" w:sz="4" w:space="0" w:color="auto"/>
              <w:right w:val="double" w:sz="4" w:space="0" w:color="auto"/>
            </w:tcBorders>
            <w:vAlign w:val="center"/>
          </w:tcPr>
          <w:p w14:paraId="7D26C6C2"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322.59</w:t>
            </w:r>
          </w:p>
        </w:tc>
      </w:tr>
      <w:tr w:rsidR="00C50585" w:rsidRPr="00EE038F" w14:paraId="5825F691" w14:textId="77777777" w:rsidTr="00066DFC">
        <w:trPr>
          <w:trHeight w:val="20"/>
          <w:jc w:val="center"/>
        </w:trPr>
        <w:tc>
          <w:tcPr>
            <w:tcW w:w="1919" w:type="pct"/>
            <w:tcBorders>
              <w:top w:val="dotted" w:sz="4" w:space="0" w:color="auto"/>
              <w:left w:val="double" w:sz="4" w:space="0" w:color="auto"/>
              <w:bottom w:val="dotted" w:sz="4" w:space="0" w:color="auto"/>
              <w:right w:val="dotted" w:sz="4" w:space="0" w:color="auto"/>
            </w:tcBorders>
          </w:tcPr>
          <w:p w14:paraId="5492D234"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18a. Transfertat sociale në natyrë</w:t>
            </w:r>
          </w:p>
        </w:tc>
        <w:tc>
          <w:tcPr>
            <w:tcW w:w="571" w:type="pct"/>
            <w:tcBorders>
              <w:top w:val="dotted" w:sz="4" w:space="0" w:color="auto"/>
              <w:left w:val="dotted" w:sz="4" w:space="0" w:color="auto"/>
              <w:bottom w:val="dotted" w:sz="4" w:space="0" w:color="auto"/>
              <w:right w:val="single" w:sz="6" w:space="0" w:color="000000"/>
            </w:tcBorders>
            <w:vAlign w:val="center"/>
          </w:tcPr>
          <w:p w14:paraId="1F96F0C1"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P31 = D63</w:t>
            </w:r>
          </w:p>
        </w:tc>
        <w:tc>
          <w:tcPr>
            <w:tcW w:w="501" w:type="pct"/>
            <w:tcBorders>
              <w:top w:val="dotted" w:sz="4" w:space="0" w:color="auto"/>
              <w:left w:val="single" w:sz="6" w:space="0" w:color="000000"/>
              <w:bottom w:val="dotted" w:sz="4" w:space="0" w:color="auto"/>
              <w:right w:val="single" w:sz="4" w:space="0" w:color="auto"/>
            </w:tcBorders>
            <w:vAlign w:val="center"/>
          </w:tcPr>
          <w:p w14:paraId="7C9EEA1C"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w:t>
            </w:r>
          </w:p>
        </w:tc>
        <w:tc>
          <w:tcPr>
            <w:tcW w:w="501" w:type="pct"/>
            <w:tcBorders>
              <w:top w:val="dotted" w:sz="4" w:space="0" w:color="auto"/>
              <w:left w:val="single" w:sz="4" w:space="0" w:color="auto"/>
              <w:bottom w:val="dotted" w:sz="4" w:space="0" w:color="auto"/>
              <w:right w:val="dotted" w:sz="4" w:space="0" w:color="auto"/>
            </w:tcBorders>
            <w:vAlign w:val="center"/>
          </w:tcPr>
          <w:p w14:paraId="778837BE"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w:t>
            </w:r>
          </w:p>
        </w:tc>
        <w:tc>
          <w:tcPr>
            <w:tcW w:w="502" w:type="pct"/>
            <w:tcBorders>
              <w:top w:val="dotted" w:sz="4" w:space="0" w:color="auto"/>
              <w:left w:val="dotted" w:sz="4" w:space="0" w:color="auto"/>
              <w:bottom w:val="dotted" w:sz="4" w:space="0" w:color="auto"/>
              <w:right w:val="dotted" w:sz="4" w:space="0" w:color="auto"/>
            </w:tcBorders>
            <w:vAlign w:val="center"/>
          </w:tcPr>
          <w:p w14:paraId="3FCF72BA"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w:t>
            </w:r>
          </w:p>
        </w:tc>
        <w:tc>
          <w:tcPr>
            <w:tcW w:w="501" w:type="pct"/>
            <w:tcBorders>
              <w:top w:val="dotted" w:sz="4" w:space="0" w:color="auto"/>
              <w:left w:val="dotted" w:sz="4" w:space="0" w:color="auto"/>
              <w:bottom w:val="dotted" w:sz="4" w:space="0" w:color="auto"/>
              <w:right w:val="dotted" w:sz="4" w:space="0" w:color="auto"/>
            </w:tcBorders>
            <w:vAlign w:val="center"/>
          </w:tcPr>
          <w:p w14:paraId="14712968"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w:t>
            </w:r>
          </w:p>
        </w:tc>
        <w:tc>
          <w:tcPr>
            <w:tcW w:w="504" w:type="pct"/>
            <w:tcBorders>
              <w:top w:val="dotted" w:sz="4" w:space="0" w:color="auto"/>
              <w:left w:val="dotted" w:sz="4" w:space="0" w:color="auto"/>
              <w:bottom w:val="dotted" w:sz="4" w:space="0" w:color="auto"/>
              <w:right w:val="double" w:sz="4" w:space="0" w:color="auto"/>
            </w:tcBorders>
            <w:vAlign w:val="center"/>
          </w:tcPr>
          <w:p w14:paraId="544E3A78"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w:t>
            </w:r>
          </w:p>
        </w:tc>
      </w:tr>
      <w:tr w:rsidR="00C50585" w:rsidRPr="00EE038F" w14:paraId="790E2C43" w14:textId="77777777" w:rsidTr="00066DFC">
        <w:trPr>
          <w:trHeight w:val="20"/>
          <w:jc w:val="center"/>
        </w:trPr>
        <w:tc>
          <w:tcPr>
            <w:tcW w:w="1919" w:type="pct"/>
            <w:tcBorders>
              <w:top w:val="dotted" w:sz="4" w:space="0" w:color="auto"/>
              <w:left w:val="double" w:sz="4" w:space="0" w:color="auto"/>
              <w:bottom w:val="dotted" w:sz="4" w:space="0" w:color="auto"/>
              <w:right w:val="dotted" w:sz="4" w:space="0" w:color="auto"/>
            </w:tcBorders>
          </w:tcPr>
          <w:p w14:paraId="437104DF"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18b. Transfertat sociale përveç në natyrë</w:t>
            </w:r>
          </w:p>
        </w:tc>
        <w:tc>
          <w:tcPr>
            <w:tcW w:w="571" w:type="pct"/>
            <w:tcBorders>
              <w:top w:val="dotted" w:sz="4" w:space="0" w:color="auto"/>
              <w:left w:val="dotted" w:sz="4" w:space="0" w:color="auto"/>
              <w:bottom w:val="dotted" w:sz="4" w:space="0" w:color="auto"/>
              <w:right w:val="single" w:sz="6" w:space="0" w:color="000000"/>
            </w:tcBorders>
            <w:vAlign w:val="center"/>
          </w:tcPr>
          <w:p w14:paraId="61D4C3F0"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D62</w:t>
            </w:r>
          </w:p>
        </w:tc>
        <w:tc>
          <w:tcPr>
            <w:tcW w:w="501" w:type="pct"/>
            <w:tcBorders>
              <w:top w:val="dotted" w:sz="4" w:space="0" w:color="auto"/>
              <w:left w:val="single" w:sz="6" w:space="0" w:color="000000"/>
              <w:bottom w:val="dotted" w:sz="4" w:space="0" w:color="auto"/>
              <w:right w:val="single" w:sz="4" w:space="0" w:color="auto"/>
            </w:tcBorders>
            <w:vAlign w:val="center"/>
          </w:tcPr>
          <w:p w14:paraId="3A6DC1BA"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257.74</w:t>
            </w:r>
          </w:p>
        </w:tc>
        <w:tc>
          <w:tcPr>
            <w:tcW w:w="501" w:type="pct"/>
            <w:tcBorders>
              <w:top w:val="dotted" w:sz="4" w:space="0" w:color="auto"/>
              <w:left w:val="single" w:sz="4" w:space="0" w:color="auto"/>
              <w:bottom w:val="dotted" w:sz="4" w:space="0" w:color="auto"/>
              <w:right w:val="dotted" w:sz="4" w:space="0" w:color="auto"/>
            </w:tcBorders>
            <w:vAlign w:val="center"/>
          </w:tcPr>
          <w:p w14:paraId="1FADD9DC"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282.36</w:t>
            </w:r>
          </w:p>
        </w:tc>
        <w:tc>
          <w:tcPr>
            <w:tcW w:w="502" w:type="pct"/>
            <w:tcBorders>
              <w:top w:val="dotted" w:sz="4" w:space="0" w:color="auto"/>
              <w:left w:val="dotted" w:sz="4" w:space="0" w:color="auto"/>
              <w:bottom w:val="dotted" w:sz="4" w:space="0" w:color="auto"/>
              <w:right w:val="dotted" w:sz="4" w:space="0" w:color="auto"/>
            </w:tcBorders>
            <w:vAlign w:val="center"/>
          </w:tcPr>
          <w:p w14:paraId="6B8B85DD"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291.99</w:t>
            </w:r>
          </w:p>
        </w:tc>
        <w:tc>
          <w:tcPr>
            <w:tcW w:w="501" w:type="pct"/>
            <w:tcBorders>
              <w:top w:val="dotted" w:sz="4" w:space="0" w:color="auto"/>
              <w:left w:val="dotted" w:sz="4" w:space="0" w:color="auto"/>
              <w:bottom w:val="dotted" w:sz="4" w:space="0" w:color="auto"/>
              <w:right w:val="dotted" w:sz="4" w:space="0" w:color="auto"/>
            </w:tcBorders>
            <w:vAlign w:val="center"/>
          </w:tcPr>
          <w:p w14:paraId="629B7149"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303.44</w:t>
            </w:r>
          </w:p>
        </w:tc>
        <w:tc>
          <w:tcPr>
            <w:tcW w:w="504" w:type="pct"/>
            <w:tcBorders>
              <w:top w:val="dotted" w:sz="4" w:space="0" w:color="auto"/>
              <w:left w:val="dotted" w:sz="4" w:space="0" w:color="auto"/>
              <w:bottom w:val="dotted" w:sz="4" w:space="0" w:color="auto"/>
              <w:right w:val="double" w:sz="4" w:space="0" w:color="auto"/>
            </w:tcBorders>
            <w:vAlign w:val="center"/>
          </w:tcPr>
          <w:p w14:paraId="0055DD0F"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322.59</w:t>
            </w:r>
          </w:p>
        </w:tc>
      </w:tr>
      <w:tr w:rsidR="00C50585" w:rsidRPr="00EE038F" w14:paraId="01C0AE8B" w14:textId="77777777" w:rsidTr="00066DFC">
        <w:trPr>
          <w:trHeight w:val="20"/>
          <w:jc w:val="center"/>
        </w:trPr>
        <w:tc>
          <w:tcPr>
            <w:tcW w:w="1919" w:type="pct"/>
            <w:tcBorders>
              <w:top w:val="dotted" w:sz="4" w:space="0" w:color="auto"/>
              <w:left w:val="double" w:sz="4" w:space="0" w:color="auto"/>
              <w:bottom w:val="dotted" w:sz="4" w:space="0" w:color="auto"/>
              <w:right w:val="dotted" w:sz="4" w:space="0" w:color="auto"/>
            </w:tcBorders>
          </w:tcPr>
          <w:p w14:paraId="2FC4FFCD" w14:textId="77777777" w:rsidR="00C50585" w:rsidRPr="00EE038F" w:rsidRDefault="00C50585" w:rsidP="007C70E7">
            <w:pPr>
              <w:keepNext/>
              <w:spacing w:after="0" w:line="240" w:lineRule="auto"/>
              <w:contextualSpacing/>
              <w:jc w:val="both"/>
              <w:rPr>
                <w:rFonts w:ascii="Garamond" w:hAnsi="Garamond"/>
                <w:sz w:val="20"/>
                <w:szCs w:val="20"/>
              </w:rPr>
            </w:pPr>
            <w:r w:rsidRPr="002018EB">
              <w:rPr>
                <w:rFonts w:ascii="Garamond" w:hAnsi="Garamond"/>
                <w:sz w:val="20"/>
                <w:szCs w:val="20"/>
              </w:rPr>
              <w:t>19 = 9.</w:t>
            </w:r>
            <w:r w:rsidRPr="00EE038F">
              <w:rPr>
                <w:rFonts w:ascii="Garamond" w:hAnsi="Garamond"/>
                <w:sz w:val="20"/>
                <w:szCs w:val="20"/>
              </w:rPr>
              <w:t xml:space="preserve"> Shpenzimet e interesit (përfshirë FISIM)</w:t>
            </w:r>
          </w:p>
        </w:tc>
        <w:tc>
          <w:tcPr>
            <w:tcW w:w="571" w:type="pct"/>
            <w:tcBorders>
              <w:top w:val="dotted" w:sz="4" w:space="0" w:color="auto"/>
              <w:left w:val="dotted" w:sz="4" w:space="0" w:color="auto"/>
              <w:bottom w:val="dotted" w:sz="4" w:space="0" w:color="auto"/>
              <w:right w:val="single" w:sz="6" w:space="0" w:color="000000"/>
            </w:tcBorders>
            <w:vAlign w:val="center"/>
          </w:tcPr>
          <w:p w14:paraId="33962E45"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EDP.D41</w:t>
            </w:r>
          </w:p>
        </w:tc>
        <w:tc>
          <w:tcPr>
            <w:tcW w:w="501" w:type="pct"/>
            <w:tcBorders>
              <w:top w:val="dotted" w:sz="4" w:space="0" w:color="auto"/>
              <w:left w:val="single" w:sz="6" w:space="0" w:color="000000"/>
              <w:bottom w:val="dotted" w:sz="4" w:space="0" w:color="auto"/>
              <w:right w:val="single" w:sz="4" w:space="0" w:color="auto"/>
            </w:tcBorders>
            <w:vAlign w:val="center"/>
          </w:tcPr>
          <w:p w14:paraId="2379DBE5"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47.59</w:t>
            </w:r>
          </w:p>
        </w:tc>
        <w:tc>
          <w:tcPr>
            <w:tcW w:w="501" w:type="pct"/>
            <w:tcBorders>
              <w:top w:val="dotted" w:sz="4" w:space="0" w:color="auto"/>
              <w:left w:val="single" w:sz="4" w:space="0" w:color="auto"/>
              <w:bottom w:val="dotted" w:sz="4" w:space="0" w:color="auto"/>
              <w:right w:val="dotted" w:sz="4" w:space="0" w:color="auto"/>
            </w:tcBorders>
            <w:vAlign w:val="center"/>
          </w:tcPr>
          <w:p w14:paraId="14F596F8"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54.91</w:t>
            </w:r>
          </w:p>
        </w:tc>
        <w:tc>
          <w:tcPr>
            <w:tcW w:w="502" w:type="pct"/>
            <w:tcBorders>
              <w:top w:val="dotted" w:sz="4" w:space="0" w:color="auto"/>
              <w:left w:val="dotted" w:sz="4" w:space="0" w:color="auto"/>
              <w:bottom w:val="dotted" w:sz="4" w:space="0" w:color="auto"/>
              <w:right w:val="dotted" w:sz="4" w:space="0" w:color="auto"/>
            </w:tcBorders>
            <w:vAlign w:val="center"/>
          </w:tcPr>
          <w:p w14:paraId="2CAD531B"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68.55</w:t>
            </w:r>
          </w:p>
        </w:tc>
        <w:tc>
          <w:tcPr>
            <w:tcW w:w="501" w:type="pct"/>
            <w:tcBorders>
              <w:top w:val="dotted" w:sz="4" w:space="0" w:color="auto"/>
              <w:left w:val="dotted" w:sz="4" w:space="0" w:color="auto"/>
              <w:bottom w:val="dotted" w:sz="4" w:space="0" w:color="auto"/>
              <w:right w:val="dotted" w:sz="4" w:space="0" w:color="auto"/>
            </w:tcBorders>
            <w:vAlign w:val="center"/>
          </w:tcPr>
          <w:p w14:paraId="1059F054"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70.15</w:t>
            </w:r>
          </w:p>
        </w:tc>
        <w:tc>
          <w:tcPr>
            <w:tcW w:w="504" w:type="pct"/>
            <w:tcBorders>
              <w:top w:val="dotted" w:sz="4" w:space="0" w:color="auto"/>
              <w:left w:val="dotted" w:sz="4" w:space="0" w:color="auto"/>
              <w:bottom w:val="dotted" w:sz="4" w:space="0" w:color="auto"/>
              <w:right w:val="double" w:sz="4" w:space="0" w:color="auto"/>
            </w:tcBorders>
            <w:vAlign w:val="center"/>
          </w:tcPr>
          <w:p w14:paraId="65657EDC"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71.55</w:t>
            </w:r>
          </w:p>
        </w:tc>
      </w:tr>
      <w:tr w:rsidR="00C50585" w:rsidRPr="00EE038F" w14:paraId="2F8D7D49" w14:textId="77777777" w:rsidTr="00066DFC">
        <w:trPr>
          <w:trHeight w:val="20"/>
          <w:jc w:val="center"/>
        </w:trPr>
        <w:tc>
          <w:tcPr>
            <w:tcW w:w="1919" w:type="pct"/>
            <w:tcBorders>
              <w:top w:val="dotted" w:sz="4" w:space="0" w:color="auto"/>
              <w:left w:val="double" w:sz="4" w:space="0" w:color="auto"/>
              <w:bottom w:val="dotted" w:sz="4" w:space="0" w:color="auto"/>
              <w:right w:val="dotted" w:sz="4" w:space="0" w:color="auto"/>
            </w:tcBorders>
          </w:tcPr>
          <w:p w14:paraId="57F4BE32"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20. Subvencionet</w:t>
            </w:r>
          </w:p>
        </w:tc>
        <w:tc>
          <w:tcPr>
            <w:tcW w:w="571" w:type="pct"/>
            <w:tcBorders>
              <w:top w:val="dotted" w:sz="4" w:space="0" w:color="auto"/>
              <w:left w:val="dotted" w:sz="4" w:space="0" w:color="auto"/>
              <w:bottom w:val="dotted" w:sz="4" w:space="0" w:color="auto"/>
              <w:right w:val="single" w:sz="6" w:space="0" w:color="000000"/>
            </w:tcBorders>
            <w:vAlign w:val="center"/>
          </w:tcPr>
          <w:p w14:paraId="63316ABE"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D3</w:t>
            </w:r>
          </w:p>
        </w:tc>
        <w:tc>
          <w:tcPr>
            <w:tcW w:w="501" w:type="pct"/>
            <w:tcBorders>
              <w:top w:val="dotted" w:sz="4" w:space="0" w:color="auto"/>
              <w:left w:val="single" w:sz="6" w:space="0" w:color="000000"/>
              <w:bottom w:val="dotted" w:sz="4" w:space="0" w:color="auto"/>
              <w:right w:val="single" w:sz="4" w:space="0" w:color="auto"/>
            </w:tcBorders>
            <w:vAlign w:val="center"/>
          </w:tcPr>
          <w:p w14:paraId="79D8DF0D"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1.91</w:t>
            </w:r>
          </w:p>
        </w:tc>
        <w:tc>
          <w:tcPr>
            <w:tcW w:w="501" w:type="pct"/>
            <w:tcBorders>
              <w:top w:val="dotted" w:sz="4" w:space="0" w:color="auto"/>
              <w:left w:val="single" w:sz="4" w:space="0" w:color="auto"/>
              <w:bottom w:val="dotted" w:sz="4" w:space="0" w:color="auto"/>
              <w:right w:val="dotted" w:sz="4" w:space="0" w:color="auto"/>
            </w:tcBorders>
            <w:vAlign w:val="center"/>
          </w:tcPr>
          <w:p w14:paraId="0FF1E25F"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1.67</w:t>
            </w:r>
          </w:p>
        </w:tc>
        <w:tc>
          <w:tcPr>
            <w:tcW w:w="502" w:type="pct"/>
            <w:tcBorders>
              <w:top w:val="dotted" w:sz="4" w:space="0" w:color="auto"/>
              <w:left w:val="dotted" w:sz="4" w:space="0" w:color="auto"/>
              <w:bottom w:val="dotted" w:sz="4" w:space="0" w:color="auto"/>
              <w:right w:val="dotted" w:sz="4" w:space="0" w:color="auto"/>
            </w:tcBorders>
            <w:vAlign w:val="center"/>
          </w:tcPr>
          <w:p w14:paraId="4D8618AC"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1.95</w:t>
            </w:r>
          </w:p>
        </w:tc>
        <w:tc>
          <w:tcPr>
            <w:tcW w:w="501" w:type="pct"/>
            <w:tcBorders>
              <w:top w:val="dotted" w:sz="4" w:space="0" w:color="auto"/>
              <w:left w:val="dotted" w:sz="4" w:space="0" w:color="auto"/>
              <w:bottom w:val="dotted" w:sz="4" w:space="0" w:color="auto"/>
              <w:right w:val="dotted" w:sz="4" w:space="0" w:color="auto"/>
            </w:tcBorders>
            <w:vAlign w:val="center"/>
          </w:tcPr>
          <w:p w14:paraId="2C6D673C"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1.95</w:t>
            </w:r>
          </w:p>
        </w:tc>
        <w:tc>
          <w:tcPr>
            <w:tcW w:w="504" w:type="pct"/>
            <w:tcBorders>
              <w:top w:val="dotted" w:sz="4" w:space="0" w:color="auto"/>
              <w:left w:val="dotted" w:sz="4" w:space="0" w:color="auto"/>
              <w:bottom w:val="dotted" w:sz="4" w:space="0" w:color="auto"/>
              <w:right w:val="double" w:sz="4" w:space="0" w:color="auto"/>
            </w:tcBorders>
            <w:vAlign w:val="center"/>
          </w:tcPr>
          <w:p w14:paraId="7C1E4016"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1.95</w:t>
            </w:r>
          </w:p>
        </w:tc>
      </w:tr>
      <w:tr w:rsidR="00C50585" w:rsidRPr="00EE038F" w14:paraId="1F857E1B" w14:textId="77777777" w:rsidTr="00066DFC">
        <w:trPr>
          <w:trHeight w:val="20"/>
          <w:jc w:val="center"/>
        </w:trPr>
        <w:tc>
          <w:tcPr>
            <w:tcW w:w="1919" w:type="pct"/>
            <w:tcBorders>
              <w:top w:val="dotted" w:sz="4" w:space="0" w:color="auto"/>
              <w:left w:val="double" w:sz="4" w:space="0" w:color="auto"/>
              <w:bottom w:val="dotted" w:sz="4" w:space="0" w:color="auto"/>
              <w:right w:val="dotted" w:sz="4" w:space="0" w:color="auto"/>
            </w:tcBorders>
          </w:tcPr>
          <w:p w14:paraId="620C2592"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21. Formimi i kapitalit fiks bruto</w:t>
            </w:r>
          </w:p>
        </w:tc>
        <w:tc>
          <w:tcPr>
            <w:tcW w:w="571" w:type="pct"/>
            <w:tcBorders>
              <w:top w:val="dotted" w:sz="4" w:space="0" w:color="auto"/>
              <w:left w:val="dotted" w:sz="4" w:space="0" w:color="auto"/>
              <w:bottom w:val="dotted" w:sz="4" w:space="0" w:color="auto"/>
              <w:right w:val="single" w:sz="6" w:space="0" w:color="000000"/>
            </w:tcBorders>
            <w:vAlign w:val="center"/>
          </w:tcPr>
          <w:p w14:paraId="070A39E5"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P51</w:t>
            </w:r>
          </w:p>
        </w:tc>
        <w:tc>
          <w:tcPr>
            <w:tcW w:w="501" w:type="pct"/>
            <w:tcBorders>
              <w:top w:val="dotted" w:sz="4" w:space="0" w:color="auto"/>
              <w:left w:val="single" w:sz="6" w:space="0" w:color="000000"/>
              <w:bottom w:val="dotted" w:sz="4" w:space="0" w:color="auto"/>
              <w:right w:val="single" w:sz="4" w:space="0" w:color="auto"/>
            </w:tcBorders>
            <w:vAlign w:val="center"/>
          </w:tcPr>
          <w:p w14:paraId="2E5BB03A"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141.82</w:t>
            </w:r>
          </w:p>
        </w:tc>
        <w:tc>
          <w:tcPr>
            <w:tcW w:w="501" w:type="pct"/>
            <w:tcBorders>
              <w:top w:val="dotted" w:sz="4" w:space="0" w:color="auto"/>
              <w:left w:val="single" w:sz="4" w:space="0" w:color="auto"/>
              <w:bottom w:val="dotted" w:sz="4" w:space="0" w:color="auto"/>
              <w:right w:val="dotted" w:sz="4" w:space="0" w:color="auto"/>
            </w:tcBorders>
            <w:vAlign w:val="center"/>
          </w:tcPr>
          <w:p w14:paraId="0E847717"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153.09</w:t>
            </w:r>
          </w:p>
        </w:tc>
        <w:tc>
          <w:tcPr>
            <w:tcW w:w="502" w:type="pct"/>
            <w:tcBorders>
              <w:top w:val="dotted" w:sz="4" w:space="0" w:color="auto"/>
              <w:left w:val="dotted" w:sz="4" w:space="0" w:color="auto"/>
              <w:bottom w:val="dotted" w:sz="4" w:space="0" w:color="auto"/>
              <w:right w:val="dotted" w:sz="4" w:space="0" w:color="auto"/>
            </w:tcBorders>
            <w:vAlign w:val="center"/>
          </w:tcPr>
          <w:p w14:paraId="0AD974EA"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192.11</w:t>
            </w:r>
          </w:p>
        </w:tc>
        <w:tc>
          <w:tcPr>
            <w:tcW w:w="501" w:type="pct"/>
            <w:tcBorders>
              <w:top w:val="dotted" w:sz="4" w:space="0" w:color="auto"/>
              <w:left w:val="dotted" w:sz="4" w:space="0" w:color="auto"/>
              <w:bottom w:val="dotted" w:sz="4" w:space="0" w:color="auto"/>
              <w:right w:val="dotted" w:sz="4" w:space="0" w:color="auto"/>
            </w:tcBorders>
            <w:vAlign w:val="center"/>
          </w:tcPr>
          <w:p w14:paraId="5366FA64"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198.85</w:t>
            </w:r>
          </w:p>
        </w:tc>
        <w:tc>
          <w:tcPr>
            <w:tcW w:w="504" w:type="pct"/>
            <w:tcBorders>
              <w:top w:val="dotted" w:sz="4" w:space="0" w:color="auto"/>
              <w:left w:val="dotted" w:sz="4" w:space="0" w:color="auto"/>
              <w:bottom w:val="dotted" w:sz="4" w:space="0" w:color="auto"/>
              <w:right w:val="double" w:sz="4" w:space="0" w:color="auto"/>
            </w:tcBorders>
            <w:vAlign w:val="center"/>
          </w:tcPr>
          <w:p w14:paraId="30A0AFD0"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208.80</w:t>
            </w:r>
          </w:p>
        </w:tc>
      </w:tr>
      <w:tr w:rsidR="00C50585" w:rsidRPr="00EE038F" w14:paraId="755CDC0D" w14:textId="77777777" w:rsidTr="00066DFC">
        <w:trPr>
          <w:trHeight w:val="20"/>
          <w:jc w:val="center"/>
        </w:trPr>
        <w:tc>
          <w:tcPr>
            <w:tcW w:w="1919" w:type="pct"/>
            <w:tcBorders>
              <w:top w:val="dotted" w:sz="4" w:space="0" w:color="auto"/>
              <w:left w:val="double" w:sz="4" w:space="0" w:color="auto"/>
              <w:bottom w:val="dotted" w:sz="4" w:space="0" w:color="auto"/>
              <w:right w:val="dotted" w:sz="4" w:space="0" w:color="auto"/>
            </w:tcBorders>
          </w:tcPr>
          <w:p w14:paraId="5F43867B"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22. Të tjera (22 = 23-(17+18+19+20+21))</w:t>
            </w:r>
            <w:r w:rsidRPr="00EE038F">
              <w:rPr>
                <w:rStyle w:val="FootnoteReference"/>
                <w:rFonts w:ascii="Garamond" w:hAnsi="Garamond"/>
                <w:sz w:val="20"/>
                <w:szCs w:val="20"/>
              </w:rPr>
              <w:footnoteReference w:id="32"/>
            </w:r>
          </w:p>
        </w:tc>
        <w:tc>
          <w:tcPr>
            <w:tcW w:w="571" w:type="pct"/>
            <w:tcBorders>
              <w:top w:val="dotted" w:sz="4" w:space="0" w:color="auto"/>
              <w:left w:val="dotted" w:sz="4" w:space="0" w:color="auto"/>
              <w:bottom w:val="dotted" w:sz="4" w:space="0" w:color="auto"/>
              <w:right w:val="single" w:sz="6" w:space="0" w:color="000000"/>
            </w:tcBorders>
            <w:vAlign w:val="center"/>
          </w:tcPr>
          <w:p w14:paraId="3C8B111F" w14:textId="77777777" w:rsidR="00C50585" w:rsidRPr="00EE038F" w:rsidRDefault="00C50585" w:rsidP="007C70E7">
            <w:pPr>
              <w:keepNext/>
              <w:spacing w:after="0" w:line="240" w:lineRule="auto"/>
              <w:contextualSpacing/>
              <w:jc w:val="both"/>
              <w:rPr>
                <w:rFonts w:ascii="Garamond" w:hAnsi="Garamond"/>
                <w:sz w:val="20"/>
                <w:szCs w:val="20"/>
              </w:rPr>
            </w:pPr>
          </w:p>
        </w:tc>
        <w:tc>
          <w:tcPr>
            <w:tcW w:w="501" w:type="pct"/>
            <w:tcBorders>
              <w:top w:val="dotted" w:sz="4" w:space="0" w:color="auto"/>
              <w:left w:val="single" w:sz="6" w:space="0" w:color="000000"/>
              <w:bottom w:val="dotted" w:sz="4" w:space="0" w:color="auto"/>
              <w:right w:val="single" w:sz="4" w:space="0" w:color="auto"/>
            </w:tcBorders>
            <w:vAlign w:val="center"/>
          </w:tcPr>
          <w:p w14:paraId="3E1CB671"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25.54</w:t>
            </w:r>
          </w:p>
        </w:tc>
        <w:tc>
          <w:tcPr>
            <w:tcW w:w="501" w:type="pct"/>
            <w:tcBorders>
              <w:top w:val="dotted" w:sz="4" w:space="0" w:color="auto"/>
              <w:left w:val="single" w:sz="4" w:space="0" w:color="auto"/>
              <w:bottom w:val="dotted" w:sz="4" w:space="0" w:color="auto"/>
              <w:right w:val="dotted" w:sz="4" w:space="0" w:color="auto"/>
            </w:tcBorders>
            <w:vAlign w:val="center"/>
          </w:tcPr>
          <w:p w14:paraId="6E8FE145"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25.92</w:t>
            </w:r>
          </w:p>
        </w:tc>
        <w:tc>
          <w:tcPr>
            <w:tcW w:w="502" w:type="pct"/>
            <w:tcBorders>
              <w:top w:val="dotted" w:sz="4" w:space="0" w:color="auto"/>
              <w:left w:val="dotted" w:sz="4" w:space="0" w:color="auto"/>
              <w:bottom w:val="dotted" w:sz="4" w:space="0" w:color="auto"/>
              <w:right w:val="dotted" w:sz="4" w:space="0" w:color="auto"/>
            </w:tcBorders>
            <w:vAlign w:val="center"/>
          </w:tcPr>
          <w:p w14:paraId="20C1F434"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27.23</w:t>
            </w:r>
          </w:p>
        </w:tc>
        <w:tc>
          <w:tcPr>
            <w:tcW w:w="501" w:type="pct"/>
            <w:tcBorders>
              <w:top w:val="dotted" w:sz="4" w:space="0" w:color="auto"/>
              <w:left w:val="dotted" w:sz="4" w:space="0" w:color="auto"/>
              <w:bottom w:val="dotted" w:sz="4" w:space="0" w:color="auto"/>
              <w:right w:val="dotted" w:sz="4" w:space="0" w:color="auto"/>
            </w:tcBorders>
            <w:vAlign w:val="center"/>
          </w:tcPr>
          <w:p w14:paraId="4BC2242A"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23.77</w:t>
            </w:r>
          </w:p>
        </w:tc>
        <w:tc>
          <w:tcPr>
            <w:tcW w:w="504" w:type="pct"/>
            <w:tcBorders>
              <w:top w:val="dotted" w:sz="4" w:space="0" w:color="auto"/>
              <w:left w:val="dotted" w:sz="4" w:space="0" w:color="auto"/>
              <w:bottom w:val="dotted" w:sz="4" w:space="0" w:color="auto"/>
              <w:right w:val="double" w:sz="4" w:space="0" w:color="auto"/>
            </w:tcBorders>
            <w:vAlign w:val="center"/>
          </w:tcPr>
          <w:p w14:paraId="71F23EB7"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29.43</w:t>
            </w:r>
          </w:p>
        </w:tc>
      </w:tr>
      <w:tr w:rsidR="00C50585" w:rsidRPr="00EE038F" w14:paraId="734E7DDC" w14:textId="77777777" w:rsidTr="00066DFC">
        <w:trPr>
          <w:trHeight w:val="20"/>
          <w:jc w:val="center"/>
        </w:trPr>
        <w:tc>
          <w:tcPr>
            <w:tcW w:w="1919" w:type="pct"/>
            <w:tcBorders>
              <w:top w:val="dotted" w:sz="4" w:space="0" w:color="auto"/>
              <w:left w:val="double" w:sz="4" w:space="0" w:color="auto"/>
              <w:bottom w:val="dotted" w:sz="4" w:space="0" w:color="auto"/>
              <w:right w:val="dotted" w:sz="4" w:space="0" w:color="auto"/>
            </w:tcBorders>
          </w:tcPr>
          <w:p w14:paraId="0672DC62"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23. Shpenzimet totale</w:t>
            </w:r>
          </w:p>
        </w:tc>
        <w:tc>
          <w:tcPr>
            <w:tcW w:w="571" w:type="pct"/>
            <w:tcBorders>
              <w:top w:val="dotted" w:sz="4" w:space="0" w:color="auto"/>
              <w:left w:val="dotted" w:sz="4" w:space="0" w:color="auto"/>
              <w:bottom w:val="dotted" w:sz="4" w:space="0" w:color="auto"/>
              <w:right w:val="single" w:sz="6" w:space="0" w:color="000000"/>
            </w:tcBorders>
            <w:vAlign w:val="center"/>
          </w:tcPr>
          <w:p w14:paraId="7F7D403D" w14:textId="77777777" w:rsidR="00C50585" w:rsidRPr="00EE038F" w:rsidRDefault="00C50585" w:rsidP="007C70E7">
            <w:pPr>
              <w:keepNext/>
              <w:spacing w:after="0" w:line="240" w:lineRule="auto"/>
              <w:contextualSpacing/>
              <w:jc w:val="both"/>
              <w:rPr>
                <w:rFonts w:ascii="Garamond" w:hAnsi="Garamond"/>
                <w:sz w:val="20"/>
                <w:szCs w:val="20"/>
              </w:rPr>
            </w:pPr>
            <w:r w:rsidRPr="00EE038F">
              <w:rPr>
                <w:rFonts w:ascii="Garamond" w:hAnsi="Garamond"/>
                <w:sz w:val="20"/>
                <w:szCs w:val="20"/>
              </w:rPr>
              <w:t>TE</w:t>
            </w:r>
            <w:r w:rsidRPr="00EE038F">
              <w:rPr>
                <w:rStyle w:val="FootnoteReference"/>
                <w:rFonts w:ascii="Garamond" w:hAnsi="Garamond"/>
                <w:sz w:val="20"/>
                <w:szCs w:val="20"/>
              </w:rPr>
              <w:footnoteReference w:id="33"/>
            </w:r>
          </w:p>
        </w:tc>
        <w:tc>
          <w:tcPr>
            <w:tcW w:w="501" w:type="pct"/>
            <w:tcBorders>
              <w:top w:val="dotted" w:sz="4" w:space="0" w:color="auto"/>
              <w:left w:val="single" w:sz="6" w:space="0" w:color="000000"/>
              <w:bottom w:val="dotted" w:sz="4" w:space="0" w:color="auto"/>
              <w:right w:val="single" w:sz="4" w:space="0" w:color="auto"/>
            </w:tcBorders>
            <w:vAlign w:val="center"/>
          </w:tcPr>
          <w:p w14:paraId="03165D8C"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674.86</w:t>
            </w:r>
          </w:p>
        </w:tc>
        <w:tc>
          <w:tcPr>
            <w:tcW w:w="501" w:type="pct"/>
            <w:tcBorders>
              <w:top w:val="dotted" w:sz="4" w:space="0" w:color="auto"/>
              <w:left w:val="single" w:sz="4" w:space="0" w:color="auto"/>
              <w:bottom w:val="dotted" w:sz="4" w:space="0" w:color="auto"/>
              <w:right w:val="dotted" w:sz="4" w:space="0" w:color="auto"/>
            </w:tcBorders>
            <w:vAlign w:val="center"/>
          </w:tcPr>
          <w:p w14:paraId="0C0F813B"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751.95</w:t>
            </w:r>
          </w:p>
        </w:tc>
        <w:tc>
          <w:tcPr>
            <w:tcW w:w="502" w:type="pct"/>
            <w:tcBorders>
              <w:top w:val="dotted" w:sz="4" w:space="0" w:color="auto"/>
              <w:left w:val="dotted" w:sz="4" w:space="0" w:color="auto"/>
              <w:bottom w:val="dotted" w:sz="4" w:space="0" w:color="auto"/>
              <w:right w:val="dotted" w:sz="4" w:space="0" w:color="auto"/>
            </w:tcBorders>
            <w:vAlign w:val="center"/>
          </w:tcPr>
          <w:p w14:paraId="49DD5ED8"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825.09</w:t>
            </w:r>
          </w:p>
        </w:tc>
        <w:tc>
          <w:tcPr>
            <w:tcW w:w="501" w:type="pct"/>
            <w:tcBorders>
              <w:top w:val="dotted" w:sz="4" w:space="0" w:color="auto"/>
              <w:left w:val="dotted" w:sz="4" w:space="0" w:color="auto"/>
              <w:bottom w:val="dotted" w:sz="4" w:space="0" w:color="auto"/>
              <w:right w:val="dotted" w:sz="4" w:space="0" w:color="auto"/>
            </w:tcBorders>
            <w:vAlign w:val="center"/>
          </w:tcPr>
          <w:p w14:paraId="4C8C6DF5"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849.80</w:t>
            </w:r>
          </w:p>
        </w:tc>
        <w:tc>
          <w:tcPr>
            <w:tcW w:w="504" w:type="pct"/>
            <w:tcBorders>
              <w:top w:val="dotted" w:sz="4" w:space="0" w:color="auto"/>
              <w:left w:val="dotted" w:sz="4" w:space="0" w:color="auto"/>
              <w:bottom w:val="dotted" w:sz="4" w:space="0" w:color="auto"/>
              <w:right w:val="double" w:sz="4" w:space="0" w:color="auto"/>
            </w:tcBorders>
            <w:vAlign w:val="center"/>
          </w:tcPr>
          <w:p w14:paraId="42633755" w14:textId="77777777" w:rsidR="00C50585" w:rsidRPr="00EE038F" w:rsidRDefault="00C50585" w:rsidP="00280C20">
            <w:pPr>
              <w:keepNext/>
              <w:spacing w:after="0" w:line="240" w:lineRule="auto"/>
              <w:contextualSpacing/>
              <w:jc w:val="right"/>
              <w:rPr>
                <w:rFonts w:ascii="Garamond" w:hAnsi="Garamond"/>
                <w:sz w:val="20"/>
                <w:szCs w:val="20"/>
              </w:rPr>
            </w:pPr>
            <w:r w:rsidRPr="00EE038F">
              <w:rPr>
                <w:rFonts w:ascii="Garamond" w:hAnsi="Garamond"/>
                <w:sz w:val="20"/>
                <w:szCs w:val="20"/>
              </w:rPr>
              <w:t>893.34</w:t>
            </w:r>
          </w:p>
        </w:tc>
      </w:tr>
      <w:tr w:rsidR="00C50585" w:rsidRPr="00EE038F" w14:paraId="714A88DF" w14:textId="77777777" w:rsidTr="00066DFC">
        <w:trPr>
          <w:trHeight w:val="20"/>
          <w:jc w:val="center"/>
        </w:trPr>
        <w:tc>
          <w:tcPr>
            <w:tcW w:w="1919" w:type="pct"/>
            <w:tcBorders>
              <w:top w:val="dotted" w:sz="4" w:space="0" w:color="auto"/>
              <w:left w:val="double" w:sz="4" w:space="0" w:color="auto"/>
              <w:bottom w:val="double" w:sz="4" w:space="0" w:color="auto"/>
              <w:right w:val="dotted" w:sz="4" w:space="0" w:color="auto"/>
            </w:tcBorders>
          </w:tcPr>
          <w:p w14:paraId="253F53CA" w14:textId="77777777" w:rsidR="00C50585" w:rsidRPr="00EE038F" w:rsidRDefault="00C50585" w:rsidP="00F42CD5">
            <w:pPr>
              <w:spacing w:after="0" w:line="240" w:lineRule="auto"/>
              <w:ind w:firstLine="19"/>
              <w:contextualSpacing/>
              <w:jc w:val="both"/>
              <w:rPr>
                <w:rFonts w:ascii="Garamond" w:hAnsi="Garamond"/>
                <w:sz w:val="20"/>
                <w:szCs w:val="20"/>
              </w:rPr>
            </w:pPr>
            <w:r w:rsidRPr="00EE038F">
              <w:rPr>
                <w:rFonts w:ascii="Garamond" w:hAnsi="Garamond"/>
                <w:sz w:val="20"/>
                <w:szCs w:val="20"/>
              </w:rPr>
              <w:t>p.m.kompensimi i punonjësve</w:t>
            </w:r>
          </w:p>
        </w:tc>
        <w:tc>
          <w:tcPr>
            <w:tcW w:w="571" w:type="pct"/>
            <w:tcBorders>
              <w:top w:val="dotted" w:sz="4" w:space="0" w:color="auto"/>
              <w:left w:val="dotted" w:sz="4" w:space="0" w:color="auto"/>
              <w:bottom w:val="double" w:sz="4" w:space="0" w:color="auto"/>
              <w:right w:val="single" w:sz="6" w:space="0" w:color="000000"/>
            </w:tcBorders>
            <w:vAlign w:val="center"/>
          </w:tcPr>
          <w:p w14:paraId="097E3165" w14:textId="77777777" w:rsidR="00C50585" w:rsidRPr="00EE038F" w:rsidRDefault="00C50585" w:rsidP="007C70E7">
            <w:pPr>
              <w:spacing w:after="0" w:line="240" w:lineRule="auto"/>
              <w:contextualSpacing/>
              <w:jc w:val="both"/>
              <w:rPr>
                <w:rFonts w:ascii="Garamond" w:hAnsi="Garamond"/>
                <w:sz w:val="20"/>
                <w:szCs w:val="20"/>
              </w:rPr>
            </w:pPr>
            <w:r w:rsidRPr="00EE038F">
              <w:rPr>
                <w:rFonts w:ascii="Garamond" w:hAnsi="Garamond"/>
                <w:sz w:val="20"/>
                <w:szCs w:val="20"/>
              </w:rPr>
              <w:t>D1</w:t>
            </w:r>
          </w:p>
        </w:tc>
        <w:tc>
          <w:tcPr>
            <w:tcW w:w="501" w:type="pct"/>
            <w:tcBorders>
              <w:top w:val="dotted" w:sz="4" w:space="0" w:color="auto"/>
              <w:left w:val="single" w:sz="6" w:space="0" w:color="000000"/>
              <w:bottom w:val="double" w:sz="4" w:space="0" w:color="auto"/>
              <w:right w:val="single" w:sz="4" w:space="0" w:color="auto"/>
            </w:tcBorders>
            <w:vAlign w:val="center"/>
          </w:tcPr>
          <w:p w14:paraId="4939AE55" w14:textId="77777777" w:rsidR="00C50585" w:rsidRPr="00EE038F" w:rsidRDefault="00C50585" w:rsidP="00280C20">
            <w:pPr>
              <w:spacing w:after="0" w:line="240" w:lineRule="auto"/>
              <w:contextualSpacing/>
              <w:jc w:val="right"/>
              <w:rPr>
                <w:rFonts w:ascii="Garamond" w:hAnsi="Garamond"/>
                <w:sz w:val="20"/>
                <w:szCs w:val="20"/>
              </w:rPr>
            </w:pPr>
            <w:r w:rsidRPr="00EE038F">
              <w:rPr>
                <w:rFonts w:ascii="Garamond" w:hAnsi="Garamond"/>
                <w:sz w:val="20"/>
                <w:szCs w:val="20"/>
              </w:rPr>
              <w:t>125.17</w:t>
            </w:r>
          </w:p>
        </w:tc>
        <w:tc>
          <w:tcPr>
            <w:tcW w:w="501" w:type="pct"/>
            <w:tcBorders>
              <w:top w:val="dotted" w:sz="4" w:space="0" w:color="auto"/>
              <w:left w:val="single" w:sz="4" w:space="0" w:color="auto"/>
              <w:bottom w:val="double" w:sz="4" w:space="0" w:color="auto"/>
              <w:right w:val="dotted" w:sz="4" w:space="0" w:color="auto"/>
            </w:tcBorders>
            <w:vAlign w:val="center"/>
          </w:tcPr>
          <w:p w14:paraId="44E1C706" w14:textId="77777777" w:rsidR="00C50585" w:rsidRPr="00EE038F" w:rsidRDefault="00C50585" w:rsidP="00280C20">
            <w:pPr>
              <w:spacing w:after="0" w:line="240" w:lineRule="auto"/>
              <w:contextualSpacing/>
              <w:jc w:val="right"/>
              <w:rPr>
                <w:rFonts w:ascii="Garamond" w:hAnsi="Garamond"/>
                <w:sz w:val="20"/>
                <w:szCs w:val="20"/>
              </w:rPr>
            </w:pPr>
            <w:r w:rsidRPr="00EE038F">
              <w:rPr>
                <w:rFonts w:ascii="Garamond" w:hAnsi="Garamond"/>
                <w:sz w:val="20"/>
                <w:szCs w:val="20"/>
              </w:rPr>
              <w:t>143.90</w:t>
            </w:r>
          </w:p>
        </w:tc>
        <w:tc>
          <w:tcPr>
            <w:tcW w:w="502" w:type="pct"/>
            <w:tcBorders>
              <w:top w:val="dotted" w:sz="4" w:space="0" w:color="auto"/>
              <w:left w:val="dotted" w:sz="4" w:space="0" w:color="auto"/>
              <w:bottom w:val="double" w:sz="4" w:space="0" w:color="auto"/>
              <w:right w:val="dotted" w:sz="4" w:space="0" w:color="auto"/>
            </w:tcBorders>
            <w:vAlign w:val="center"/>
          </w:tcPr>
          <w:p w14:paraId="249D0A59" w14:textId="77777777" w:rsidR="00C50585" w:rsidRPr="00EE038F" w:rsidRDefault="00C50585" w:rsidP="00280C20">
            <w:pPr>
              <w:spacing w:after="0" w:line="240" w:lineRule="auto"/>
              <w:contextualSpacing/>
              <w:jc w:val="right"/>
              <w:rPr>
                <w:rFonts w:ascii="Garamond" w:hAnsi="Garamond"/>
                <w:sz w:val="20"/>
                <w:szCs w:val="20"/>
              </w:rPr>
            </w:pPr>
            <w:r w:rsidRPr="00EE038F">
              <w:rPr>
                <w:rFonts w:ascii="Garamond" w:hAnsi="Garamond"/>
                <w:sz w:val="20"/>
                <w:szCs w:val="20"/>
              </w:rPr>
              <w:t>160.08</w:t>
            </w:r>
          </w:p>
        </w:tc>
        <w:tc>
          <w:tcPr>
            <w:tcW w:w="501" w:type="pct"/>
            <w:tcBorders>
              <w:top w:val="dotted" w:sz="4" w:space="0" w:color="auto"/>
              <w:left w:val="dotted" w:sz="4" w:space="0" w:color="auto"/>
              <w:bottom w:val="double" w:sz="4" w:space="0" w:color="auto"/>
              <w:right w:val="dotted" w:sz="4" w:space="0" w:color="auto"/>
            </w:tcBorders>
            <w:vAlign w:val="center"/>
          </w:tcPr>
          <w:p w14:paraId="37A2B1A7" w14:textId="77777777" w:rsidR="00C50585" w:rsidRPr="00EE038F" w:rsidRDefault="00C50585" w:rsidP="00280C20">
            <w:pPr>
              <w:spacing w:after="0" w:line="240" w:lineRule="auto"/>
              <w:contextualSpacing/>
              <w:jc w:val="right"/>
              <w:rPr>
                <w:rFonts w:ascii="Garamond" w:hAnsi="Garamond"/>
                <w:sz w:val="20"/>
                <w:szCs w:val="20"/>
              </w:rPr>
            </w:pPr>
            <w:r w:rsidRPr="00EE038F">
              <w:rPr>
                <w:rFonts w:ascii="Garamond" w:hAnsi="Garamond"/>
                <w:sz w:val="20"/>
                <w:szCs w:val="20"/>
              </w:rPr>
              <w:t>162.84</w:t>
            </w:r>
          </w:p>
        </w:tc>
        <w:tc>
          <w:tcPr>
            <w:tcW w:w="504" w:type="pct"/>
            <w:tcBorders>
              <w:top w:val="dotted" w:sz="4" w:space="0" w:color="auto"/>
              <w:left w:val="dotted" w:sz="4" w:space="0" w:color="auto"/>
              <w:bottom w:val="double" w:sz="4" w:space="0" w:color="auto"/>
              <w:right w:val="double" w:sz="4" w:space="0" w:color="auto"/>
            </w:tcBorders>
            <w:vAlign w:val="center"/>
          </w:tcPr>
          <w:p w14:paraId="77862BC8" w14:textId="77777777" w:rsidR="00C50585" w:rsidRPr="00EE038F" w:rsidRDefault="00C50585" w:rsidP="00280C20">
            <w:pPr>
              <w:spacing w:after="0" w:line="240" w:lineRule="auto"/>
              <w:contextualSpacing/>
              <w:jc w:val="right"/>
              <w:rPr>
                <w:rFonts w:ascii="Garamond" w:hAnsi="Garamond"/>
                <w:sz w:val="20"/>
                <w:szCs w:val="20"/>
              </w:rPr>
            </w:pPr>
            <w:r w:rsidRPr="00EE038F">
              <w:rPr>
                <w:rFonts w:ascii="Garamond" w:hAnsi="Garamond"/>
                <w:sz w:val="20"/>
                <w:szCs w:val="20"/>
              </w:rPr>
              <w:t>165.39</w:t>
            </w:r>
          </w:p>
        </w:tc>
      </w:tr>
    </w:tbl>
    <w:p w14:paraId="4DA75A6C" w14:textId="77777777" w:rsidR="00C50585" w:rsidRPr="00EE038F" w:rsidRDefault="00C50585" w:rsidP="00C50585">
      <w:pPr>
        <w:spacing w:after="0" w:line="240" w:lineRule="auto"/>
        <w:contextualSpacing/>
        <w:jc w:val="both"/>
        <w:rPr>
          <w:rFonts w:ascii="Garamond" w:hAnsi="Garamond"/>
          <w:b/>
          <w:color w:val="0D0D0D" w:themeColor="text1" w:themeTint="F2"/>
        </w:rPr>
      </w:pPr>
    </w:p>
    <w:p w14:paraId="2844B41B" w14:textId="77777777" w:rsidR="00C50585" w:rsidRPr="00EE038F" w:rsidRDefault="00C50585" w:rsidP="00066DFC">
      <w:pPr>
        <w:spacing w:after="0" w:line="240" w:lineRule="auto"/>
        <w:contextualSpacing/>
        <w:jc w:val="center"/>
        <w:rPr>
          <w:rFonts w:ascii="Garamond" w:hAnsi="Garamond"/>
          <w:bCs/>
          <w:i/>
          <w:iCs/>
          <w:sz w:val="24"/>
          <w:szCs w:val="24"/>
        </w:rPr>
      </w:pPr>
      <w:r w:rsidRPr="00EE038F">
        <w:rPr>
          <w:rFonts w:ascii="Garamond" w:hAnsi="Garamond"/>
          <w:bCs/>
          <w:i/>
          <w:iCs/>
          <w:color w:val="0D0D0D" w:themeColor="text1" w:themeTint="F2"/>
          <w:sz w:val="24"/>
          <w:szCs w:val="24"/>
        </w:rPr>
        <w:t>Tabela</w:t>
      </w:r>
      <w:r w:rsidRPr="00EE038F">
        <w:rPr>
          <w:rFonts w:ascii="Garamond" w:hAnsi="Garamond"/>
          <w:bCs/>
          <w:i/>
          <w:iCs/>
          <w:sz w:val="24"/>
          <w:szCs w:val="24"/>
        </w:rPr>
        <w:t xml:space="preserve"> 3: Shpenzimet e përgjithshme të qeverisë sipas funksionit</w:t>
      </w:r>
    </w:p>
    <w:tbl>
      <w:tblPr>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4411"/>
        <w:gridCol w:w="1043"/>
        <w:gridCol w:w="704"/>
        <w:gridCol w:w="704"/>
        <w:gridCol w:w="704"/>
        <w:gridCol w:w="704"/>
        <w:gridCol w:w="704"/>
      </w:tblGrid>
      <w:tr w:rsidR="00C50585" w:rsidRPr="00EE038F" w14:paraId="2A3E6211" w14:textId="77777777" w:rsidTr="00066DFC">
        <w:trPr>
          <w:trHeight w:val="20"/>
          <w:jc w:val="center"/>
        </w:trPr>
        <w:tc>
          <w:tcPr>
            <w:tcW w:w="2458" w:type="pct"/>
            <w:tcBorders>
              <w:top w:val="double" w:sz="6" w:space="0" w:color="000000"/>
              <w:bottom w:val="single" w:sz="6" w:space="0" w:color="000000"/>
              <w:right w:val="dotted" w:sz="4" w:space="0" w:color="auto"/>
            </w:tcBorders>
            <w:shd w:val="clear" w:color="auto" w:fill="auto"/>
            <w:vAlign w:val="center"/>
          </w:tcPr>
          <w:p w14:paraId="6EBE4599"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color w:val="0D0D0D" w:themeColor="text1" w:themeTint="F2"/>
                <w:sz w:val="18"/>
              </w:rPr>
              <w:t>% e PBB-s</w:t>
            </w:r>
            <w:r w:rsidRPr="00EE038F">
              <w:rPr>
                <w:rFonts w:ascii="Garamond" w:hAnsi="Garamond"/>
                <w:b/>
                <w:bCs/>
                <w:sz w:val="18"/>
              </w:rPr>
              <w:t>ë</w:t>
            </w:r>
          </w:p>
        </w:tc>
        <w:tc>
          <w:tcPr>
            <w:tcW w:w="581" w:type="pct"/>
            <w:tcBorders>
              <w:top w:val="double" w:sz="6" w:space="0" w:color="000000"/>
              <w:left w:val="dotted" w:sz="4" w:space="0" w:color="auto"/>
              <w:bottom w:val="single" w:sz="6" w:space="0" w:color="000000"/>
              <w:right w:val="single" w:sz="6" w:space="0" w:color="000000"/>
            </w:tcBorders>
            <w:shd w:val="clear" w:color="auto" w:fill="auto"/>
            <w:vAlign w:val="center"/>
          </w:tcPr>
          <w:p w14:paraId="1480FDF7" w14:textId="77777777" w:rsidR="00C50585" w:rsidRPr="00EE038F" w:rsidRDefault="00C50585" w:rsidP="007C70E7">
            <w:pPr>
              <w:pageBreakBefore/>
              <w:spacing w:after="0" w:line="240" w:lineRule="auto"/>
              <w:contextualSpacing/>
              <w:jc w:val="both"/>
              <w:rPr>
                <w:rFonts w:ascii="Garamond" w:hAnsi="Garamond"/>
                <w:b/>
                <w:bCs/>
                <w:sz w:val="18"/>
              </w:rPr>
            </w:pPr>
            <w:r w:rsidRPr="00EE038F">
              <w:rPr>
                <w:rFonts w:ascii="Garamond" w:hAnsi="Garamond"/>
                <w:b/>
                <w:bCs/>
                <w:sz w:val="18"/>
              </w:rPr>
              <w:t xml:space="preserve">Kodi COFOG </w:t>
            </w:r>
          </w:p>
        </w:tc>
        <w:tc>
          <w:tcPr>
            <w:tcW w:w="392" w:type="pct"/>
            <w:tcBorders>
              <w:top w:val="double" w:sz="6" w:space="0" w:color="000000"/>
              <w:left w:val="single" w:sz="6" w:space="0" w:color="000000"/>
              <w:bottom w:val="single" w:sz="6" w:space="0" w:color="000000"/>
              <w:right w:val="dotted" w:sz="4" w:space="0" w:color="auto"/>
            </w:tcBorders>
            <w:shd w:val="clear" w:color="auto" w:fill="auto"/>
            <w:vAlign w:val="center"/>
          </w:tcPr>
          <w:p w14:paraId="339B981D" w14:textId="77777777" w:rsidR="00C50585" w:rsidRPr="00EE038F" w:rsidRDefault="00C50585" w:rsidP="007C70E7">
            <w:pPr>
              <w:pageBreakBefore/>
              <w:tabs>
                <w:tab w:val="left" w:pos="415"/>
              </w:tabs>
              <w:spacing w:after="0" w:line="240" w:lineRule="auto"/>
              <w:contextualSpacing/>
              <w:jc w:val="both"/>
              <w:rPr>
                <w:rFonts w:ascii="Garamond" w:hAnsi="Garamond"/>
                <w:b/>
                <w:bCs/>
                <w:sz w:val="18"/>
              </w:rPr>
            </w:pPr>
            <w:r w:rsidRPr="00EE038F">
              <w:rPr>
                <w:rFonts w:ascii="Garamond" w:hAnsi="Garamond"/>
                <w:b/>
                <w:bCs/>
                <w:sz w:val="18"/>
              </w:rPr>
              <w:t>Viti 2023</w:t>
            </w:r>
          </w:p>
        </w:tc>
        <w:tc>
          <w:tcPr>
            <w:tcW w:w="392" w:type="pct"/>
            <w:tcBorders>
              <w:top w:val="double" w:sz="6" w:space="0" w:color="000000"/>
              <w:left w:val="dotted" w:sz="4" w:space="0" w:color="auto"/>
              <w:bottom w:val="single" w:sz="6" w:space="0" w:color="000000"/>
              <w:right w:val="dotted" w:sz="4" w:space="0" w:color="auto"/>
            </w:tcBorders>
            <w:shd w:val="clear" w:color="auto" w:fill="auto"/>
            <w:vAlign w:val="center"/>
          </w:tcPr>
          <w:p w14:paraId="732770E4" w14:textId="77777777" w:rsidR="00C50585" w:rsidRPr="00EE038F" w:rsidRDefault="00C50585" w:rsidP="007C70E7">
            <w:pPr>
              <w:pageBreakBefore/>
              <w:tabs>
                <w:tab w:val="left" w:pos="415"/>
              </w:tabs>
              <w:spacing w:after="0" w:line="240" w:lineRule="auto"/>
              <w:contextualSpacing/>
              <w:jc w:val="both"/>
              <w:rPr>
                <w:rFonts w:ascii="Garamond" w:hAnsi="Garamond"/>
                <w:b/>
                <w:bCs/>
                <w:sz w:val="18"/>
              </w:rPr>
            </w:pPr>
            <w:r w:rsidRPr="00EE038F">
              <w:rPr>
                <w:rFonts w:ascii="Garamond" w:hAnsi="Garamond"/>
                <w:b/>
                <w:bCs/>
                <w:sz w:val="18"/>
              </w:rPr>
              <w:t>Viti 2024</w:t>
            </w:r>
          </w:p>
        </w:tc>
        <w:tc>
          <w:tcPr>
            <w:tcW w:w="392" w:type="pct"/>
            <w:tcBorders>
              <w:top w:val="double" w:sz="6" w:space="0" w:color="000000"/>
              <w:left w:val="dotted" w:sz="4" w:space="0" w:color="auto"/>
              <w:bottom w:val="single" w:sz="6" w:space="0" w:color="000000"/>
              <w:right w:val="dotted" w:sz="4" w:space="0" w:color="auto"/>
            </w:tcBorders>
            <w:shd w:val="clear" w:color="auto" w:fill="auto"/>
            <w:vAlign w:val="center"/>
          </w:tcPr>
          <w:p w14:paraId="4B22CB4C" w14:textId="77777777" w:rsidR="00C50585" w:rsidRPr="00EE038F" w:rsidRDefault="00C50585" w:rsidP="007C70E7">
            <w:pPr>
              <w:pageBreakBefore/>
              <w:tabs>
                <w:tab w:val="left" w:pos="415"/>
              </w:tabs>
              <w:spacing w:after="0" w:line="240" w:lineRule="auto"/>
              <w:contextualSpacing/>
              <w:jc w:val="both"/>
              <w:rPr>
                <w:rFonts w:ascii="Garamond" w:hAnsi="Garamond"/>
                <w:b/>
                <w:bCs/>
                <w:sz w:val="18"/>
              </w:rPr>
            </w:pPr>
            <w:r w:rsidRPr="00EE038F">
              <w:rPr>
                <w:rFonts w:ascii="Garamond" w:hAnsi="Garamond"/>
                <w:b/>
                <w:bCs/>
                <w:sz w:val="18"/>
              </w:rPr>
              <w:t>Viti 2025</w:t>
            </w:r>
          </w:p>
        </w:tc>
        <w:tc>
          <w:tcPr>
            <w:tcW w:w="392" w:type="pct"/>
            <w:tcBorders>
              <w:top w:val="double" w:sz="6" w:space="0" w:color="000000"/>
              <w:left w:val="dotted" w:sz="4" w:space="0" w:color="auto"/>
              <w:bottom w:val="single" w:sz="6" w:space="0" w:color="000000"/>
              <w:right w:val="dotted" w:sz="4" w:space="0" w:color="auto"/>
            </w:tcBorders>
            <w:shd w:val="clear" w:color="auto" w:fill="auto"/>
            <w:vAlign w:val="center"/>
          </w:tcPr>
          <w:p w14:paraId="10DDEED1" w14:textId="77777777" w:rsidR="00C50585" w:rsidRPr="00EE038F" w:rsidRDefault="00C50585" w:rsidP="007C70E7">
            <w:pPr>
              <w:pageBreakBefore/>
              <w:tabs>
                <w:tab w:val="left" w:pos="415"/>
              </w:tabs>
              <w:spacing w:after="0" w:line="240" w:lineRule="auto"/>
              <w:contextualSpacing/>
              <w:jc w:val="both"/>
              <w:rPr>
                <w:rFonts w:ascii="Garamond" w:hAnsi="Garamond"/>
                <w:b/>
                <w:bCs/>
                <w:sz w:val="18"/>
              </w:rPr>
            </w:pPr>
            <w:r w:rsidRPr="00EE038F">
              <w:rPr>
                <w:rFonts w:ascii="Garamond" w:hAnsi="Garamond"/>
                <w:b/>
                <w:bCs/>
                <w:sz w:val="18"/>
              </w:rPr>
              <w:t>Viti 2026</w:t>
            </w:r>
          </w:p>
        </w:tc>
        <w:tc>
          <w:tcPr>
            <w:tcW w:w="392" w:type="pct"/>
            <w:tcBorders>
              <w:top w:val="double" w:sz="6" w:space="0" w:color="000000"/>
              <w:left w:val="dotted" w:sz="4" w:space="0" w:color="auto"/>
              <w:bottom w:val="single" w:sz="6" w:space="0" w:color="000000"/>
            </w:tcBorders>
            <w:shd w:val="clear" w:color="auto" w:fill="auto"/>
            <w:vAlign w:val="center"/>
          </w:tcPr>
          <w:p w14:paraId="2D1F70FD" w14:textId="77777777" w:rsidR="00C50585" w:rsidRPr="00EE038F" w:rsidRDefault="00C50585" w:rsidP="007C70E7">
            <w:pPr>
              <w:pageBreakBefore/>
              <w:tabs>
                <w:tab w:val="left" w:pos="415"/>
              </w:tabs>
              <w:spacing w:after="0" w:line="240" w:lineRule="auto"/>
              <w:contextualSpacing/>
              <w:jc w:val="both"/>
              <w:rPr>
                <w:rFonts w:ascii="Garamond" w:hAnsi="Garamond"/>
                <w:b/>
                <w:bCs/>
                <w:sz w:val="18"/>
              </w:rPr>
            </w:pPr>
            <w:r w:rsidRPr="00EE038F">
              <w:rPr>
                <w:rFonts w:ascii="Garamond" w:hAnsi="Garamond"/>
                <w:b/>
                <w:bCs/>
                <w:sz w:val="18"/>
              </w:rPr>
              <w:t>Viti 2027</w:t>
            </w:r>
          </w:p>
        </w:tc>
      </w:tr>
      <w:tr w:rsidR="00C50585" w:rsidRPr="00EE038F" w14:paraId="15A48BAC" w14:textId="77777777" w:rsidTr="00066DFC">
        <w:trPr>
          <w:trHeight w:val="20"/>
          <w:jc w:val="center"/>
        </w:trPr>
        <w:tc>
          <w:tcPr>
            <w:tcW w:w="2458" w:type="pct"/>
            <w:tcBorders>
              <w:top w:val="single" w:sz="6" w:space="0" w:color="000000"/>
              <w:bottom w:val="dotted" w:sz="4" w:space="0" w:color="auto"/>
              <w:right w:val="dotted" w:sz="4" w:space="0" w:color="auto"/>
            </w:tcBorders>
            <w:shd w:val="clear" w:color="auto" w:fill="auto"/>
          </w:tcPr>
          <w:p w14:paraId="3644FCF2" w14:textId="77777777" w:rsidR="00C50585" w:rsidRPr="00EE038F" w:rsidRDefault="00C50585" w:rsidP="007C70E7">
            <w:pPr>
              <w:pStyle w:val="Normal8pt"/>
              <w:spacing w:before="0" w:after="0"/>
              <w:contextualSpacing/>
              <w:jc w:val="both"/>
              <w:rPr>
                <w:rFonts w:ascii="Garamond" w:hAnsi="Garamond"/>
                <w:sz w:val="18"/>
                <w:szCs w:val="24"/>
                <w:lang w:val="sq-AL"/>
              </w:rPr>
            </w:pPr>
            <w:r w:rsidRPr="00EE038F">
              <w:rPr>
                <w:rFonts w:ascii="Garamond" w:hAnsi="Garamond"/>
                <w:sz w:val="18"/>
                <w:szCs w:val="24"/>
                <w:lang w:val="sq-AL"/>
              </w:rPr>
              <w:t>1. Shërbimet e përgjithshme publike</w:t>
            </w:r>
          </w:p>
        </w:tc>
        <w:tc>
          <w:tcPr>
            <w:tcW w:w="581" w:type="pct"/>
            <w:tcBorders>
              <w:top w:val="single" w:sz="6" w:space="0" w:color="000000"/>
              <w:left w:val="dotted" w:sz="4" w:space="0" w:color="auto"/>
              <w:bottom w:val="dotted" w:sz="4" w:space="0" w:color="auto"/>
              <w:right w:val="single" w:sz="6" w:space="0" w:color="000000"/>
            </w:tcBorders>
            <w:shd w:val="clear" w:color="auto" w:fill="auto"/>
          </w:tcPr>
          <w:p w14:paraId="0FA8906E" w14:textId="77777777" w:rsidR="00C50585" w:rsidRPr="00EE038F" w:rsidRDefault="00C50585" w:rsidP="00280C20">
            <w:pPr>
              <w:pStyle w:val="Normal8pt"/>
              <w:spacing w:before="0" w:after="0"/>
              <w:contextualSpacing/>
              <w:jc w:val="right"/>
              <w:rPr>
                <w:rFonts w:ascii="Garamond" w:hAnsi="Garamond"/>
                <w:sz w:val="18"/>
                <w:szCs w:val="24"/>
                <w:lang w:val="sq-AL"/>
              </w:rPr>
            </w:pPr>
            <w:r w:rsidRPr="00EE038F">
              <w:rPr>
                <w:rFonts w:ascii="Garamond" w:hAnsi="Garamond"/>
                <w:sz w:val="18"/>
                <w:szCs w:val="24"/>
                <w:lang w:val="sq-AL"/>
              </w:rPr>
              <w:t>1</w:t>
            </w:r>
          </w:p>
        </w:tc>
        <w:tc>
          <w:tcPr>
            <w:tcW w:w="392" w:type="pct"/>
            <w:tcBorders>
              <w:top w:val="single" w:sz="6" w:space="0" w:color="000000"/>
              <w:left w:val="single" w:sz="6" w:space="0" w:color="000000"/>
              <w:bottom w:val="dotted" w:sz="4" w:space="0" w:color="auto"/>
              <w:right w:val="dotted" w:sz="4" w:space="0" w:color="auto"/>
            </w:tcBorders>
            <w:shd w:val="clear" w:color="auto" w:fill="auto"/>
          </w:tcPr>
          <w:p w14:paraId="50B98E7F" w14:textId="77777777" w:rsidR="00C50585" w:rsidRPr="00EE038F" w:rsidRDefault="00C50585" w:rsidP="00280C20">
            <w:pPr>
              <w:pStyle w:val="Normal8pt"/>
              <w:tabs>
                <w:tab w:val="left" w:pos="415"/>
              </w:tabs>
              <w:spacing w:before="0" w:after="0"/>
              <w:contextualSpacing/>
              <w:jc w:val="right"/>
              <w:rPr>
                <w:rFonts w:ascii="Garamond" w:hAnsi="Garamond"/>
                <w:sz w:val="18"/>
                <w:szCs w:val="24"/>
                <w:lang w:val="sq-AL"/>
              </w:rPr>
            </w:pPr>
            <w:r w:rsidRPr="00EE038F">
              <w:rPr>
                <w:rFonts w:ascii="Garamond" w:hAnsi="Garamond"/>
                <w:sz w:val="18"/>
                <w:szCs w:val="24"/>
                <w:lang w:val="sq-AL"/>
              </w:rPr>
              <w:t>4.7%</w:t>
            </w:r>
          </w:p>
        </w:tc>
        <w:tc>
          <w:tcPr>
            <w:tcW w:w="392" w:type="pct"/>
            <w:tcBorders>
              <w:top w:val="single" w:sz="6" w:space="0" w:color="000000"/>
              <w:left w:val="dotted" w:sz="4" w:space="0" w:color="auto"/>
              <w:bottom w:val="dotted" w:sz="4" w:space="0" w:color="auto"/>
              <w:right w:val="dotted" w:sz="4" w:space="0" w:color="auto"/>
            </w:tcBorders>
            <w:shd w:val="clear" w:color="auto" w:fill="auto"/>
          </w:tcPr>
          <w:p w14:paraId="799C835D"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5.0%</w:t>
            </w:r>
          </w:p>
        </w:tc>
        <w:tc>
          <w:tcPr>
            <w:tcW w:w="392" w:type="pct"/>
            <w:tcBorders>
              <w:top w:val="single" w:sz="6" w:space="0" w:color="000000"/>
              <w:left w:val="dotted" w:sz="4" w:space="0" w:color="auto"/>
              <w:bottom w:val="dotted" w:sz="4" w:space="0" w:color="auto"/>
              <w:right w:val="dotted" w:sz="4" w:space="0" w:color="auto"/>
            </w:tcBorders>
            <w:shd w:val="clear" w:color="auto" w:fill="auto"/>
          </w:tcPr>
          <w:p w14:paraId="04686FD7"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4.9%</w:t>
            </w:r>
          </w:p>
        </w:tc>
        <w:tc>
          <w:tcPr>
            <w:tcW w:w="392" w:type="pct"/>
            <w:tcBorders>
              <w:top w:val="single" w:sz="6" w:space="0" w:color="000000"/>
              <w:left w:val="dotted" w:sz="4" w:space="0" w:color="auto"/>
              <w:bottom w:val="dotted" w:sz="4" w:space="0" w:color="auto"/>
              <w:right w:val="dotted" w:sz="4" w:space="0" w:color="auto"/>
            </w:tcBorders>
            <w:shd w:val="clear" w:color="auto" w:fill="auto"/>
          </w:tcPr>
          <w:p w14:paraId="359731B2"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4.7%</w:t>
            </w:r>
          </w:p>
        </w:tc>
        <w:tc>
          <w:tcPr>
            <w:tcW w:w="392" w:type="pct"/>
            <w:tcBorders>
              <w:top w:val="single" w:sz="6" w:space="0" w:color="000000"/>
              <w:left w:val="dotted" w:sz="4" w:space="0" w:color="auto"/>
              <w:bottom w:val="dotted" w:sz="4" w:space="0" w:color="auto"/>
            </w:tcBorders>
            <w:shd w:val="clear" w:color="auto" w:fill="auto"/>
          </w:tcPr>
          <w:p w14:paraId="045A420C"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4.6%</w:t>
            </w:r>
          </w:p>
        </w:tc>
      </w:tr>
      <w:tr w:rsidR="00C50585" w:rsidRPr="00EE038F" w14:paraId="3D0B97E5" w14:textId="77777777" w:rsidTr="00066DFC">
        <w:trPr>
          <w:trHeight w:val="20"/>
          <w:jc w:val="center"/>
        </w:trPr>
        <w:tc>
          <w:tcPr>
            <w:tcW w:w="2458" w:type="pct"/>
            <w:tcBorders>
              <w:top w:val="dotted" w:sz="4" w:space="0" w:color="auto"/>
              <w:bottom w:val="dotted" w:sz="4" w:space="0" w:color="auto"/>
              <w:right w:val="dotted" w:sz="4" w:space="0" w:color="auto"/>
            </w:tcBorders>
            <w:shd w:val="clear" w:color="auto" w:fill="auto"/>
          </w:tcPr>
          <w:p w14:paraId="648EF9A2" w14:textId="77777777" w:rsidR="00C50585" w:rsidRPr="00EE038F" w:rsidRDefault="00C50585" w:rsidP="007C70E7">
            <w:pPr>
              <w:pStyle w:val="Normal8pt"/>
              <w:spacing w:before="0" w:after="0"/>
              <w:contextualSpacing/>
              <w:jc w:val="both"/>
              <w:rPr>
                <w:rFonts w:ascii="Garamond" w:hAnsi="Garamond"/>
                <w:sz w:val="18"/>
                <w:szCs w:val="24"/>
                <w:lang w:val="sq-AL"/>
              </w:rPr>
            </w:pPr>
            <w:r w:rsidRPr="00EE038F">
              <w:rPr>
                <w:rFonts w:ascii="Garamond" w:hAnsi="Garamond"/>
                <w:sz w:val="18"/>
                <w:szCs w:val="24"/>
                <w:lang w:val="sq-AL"/>
              </w:rPr>
              <w:t>2. Mbrojtja</w:t>
            </w:r>
          </w:p>
        </w:tc>
        <w:tc>
          <w:tcPr>
            <w:tcW w:w="581" w:type="pct"/>
            <w:tcBorders>
              <w:top w:val="dotted" w:sz="4" w:space="0" w:color="auto"/>
              <w:left w:val="dotted" w:sz="4" w:space="0" w:color="auto"/>
              <w:bottom w:val="dotted" w:sz="4" w:space="0" w:color="auto"/>
              <w:right w:val="single" w:sz="6" w:space="0" w:color="000000"/>
            </w:tcBorders>
            <w:shd w:val="clear" w:color="auto" w:fill="auto"/>
          </w:tcPr>
          <w:p w14:paraId="5C0BA5E0" w14:textId="77777777" w:rsidR="00C50585" w:rsidRPr="00EE038F" w:rsidRDefault="00C50585" w:rsidP="00280C20">
            <w:pPr>
              <w:pStyle w:val="Normal8pt"/>
              <w:spacing w:before="0" w:after="0"/>
              <w:contextualSpacing/>
              <w:jc w:val="right"/>
              <w:rPr>
                <w:rFonts w:ascii="Garamond" w:hAnsi="Garamond"/>
                <w:sz w:val="18"/>
                <w:szCs w:val="24"/>
                <w:lang w:val="sq-AL"/>
              </w:rPr>
            </w:pPr>
            <w:r w:rsidRPr="00EE038F">
              <w:rPr>
                <w:rFonts w:ascii="Garamond" w:hAnsi="Garamond"/>
                <w:sz w:val="18"/>
                <w:szCs w:val="24"/>
                <w:lang w:val="sq-AL"/>
              </w:rPr>
              <w:t>2</w:t>
            </w:r>
          </w:p>
        </w:tc>
        <w:tc>
          <w:tcPr>
            <w:tcW w:w="392" w:type="pct"/>
            <w:tcBorders>
              <w:top w:val="dotted" w:sz="4" w:space="0" w:color="auto"/>
              <w:left w:val="single" w:sz="6" w:space="0" w:color="000000"/>
              <w:bottom w:val="dotted" w:sz="4" w:space="0" w:color="auto"/>
              <w:right w:val="dotted" w:sz="4" w:space="0" w:color="auto"/>
            </w:tcBorders>
            <w:shd w:val="clear" w:color="auto" w:fill="auto"/>
          </w:tcPr>
          <w:p w14:paraId="45E75D0A"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0.8%</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57E91A3B"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1.3%</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24A01BDB"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1.6%</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2D5972E8"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1.6%</w:t>
            </w:r>
          </w:p>
        </w:tc>
        <w:tc>
          <w:tcPr>
            <w:tcW w:w="392" w:type="pct"/>
            <w:tcBorders>
              <w:top w:val="dotted" w:sz="4" w:space="0" w:color="auto"/>
              <w:left w:val="dotted" w:sz="4" w:space="0" w:color="auto"/>
              <w:bottom w:val="dotted" w:sz="4" w:space="0" w:color="auto"/>
            </w:tcBorders>
            <w:shd w:val="clear" w:color="auto" w:fill="auto"/>
          </w:tcPr>
          <w:p w14:paraId="5B99F9A8"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1.6%</w:t>
            </w:r>
          </w:p>
        </w:tc>
      </w:tr>
      <w:tr w:rsidR="00C50585" w:rsidRPr="00EE038F" w14:paraId="671DD773" w14:textId="77777777" w:rsidTr="00066DFC">
        <w:trPr>
          <w:trHeight w:val="20"/>
          <w:jc w:val="center"/>
        </w:trPr>
        <w:tc>
          <w:tcPr>
            <w:tcW w:w="2458" w:type="pct"/>
            <w:tcBorders>
              <w:top w:val="dotted" w:sz="4" w:space="0" w:color="auto"/>
              <w:bottom w:val="dotted" w:sz="4" w:space="0" w:color="auto"/>
              <w:right w:val="dotted" w:sz="4" w:space="0" w:color="auto"/>
            </w:tcBorders>
            <w:shd w:val="clear" w:color="auto" w:fill="auto"/>
          </w:tcPr>
          <w:p w14:paraId="00CEFB52" w14:textId="77777777" w:rsidR="00C50585" w:rsidRPr="00EE038F" w:rsidRDefault="00C50585" w:rsidP="007C70E7">
            <w:pPr>
              <w:pStyle w:val="Normal8pt"/>
              <w:spacing w:before="0" w:after="0"/>
              <w:contextualSpacing/>
              <w:jc w:val="both"/>
              <w:rPr>
                <w:rFonts w:ascii="Garamond" w:hAnsi="Garamond"/>
                <w:sz w:val="18"/>
                <w:szCs w:val="24"/>
                <w:lang w:val="sq-AL"/>
              </w:rPr>
            </w:pPr>
            <w:r w:rsidRPr="00EE038F">
              <w:rPr>
                <w:rFonts w:ascii="Garamond" w:hAnsi="Garamond"/>
                <w:sz w:val="18"/>
                <w:szCs w:val="24"/>
                <w:lang w:val="sq-AL"/>
              </w:rPr>
              <w:t>3. Rendi dhe siguria publike</w:t>
            </w:r>
          </w:p>
        </w:tc>
        <w:tc>
          <w:tcPr>
            <w:tcW w:w="581" w:type="pct"/>
            <w:tcBorders>
              <w:top w:val="dotted" w:sz="4" w:space="0" w:color="auto"/>
              <w:left w:val="dotted" w:sz="4" w:space="0" w:color="auto"/>
              <w:bottom w:val="dotted" w:sz="4" w:space="0" w:color="auto"/>
              <w:right w:val="single" w:sz="6" w:space="0" w:color="000000"/>
            </w:tcBorders>
            <w:shd w:val="clear" w:color="auto" w:fill="auto"/>
          </w:tcPr>
          <w:p w14:paraId="1F8C2513" w14:textId="77777777" w:rsidR="00C50585" w:rsidRPr="00EE038F" w:rsidRDefault="00C50585" w:rsidP="00280C20">
            <w:pPr>
              <w:pStyle w:val="Normal8pt"/>
              <w:spacing w:before="0" w:after="0"/>
              <w:contextualSpacing/>
              <w:jc w:val="right"/>
              <w:rPr>
                <w:rFonts w:ascii="Garamond" w:hAnsi="Garamond"/>
                <w:sz w:val="18"/>
                <w:szCs w:val="24"/>
                <w:lang w:val="sq-AL"/>
              </w:rPr>
            </w:pPr>
            <w:r w:rsidRPr="00EE038F">
              <w:rPr>
                <w:rFonts w:ascii="Garamond" w:hAnsi="Garamond"/>
                <w:sz w:val="18"/>
                <w:szCs w:val="24"/>
                <w:lang w:val="sq-AL"/>
              </w:rPr>
              <w:t>3</w:t>
            </w:r>
          </w:p>
        </w:tc>
        <w:tc>
          <w:tcPr>
            <w:tcW w:w="392" w:type="pct"/>
            <w:tcBorders>
              <w:top w:val="dotted" w:sz="4" w:space="0" w:color="auto"/>
              <w:left w:val="single" w:sz="6" w:space="0" w:color="000000"/>
              <w:bottom w:val="dotted" w:sz="4" w:space="0" w:color="auto"/>
              <w:right w:val="dotted" w:sz="4" w:space="0" w:color="auto"/>
            </w:tcBorders>
            <w:shd w:val="clear" w:color="auto" w:fill="auto"/>
          </w:tcPr>
          <w:p w14:paraId="5E770ACA"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1.9%</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17E5D844"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1.7%</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67A661A6"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1.6%</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74FCF8F0"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1.6%</w:t>
            </w:r>
          </w:p>
        </w:tc>
        <w:tc>
          <w:tcPr>
            <w:tcW w:w="392" w:type="pct"/>
            <w:tcBorders>
              <w:top w:val="dotted" w:sz="4" w:space="0" w:color="auto"/>
              <w:left w:val="dotted" w:sz="4" w:space="0" w:color="auto"/>
              <w:bottom w:val="dotted" w:sz="4" w:space="0" w:color="auto"/>
            </w:tcBorders>
            <w:shd w:val="clear" w:color="auto" w:fill="auto"/>
          </w:tcPr>
          <w:p w14:paraId="27E71503"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1.6%</w:t>
            </w:r>
          </w:p>
        </w:tc>
      </w:tr>
      <w:tr w:rsidR="00C50585" w:rsidRPr="00EE038F" w14:paraId="4DE52EA9" w14:textId="77777777" w:rsidTr="00066DFC">
        <w:trPr>
          <w:trHeight w:val="20"/>
          <w:jc w:val="center"/>
        </w:trPr>
        <w:tc>
          <w:tcPr>
            <w:tcW w:w="2458" w:type="pct"/>
            <w:tcBorders>
              <w:top w:val="dotted" w:sz="4" w:space="0" w:color="auto"/>
              <w:bottom w:val="dotted" w:sz="4" w:space="0" w:color="auto"/>
              <w:right w:val="dotted" w:sz="4" w:space="0" w:color="auto"/>
            </w:tcBorders>
            <w:shd w:val="clear" w:color="auto" w:fill="auto"/>
          </w:tcPr>
          <w:p w14:paraId="7EDF3BED" w14:textId="77777777" w:rsidR="00C50585" w:rsidRPr="00EE038F" w:rsidRDefault="00C50585" w:rsidP="007C70E7">
            <w:pPr>
              <w:pStyle w:val="Normal8pt"/>
              <w:spacing w:before="0" w:after="0"/>
              <w:contextualSpacing/>
              <w:jc w:val="both"/>
              <w:rPr>
                <w:rFonts w:ascii="Garamond" w:hAnsi="Garamond"/>
                <w:sz w:val="18"/>
                <w:szCs w:val="24"/>
                <w:lang w:val="sq-AL"/>
              </w:rPr>
            </w:pPr>
            <w:r w:rsidRPr="00EE038F">
              <w:rPr>
                <w:rFonts w:ascii="Garamond" w:hAnsi="Garamond"/>
                <w:sz w:val="18"/>
                <w:szCs w:val="24"/>
                <w:lang w:val="sq-AL"/>
              </w:rPr>
              <w:t>4. Çështjet ekonomike</w:t>
            </w:r>
          </w:p>
        </w:tc>
        <w:tc>
          <w:tcPr>
            <w:tcW w:w="581" w:type="pct"/>
            <w:tcBorders>
              <w:top w:val="dotted" w:sz="4" w:space="0" w:color="auto"/>
              <w:left w:val="dotted" w:sz="4" w:space="0" w:color="auto"/>
              <w:bottom w:val="dotted" w:sz="4" w:space="0" w:color="auto"/>
              <w:right w:val="single" w:sz="6" w:space="0" w:color="000000"/>
            </w:tcBorders>
            <w:shd w:val="clear" w:color="auto" w:fill="auto"/>
          </w:tcPr>
          <w:p w14:paraId="550AFB8B" w14:textId="77777777" w:rsidR="00C50585" w:rsidRPr="00EE038F" w:rsidRDefault="00C50585" w:rsidP="00280C20">
            <w:pPr>
              <w:pStyle w:val="Normal8pt"/>
              <w:spacing w:before="0" w:after="0"/>
              <w:contextualSpacing/>
              <w:jc w:val="right"/>
              <w:rPr>
                <w:rFonts w:ascii="Garamond" w:hAnsi="Garamond"/>
                <w:sz w:val="18"/>
                <w:szCs w:val="24"/>
                <w:lang w:val="sq-AL"/>
              </w:rPr>
            </w:pPr>
            <w:r w:rsidRPr="00EE038F">
              <w:rPr>
                <w:rFonts w:ascii="Garamond" w:hAnsi="Garamond"/>
                <w:sz w:val="18"/>
                <w:szCs w:val="24"/>
                <w:lang w:val="sq-AL"/>
              </w:rPr>
              <w:t>4</w:t>
            </w:r>
          </w:p>
        </w:tc>
        <w:tc>
          <w:tcPr>
            <w:tcW w:w="392" w:type="pct"/>
            <w:tcBorders>
              <w:top w:val="dotted" w:sz="4" w:space="0" w:color="auto"/>
              <w:left w:val="single" w:sz="6" w:space="0" w:color="000000"/>
              <w:bottom w:val="dotted" w:sz="4" w:space="0" w:color="auto"/>
              <w:right w:val="dotted" w:sz="4" w:space="0" w:color="auto"/>
            </w:tcBorders>
            <w:shd w:val="clear" w:color="auto" w:fill="auto"/>
          </w:tcPr>
          <w:p w14:paraId="2160D47F"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3.8%</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1AC4CD2D"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4.0%</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0B00044D"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4.6%</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1AB1C65B"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4.6%</w:t>
            </w:r>
          </w:p>
        </w:tc>
        <w:tc>
          <w:tcPr>
            <w:tcW w:w="392" w:type="pct"/>
            <w:tcBorders>
              <w:top w:val="dotted" w:sz="4" w:space="0" w:color="auto"/>
              <w:left w:val="dotted" w:sz="4" w:space="0" w:color="auto"/>
              <w:bottom w:val="dotted" w:sz="4" w:space="0" w:color="auto"/>
            </w:tcBorders>
            <w:shd w:val="clear" w:color="auto" w:fill="auto"/>
          </w:tcPr>
          <w:p w14:paraId="3113565E"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4.5%</w:t>
            </w:r>
          </w:p>
        </w:tc>
      </w:tr>
      <w:tr w:rsidR="00C50585" w:rsidRPr="00EE038F" w14:paraId="55FFC288" w14:textId="77777777" w:rsidTr="00066DFC">
        <w:trPr>
          <w:trHeight w:val="20"/>
          <w:jc w:val="center"/>
        </w:trPr>
        <w:tc>
          <w:tcPr>
            <w:tcW w:w="2458" w:type="pct"/>
            <w:tcBorders>
              <w:top w:val="dotted" w:sz="4" w:space="0" w:color="auto"/>
              <w:bottom w:val="dotted" w:sz="4" w:space="0" w:color="auto"/>
              <w:right w:val="dotted" w:sz="4" w:space="0" w:color="auto"/>
            </w:tcBorders>
            <w:shd w:val="clear" w:color="auto" w:fill="auto"/>
          </w:tcPr>
          <w:p w14:paraId="6C3BF36A" w14:textId="77777777" w:rsidR="00C50585" w:rsidRPr="00EE038F" w:rsidRDefault="00C50585" w:rsidP="007C70E7">
            <w:pPr>
              <w:pStyle w:val="Normal8pt"/>
              <w:spacing w:before="0" w:after="0"/>
              <w:contextualSpacing/>
              <w:jc w:val="both"/>
              <w:rPr>
                <w:rFonts w:ascii="Garamond" w:hAnsi="Garamond"/>
                <w:sz w:val="18"/>
                <w:szCs w:val="24"/>
                <w:lang w:val="sq-AL"/>
              </w:rPr>
            </w:pPr>
            <w:r w:rsidRPr="00EE038F">
              <w:rPr>
                <w:rFonts w:ascii="Garamond" w:hAnsi="Garamond"/>
                <w:sz w:val="18"/>
                <w:szCs w:val="24"/>
                <w:lang w:val="sq-AL"/>
              </w:rPr>
              <w:t>5. Mbrojtja e mjedisit</w:t>
            </w:r>
          </w:p>
        </w:tc>
        <w:tc>
          <w:tcPr>
            <w:tcW w:w="581" w:type="pct"/>
            <w:tcBorders>
              <w:top w:val="dotted" w:sz="4" w:space="0" w:color="auto"/>
              <w:left w:val="dotted" w:sz="4" w:space="0" w:color="auto"/>
              <w:bottom w:val="dotted" w:sz="4" w:space="0" w:color="auto"/>
              <w:right w:val="single" w:sz="6" w:space="0" w:color="000000"/>
            </w:tcBorders>
            <w:shd w:val="clear" w:color="auto" w:fill="auto"/>
          </w:tcPr>
          <w:p w14:paraId="52F62A89" w14:textId="77777777" w:rsidR="00C50585" w:rsidRPr="00EE038F" w:rsidRDefault="00C50585" w:rsidP="00280C20">
            <w:pPr>
              <w:pStyle w:val="Normal8pt"/>
              <w:spacing w:before="0" w:after="0"/>
              <w:contextualSpacing/>
              <w:jc w:val="right"/>
              <w:rPr>
                <w:rFonts w:ascii="Garamond" w:hAnsi="Garamond"/>
                <w:sz w:val="18"/>
                <w:szCs w:val="24"/>
                <w:lang w:val="sq-AL"/>
              </w:rPr>
            </w:pPr>
            <w:r w:rsidRPr="00EE038F">
              <w:rPr>
                <w:rFonts w:ascii="Garamond" w:hAnsi="Garamond"/>
                <w:sz w:val="18"/>
                <w:szCs w:val="24"/>
                <w:lang w:val="sq-AL"/>
              </w:rPr>
              <w:t>5</w:t>
            </w:r>
          </w:p>
        </w:tc>
        <w:tc>
          <w:tcPr>
            <w:tcW w:w="392" w:type="pct"/>
            <w:tcBorders>
              <w:top w:val="dotted" w:sz="4" w:space="0" w:color="auto"/>
              <w:left w:val="single" w:sz="6" w:space="0" w:color="000000"/>
              <w:bottom w:val="dotted" w:sz="4" w:space="0" w:color="auto"/>
              <w:right w:val="dotted" w:sz="4" w:space="0" w:color="auto"/>
            </w:tcBorders>
            <w:shd w:val="clear" w:color="auto" w:fill="auto"/>
          </w:tcPr>
          <w:p w14:paraId="48CA9B84"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0.3%</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1FBCF750"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0.3%</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2F68822B"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0.3%</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575677BF"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0.3%</w:t>
            </w:r>
          </w:p>
        </w:tc>
        <w:tc>
          <w:tcPr>
            <w:tcW w:w="392" w:type="pct"/>
            <w:tcBorders>
              <w:top w:val="dotted" w:sz="4" w:space="0" w:color="auto"/>
              <w:left w:val="dotted" w:sz="4" w:space="0" w:color="auto"/>
              <w:bottom w:val="dotted" w:sz="4" w:space="0" w:color="auto"/>
            </w:tcBorders>
            <w:shd w:val="clear" w:color="auto" w:fill="auto"/>
          </w:tcPr>
          <w:p w14:paraId="2B3CC935"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0.3%</w:t>
            </w:r>
          </w:p>
        </w:tc>
      </w:tr>
      <w:tr w:rsidR="00C50585" w:rsidRPr="00EE038F" w14:paraId="68CB417A" w14:textId="77777777" w:rsidTr="00066DFC">
        <w:trPr>
          <w:trHeight w:val="20"/>
          <w:jc w:val="center"/>
        </w:trPr>
        <w:tc>
          <w:tcPr>
            <w:tcW w:w="2458" w:type="pct"/>
            <w:tcBorders>
              <w:top w:val="dotted" w:sz="4" w:space="0" w:color="auto"/>
              <w:bottom w:val="dotted" w:sz="4" w:space="0" w:color="auto"/>
              <w:right w:val="dotted" w:sz="4" w:space="0" w:color="auto"/>
            </w:tcBorders>
            <w:shd w:val="clear" w:color="auto" w:fill="auto"/>
          </w:tcPr>
          <w:p w14:paraId="4FD6B1CC" w14:textId="77777777" w:rsidR="00C50585" w:rsidRPr="00EE038F" w:rsidRDefault="00C50585" w:rsidP="007C70E7">
            <w:pPr>
              <w:pStyle w:val="Normal8pt"/>
              <w:spacing w:before="0" w:after="0"/>
              <w:contextualSpacing/>
              <w:jc w:val="both"/>
              <w:rPr>
                <w:rFonts w:ascii="Garamond" w:hAnsi="Garamond"/>
                <w:sz w:val="18"/>
                <w:szCs w:val="24"/>
                <w:lang w:val="sq-AL"/>
              </w:rPr>
            </w:pPr>
            <w:r w:rsidRPr="00EE038F">
              <w:rPr>
                <w:rFonts w:ascii="Garamond" w:hAnsi="Garamond"/>
                <w:sz w:val="18"/>
                <w:szCs w:val="24"/>
                <w:lang w:val="sq-AL"/>
              </w:rPr>
              <w:t>6. Strehimi dhe komoditetet komunitare</w:t>
            </w:r>
          </w:p>
        </w:tc>
        <w:tc>
          <w:tcPr>
            <w:tcW w:w="581" w:type="pct"/>
            <w:tcBorders>
              <w:top w:val="dotted" w:sz="4" w:space="0" w:color="auto"/>
              <w:left w:val="dotted" w:sz="4" w:space="0" w:color="auto"/>
              <w:bottom w:val="dotted" w:sz="4" w:space="0" w:color="auto"/>
              <w:right w:val="single" w:sz="6" w:space="0" w:color="000000"/>
            </w:tcBorders>
            <w:shd w:val="clear" w:color="auto" w:fill="auto"/>
          </w:tcPr>
          <w:p w14:paraId="7A6FC981" w14:textId="77777777" w:rsidR="00C50585" w:rsidRPr="00EE038F" w:rsidRDefault="00C50585" w:rsidP="00280C20">
            <w:pPr>
              <w:pStyle w:val="Normal8pt"/>
              <w:spacing w:before="0" w:after="0"/>
              <w:contextualSpacing/>
              <w:jc w:val="right"/>
              <w:rPr>
                <w:rFonts w:ascii="Garamond" w:hAnsi="Garamond"/>
                <w:sz w:val="18"/>
                <w:szCs w:val="24"/>
                <w:lang w:val="sq-AL"/>
              </w:rPr>
            </w:pPr>
            <w:r w:rsidRPr="00EE038F">
              <w:rPr>
                <w:rFonts w:ascii="Garamond" w:hAnsi="Garamond"/>
                <w:sz w:val="18"/>
                <w:szCs w:val="24"/>
                <w:lang w:val="sq-AL"/>
              </w:rPr>
              <w:t>6</w:t>
            </w:r>
          </w:p>
        </w:tc>
        <w:tc>
          <w:tcPr>
            <w:tcW w:w="392" w:type="pct"/>
            <w:tcBorders>
              <w:top w:val="dotted" w:sz="4" w:space="0" w:color="auto"/>
              <w:left w:val="single" w:sz="6" w:space="0" w:color="000000"/>
              <w:bottom w:val="dotted" w:sz="4" w:space="0" w:color="auto"/>
              <w:right w:val="dotted" w:sz="4" w:space="0" w:color="auto"/>
            </w:tcBorders>
            <w:shd w:val="clear" w:color="auto" w:fill="auto"/>
          </w:tcPr>
          <w:p w14:paraId="2D92575F"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2.2%</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622E9494"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2.1%</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3006CD08"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2.2%</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0FF46887"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1.8%</w:t>
            </w:r>
          </w:p>
        </w:tc>
        <w:tc>
          <w:tcPr>
            <w:tcW w:w="392" w:type="pct"/>
            <w:tcBorders>
              <w:top w:val="dotted" w:sz="4" w:space="0" w:color="auto"/>
              <w:left w:val="dotted" w:sz="4" w:space="0" w:color="auto"/>
              <w:bottom w:val="dotted" w:sz="4" w:space="0" w:color="auto"/>
            </w:tcBorders>
            <w:shd w:val="clear" w:color="auto" w:fill="auto"/>
          </w:tcPr>
          <w:p w14:paraId="2E5AB47F"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1.8%</w:t>
            </w:r>
          </w:p>
        </w:tc>
      </w:tr>
      <w:tr w:rsidR="00C50585" w:rsidRPr="00EE038F" w14:paraId="3D10DAC8" w14:textId="77777777" w:rsidTr="00066DFC">
        <w:trPr>
          <w:trHeight w:val="20"/>
          <w:jc w:val="center"/>
        </w:trPr>
        <w:tc>
          <w:tcPr>
            <w:tcW w:w="2458" w:type="pct"/>
            <w:tcBorders>
              <w:top w:val="dotted" w:sz="4" w:space="0" w:color="auto"/>
              <w:bottom w:val="dotted" w:sz="4" w:space="0" w:color="auto"/>
              <w:right w:val="dotted" w:sz="4" w:space="0" w:color="auto"/>
            </w:tcBorders>
            <w:shd w:val="clear" w:color="auto" w:fill="auto"/>
          </w:tcPr>
          <w:p w14:paraId="589BE140" w14:textId="77777777" w:rsidR="00C50585" w:rsidRPr="00EE038F" w:rsidRDefault="00C50585" w:rsidP="007C70E7">
            <w:pPr>
              <w:pStyle w:val="Normal8pt"/>
              <w:spacing w:before="0" w:after="0"/>
              <w:contextualSpacing/>
              <w:jc w:val="both"/>
              <w:rPr>
                <w:rFonts w:ascii="Garamond" w:hAnsi="Garamond"/>
                <w:sz w:val="18"/>
                <w:szCs w:val="24"/>
                <w:lang w:val="sq-AL"/>
              </w:rPr>
            </w:pPr>
            <w:r w:rsidRPr="00EE038F">
              <w:rPr>
                <w:rFonts w:ascii="Garamond" w:hAnsi="Garamond"/>
                <w:sz w:val="18"/>
                <w:szCs w:val="24"/>
                <w:lang w:val="sq-AL"/>
              </w:rPr>
              <w:t>7. Shëndeti</w:t>
            </w:r>
          </w:p>
        </w:tc>
        <w:tc>
          <w:tcPr>
            <w:tcW w:w="581" w:type="pct"/>
            <w:tcBorders>
              <w:top w:val="dotted" w:sz="4" w:space="0" w:color="auto"/>
              <w:left w:val="dotted" w:sz="4" w:space="0" w:color="auto"/>
              <w:bottom w:val="dotted" w:sz="4" w:space="0" w:color="auto"/>
              <w:right w:val="single" w:sz="6" w:space="0" w:color="000000"/>
            </w:tcBorders>
            <w:shd w:val="clear" w:color="auto" w:fill="auto"/>
          </w:tcPr>
          <w:p w14:paraId="6F1D3EB8" w14:textId="77777777" w:rsidR="00C50585" w:rsidRPr="00EE038F" w:rsidRDefault="00C50585" w:rsidP="00280C20">
            <w:pPr>
              <w:pStyle w:val="Normal8pt"/>
              <w:spacing w:before="0" w:after="0"/>
              <w:contextualSpacing/>
              <w:jc w:val="right"/>
              <w:rPr>
                <w:rFonts w:ascii="Garamond" w:hAnsi="Garamond"/>
                <w:sz w:val="18"/>
                <w:szCs w:val="24"/>
                <w:lang w:val="sq-AL"/>
              </w:rPr>
            </w:pPr>
            <w:r w:rsidRPr="00EE038F">
              <w:rPr>
                <w:rFonts w:ascii="Garamond" w:hAnsi="Garamond"/>
                <w:sz w:val="18"/>
                <w:szCs w:val="24"/>
                <w:lang w:val="sq-AL"/>
              </w:rPr>
              <w:t>7</w:t>
            </w:r>
          </w:p>
        </w:tc>
        <w:tc>
          <w:tcPr>
            <w:tcW w:w="392" w:type="pct"/>
            <w:tcBorders>
              <w:top w:val="dotted" w:sz="4" w:space="0" w:color="auto"/>
              <w:left w:val="single" w:sz="6" w:space="0" w:color="000000"/>
              <w:bottom w:val="dotted" w:sz="4" w:space="0" w:color="auto"/>
              <w:right w:val="dotted" w:sz="4" w:space="0" w:color="auto"/>
            </w:tcBorders>
            <w:shd w:val="clear" w:color="auto" w:fill="auto"/>
          </w:tcPr>
          <w:p w14:paraId="4FFC1D51"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2.7%</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15FD8BAA"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2.9%</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3AE3A710"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2.9%</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4A8CF464"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2.9%</w:t>
            </w:r>
          </w:p>
        </w:tc>
        <w:tc>
          <w:tcPr>
            <w:tcW w:w="392" w:type="pct"/>
            <w:tcBorders>
              <w:top w:val="dotted" w:sz="4" w:space="0" w:color="auto"/>
              <w:left w:val="dotted" w:sz="4" w:space="0" w:color="auto"/>
              <w:bottom w:val="dotted" w:sz="4" w:space="0" w:color="auto"/>
            </w:tcBorders>
            <w:shd w:val="clear" w:color="auto" w:fill="auto"/>
          </w:tcPr>
          <w:p w14:paraId="1C888988"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2.9%</w:t>
            </w:r>
          </w:p>
        </w:tc>
      </w:tr>
      <w:tr w:rsidR="00C50585" w:rsidRPr="00EE038F" w14:paraId="2BF414EA" w14:textId="77777777" w:rsidTr="00066DFC">
        <w:trPr>
          <w:trHeight w:val="20"/>
          <w:jc w:val="center"/>
        </w:trPr>
        <w:tc>
          <w:tcPr>
            <w:tcW w:w="2458" w:type="pct"/>
            <w:tcBorders>
              <w:top w:val="dotted" w:sz="4" w:space="0" w:color="auto"/>
              <w:bottom w:val="dotted" w:sz="4" w:space="0" w:color="auto"/>
              <w:right w:val="dotted" w:sz="4" w:space="0" w:color="auto"/>
            </w:tcBorders>
            <w:shd w:val="clear" w:color="auto" w:fill="auto"/>
          </w:tcPr>
          <w:p w14:paraId="4AA60339" w14:textId="77777777" w:rsidR="00C50585" w:rsidRPr="00EE038F" w:rsidRDefault="00C50585" w:rsidP="007C70E7">
            <w:pPr>
              <w:pStyle w:val="Normal8pt"/>
              <w:spacing w:before="0" w:after="0"/>
              <w:contextualSpacing/>
              <w:jc w:val="both"/>
              <w:rPr>
                <w:rFonts w:ascii="Garamond" w:hAnsi="Garamond"/>
                <w:sz w:val="18"/>
                <w:szCs w:val="24"/>
                <w:lang w:val="sq-AL"/>
              </w:rPr>
            </w:pPr>
            <w:r w:rsidRPr="00EE038F">
              <w:rPr>
                <w:rFonts w:ascii="Garamond" w:hAnsi="Garamond"/>
                <w:sz w:val="18"/>
                <w:szCs w:val="24"/>
                <w:lang w:val="sq-AL"/>
              </w:rPr>
              <w:t>8. Rekreacioni, kultura dhe feja</w:t>
            </w:r>
          </w:p>
        </w:tc>
        <w:tc>
          <w:tcPr>
            <w:tcW w:w="581" w:type="pct"/>
            <w:tcBorders>
              <w:top w:val="dotted" w:sz="4" w:space="0" w:color="auto"/>
              <w:left w:val="dotted" w:sz="4" w:space="0" w:color="auto"/>
              <w:bottom w:val="dotted" w:sz="4" w:space="0" w:color="auto"/>
              <w:right w:val="single" w:sz="6" w:space="0" w:color="000000"/>
            </w:tcBorders>
            <w:shd w:val="clear" w:color="auto" w:fill="auto"/>
          </w:tcPr>
          <w:p w14:paraId="5DD67001" w14:textId="77777777" w:rsidR="00C50585" w:rsidRPr="00EE038F" w:rsidRDefault="00C50585" w:rsidP="00280C20">
            <w:pPr>
              <w:pStyle w:val="Normal8pt"/>
              <w:spacing w:before="0" w:after="0"/>
              <w:contextualSpacing/>
              <w:jc w:val="right"/>
              <w:rPr>
                <w:rFonts w:ascii="Garamond" w:hAnsi="Garamond"/>
                <w:sz w:val="18"/>
                <w:szCs w:val="24"/>
                <w:lang w:val="sq-AL"/>
              </w:rPr>
            </w:pPr>
            <w:r w:rsidRPr="00EE038F">
              <w:rPr>
                <w:rFonts w:ascii="Garamond" w:hAnsi="Garamond"/>
                <w:sz w:val="18"/>
                <w:szCs w:val="24"/>
                <w:lang w:val="sq-AL"/>
              </w:rPr>
              <w:t>8</w:t>
            </w:r>
          </w:p>
        </w:tc>
        <w:tc>
          <w:tcPr>
            <w:tcW w:w="392" w:type="pct"/>
            <w:tcBorders>
              <w:top w:val="dotted" w:sz="4" w:space="0" w:color="auto"/>
              <w:left w:val="single" w:sz="6" w:space="0" w:color="000000"/>
              <w:bottom w:val="dotted" w:sz="4" w:space="0" w:color="auto"/>
              <w:right w:val="dotted" w:sz="4" w:space="0" w:color="auto"/>
            </w:tcBorders>
            <w:shd w:val="clear" w:color="auto" w:fill="auto"/>
          </w:tcPr>
          <w:p w14:paraId="0693CF74"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0.5%</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6F8A36A2"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0.3%</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245EC61C"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0.5%</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62E2F151"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0.5%</w:t>
            </w:r>
          </w:p>
        </w:tc>
        <w:tc>
          <w:tcPr>
            <w:tcW w:w="392" w:type="pct"/>
            <w:tcBorders>
              <w:top w:val="dotted" w:sz="4" w:space="0" w:color="auto"/>
              <w:left w:val="dotted" w:sz="4" w:space="0" w:color="auto"/>
              <w:bottom w:val="dotted" w:sz="4" w:space="0" w:color="auto"/>
            </w:tcBorders>
            <w:shd w:val="clear" w:color="auto" w:fill="auto"/>
          </w:tcPr>
          <w:p w14:paraId="3750A5C4"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0.5%</w:t>
            </w:r>
          </w:p>
        </w:tc>
      </w:tr>
      <w:tr w:rsidR="00C50585" w:rsidRPr="00EE038F" w14:paraId="35DCAA8F" w14:textId="77777777" w:rsidTr="00066DFC">
        <w:trPr>
          <w:trHeight w:val="20"/>
          <w:jc w:val="center"/>
        </w:trPr>
        <w:tc>
          <w:tcPr>
            <w:tcW w:w="2458" w:type="pct"/>
            <w:tcBorders>
              <w:top w:val="dotted" w:sz="4" w:space="0" w:color="auto"/>
              <w:bottom w:val="dotted" w:sz="4" w:space="0" w:color="auto"/>
              <w:right w:val="dotted" w:sz="4" w:space="0" w:color="auto"/>
            </w:tcBorders>
            <w:shd w:val="clear" w:color="auto" w:fill="auto"/>
          </w:tcPr>
          <w:p w14:paraId="4DD31E23" w14:textId="77777777" w:rsidR="00C50585" w:rsidRPr="00EE038F" w:rsidRDefault="00C50585" w:rsidP="007C70E7">
            <w:pPr>
              <w:pStyle w:val="Normal8pt"/>
              <w:spacing w:before="0" w:after="0"/>
              <w:contextualSpacing/>
              <w:jc w:val="both"/>
              <w:rPr>
                <w:rFonts w:ascii="Garamond" w:hAnsi="Garamond"/>
                <w:sz w:val="18"/>
                <w:szCs w:val="24"/>
                <w:lang w:val="sq-AL"/>
              </w:rPr>
            </w:pPr>
            <w:r w:rsidRPr="00EE038F">
              <w:rPr>
                <w:rFonts w:ascii="Garamond" w:hAnsi="Garamond"/>
                <w:sz w:val="18"/>
                <w:szCs w:val="24"/>
                <w:lang w:val="sq-AL"/>
              </w:rPr>
              <w:t>9. Arsimi</w:t>
            </w:r>
          </w:p>
        </w:tc>
        <w:tc>
          <w:tcPr>
            <w:tcW w:w="581" w:type="pct"/>
            <w:tcBorders>
              <w:top w:val="dotted" w:sz="4" w:space="0" w:color="auto"/>
              <w:left w:val="dotted" w:sz="4" w:space="0" w:color="auto"/>
              <w:bottom w:val="dotted" w:sz="4" w:space="0" w:color="auto"/>
              <w:right w:val="single" w:sz="6" w:space="0" w:color="000000"/>
            </w:tcBorders>
            <w:shd w:val="clear" w:color="auto" w:fill="auto"/>
          </w:tcPr>
          <w:p w14:paraId="37380958" w14:textId="77777777" w:rsidR="00C50585" w:rsidRPr="00EE038F" w:rsidRDefault="00C50585" w:rsidP="00280C20">
            <w:pPr>
              <w:pStyle w:val="Normal8pt"/>
              <w:spacing w:before="0" w:after="0"/>
              <w:contextualSpacing/>
              <w:jc w:val="right"/>
              <w:rPr>
                <w:rFonts w:ascii="Garamond" w:hAnsi="Garamond"/>
                <w:sz w:val="18"/>
                <w:szCs w:val="24"/>
                <w:lang w:val="sq-AL"/>
              </w:rPr>
            </w:pPr>
            <w:r w:rsidRPr="00EE038F">
              <w:rPr>
                <w:rFonts w:ascii="Garamond" w:hAnsi="Garamond"/>
                <w:sz w:val="18"/>
                <w:szCs w:val="24"/>
                <w:lang w:val="sq-AL"/>
              </w:rPr>
              <w:t>9</w:t>
            </w:r>
          </w:p>
        </w:tc>
        <w:tc>
          <w:tcPr>
            <w:tcW w:w="392" w:type="pct"/>
            <w:tcBorders>
              <w:top w:val="dotted" w:sz="4" w:space="0" w:color="auto"/>
              <w:left w:val="single" w:sz="6" w:space="0" w:color="000000"/>
              <w:bottom w:val="dotted" w:sz="4" w:space="0" w:color="auto"/>
              <w:right w:val="dotted" w:sz="4" w:space="0" w:color="auto"/>
            </w:tcBorders>
            <w:shd w:val="clear" w:color="auto" w:fill="auto"/>
          </w:tcPr>
          <w:p w14:paraId="7BCB4CA2"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2.9%</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4147D09F"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3.2%</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7B1B41A5"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3.3%</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5FB247A2"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3.2%</w:t>
            </w:r>
          </w:p>
        </w:tc>
        <w:tc>
          <w:tcPr>
            <w:tcW w:w="392" w:type="pct"/>
            <w:tcBorders>
              <w:top w:val="dotted" w:sz="4" w:space="0" w:color="auto"/>
              <w:left w:val="dotted" w:sz="4" w:space="0" w:color="auto"/>
              <w:bottom w:val="dotted" w:sz="4" w:space="0" w:color="auto"/>
            </w:tcBorders>
            <w:shd w:val="clear" w:color="auto" w:fill="auto"/>
          </w:tcPr>
          <w:p w14:paraId="5572F2E2"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3.2%</w:t>
            </w:r>
          </w:p>
        </w:tc>
      </w:tr>
      <w:tr w:rsidR="00C50585" w:rsidRPr="00EE038F" w14:paraId="22652C2D" w14:textId="77777777" w:rsidTr="00066DFC">
        <w:trPr>
          <w:trHeight w:val="20"/>
          <w:jc w:val="center"/>
        </w:trPr>
        <w:tc>
          <w:tcPr>
            <w:tcW w:w="2458" w:type="pct"/>
            <w:tcBorders>
              <w:top w:val="dotted" w:sz="4" w:space="0" w:color="auto"/>
              <w:bottom w:val="dotted" w:sz="4" w:space="0" w:color="auto"/>
              <w:right w:val="dotted" w:sz="4" w:space="0" w:color="auto"/>
            </w:tcBorders>
            <w:shd w:val="clear" w:color="auto" w:fill="auto"/>
          </w:tcPr>
          <w:p w14:paraId="6D87FD59" w14:textId="77777777" w:rsidR="00C50585" w:rsidRPr="00EE038F" w:rsidRDefault="00C50585" w:rsidP="007C70E7">
            <w:pPr>
              <w:pStyle w:val="Normal8pt"/>
              <w:spacing w:before="0" w:after="0"/>
              <w:contextualSpacing/>
              <w:jc w:val="both"/>
              <w:rPr>
                <w:rFonts w:ascii="Garamond" w:hAnsi="Garamond"/>
                <w:sz w:val="18"/>
                <w:szCs w:val="24"/>
                <w:lang w:val="sq-AL"/>
              </w:rPr>
            </w:pPr>
            <w:r w:rsidRPr="00EE038F">
              <w:rPr>
                <w:rFonts w:ascii="Garamond" w:hAnsi="Garamond"/>
                <w:sz w:val="18"/>
                <w:szCs w:val="24"/>
                <w:lang w:val="sq-AL"/>
              </w:rPr>
              <w:t>10. Mbrojtja sociale</w:t>
            </w:r>
          </w:p>
        </w:tc>
        <w:tc>
          <w:tcPr>
            <w:tcW w:w="581" w:type="pct"/>
            <w:tcBorders>
              <w:top w:val="dotted" w:sz="4" w:space="0" w:color="auto"/>
              <w:left w:val="dotted" w:sz="4" w:space="0" w:color="auto"/>
              <w:bottom w:val="dotted" w:sz="4" w:space="0" w:color="auto"/>
              <w:right w:val="single" w:sz="6" w:space="0" w:color="000000"/>
            </w:tcBorders>
            <w:shd w:val="clear" w:color="auto" w:fill="auto"/>
          </w:tcPr>
          <w:p w14:paraId="150F3187" w14:textId="77777777" w:rsidR="00C50585" w:rsidRPr="00EE038F" w:rsidRDefault="00C50585" w:rsidP="00280C20">
            <w:pPr>
              <w:pStyle w:val="Normal8pt"/>
              <w:spacing w:before="0" w:after="0"/>
              <w:contextualSpacing/>
              <w:jc w:val="right"/>
              <w:rPr>
                <w:rFonts w:ascii="Garamond" w:hAnsi="Garamond"/>
                <w:sz w:val="18"/>
                <w:szCs w:val="24"/>
                <w:lang w:val="sq-AL"/>
              </w:rPr>
            </w:pPr>
            <w:r w:rsidRPr="00EE038F">
              <w:rPr>
                <w:rFonts w:ascii="Garamond" w:hAnsi="Garamond"/>
                <w:sz w:val="18"/>
                <w:szCs w:val="24"/>
                <w:lang w:val="sq-AL"/>
              </w:rPr>
              <w:t>10</w:t>
            </w:r>
          </w:p>
        </w:tc>
        <w:tc>
          <w:tcPr>
            <w:tcW w:w="392" w:type="pct"/>
            <w:tcBorders>
              <w:top w:val="dotted" w:sz="4" w:space="0" w:color="auto"/>
              <w:left w:val="single" w:sz="6" w:space="0" w:color="000000"/>
              <w:bottom w:val="dotted" w:sz="4" w:space="0" w:color="auto"/>
              <w:right w:val="dotted" w:sz="4" w:space="0" w:color="auto"/>
            </w:tcBorders>
            <w:shd w:val="clear" w:color="auto" w:fill="auto"/>
          </w:tcPr>
          <w:p w14:paraId="02EBB4A1"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8.7%</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277D3AE3"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9.5%</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0A48EB5D"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9.5%</w:t>
            </w:r>
          </w:p>
        </w:tc>
        <w:tc>
          <w:tcPr>
            <w:tcW w:w="392" w:type="pct"/>
            <w:tcBorders>
              <w:top w:val="dotted" w:sz="4" w:space="0" w:color="auto"/>
              <w:left w:val="dotted" w:sz="4" w:space="0" w:color="auto"/>
              <w:bottom w:val="dotted" w:sz="4" w:space="0" w:color="auto"/>
              <w:right w:val="dotted" w:sz="4" w:space="0" w:color="auto"/>
            </w:tcBorders>
            <w:shd w:val="clear" w:color="auto" w:fill="auto"/>
          </w:tcPr>
          <w:p w14:paraId="2A7A118C"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9.4%</w:t>
            </w:r>
          </w:p>
        </w:tc>
        <w:tc>
          <w:tcPr>
            <w:tcW w:w="392" w:type="pct"/>
            <w:tcBorders>
              <w:top w:val="dotted" w:sz="4" w:space="0" w:color="auto"/>
              <w:left w:val="dotted" w:sz="4" w:space="0" w:color="auto"/>
              <w:bottom w:val="dotted" w:sz="4" w:space="0" w:color="auto"/>
            </w:tcBorders>
            <w:shd w:val="clear" w:color="auto" w:fill="auto"/>
          </w:tcPr>
          <w:p w14:paraId="27FFFBA2"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9.5%</w:t>
            </w:r>
          </w:p>
        </w:tc>
      </w:tr>
      <w:tr w:rsidR="00C50585" w:rsidRPr="00EE038F" w14:paraId="1286BE93" w14:textId="77777777" w:rsidTr="00066DFC">
        <w:trPr>
          <w:trHeight w:val="20"/>
          <w:jc w:val="center"/>
        </w:trPr>
        <w:tc>
          <w:tcPr>
            <w:tcW w:w="2458" w:type="pct"/>
            <w:tcBorders>
              <w:top w:val="dotted" w:sz="4" w:space="0" w:color="auto"/>
              <w:right w:val="dotted" w:sz="4" w:space="0" w:color="auto"/>
            </w:tcBorders>
            <w:shd w:val="clear" w:color="auto" w:fill="auto"/>
          </w:tcPr>
          <w:p w14:paraId="1E5C8847" w14:textId="77777777" w:rsidR="00C50585" w:rsidRPr="00EE038F" w:rsidRDefault="00C50585" w:rsidP="002018EB">
            <w:pPr>
              <w:pStyle w:val="Normal8pt"/>
              <w:numPr>
                <w:ilvl w:val="0"/>
                <w:numId w:val="7"/>
              </w:numPr>
              <w:spacing w:before="0" w:after="0"/>
              <w:ind w:left="0" w:firstLine="0"/>
              <w:contextualSpacing/>
              <w:jc w:val="both"/>
              <w:rPr>
                <w:rFonts w:ascii="Garamond" w:hAnsi="Garamond"/>
                <w:sz w:val="18"/>
                <w:szCs w:val="24"/>
                <w:lang w:val="sq-AL"/>
              </w:rPr>
            </w:pPr>
            <w:bookmarkStart w:id="46" w:name="_GoBack"/>
            <w:bookmarkEnd w:id="46"/>
            <w:r w:rsidRPr="00EE038F">
              <w:rPr>
                <w:rFonts w:ascii="Garamond" w:hAnsi="Garamond"/>
                <w:sz w:val="18"/>
                <w:szCs w:val="24"/>
                <w:lang w:val="sq-AL"/>
              </w:rPr>
              <w:t>Fondet e paparashikuara dhe Rezerva</w:t>
            </w:r>
          </w:p>
        </w:tc>
        <w:tc>
          <w:tcPr>
            <w:tcW w:w="581" w:type="pct"/>
            <w:tcBorders>
              <w:top w:val="dotted" w:sz="4" w:space="0" w:color="auto"/>
              <w:left w:val="dotted" w:sz="4" w:space="0" w:color="auto"/>
              <w:bottom w:val="double" w:sz="6" w:space="0" w:color="000000"/>
              <w:right w:val="single" w:sz="6" w:space="0" w:color="000000"/>
            </w:tcBorders>
            <w:shd w:val="clear" w:color="auto" w:fill="auto"/>
          </w:tcPr>
          <w:p w14:paraId="5EE4BBAC" w14:textId="77777777" w:rsidR="00C50585" w:rsidRPr="00EE038F" w:rsidRDefault="00C50585" w:rsidP="00280C20">
            <w:pPr>
              <w:pStyle w:val="Normal8pt"/>
              <w:spacing w:before="0" w:after="0"/>
              <w:contextualSpacing/>
              <w:jc w:val="right"/>
              <w:rPr>
                <w:rFonts w:ascii="Garamond" w:hAnsi="Garamond"/>
                <w:sz w:val="18"/>
                <w:szCs w:val="24"/>
                <w:lang w:val="sq-AL"/>
              </w:rPr>
            </w:pPr>
          </w:p>
        </w:tc>
        <w:tc>
          <w:tcPr>
            <w:tcW w:w="392" w:type="pct"/>
            <w:tcBorders>
              <w:top w:val="dotted" w:sz="4" w:space="0" w:color="auto"/>
              <w:left w:val="single" w:sz="6" w:space="0" w:color="000000"/>
              <w:bottom w:val="double" w:sz="6" w:space="0" w:color="000000"/>
              <w:right w:val="dotted" w:sz="4" w:space="0" w:color="auto"/>
            </w:tcBorders>
            <w:shd w:val="clear" w:color="auto" w:fill="auto"/>
          </w:tcPr>
          <w:p w14:paraId="080091F3" w14:textId="77777777" w:rsidR="00C50585" w:rsidRPr="00EE038F" w:rsidRDefault="00C50585" w:rsidP="00280C20">
            <w:pPr>
              <w:pStyle w:val="Normal8pt"/>
              <w:tabs>
                <w:tab w:val="left" w:pos="415"/>
              </w:tabs>
              <w:spacing w:before="0" w:after="0"/>
              <w:contextualSpacing/>
              <w:jc w:val="right"/>
              <w:rPr>
                <w:rFonts w:ascii="Garamond" w:hAnsi="Garamond"/>
                <w:sz w:val="18"/>
                <w:szCs w:val="24"/>
                <w:lang w:val="sq-AL"/>
              </w:rPr>
            </w:pPr>
          </w:p>
        </w:tc>
        <w:tc>
          <w:tcPr>
            <w:tcW w:w="392" w:type="pct"/>
            <w:tcBorders>
              <w:top w:val="dotted" w:sz="4" w:space="0" w:color="auto"/>
              <w:left w:val="dotted" w:sz="4" w:space="0" w:color="auto"/>
              <w:bottom w:val="double" w:sz="6" w:space="0" w:color="000000"/>
              <w:right w:val="dotted" w:sz="4" w:space="0" w:color="auto"/>
            </w:tcBorders>
            <w:shd w:val="clear" w:color="auto" w:fill="auto"/>
          </w:tcPr>
          <w:p w14:paraId="18EBD04D" w14:textId="77777777" w:rsidR="00C50585" w:rsidRPr="00EE038F" w:rsidRDefault="00C50585" w:rsidP="00280C20">
            <w:pPr>
              <w:pStyle w:val="Normal8pt"/>
              <w:tabs>
                <w:tab w:val="left" w:pos="415"/>
              </w:tabs>
              <w:spacing w:before="0" w:after="0"/>
              <w:contextualSpacing/>
              <w:jc w:val="right"/>
              <w:rPr>
                <w:rFonts w:ascii="Garamond" w:hAnsi="Garamond"/>
                <w:sz w:val="18"/>
                <w:szCs w:val="24"/>
                <w:lang w:val="sq-AL"/>
              </w:rPr>
            </w:pPr>
            <w:r w:rsidRPr="00EE038F">
              <w:rPr>
                <w:rFonts w:ascii="Garamond" w:hAnsi="Garamond"/>
                <w:sz w:val="18"/>
                <w:szCs w:val="24"/>
                <w:lang w:val="sq-AL"/>
              </w:rPr>
              <w:t>0.6%</w:t>
            </w:r>
          </w:p>
        </w:tc>
        <w:tc>
          <w:tcPr>
            <w:tcW w:w="392" w:type="pct"/>
            <w:tcBorders>
              <w:top w:val="dotted" w:sz="4" w:space="0" w:color="auto"/>
              <w:left w:val="dotted" w:sz="4" w:space="0" w:color="auto"/>
              <w:bottom w:val="double" w:sz="6" w:space="0" w:color="000000"/>
              <w:right w:val="dotted" w:sz="4" w:space="0" w:color="auto"/>
            </w:tcBorders>
            <w:shd w:val="clear" w:color="auto" w:fill="auto"/>
          </w:tcPr>
          <w:p w14:paraId="29A2D637" w14:textId="77777777" w:rsidR="00C50585" w:rsidRPr="00EE038F" w:rsidRDefault="00C50585" w:rsidP="00280C20">
            <w:pPr>
              <w:pStyle w:val="Normal8pt"/>
              <w:tabs>
                <w:tab w:val="left" w:pos="415"/>
              </w:tabs>
              <w:spacing w:before="0" w:after="0"/>
              <w:contextualSpacing/>
              <w:jc w:val="right"/>
              <w:rPr>
                <w:rFonts w:ascii="Garamond" w:hAnsi="Garamond"/>
                <w:sz w:val="18"/>
                <w:szCs w:val="24"/>
                <w:lang w:val="sq-AL"/>
              </w:rPr>
            </w:pPr>
            <w:r w:rsidRPr="00EE038F">
              <w:rPr>
                <w:rFonts w:ascii="Garamond" w:hAnsi="Garamond"/>
                <w:sz w:val="18"/>
                <w:szCs w:val="24"/>
                <w:lang w:val="sq-AL"/>
              </w:rPr>
              <w:t>0.2%</w:t>
            </w:r>
          </w:p>
        </w:tc>
        <w:tc>
          <w:tcPr>
            <w:tcW w:w="392" w:type="pct"/>
            <w:tcBorders>
              <w:top w:val="dotted" w:sz="4" w:space="0" w:color="auto"/>
              <w:left w:val="dotted" w:sz="4" w:space="0" w:color="auto"/>
              <w:bottom w:val="double" w:sz="6" w:space="0" w:color="000000"/>
              <w:right w:val="dotted" w:sz="4" w:space="0" w:color="auto"/>
            </w:tcBorders>
            <w:shd w:val="clear" w:color="auto" w:fill="auto"/>
          </w:tcPr>
          <w:p w14:paraId="6700D751" w14:textId="77777777" w:rsidR="00C50585" w:rsidRPr="00EE038F" w:rsidRDefault="00C50585" w:rsidP="00280C20">
            <w:pPr>
              <w:pStyle w:val="Normal8pt"/>
              <w:tabs>
                <w:tab w:val="left" w:pos="415"/>
              </w:tabs>
              <w:spacing w:before="0" w:after="0"/>
              <w:contextualSpacing/>
              <w:jc w:val="right"/>
              <w:rPr>
                <w:rFonts w:ascii="Garamond" w:hAnsi="Garamond"/>
                <w:sz w:val="18"/>
                <w:szCs w:val="24"/>
                <w:lang w:val="sq-AL"/>
              </w:rPr>
            </w:pPr>
            <w:r w:rsidRPr="00EE038F">
              <w:rPr>
                <w:rFonts w:ascii="Garamond" w:hAnsi="Garamond"/>
                <w:sz w:val="18"/>
                <w:szCs w:val="24"/>
                <w:lang w:val="sq-AL"/>
              </w:rPr>
              <w:t>0.2%</w:t>
            </w:r>
          </w:p>
        </w:tc>
        <w:tc>
          <w:tcPr>
            <w:tcW w:w="392" w:type="pct"/>
            <w:tcBorders>
              <w:top w:val="dotted" w:sz="4" w:space="0" w:color="auto"/>
              <w:left w:val="dotted" w:sz="4" w:space="0" w:color="auto"/>
              <w:bottom w:val="double" w:sz="6" w:space="0" w:color="000000"/>
            </w:tcBorders>
            <w:shd w:val="clear" w:color="auto" w:fill="auto"/>
          </w:tcPr>
          <w:p w14:paraId="26512860" w14:textId="77777777" w:rsidR="00C50585" w:rsidRPr="00EE038F" w:rsidRDefault="00C50585" w:rsidP="00280C20">
            <w:pPr>
              <w:pStyle w:val="Normal8pt"/>
              <w:tabs>
                <w:tab w:val="left" w:pos="415"/>
              </w:tabs>
              <w:spacing w:before="0" w:after="0"/>
              <w:contextualSpacing/>
              <w:jc w:val="right"/>
              <w:rPr>
                <w:rFonts w:ascii="Garamond" w:hAnsi="Garamond"/>
                <w:sz w:val="18"/>
                <w:szCs w:val="24"/>
                <w:lang w:val="sq-AL"/>
              </w:rPr>
            </w:pPr>
            <w:r w:rsidRPr="00EE038F">
              <w:rPr>
                <w:rFonts w:ascii="Garamond" w:hAnsi="Garamond"/>
                <w:sz w:val="18"/>
                <w:szCs w:val="24"/>
                <w:lang w:val="sq-AL"/>
              </w:rPr>
              <w:t>0.2%</w:t>
            </w:r>
          </w:p>
        </w:tc>
      </w:tr>
      <w:tr w:rsidR="00C50585" w:rsidRPr="00EE038F" w14:paraId="09A727F7" w14:textId="77777777" w:rsidTr="00066DFC">
        <w:trPr>
          <w:trHeight w:val="20"/>
          <w:jc w:val="center"/>
        </w:trPr>
        <w:tc>
          <w:tcPr>
            <w:tcW w:w="2458" w:type="pct"/>
            <w:tcBorders>
              <w:top w:val="dotted" w:sz="4" w:space="0" w:color="auto"/>
              <w:right w:val="dotted" w:sz="4" w:space="0" w:color="auto"/>
            </w:tcBorders>
            <w:shd w:val="clear" w:color="auto" w:fill="auto"/>
          </w:tcPr>
          <w:p w14:paraId="5649BCC2" w14:textId="77777777" w:rsidR="00C50585" w:rsidRPr="00EE038F" w:rsidRDefault="00C50585" w:rsidP="007C70E7">
            <w:pPr>
              <w:pStyle w:val="Normal8pt"/>
              <w:spacing w:before="0" w:after="0"/>
              <w:contextualSpacing/>
              <w:jc w:val="both"/>
              <w:rPr>
                <w:rFonts w:ascii="Garamond" w:hAnsi="Garamond"/>
                <w:sz w:val="18"/>
                <w:szCs w:val="24"/>
                <w:lang w:val="sq-AL"/>
              </w:rPr>
            </w:pPr>
            <w:r w:rsidRPr="00EE038F">
              <w:rPr>
                <w:rFonts w:ascii="Garamond" w:hAnsi="Garamond"/>
                <w:sz w:val="18"/>
                <w:szCs w:val="24"/>
                <w:lang w:val="sq-AL"/>
              </w:rPr>
              <w:t>11. Shpenzimet totale (pika 7=23 në tabelën 2)</w:t>
            </w:r>
          </w:p>
        </w:tc>
        <w:tc>
          <w:tcPr>
            <w:tcW w:w="581" w:type="pct"/>
            <w:tcBorders>
              <w:top w:val="dotted" w:sz="4" w:space="0" w:color="auto"/>
              <w:left w:val="dotted" w:sz="4" w:space="0" w:color="auto"/>
              <w:bottom w:val="double" w:sz="6" w:space="0" w:color="000000"/>
              <w:right w:val="single" w:sz="6" w:space="0" w:color="000000"/>
            </w:tcBorders>
            <w:shd w:val="clear" w:color="auto" w:fill="auto"/>
          </w:tcPr>
          <w:p w14:paraId="65DB3085" w14:textId="77777777" w:rsidR="00C50585" w:rsidRPr="00EE038F" w:rsidRDefault="00C50585" w:rsidP="00280C20">
            <w:pPr>
              <w:pStyle w:val="Normal8pt"/>
              <w:spacing w:before="0" w:after="0"/>
              <w:contextualSpacing/>
              <w:jc w:val="right"/>
              <w:rPr>
                <w:rFonts w:ascii="Garamond" w:hAnsi="Garamond"/>
                <w:sz w:val="18"/>
                <w:szCs w:val="24"/>
                <w:lang w:val="sq-AL"/>
              </w:rPr>
            </w:pPr>
            <w:r w:rsidRPr="00EE038F">
              <w:rPr>
                <w:rFonts w:ascii="Garamond" w:hAnsi="Garamond"/>
                <w:sz w:val="18"/>
                <w:szCs w:val="24"/>
                <w:lang w:val="sq-AL"/>
              </w:rPr>
              <w:t>TE</w:t>
            </w:r>
          </w:p>
        </w:tc>
        <w:tc>
          <w:tcPr>
            <w:tcW w:w="392" w:type="pct"/>
            <w:tcBorders>
              <w:top w:val="dotted" w:sz="4" w:space="0" w:color="auto"/>
              <w:left w:val="single" w:sz="6" w:space="0" w:color="000000"/>
              <w:bottom w:val="double" w:sz="6" w:space="0" w:color="000000"/>
              <w:right w:val="dotted" w:sz="4" w:space="0" w:color="auto"/>
            </w:tcBorders>
            <w:shd w:val="clear" w:color="auto" w:fill="auto"/>
          </w:tcPr>
          <w:p w14:paraId="24E15A8D"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28.5</w:t>
            </w:r>
          </w:p>
        </w:tc>
        <w:tc>
          <w:tcPr>
            <w:tcW w:w="392" w:type="pct"/>
            <w:tcBorders>
              <w:top w:val="dotted" w:sz="4" w:space="0" w:color="auto"/>
              <w:left w:val="dotted" w:sz="4" w:space="0" w:color="auto"/>
              <w:bottom w:val="double" w:sz="6" w:space="0" w:color="000000"/>
              <w:right w:val="dotted" w:sz="4" w:space="0" w:color="auto"/>
            </w:tcBorders>
            <w:shd w:val="clear" w:color="auto" w:fill="auto"/>
          </w:tcPr>
          <w:p w14:paraId="745B8CD7"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30.1</w:t>
            </w:r>
          </w:p>
        </w:tc>
        <w:tc>
          <w:tcPr>
            <w:tcW w:w="392" w:type="pct"/>
            <w:tcBorders>
              <w:top w:val="dotted" w:sz="4" w:space="0" w:color="auto"/>
              <w:left w:val="dotted" w:sz="4" w:space="0" w:color="auto"/>
              <w:bottom w:val="double" w:sz="6" w:space="0" w:color="000000"/>
              <w:right w:val="dotted" w:sz="4" w:space="0" w:color="auto"/>
            </w:tcBorders>
            <w:shd w:val="clear" w:color="auto" w:fill="auto"/>
          </w:tcPr>
          <w:p w14:paraId="77370817"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31.5</w:t>
            </w:r>
          </w:p>
        </w:tc>
        <w:tc>
          <w:tcPr>
            <w:tcW w:w="392" w:type="pct"/>
            <w:tcBorders>
              <w:top w:val="dotted" w:sz="4" w:space="0" w:color="auto"/>
              <w:left w:val="dotted" w:sz="4" w:space="0" w:color="auto"/>
              <w:bottom w:val="double" w:sz="6" w:space="0" w:color="000000"/>
              <w:right w:val="dotted" w:sz="4" w:space="0" w:color="auto"/>
            </w:tcBorders>
            <w:shd w:val="clear" w:color="auto" w:fill="auto"/>
          </w:tcPr>
          <w:p w14:paraId="153E6174"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30.8</w:t>
            </w:r>
          </w:p>
        </w:tc>
        <w:tc>
          <w:tcPr>
            <w:tcW w:w="392" w:type="pct"/>
            <w:tcBorders>
              <w:top w:val="dotted" w:sz="4" w:space="0" w:color="auto"/>
              <w:left w:val="dotted" w:sz="4" w:space="0" w:color="auto"/>
              <w:bottom w:val="double" w:sz="6" w:space="0" w:color="000000"/>
            </w:tcBorders>
            <w:shd w:val="clear" w:color="auto" w:fill="auto"/>
          </w:tcPr>
          <w:p w14:paraId="152D65CD" w14:textId="77777777" w:rsidR="00C50585" w:rsidRPr="00EE038F" w:rsidRDefault="00C50585" w:rsidP="00280C20">
            <w:pPr>
              <w:pStyle w:val="Normal8pt"/>
              <w:tabs>
                <w:tab w:val="left" w:pos="415"/>
              </w:tabs>
              <w:spacing w:before="0" w:after="0"/>
              <w:contextualSpacing/>
              <w:jc w:val="right"/>
              <w:rPr>
                <w:rFonts w:ascii="Garamond" w:hAnsi="Garamond"/>
                <w:b/>
                <w:sz w:val="18"/>
                <w:szCs w:val="24"/>
                <w:lang w:val="sq-AL"/>
              </w:rPr>
            </w:pPr>
            <w:r w:rsidRPr="00EE038F">
              <w:rPr>
                <w:rFonts w:ascii="Garamond" w:hAnsi="Garamond"/>
                <w:sz w:val="18"/>
                <w:szCs w:val="24"/>
                <w:lang w:val="sq-AL"/>
              </w:rPr>
              <w:t>30.8</w:t>
            </w:r>
          </w:p>
        </w:tc>
      </w:tr>
    </w:tbl>
    <w:p w14:paraId="6CB4F4F0" w14:textId="77777777" w:rsidR="00C50585" w:rsidRPr="00EE038F" w:rsidRDefault="00C50585" w:rsidP="00C50585">
      <w:pPr>
        <w:spacing w:after="0" w:line="240" w:lineRule="auto"/>
        <w:contextualSpacing/>
        <w:jc w:val="both"/>
        <w:rPr>
          <w:rFonts w:ascii="Garamond" w:hAnsi="Garamond"/>
          <w:b/>
          <w:color w:val="0D0D0D" w:themeColor="text1" w:themeTint="F2"/>
        </w:rPr>
      </w:pPr>
    </w:p>
    <w:p w14:paraId="3866E60E" w14:textId="042424A3" w:rsidR="00C50585" w:rsidRPr="00EE038F" w:rsidRDefault="00C50585" w:rsidP="00066DFC">
      <w:pPr>
        <w:spacing w:after="0" w:line="240" w:lineRule="auto"/>
        <w:contextualSpacing/>
        <w:jc w:val="center"/>
        <w:rPr>
          <w:rFonts w:ascii="Garamond" w:hAnsi="Garamond"/>
          <w:bCs/>
          <w:i/>
          <w:iCs/>
          <w:sz w:val="24"/>
          <w:szCs w:val="24"/>
        </w:rPr>
      </w:pPr>
      <w:r w:rsidRPr="00EE038F">
        <w:rPr>
          <w:rFonts w:ascii="Garamond" w:hAnsi="Garamond"/>
          <w:bCs/>
          <w:i/>
          <w:iCs/>
          <w:color w:val="0D0D0D" w:themeColor="text1" w:themeTint="F2"/>
          <w:sz w:val="24"/>
          <w:szCs w:val="24"/>
        </w:rPr>
        <w:t>Tabela</w:t>
      </w:r>
      <w:r w:rsidRPr="00EE038F">
        <w:rPr>
          <w:rFonts w:ascii="Garamond" w:hAnsi="Garamond"/>
          <w:bCs/>
          <w:i/>
          <w:iCs/>
          <w:sz w:val="24"/>
          <w:szCs w:val="24"/>
        </w:rPr>
        <w:t xml:space="preserve"> 4: Zhvillimet e borxhit të qeverisë së përgjithshme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2"/>
        <w:gridCol w:w="782"/>
        <w:gridCol w:w="834"/>
        <w:gridCol w:w="834"/>
        <w:gridCol w:w="834"/>
        <w:gridCol w:w="834"/>
        <w:gridCol w:w="840"/>
      </w:tblGrid>
      <w:tr w:rsidR="00C50585" w:rsidRPr="00EE038F" w14:paraId="1DF86C8D" w14:textId="77777777" w:rsidTr="00F42CD5">
        <w:trPr>
          <w:trHeight w:val="20"/>
          <w:jc w:val="center"/>
        </w:trPr>
        <w:tc>
          <w:tcPr>
            <w:tcW w:w="2242" w:type="pct"/>
            <w:tcBorders>
              <w:top w:val="double" w:sz="4" w:space="0" w:color="auto"/>
              <w:left w:val="double" w:sz="4" w:space="0" w:color="auto"/>
              <w:bottom w:val="single" w:sz="6" w:space="0" w:color="000000"/>
              <w:right w:val="dotted" w:sz="4" w:space="0" w:color="auto"/>
            </w:tcBorders>
            <w:vAlign w:val="center"/>
          </w:tcPr>
          <w:p w14:paraId="5E94808C"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eastAsia="Times New Roman" w:hAnsi="Garamond"/>
                <w:b/>
                <w:bCs/>
                <w:color w:val="0D0D0D" w:themeColor="text1" w:themeTint="F2"/>
                <w:sz w:val="18"/>
              </w:rPr>
              <w:t>% e PBB</w:t>
            </w:r>
            <w:r w:rsidRPr="00EE038F">
              <w:rPr>
                <w:rFonts w:ascii="Garamond" w:hAnsi="Garamond"/>
                <w:b/>
                <w:bCs/>
                <w:color w:val="0D0D0D" w:themeColor="text1" w:themeTint="F2"/>
                <w:sz w:val="18"/>
              </w:rPr>
              <w:t>-s</w:t>
            </w:r>
            <w:r w:rsidRPr="00EE038F">
              <w:rPr>
                <w:rFonts w:ascii="Garamond" w:hAnsi="Garamond"/>
                <w:b/>
                <w:bCs/>
                <w:sz w:val="18"/>
              </w:rPr>
              <w:t>ë</w:t>
            </w:r>
          </w:p>
        </w:tc>
        <w:tc>
          <w:tcPr>
            <w:tcW w:w="435" w:type="pct"/>
            <w:tcBorders>
              <w:top w:val="double" w:sz="4" w:space="0" w:color="auto"/>
              <w:left w:val="dotted" w:sz="4" w:space="0" w:color="auto"/>
              <w:bottom w:val="single" w:sz="6" w:space="0" w:color="000000"/>
              <w:right w:val="single" w:sz="6" w:space="0" w:color="000000"/>
            </w:tcBorders>
            <w:vAlign w:val="center"/>
          </w:tcPr>
          <w:p w14:paraId="0214766C"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Kodi</w:t>
            </w:r>
          </w:p>
          <w:p w14:paraId="660FAE80"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ESA</w:t>
            </w:r>
          </w:p>
        </w:tc>
        <w:tc>
          <w:tcPr>
            <w:tcW w:w="464" w:type="pct"/>
            <w:tcBorders>
              <w:top w:val="double" w:sz="4" w:space="0" w:color="auto"/>
              <w:left w:val="dotted" w:sz="4" w:space="0" w:color="auto"/>
              <w:bottom w:val="single" w:sz="4" w:space="0" w:color="auto"/>
              <w:right w:val="dotted" w:sz="4" w:space="0" w:color="auto"/>
            </w:tcBorders>
            <w:vAlign w:val="center"/>
          </w:tcPr>
          <w:p w14:paraId="02A65739"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w:t>
            </w:r>
          </w:p>
          <w:p w14:paraId="426CCD58"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2023</w:t>
            </w:r>
          </w:p>
        </w:tc>
        <w:tc>
          <w:tcPr>
            <w:tcW w:w="464" w:type="pct"/>
            <w:tcBorders>
              <w:top w:val="double" w:sz="4" w:space="0" w:color="auto"/>
              <w:left w:val="dotted" w:sz="4" w:space="0" w:color="auto"/>
              <w:bottom w:val="single" w:sz="4" w:space="0" w:color="auto"/>
              <w:right w:val="dotted" w:sz="4" w:space="0" w:color="auto"/>
            </w:tcBorders>
            <w:vAlign w:val="center"/>
          </w:tcPr>
          <w:p w14:paraId="630E862E"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2024</w:t>
            </w:r>
          </w:p>
        </w:tc>
        <w:tc>
          <w:tcPr>
            <w:tcW w:w="464" w:type="pct"/>
            <w:tcBorders>
              <w:top w:val="double" w:sz="4" w:space="0" w:color="auto"/>
              <w:left w:val="dotted" w:sz="4" w:space="0" w:color="auto"/>
              <w:bottom w:val="single" w:sz="4" w:space="0" w:color="auto"/>
              <w:right w:val="dotted" w:sz="4" w:space="0" w:color="auto"/>
            </w:tcBorders>
            <w:vAlign w:val="center"/>
          </w:tcPr>
          <w:p w14:paraId="3F3E820E"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2025</w:t>
            </w:r>
          </w:p>
        </w:tc>
        <w:tc>
          <w:tcPr>
            <w:tcW w:w="464" w:type="pct"/>
            <w:tcBorders>
              <w:top w:val="double" w:sz="4" w:space="0" w:color="auto"/>
              <w:left w:val="dotted" w:sz="4" w:space="0" w:color="auto"/>
              <w:bottom w:val="single" w:sz="4" w:space="0" w:color="auto"/>
              <w:right w:val="dotted" w:sz="4" w:space="0" w:color="auto"/>
            </w:tcBorders>
            <w:vAlign w:val="center"/>
          </w:tcPr>
          <w:p w14:paraId="5C1029C7"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2026</w:t>
            </w:r>
          </w:p>
        </w:tc>
        <w:tc>
          <w:tcPr>
            <w:tcW w:w="467" w:type="pct"/>
            <w:tcBorders>
              <w:top w:val="double" w:sz="4" w:space="0" w:color="auto"/>
              <w:left w:val="dotted" w:sz="4" w:space="0" w:color="auto"/>
              <w:bottom w:val="single" w:sz="4" w:space="0" w:color="auto"/>
              <w:right w:val="double" w:sz="4" w:space="0" w:color="auto"/>
            </w:tcBorders>
            <w:vAlign w:val="center"/>
          </w:tcPr>
          <w:p w14:paraId="731F9733"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 2027</w:t>
            </w:r>
          </w:p>
        </w:tc>
      </w:tr>
      <w:tr w:rsidR="00C50585" w:rsidRPr="00EE038F" w14:paraId="66E1B0BB" w14:textId="77777777" w:rsidTr="00F42CD5">
        <w:trPr>
          <w:trHeight w:val="20"/>
          <w:jc w:val="center"/>
        </w:trPr>
        <w:tc>
          <w:tcPr>
            <w:tcW w:w="2242" w:type="pct"/>
            <w:tcBorders>
              <w:top w:val="single" w:sz="6" w:space="0" w:color="000000"/>
              <w:left w:val="double" w:sz="4" w:space="0" w:color="auto"/>
              <w:bottom w:val="single" w:sz="4" w:space="0" w:color="auto"/>
              <w:right w:val="dotted" w:sz="4" w:space="0" w:color="auto"/>
            </w:tcBorders>
          </w:tcPr>
          <w:p w14:paraId="5E691BC9"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lastRenderedPageBreak/>
              <w:t>1. Borxhi bruto</w:t>
            </w:r>
            <w:r w:rsidRPr="00EE038F">
              <w:rPr>
                <w:rStyle w:val="FootnoteReference"/>
                <w:rFonts w:ascii="Garamond" w:hAnsi="Garamond"/>
                <w:sz w:val="18"/>
              </w:rPr>
              <w:footnoteReference w:id="34"/>
            </w:r>
          </w:p>
        </w:tc>
        <w:tc>
          <w:tcPr>
            <w:tcW w:w="435" w:type="pct"/>
            <w:tcBorders>
              <w:top w:val="single" w:sz="6" w:space="0" w:color="000000"/>
              <w:left w:val="dotted" w:sz="4" w:space="0" w:color="auto"/>
              <w:bottom w:val="single" w:sz="4" w:space="0" w:color="auto"/>
              <w:right w:val="single" w:sz="6" w:space="0" w:color="000000"/>
            </w:tcBorders>
          </w:tcPr>
          <w:p w14:paraId="015BE190" w14:textId="77777777" w:rsidR="00C50585" w:rsidRPr="00EE038F" w:rsidRDefault="00C50585" w:rsidP="007C70E7">
            <w:pPr>
              <w:spacing w:after="0" w:line="240" w:lineRule="auto"/>
              <w:contextualSpacing/>
              <w:jc w:val="both"/>
              <w:rPr>
                <w:rFonts w:ascii="Garamond" w:hAnsi="Garamond"/>
                <w:sz w:val="18"/>
              </w:rPr>
            </w:pPr>
          </w:p>
        </w:tc>
        <w:tc>
          <w:tcPr>
            <w:tcW w:w="464" w:type="pct"/>
            <w:tcBorders>
              <w:top w:val="single" w:sz="4" w:space="0" w:color="auto"/>
              <w:left w:val="nil"/>
              <w:bottom w:val="single" w:sz="8" w:space="0" w:color="auto"/>
              <w:right w:val="dotted" w:sz="4" w:space="0" w:color="auto"/>
            </w:tcBorders>
            <w:shd w:val="clear" w:color="000000" w:fill="FFFFFF"/>
            <w:vAlign w:val="center"/>
          </w:tcPr>
          <w:p w14:paraId="3CE9083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57.5</w:t>
            </w:r>
          </w:p>
        </w:tc>
        <w:tc>
          <w:tcPr>
            <w:tcW w:w="464" w:type="pct"/>
            <w:tcBorders>
              <w:top w:val="single" w:sz="4" w:space="0" w:color="auto"/>
              <w:left w:val="nil"/>
              <w:bottom w:val="single" w:sz="8" w:space="0" w:color="auto"/>
              <w:right w:val="dotted" w:sz="4" w:space="0" w:color="auto"/>
            </w:tcBorders>
            <w:shd w:val="clear" w:color="000000" w:fill="FFFFFF"/>
            <w:vAlign w:val="center"/>
          </w:tcPr>
          <w:p w14:paraId="52EDC51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55.2</w:t>
            </w:r>
          </w:p>
        </w:tc>
        <w:tc>
          <w:tcPr>
            <w:tcW w:w="464" w:type="pct"/>
            <w:tcBorders>
              <w:top w:val="single" w:sz="4" w:space="0" w:color="auto"/>
              <w:left w:val="nil"/>
              <w:bottom w:val="single" w:sz="8" w:space="0" w:color="auto"/>
              <w:right w:val="dotted" w:sz="4" w:space="0" w:color="auto"/>
            </w:tcBorders>
            <w:shd w:val="clear" w:color="000000" w:fill="FFFFFF"/>
            <w:vAlign w:val="center"/>
          </w:tcPr>
          <w:p w14:paraId="06AF83EA"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54.8</w:t>
            </w:r>
          </w:p>
        </w:tc>
        <w:tc>
          <w:tcPr>
            <w:tcW w:w="464" w:type="pct"/>
            <w:tcBorders>
              <w:top w:val="single" w:sz="4" w:space="0" w:color="auto"/>
              <w:left w:val="nil"/>
              <w:bottom w:val="single" w:sz="8" w:space="0" w:color="auto"/>
              <w:right w:val="dotted" w:sz="4" w:space="0" w:color="auto"/>
            </w:tcBorders>
            <w:shd w:val="clear" w:color="000000" w:fill="FFFFFF"/>
            <w:vAlign w:val="center"/>
          </w:tcPr>
          <w:p w14:paraId="1664591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54.0</w:t>
            </w:r>
          </w:p>
        </w:tc>
        <w:tc>
          <w:tcPr>
            <w:tcW w:w="467" w:type="pct"/>
            <w:tcBorders>
              <w:top w:val="single" w:sz="4" w:space="0" w:color="auto"/>
              <w:left w:val="nil"/>
              <w:bottom w:val="single" w:sz="8" w:space="0" w:color="auto"/>
              <w:right w:val="double" w:sz="6" w:space="0" w:color="auto"/>
            </w:tcBorders>
            <w:shd w:val="clear" w:color="000000" w:fill="FFFFFF"/>
            <w:vAlign w:val="center"/>
          </w:tcPr>
          <w:p w14:paraId="22BA79D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53.2</w:t>
            </w:r>
          </w:p>
        </w:tc>
      </w:tr>
      <w:tr w:rsidR="00C50585" w:rsidRPr="00EE038F" w14:paraId="263EA77C" w14:textId="77777777" w:rsidTr="00F42CD5">
        <w:trPr>
          <w:trHeight w:val="20"/>
          <w:jc w:val="center"/>
        </w:trPr>
        <w:tc>
          <w:tcPr>
            <w:tcW w:w="2242" w:type="pct"/>
            <w:tcBorders>
              <w:top w:val="single" w:sz="4" w:space="0" w:color="auto"/>
              <w:left w:val="double" w:sz="4" w:space="0" w:color="auto"/>
              <w:bottom w:val="single" w:sz="6" w:space="0" w:color="000000"/>
              <w:right w:val="dotted" w:sz="4" w:space="0" w:color="auto"/>
            </w:tcBorders>
          </w:tcPr>
          <w:p w14:paraId="7B45DE88"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2. Ndryshimi në raportin e borxhit bruto</w:t>
            </w:r>
          </w:p>
        </w:tc>
        <w:tc>
          <w:tcPr>
            <w:tcW w:w="435" w:type="pct"/>
            <w:tcBorders>
              <w:top w:val="single" w:sz="4" w:space="0" w:color="auto"/>
              <w:left w:val="dotted" w:sz="4" w:space="0" w:color="auto"/>
              <w:bottom w:val="single" w:sz="6" w:space="0" w:color="000000"/>
              <w:right w:val="single" w:sz="6" w:space="0" w:color="000000"/>
            </w:tcBorders>
          </w:tcPr>
          <w:p w14:paraId="4276F720" w14:textId="77777777" w:rsidR="00C50585" w:rsidRPr="00EE038F" w:rsidRDefault="00C50585" w:rsidP="007C70E7">
            <w:pPr>
              <w:spacing w:after="0" w:line="240" w:lineRule="auto"/>
              <w:contextualSpacing/>
              <w:jc w:val="both"/>
              <w:rPr>
                <w:rFonts w:ascii="Garamond" w:hAnsi="Garamond"/>
                <w:sz w:val="18"/>
              </w:rPr>
            </w:pPr>
          </w:p>
        </w:tc>
        <w:tc>
          <w:tcPr>
            <w:tcW w:w="464" w:type="pct"/>
            <w:tcBorders>
              <w:top w:val="nil"/>
              <w:left w:val="nil"/>
              <w:bottom w:val="single" w:sz="8" w:space="0" w:color="auto"/>
              <w:right w:val="dotted" w:sz="4" w:space="0" w:color="auto"/>
            </w:tcBorders>
            <w:shd w:val="clear" w:color="000000" w:fill="FFFFFF"/>
            <w:vAlign w:val="center"/>
          </w:tcPr>
          <w:p w14:paraId="68F359D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-6.6</w:t>
            </w:r>
          </w:p>
        </w:tc>
        <w:tc>
          <w:tcPr>
            <w:tcW w:w="464" w:type="pct"/>
            <w:tcBorders>
              <w:top w:val="nil"/>
              <w:left w:val="nil"/>
              <w:bottom w:val="single" w:sz="8" w:space="0" w:color="auto"/>
              <w:right w:val="dotted" w:sz="4" w:space="0" w:color="auto"/>
            </w:tcBorders>
            <w:shd w:val="clear" w:color="000000" w:fill="FFFFFF"/>
            <w:vAlign w:val="center"/>
          </w:tcPr>
          <w:p w14:paraId="5ACB924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-2.3</w:t>
            </w:r>
          </w:p>
        </w:tc>
        <w:tc>
          <w:tcPr>
            <w:tcW w:w="464" w:type="pct"/>
            <w:tcBorders>
              <w:top w:val="nil"/>
              <w:left w:val="nil"/>
              <w:bottom w:val="single" w:sz="8" w:space="0" w:color="auto"/>
              <w:right w:val="dotted" w:sz="4" w:space="0" w:color="auto"/>
            </w:tcBorders>
            <w:shd w:val="clear" w:color="000000" w:fill="FFFFFF"/>
            <w:vAlign w:val="center"/>
          </w:tcPr>
          <w:p w14:paraId="4EB7BEE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-0.4</w:t>
            </w:r>
          </w:p>
        </w:tc>
        <w:tc>
          <w:tcPr>
            <w:tcW w:w="464" w:type="pct"/>
            <w:tcBorders>
              <w:top w:val="nil"/>
              <w:left w:val="nil"/>
              <w:bottom w:val="single" w:sz="8" w:space="0" w:color="auto"/>
              <w:right w:val="dotted" w:sz="4" w:space="0" w:color="auto"/>
            </w:tcBorders>
            <w:shd w:val="clear" w:color="000000" w:fill="FFFFFF"/>
            <w:vAlign w:val="center"/>
          </w:tcPr>
          <w:p w14:paraId="7A24841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-0.7</w:t>
            </w:r>
          </w:p>
        </w:tc>
        <w:tc>
          <w:tcPr>
            <w:tcW w:w="467" w:type="pct"/>
            <w:tcBorders>
              <w:top w:val="nil"/>
              <w:left w:val="nil"/>
              <w:bottom w:val="single" w:sz="8" w:space="0" w:color="auto"/>
              <w:right w:val="double" w:sz="6" w:space="0" w:color="auto"/>
            </w:tcBorders>
            <w:shd w:val="clear" w:color="000000" w:fill="FFFFFF"/>
            <w:vAlign w:val="center"/>
          </w:tcPr>
          <w:p w14:paraId="65EBE86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-0.9</w:t>
            </w:r>
          </w:p>
        </w:tc>
      </w:tr>
      <w:tr w:rsidR="00C50585" w:rsidRPr="00EE038F" w14:paraId="7C0EC8D2" w14:textId="77777777" w:rsidTr="00F42CD5">
        <w:trPr>
          <w:trHeight w:val="20"/>
          <w:jc w:val="center"/>
        </w:trPr>
        <w:tc>
          <w:tcPr>
            <w:tcW w:w="5000" w:type="pct"/>
            <w:gridSpan w:val="7"/>
            <w:tcBorders>
              <w:top w:val="single" w:sz="6" w:space="0" w:color="000000"/>
              <w:left w:val="double" w:sz="4" w:space="0" w:color="auto"/>
              <w:bottom w:val="single" w:sz="6" w:space="0" w:color="000000"/>
              <w:right w:val="double" w:sz="4" w:space="0" w:color="auto"/>
            </w:tcBorders>
          </w:tcPr>
          <w:p w14:paraId="4CABF625" w14:textId="77777777" w:rsidR="00C50585" w:rsidRPr="00EE038F" w:rsidRDefault="00C50585" w:rsidP="00280C20">
            <w:pPr>
              <w:spacing w:after="0" w:line="240" w:lineRule="auto"/>
              <w:contextualSpacing/>
              <w:rPr>
                <w:rFonts w:ascii="Garamond" w:hAnsi="Garamond"/>
                <w:b/>
                <w:sz w:val="18"/>
              </w:rPr>
            </w:pPr>
            <w:r w:rsidRPr="00EE038F">
              <w:rPr>
                <w:rFonts w:ascii="Garamond" w:eastAsia="Times New Roman" w:hAnsi="Garamond"/>
                <w:b/>
                <w:bCs/>
                <w:color w:val="0D0D0D" w:themeColor="text1" w:themeTint="F2"/>
                <w:sz w:val="18"/>
              </w:rPr>
              <w:t>Kontributet në ndryshimin e borxhit bruto</w:t>
            </w:r>
          </w:p>
        </w:tc>
      </w:tr>
      <w:tr w:rsidR="00C50585" w:rsidRPr="00EE038F" w14:paraId="0EFDA19E" w14:textId="77777777" w:rsidTr="00F42CD5">
        <w:trPr>
          <w:trHeight w:val="20"/>
          <w:jc w:val="center"/>
        </w:trPr>
        <w:tc>
          <w:tcPr>
            <w:tcW w:w="2242" w:type="pct"/>
            <w:tcBorders>
              <w:top w:val="single" w:sz="6" w:space="0" w:color="000000"/>
              <w:left w:val="double" w:sz="4" w:space="0" w:color="auto"/>
              <w:bottom w:val="dotted" w:sz="4" w:space="0" w:color="auto"/>
              <w:right w:val="dotted" w:sz="4" w:space="0" w:color="auto"/>
            </w:tcBorders>
          </w:tcPr>
          <w:p w14:paraId="5E3B2942"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3. Bilanci primar</w:t>
            </w:r>
            <w:r w:rsidRPr="00EE038F">
              <w:rPr>
                <w:rStyle w:val="FootnoteReference"/>
                <w:rFonts w:ascii="Garamond" w:hAnsi="Garamond"/>
                <w:sz w:val="18"/>
              </w:rPr>
              <w:footnoteReference w:id="35"/>
            </w:r>
          </w:p>
        </w:tc>
        <w:tc>
          <w:tcPr>
            <w:tcW w:w="435" w:type="pct"/>
            <w:tcBorders>
              <w:top w:val="single" w:sz="6" w:space="0" w:color="000000"/>
              <w:left w:val="dotted" w:sz="4" w:space="0" w:color="auto"/>
              <w:bottom w:val="dotted" w:sz="4" w:space="0" w:color="auto"/>
              <w:right w:val="single" w:sz="6" w:space="0" w:color="000000"/>
            </w:tcBorders>
          </w:tcPr>
          <w:p w14:paraId="1EAAA451" w14:textId="77777777" w:rsidR="00C50585" w:rsidRPr="00EE038F" w:rsidRDefault="00C50585" w:rsidP="007C70E7">
            <w:pPr>
              <w:spacing w:after="0" w:line="240" w:lineRule="auto"/>
              <w:contextualSpacing/>
              <w:jc w:val="both"/>
              <w:rPr>
                <w:rFonts w:ascii="Garamond" w:hAnsi="Garamond"/>
                <w:sz w:val="18"/>
              </w:rPr>
            </w:pPr>
          </w:p>
        </w:tc>
        <w:tc>
          <w:tcPr>
            <w:tcW w:w="464" w:type="pct"/>
            <w:tcBorders>
              <w:top w:val="single" w:sz="8" w:space="0" w:color="auto"/>
              <w:left w:val="nil"/>
              <w:bottom w:val="dotted" w:sz="4" w:space="0" w:color="auto"/>
              <w:right w:val="dotted" w:sz="4" w:space="0" w:color="auto"/>
            </w:tcBorders>
            <w:shd w:val="clear" w:color="000000" w:fill="FFFFFF"/>
            <w:vAlign w:val="center"/>
          </w:tcPr>
          <w:p w14:paraId="136E7B0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-0.7</w:t>
            </w:r>
          </w:p>
        </w:tc>
        <w:tc>
          <w:tcPr>
            <w:tcW w:w="464" w:type="pct"/>
            <w:tcBorders>
              <w:top w:val="single" w:sz="8" w:space="0" w:color="auto"/>
              <w:left w:val="nil"/>
              <w:bottom w:val="dotted" w:sz="4" w:space="0" w:color="auto"/>
              <w:right w:val="dotted" w:sz="4" w:space="0" w:color="auto"/>
            </w:tcBorders>
            <w:shd w:val="clear" w:color="000000" w:fill="FFFFFF"/>
            <w:vAlign w:val="center"/>
          </w:tcPr>
          <w:p w14:paraId="1071F5CA"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-0.7</w:t>
            </w:r>
          </w:p>
        </w:tc>
        <w:tc>
          <w:tcPr>
            <w:tcW w:w="464" w:type="pct"/>
            <w:tcBorders>
              <w:top w:val="single" w:sz="8" w:space="0" w:color="auto"/>
              <w:left w:val="nil"/>
              <w:bottom w:val="dotted" w:sz="4" w:space="0" w:color="auto"/>
              <w:right w:val="dotted" w:sz="4" w:space="0" w:color="auto"/>
            </w:tcBorders>
            <w:shd w:val="clear" w:color="000000" w:fill="FFFFFF"/>
            <w:vAlign w:val="center"/>
          </w:tcPr>
          <w:p w14:paraId="7EEEF5B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4" w:type="pct"/>
            <w:tcBorders>
              <w:top w:val="single" w:sz="8" w:space="0" w:color="auto"/>
              <w:left w:val="nil"/>
              <w:bottom w:val="dotted" w:sz="4" w:space="0" w:color="auto"/>
              <w:right w:val="dotted" w:sz="4" w:space="0" w:color="auto"/>
            </w:tcBorders>
            <w:shd w:val="clear" w:color="000000" w:fill="FFFFFF"/>
            <w:vAlign w:val="center"/>
          </w:tcPr>
          <w:p w14:paraId="305625B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-0.7</w:t>
            </w:r>
          </w:p>
        </w:tc>
        <w:tc>
          <w:tcPr>
            <w:tcW w:w="467" w:type="pct"/>
            <w:tcBorders>
              <w:top w:val="single" w:sz="8" w:space="0" w:color="auto"/>
              <w:left w:val="nil"/>
              <w:bottom w:val="dotted" w:sz="4" w:space="0" w:color="auto"/>
              <w:right w:val="double" w:sz="6" w:space="0" w:color="auto"/>
            </w:tcBorders>
            <w:shd w:val="clear" w:color="000000" w:fill="FFFFFF"/>
            <w:vAlign w:val="center"/>
          </w:tcPr>
          <w:p w14:paraId="73F166B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-0.9</w:t>
            </w:r>
          </w:p>
        </w:tc>
      </w:tr>
      <w:tr w:rsidR="00C50585" w:rsidRPr="00EE038F" w14:paraId="4E4B7205" w14:textId="77777777" w:rsidTr="00F42CD5">
        <w:trPr>
          <w:trHeight w:val="20"/>
          <w:jc w:val="center"/>
        </w:trPr>
        <w:tc>
          <w:tcPr>
            <w:tcW w:w="2242" w:type="pct"/>
            <w:tcBorders>
              <w:top w:val="dotted" w:sz="4" w:space="0" w:color="auto"/>
              <w:left w:val="double" w:sz="4" w:space="0" w:color="auto"/>
              <w:bottom w:val="dotted" w:sz="4" w:space="0" w:color="auto"/>
              <w:right w:val="dotted" w:sz="4" w:space="0" w:color="auto"/>
            </w:tcBorders>
          </w:tcPr>
          <w:p w14:paraId="332DF40E"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4. Shpenzimet e interesit</w:t>
            </w:r>
            <w:r w:rsidRPr="00EE038F">
              <w:rPr>
                <w:rStyle w:val="FootnoteReference"/>
                <w:rFonts w:ascii="Garamond" w:hAnsi="Garamond"/>
                <w:sz w:val="18"/>
              </w:rPr>
              <w:footnoteReference w:id="36"/>
            </w:r>
          </w:p>
        </w:tc>
        <w:tc>
          <w:tcPr>
            <w:tcW w:w="435" w:type="pct"/>
            <w:tcBorders>
              <w:top w:val="dotted" w:sz="4" w:space="0" w:color="auto"/>
              <w:left w:val="dotted" w:sz="4" w:space="0" w:color="auto"/>
              <w:bottom w:val="dotted" w:sz="4" w:space="0" w:color="auto"/>
              <w:right w:val="single" w:sz="6" w:space="0" w:color="000000"/>
            </w:tcBorders>
          </w:tcPr>
          <w:p w14:paraId="04F885C5" w14:textId="77777777" w:rsidR="00C50585" w:rsidRPr="00EE038F" w:rsidRDefault="00C50585" w:rsidP="007C70E7">
            <w:pPr>
              <w:spacing w:after="0" w:line="240" w:lineRule="auto"/>
              <w:contextualSpacing/>
              <w:jc w:val="both"/>
              <w:rPr>
                <w:rFonts w:ascii="Garamond" w:hAnsi="Garamond"/>
                <w:sz w:val="18"/>
              </w:rPr>
            </w:pPr>
          </w:p>
        </w:tc>
        <w:tc>
          <w:tcPr>
            <w:tcW w:w="464" w:type="pct"/>
            <w:tcBorders>
              <w:top w:val="dotted" w:sz="4" w:space="0" w:color="auto"/>
              <w:left w:val="nil"/>
              <w:bottom w:val="dotted" w:sz="4" w:space="0" w:color="auto"/>
              <w:right w:val="dotted" w:sz="4" w:space="0" w:color="auto"/>
            </w:tcBorders>
            <w:shd w:val="clear" w:color="000000" w:fill="FFFFFF"/>
            <w:vAlign w:val="center"/>
          </w:tcPr>
          <w:p w14:paraId="4D30916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2.0</w:t>
            </w:r>
          </w:p>
        </w:tc>
        <w:tc>
          <w:tcPr>
            <w:tcW w:w="464" w:type="pct"/>
            <w:tcBorders>
              <w:top w:val="dotted" w:sz="4" w:space="0" w:color="auto"/>
              <w:left w:val="nil"/>
              <w:bottom w:val="dotted" w:sz="4" w:space="0" w:color="auto"/>
              <w:right w:val="dotted" w:sz="4" w:space="0" w:color="auto"/>
            </w:tcBorders>
            <w:shd w:val="clear" w:color="000000" w:fill="FFFFFF"/>
            <w:vAlign w:val="center"/>
          </w:tcPr>
          <w:p w14:paraId="5B464CF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2.2</w:t>
            </w:r>
          </w:p>
        </w:tc>
        <w:tc>
          <w:tcPr>
            <w:tcW w:w="464" w:type="pct"/>
            <w:tcBorders>
              <w:top w:val="dotted" w:sz="4" w:space="0" w:color="auto"/>
              <w:left w:val="nil"/>
              <w:bottom w:val="dotted" w:sz="4" w:space="0" w:color="auto"/>
              <w:right w:val="dotted" w:sz="4" w:space="0" w:color="auto"/>
            </w:tcBorders>
            <w:shd w:val="clear" w:color="000000" w:fill="FFFFFF"/>
            <w:vAlign w:val="center"/>
          </w:tcPr>
          <w:p w14:paraId="330497C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2.6</w:t>
            </w:r>
          </w:p>
        </w:tc>
        <w:tc>
          <w:tcPr>
            <w:tcW w:w="464" w:type="pct"/>
            <w:tcBorders>
              <w:top w:val="dotted" w:sz="4" w:space="0" w:color="auto"/>
              <w:left w:val="nil"/>
              <w:bottom w:val="dotted" w:sz="4" w:space="0" w:color="auto"/>
              <w:right w:val="dotted" w:sz="4" w:space="0" w:color="auto"/>
            </w:tcBorders>
            <w:shd w:val="clear" w:color="000000" w:fill="FFFFFF"/>
            <w:vAlign w:val="center"/>
          </w:tcPr>
          <w:p w14:paraId="524039A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2.5</w:t>
            </w:r>
          </w:p>
        </w:tc>
        <w:tc>
          <w:tcPr>
            <w:tcW w:w="467" w:type="pct"/>
            <w:tcBorders>
              <w:top w:val="dotted" w:sz="4" w:space="0" w:color="auto"/>
              <w:left w:val="nil"/>
              <w:bottom w:val="dotted" w:sz="4" w:space="0" w:color="auto"/>
              <w:right w:val="double" w:sz="6" w:space="0" w:color="auto"/>
            </w:tcBorders>
            <w:shd w:val="clear" w:color="000000" w:fill="FFFFFF"/>
            <w:vAlign w:val="center"/>
          </w:tcPr>
          <w:p w14:paraId="04F1E0D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2.5</w:t>
            </w:r>
          </w:p>
        </w:tc>
      </w:tr>
      <w:tr w:rsidR="00C50585" w:rsidRPr="00EE038F" w14:paraId="57264328" w14:textId="77777777" w:rsidTr="00F42CD5">
        <w:trPr>
          <w:trHeight w:val="20"/>
          <w:jc w:val="center"/>
        </w:trPr>
        <w:tc>
          <w:tcPr>
            <w:tcW w:w="2242" w:type="pct"/>
            <w:tcBorders>
              <w:top w:val="dotted" w:sz="4" w:space="0" w:color="auto"/>
              <w:left w:val="double" w:sz="4" w:space="0" w:color="auto"/>
              <w:bottom w:val="dotted" w:sz="4" w:space="0" w:color="auto"/>
              <w:right w:val="dotted" w:sz="4" w:space="0" w:color="auto"/>
            </w:tcBorders>
          </w:tcPr>
          <w:p w14:paraId="3F620275"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5. Efekti real i rritjes</w:t>
            </w:r>
          </w:p>
        </w:tc>
        <w:tc>
          <w:tcPr>
            <w:tcW w:w="435" w:type="pct"/>
            <w:tcBorders>
              <w:top w:val="dotted" w:sz="4" w:space="0" w:color="auto"/>
              <w:left w:val="dotted" w:sz="4" w:space="0" w:color="auto"/>
              <w:bottom w:val="dotted" w:sz="4" w:space="0" w:color="auto"/>
              <w:right w:val="single" w:sz="6" w:space="0" w:color="000000"/>
            </w:tcBorders>
          </w:tcPr>
          <w:p w14:paraId="2E0517C6" w14:textId="77777777" w:rsidR="00C50585" w:rsidRPr="00EE038F" w:rsidRDefault="00C50585" w:rsidP="007C70E7">
            <w:pPr>
              <w:spacing w:after="0" w:line="240" w:lineRule="auto"/>
              <w:contextualSpacing/>
              <w:jc w:val="both"/>
              <w:rPr>
                <w:rFonts w:ascii="Garamond" w:hAnsi="Garamond"/>
                <w:sz w:val="18"/>
              </w:rPr>
            </w:pPr>
          </w:p>
        </w:tc>
        <w:tc>
          <w:tcPr>
            <w:tcW w:w="464" w:type="pct"/>
            <w:tcBorders>
              <w:top w:val="nil"/>
              <w:left w:val="nil"/>
              <w:bottom w:val="dotted" w:sz="4" w:space="0" w:color="auto"/>
              <w:right w:val="dotted" w:sz="4" w:space="0" w:color="auto"/>
            </w:tcBorders>
            <w:shd w:val="clear" w:color="000000" w:fill="FFFFFF"/>
            <w:vAlign w:val="center"/>
          </w:tcPr>
          <w:p w14:paraId="146DD58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-2.3</w:t>
            </w:r>
          </w:p>
        </w:tc>
        <w:tc>
          <w:tcPr>
            <w:tcW w:w="464" w:type="pct"/>
            <w:tcBorders>
              <w:top w:val="nil"/>
              <w:left w:val="nil"/>
              <w:bottom w:val="dotted" w:sz="4" w:space="0" w:color="auto"/>
              <w:right w:val="dotted" w:sz="4" w:space="0" w:color="auto"/>
            </w:tcBorders>
            <w:shd w:val="clear" w:color="000000" w:fill="FFFFFF"/>
            <w:vAlign w:val="center"/>
          </w:tcPr>
          <w:p w14:paraId="54A58AA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-2.1</w:t>
            </w:r>
          </w:p>
        </w:tc>
        <w:tc>
          <w:tcPr>
            <w:tcW w:w="464" w:type="pct"/>
            <w:tcBorders>
              <w:top w:val="nil"/>
              <w:left w:val="nil"/>
              <w:bottom w:val="dotted" w:sz="4" w:space="0" w:color="auto"/>
              <w:right w:val="dotted" w:sz="4" w:space="0" w:color="auto"/>
            </w:tcBorders>
            <w:shd w:val="clear" w:color="000000" w:fill="FFFFFF"/>
            <w:vAlign w:val="center"/>
          </w:tcPr>
          <w:p w14:paraId="6DC46CF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-2.0</w:t>
            </w:r>
          </w:p>
        </w:tc>
        <w:tc>
          <w:tcPr>
            <w:tcW w:w="464" w:type="pct"/>
            <w:tcBorders>
              <w:top w:val="nil"/>
              <w:left w:val="nil"/>
              <w:bottom w:val="dotted" w:sz="4" w:space="0" w:color="auto"/>
              <w:right w:val="dotted" w:sz="4" w:space="0" w:color="auto"/>
            </w:tcBorders>
            <w:shd w:val="clear" w:color="000000" w:fill="FFFFFF"/>
            <w:vAlign w:val="center"/>
          </w:tcPr>
          <w:p w14:paraId="2394890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-2.1</w:t>
            </w:r>
          </w:p>
        </w:tc>
        <w:tc>
          <w:tcPr>
            <w:tcW w:w="467" w:type="pct"/>
            <w:tcBorders>
              <w:top w:val="nil"/>
              <w:left w:val="nil"/>
              <w:bottom w:val="dotted" w:sz="4" w:space="0" w:color="auto"/>
              <w:right w:val="double" w:sz="6" w:space="0" w:color="auto"/>
            </w:tcBorders>
            <w:shd w:val="clear" w:color="000000" w:fill="FFFFFF"/>
            <w:vAlign w:val="center"/>
          </w:tcPr>
          <w:p w14:paraId="1459E15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-2.0</w:t>
            </w:r>
          </w:p>
        </w:tc>
      </w:tr>
      <w:tr w:rsidR="00C50585" w:rsidRPr="00EE038F" w14:paraId="6E8E49D2" w14:textId="77777777" w:rsidTr="00F42CD5">
        <w:trPr>
          <w:trHeight w:val="20"/>
          <w:jc w:val="center"/>
        </w:trPr>
        <w:tc>
          <w:tcPr>
            <w:tcW w:w="2242" w:type="pct"/>
            <w:tcBorders>
              <w:top w:val="dotted" w:sz="4" w:space="0" w:color="auto"/>
              <w:left w:val="double" w:sz="4" w:space="0" w:color="auto"/>
              <w:bottom w:val="single" w:sz="6" w:space="0" w:color="000000"/>
              <w:right w:val="dotted" w:sz="4" w:space="0" w:color="auto"/>
            </w:tcBorders>
          </w:tcPr>
          <w:p w14:paraId="71EB4818"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6. Efekti i inflacionit</w:t>
            </w:r>
          </w:p>
        </w:tc>
        <w:tc>
          <w:tcPr>
            <w:tcW w:w="435" w:type="pct"/>
            <w:tcBorders>
              <w:top w:val="dotted" w:sz="4" w:space="0" w:color="auto"/>
              <w:left w:val="dotted" w:sz="4" w:space="0" w:color="auto"/>
              <w:bottom w:val="single" w:sz="6" w:space="0" w:color="000000"/>
              <w:right w:val="single" w:sz="6" w:space="0" w:color="000000"/>
            </w:tcBorders>
          </w:tcPr>
          <w:p w14:paraId="6A39B681" w14:textId="77777777" w:rsidR="00C50585" w:rsidRPr="00EE038F" w:rsidRDefault="00C50585" w:rsidP="007C70E7">
            <w:pPr>
              <w:spacing w:after="0" w:line="240" w:lineRule="auto"/>
              <w:contextualSpacing/>
              <w:jc w:val="both"/>
              <w:rPr>
                <w:rFonts w:ascii="Garamond" w:hAnsi="Garamond"/>
                <w:sz w:val="18"/>
              </w:rPr>
            </w:pPr>
          </w:p>
        </w:tc>
        <w:tc>
          <w:tcPr>
            <w:tcW w:w="464" w:type="pct"/>
            <w:tcBorders>
              <w:top w:val="nil"/>
              <w:left w:val="nil"/>
              <w:bottom w:val="single" w:sz="4" w:space="0" w:color="auto"/>
              <w:right w:val="dotted" w:sz="4" w:space="0" w:color="auto"/>
            </w:tcBorders>
            <w:shd w:val="clear" w:color="000000" w:fill="FFFFFF"/>
            <w:vAlign w:val="center"/>
          </w:tcPr>
          <w:p w14:paraId="431B616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-3.5</w:t>
            </w:r>
          </w:p>
        </w:tc>
        <w:tc>
          <w:tcPr>
            <w:tcW w:w="464" w:type="pct"/>
            <w:tcBorders>
              <w:top w:val="nil"/>
              <w:left w:val="nil"/>
              <w:bottom w:val="single" w:sz="4" w:space="0" w:color="auto"/>
              <w:right w:val="dotted" w:sz="4" w:space="0" w:color="auto"/>
            </w:tcBorders>
            <w:shd w:val="clear" w:color="000000" w:fill="FFFFFF"/>
            <w:vAlign w:val="center"/>
          </w:tcPr>
          <w:p w14:paraId="0C73C35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-0.7</w:t>
            </w:r>
          </w:p>
        </w:tc>
        <w:tc>
          <w:tcPr>
            <w:tcW w:w="464" w:type="pct"/>
            <w:tcBorders>
              <w:top w:val="nil"/>
              <w:left w:val="nil"/>
              <w:bottom w:val="single" w:sz="4" w:space="0" w:color="auto"/>
              <w:right w:val="dotted" w:sz="4" w:space="0" w:color="auto"/>
            </w:tcBorders>
            <w:shd w:val="clear" w:color="000000" w:fill="FFFFFF"/>
            <w:vAlign w:val="center"/>
          </w:tcPr>
          <w:p w14:paraId="501AD40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-0.6</w:t>
            </w:r>
          </w:p>
        </w:tc>
        <w:tc>
          <w:tcPr>
            <w:tcW w:w="464" w:type="pct"/>
            <w:tcBorders>
              <w:top w:val="nil"/>
              <w:left w:val="nil"/>
              <w:bottom w:val="single" w:sz="4" w:space="0" w:color="auto"/>
              <w:right w:val="dotted" w:sz="4" w:space="0" w:color="auto"/>
            </w:tcBorders>
            <w:shd w:val="clear" w:color="000000" w:fill="FFFFFF"/>
            <w:vAlign w:val="center"/>
          </w:tcPr>
          <w:p w14:paraId="3044D31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-0.6</w:t>
            </w:r>
          </w:p>
        </w:tc>
        <w:tc>
          <w:tcPr>
            <w:tcW w:w="467" w:type="pct"/>
            <w:tcBorders>
              <w:top w:val="nil"/>
              <w:left w:val="nil"/>
              <w:bottom w:val="single" w:sz="4" w:space="0" w:color="auto"/>
              <w:right w:val="double" w:sz="6" w:space="0" w:color="auto"/>
            </w:tcBorders>
            <w:shd w:val="clear" w:color="000000" w:fill="FFFFFF"/>
            <w:vAlign w:val="center"/>
          </w:tcPr>
          <w:p w14:paraId="5B628B7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-0.6</w:t>
            </w:r>
          </w:p>
        </w:tc>
      </w:tr>
      <w:tr w:rsidR="00C50585" w:rsidRPr="00EE038F" w14:paraId="27461247" w14:textId="77777777" w:rsidTr="00F42CD5">
        <w:trPr>
          <w:trHeight w:val="20"/>
          <w:jc w:val="center"/>
        </w:trPr>
        <w:tc>
          <w:tcPr>
            <w:tcW w:w="2242" w:type="pct"/>
            <w:tcBorders>
              <w:top w:val="single" w:sz="6" w:space="0" w:color="000000"/>
              <w:left w:val="double" w:sz="4" w:space="0" w:color="auto"/>
              <w:bottom w:val="single" w:sz="6" w:space="0" w:color="000000"/>
              <w:right w:val="dotted" w:sz="4" w:space="0" w:color="auto"/>
            </w:tcBorders>
          </w:tcPr>
          <w:p w14:paraId="63B2F074"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7. Rregullimi i stokut-fluksit</w:t>
            </w:r>
          </w:p>
        </w:tc>
        <w:tc>
          <w:tcPr>
            <w:tcW w:w="435" w:type="pct"/>
            <w:tcBorders>
              <w:top w:val="single" w:sz="6" w:space="0" w:color="000000"/>
              <w:left w:val="dotted" w:sz="4" w:space="0" w:color="auto"/>
              <w:bottom w:val="single" w:sz="6" w:space="0" w:color="000000"/>
              <w:right w:val="single" w:sz="6" w:space="0" w:color="000000"/>
            </w:tcBorders>
          </w:tcPr>
          <w:p w14:paraId="62BF7305" w14:textId="77777777" w:rsidR="00C50585" w:rsidRPr="00EE038F" w:rsidRDefault="00C50585" w:rsidP="007C70E7">
            <w:pPr>
              <w:spacing w:after="0" w:line="240" w:lineRule="auto"/>
              <w:contextualSpacing/>
              <w:jc w:val="both"/>
              <w:rPr>
                <w:rFonts w:ascii="Garamond" w:hAnsi="Garamond"/>
                <w:sz w:val="18"/>
              </w:rPr>
            </w:pPr>
          </w:p>
        </w:tc>
        <w:tc>
          <w:tcPr>
            <w:tcW w:w="464" w:type="pct"/>
            <w:tcBorders>
              <w:top w:val="dotted" w:sz="4" w:space="0" w:color="auto"/>
              <w:left w:val="nil"/>
              <w:bottom w:val="single" w:sz="4" w:space="0" w:color="auto"/>
              <w:right w:val="dotted" w:sz="4" w:space="0" w:color="auto"/>
            </w:tcBorders>
            <w:shd w:val="clear" w:color="000000" w:fill="FFFFFF"/>
            <w:vAlign w:val="center"/>
          </w:tcPr>
          <w:p w14:paraId="65AC81B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-2.1</w:t>
            </w:r>
          </w:p>
        </w:tc>
        <w:tc>
          <w:tcPr>
            <w:tcW w:w="464" w:type="pct"/>
            <w:tcBorders>
              <w:top w:val="dotted" w:sz="4" w:space="0" w:color="auto"/>
              <w:left w:val="nil"/>
              <w:bottom w:val="single" w:sz="4" w:space="0" w:color="auto"/>
              <w:right w:val="dotted" w:sz="4" w:space="0" w:color="auto"/>
            </w:tcBorders>
            <w:shd w:val="clear" w:color="000000" w:fill="FFFFFF"/>
            <w:vAlign w:val="center"/>
          </w:tcPr>
          <w:p w14:paraId="25F885A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-1.0</w:t>
            </w:r>
          </w:p>
        </w:tc>
        <w:tc>
          <w:tcPr>
            <w:tcW w:w="464" w:type="pct"/>
            <w:tcBorders>
              <w:top w:val="dotted" w:sz="4" w:space="0" w:color="auto"/>
              <w:left w:val="nil"/>
              <w:bottom w:val="single" w:sz="4" w:space="0" w:color="auto"/>
              <w:right w:val="dotted" w:sz="4" w:space="0" w:color="auto"/>
            </w:tcBorders>
            <w:shd w:val="clear" w:color="000000" w:fill="FFFFFF"/>
            <w:vAlign w:val="center"/>
          </w:tcPr>
          <w:p w14:paraId="4A2CE29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-0.4</w:t>
            </w:r>
          </w:p>
        </w:tc>
        <w:tc>
          <w:tcPr>
            <w:tcW w:w="464" w:type="pct"/>
            <w:tcBorders>
              <w:top w:val="dotted" w:sz="4" w:space="0" w:color="auto"/>
              <w:left w:val="nil"/>
              <w:bottom w:val="single" w:sz="4" w:space="0" w:color="auto"/>
              <w:right w:val="dotted" w:sz="4" w:space="0" w:color="auto"/>
            </w:tcBorders>
            <w:shd w:val="clear" w:color="000000" w:fill="FFFFFF"/>
            <w:vAlign w:val="center"/>
          </w:tcPr>
          <w:p w14:paraId="36FC884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0.1</w:t>
            </w:r>
          </w:p>
        </w:tc>
        <w:tc>
          <w:tcPr>
            <w:tcW w:w="467" w:type="pct"/>
            <w:tcBorders>
              <w:top w:val="dotted" w:sz="4" w:space="0" w:color="auto"/>
              <w:left w:val="nil"/>
              <w:bottom w:val="single" w:sz="4" w:space="0" w:color="auto"/>
              <w:right w:val="double" w:sz="6" w:space="0" w:color="auto"/>
            </w:tcBorders>
            <w:shd w:val="clear" w:color="000000" w:fill="FFFFFF"/>
            <w:vAlign w:val="center"/>
          </w:tcPr>
          <w:p w14:paraId="1105D19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0.2</w:t>
            </w:r>
          </w:p>
        </w:tc>
      </w:tr>
      <w:tr w:rsidR="00C50585" w:rsidRPr="00EE038F" w14:paraId="028FADA1" w14:textId="77777777" w:rsidTr="00F42CD5">
        <w:trPr>
          <w:trHeight w:val="20"/>
          <w:jc w:val="center"/>
        </w:trPr>
        <w:tc>
          <w:tcPr>
            <w:tcW w:w="2242" w:type="pct"/>
            <w:tcBorders>
              <w:top w:val="single" w:sz="6" w:space="0" w:color="000000"/>
              <w:left w:val="double" w:sz="4" w:space="0" w:color="auto"/>
              <w:bottom w:val="dotted" w:sz="4" w:space="0" w:color="auto"/>
              <w:right w:val="dotted" w:sz="4" w:space="0" w:color="auto"/>
            </w:tcBorders>
          </w:tcPr>
          <w:p w14:paraId="4637FCC4"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nga të cilat:</w:t>
            </w:r>
          </w:p>
        </w:tc>
        <w:tc>
          <w:tcPr>
            <w:tcW w:w="435" w:type="pct"/>
            <w:tcBorders>
              <w:top w:val="single" w:sz="6" w:space="0" w:color="000000"/>
              <w:left w:val="dotted" w:sz="4" w:space="0" w:color="auto"/>
              <w:bottom w:val="dotted" w:sz="4" w:space="0" w:color="auto"/>
              <w:right w:val="single" w:sz="6" w:space="0" w:color="000000"/>
            </w:tcBorders>
          </w:tcPr>
          <w:p w14:paraId="6CE8D646" w14:textId="77777777" w:rsidR="00C50585" w:rsidRPr="00EE038F" w:rsidRDefault="00C50585" w:rsidP="007C70E7">
            <w:pPr>
              <w:spacing w:after="0" w:line="240" w:lineRule="auto"/>
              <w:contextualSpacing/>
              <w:jc w:val="both"/>
              <w:rPr>
                <w:rFonts w:ascii="Garamond" w:hAnsi="Garamond"/>
                <w:sz w:val="18"/>
              </w:rPr>
            </w:pPr>
          </w:p>
        </w:tc>
        <w:tc>
          <w:tcPr>
            <w:tcW w:w="464" w:type="pct"/>
            <w:tcBorders>
              <w:top w:val="nil"/>
              <w:left w:val="nil"/>
              <w:bottom w:val="nil"/>
              <w:right w:val="dotted" w:sz="4" w:space="0" w:color="auto"/>
            </w:tcBorders>
            <w:shd w:val="clear" w:color="000000" w:fill="FFFFFF"/>
            <w:vAlign w:val="center"/>
          </w:tcPr>
          <w:p w14:paraId="3B712AE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w:t>
            </w:r>
          </w:p>
        </w:tc>
        <w:tc>
          <w:tcPr>
            <w:tcW w:w="464" w:type="pct"/>
            <w:tcBorders>
              <w:top w:val="nil"/>
              <w:left w:val="nil"/>
              <w:bottom w:val="nil"/>
              <w:right w:val="dotted" w:sz="4" w:space="0" w:color="auto"/>
            </w:tcBorders>
            <w:shd w:val="clear" w:color="000000" w:fill="FFFFFF"/>
            <w:vAlign w:val="center"/>
          </w:tcPr>
          <w:p w14:paraId="7F88845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w:t>
            </w:r>
          </w:p>
        </w:tc>
        <w:tc>
          <w:tcPr>
            <w:tcW w:w="464" w:type="pct"/>
            <w:tcBorders>
              <w:top w:val="nil"/>
              <w:left w:val="nil"/>
              <w:bottom w:val="nil"/>
              <w:right w:val="dotted" w:sz="4" w:space="0" w:color="auto"/>
            </w:tcBorders>
            <w:shd w:val="clear" w:color="000000" w:fill="FFFFFF"/>
            <w:vAlign w:val="center"/>
          </w:tcPr>
          <w:p w14:paraId="334ABB7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w:t>
            </w:r>
          </w:p>
        </w:tc>
        <w:tc>
          <w:tcPr>
            <w:tcW w:w="464" w:type="pct"/>
            <w:tcBorders>
              <w:top w:val="nil"/>
              <w:left w:val="nil"/>
              <w:bottom w:val="nil"/>
              <w:right w:val="dotted" w:sz="4" w:space="0" w:color="auto"/>
            </w:tcBorders>
            <w:shd w:val="clear" w:color="000000" w:fill="FFFFFF"/>
            <w:vAlign w:val="center"/>
          </w:tcPr>
          <w:p w14:paraId="550618B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w:t>
            </w:r>
          </w:p>
        </w:tc>
        <w:tc>
          <w:tcPr>
            <w:tcW w:w="467" w:type="pct"/>
            <w:tcBorders>
              <w:top w:val="nil"/>
              <w:left w:val="nil"/>
              <w:bottom w:val="nil"/>
              <w:right w:val="double" w:sz="6" w:space="0" w:color="auto"/>
            </w:tcBorders>
            <w:shd w:val="clear" w:color="000000" w:fill="FFFFFF"/>
            <w:vAlign w:val="center"/>
          </w:tcPr>
          <w:p w14:paraId="65EE506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w:t>
            </w:r>
          </w:p>
        </w:tc>
      </w:tr>
      <w:tr w:rsidR="00C50585" w:rsidRPr="00EE038F" w14:paraId="7EB09390" w14:textId="77777777" w:rsidTr="00F42CD5">
        <w:trPr>
          <w:trHeight w:val="20"/>
          <w:jc w:val="center"/>
        </w:trPr>
        <w:tc>
          <w:tcPr>
            <w:tcW w:w="2242" w:type="pct"/>
            <w:tcBorders>
              <w:top w:val="dotted" w:sz="4" w:space="0" w:color="auto"/>
              <w:left w:val="double" w:sz="4" w:space="0" w:color="auto"/>
              <w:bottom w:val="dotted" w:sz="4" w:space="0" w:color="auto"/>
              <w:right w:val="dotted" w:sz="4" w:space="0" w:color="auto"/>
            </w:tcBorders>
          </w:tcPr>
          <w:p w14:paraId="5D04B907" w14:textId="364BB579" w:rsidR="00C50585" w:rsidRPr="00EE038F" w:rsidDel="00A4404E" w:rsidRDefault="00AD3D9C" w:rsidP="00F42CD5">
            <w:pPr>
              <w:spacing w:after="0" w:line="240" w:lineRule="auto"/>
              <w:ind w:hanging="34"/>
              <w:contextualSpacing/>
              <w:jc w:val="both"/>
              <w:rPr>
                <w:rFonts w:ascii="Garamond" w:hAnsi="Garamond"/>
                <w:sz w:val="18"/>
              </w:rPr>
            </w:pPr>
            <w:r w:rsidRPr="00EE038F">
              <w:rPr>
                <w:rFonts w:ascii="Garamond" w:hAnsi="Garamond"/>
                <w:sz w:val="18"/>
              </w:rPr>
              <w:t xml:space="preserve"> </w:t>
            </w:r>
            <w:r w:rsidR="00C50585" w:rsidRPr="00EE038F">
              <w:rPr>
                <w:rFonts w:ascii="Garamond" w:hAnsi="Garamond"/>
                <w:sz w:val="18"/>
              </w:rPr>
              <w:t>- Dallimet midis parave të gatshme dhe akrualeve</w:t>
            </w:r>
            <w:r w:rsidR="00C50585" w:rsidRPr="00EE038F">
              <w:rPr>
                <w:rStyle w:val="FootnoteReference"/>
                <w:rFonts w:ascii="Garamond" w:hAnsi="Garamond"/>
                <w:sz w:val="18"/>
              </w:rPr>
              <w:footnoteReference w:id="37"/>
            </w:r>
          </w:p>
        </w:tc>
        <w:tc>
          <w:tcPr>
            <w:tcW w:w="435" w:type="pct"/>
            <w:tcBorders>
              <w:top w:val="dotted" w:sz="4" w:space="0" w:color="auto"/>
              <w:left w:val="dotted" w:sz="4" w:space="0" w:color="auto"/>
              <w:bottom w:val="dotted" w:sz="4" w:space="0" w:color="auto"/>
              <w:right w:val="single" w:sz="6" w:space="0" w:color="000000"/>
            </w:tcBorders>
          </w:tcPr>
          <w:p w14:paraId="193B1C96" w14:textId="77777777" w:rsidR="00C50585" w:rsidRPr="00EE038F" w:rsidDel="00D04BA1" w:rsidRDefault="00C50585" w:rsidP="007C70E7">
            <w:pPr>
              <w:spacing w:after="0" w:line="240" w:lineRule="auto"/>
              <w:contextualSpacing/>
              <w:jc w:val="both"/>
              <w:rPr>
                <w:rFonts w:ascii="Garamond" w:hAnsi="Garamond"/>
                <w:sz w:val="18"/>
              </w:rPr>
            </w:pPr>
          </w:p>
        </w:tc>
        <w:tc>
          <w:tcPr>
            <w:tcW w:w="464" w:type="pct"/>
            <w:tcBorders>
              <w:top w:val="nil"/>
              <w:left w:val="nil"/>
              <w:bottom w:val="nil"/>
              <w:right w:val="dotted" w:sz="4" w:space="0" w:color="auto"/>
            </w:tcBorders>
            <w:shd w:val="clear" w:color="000000" w:fill="FFFFFF"/>
            <w:vAlign w:val="center"/>
          </w:tcPr>
          <w:p w14:paraId="0BC4653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4" w:type="pct"/>
            <w:tcBorders>
              <w:top w:val="nil"/>
              <w:left w:val="nil"/>
              <w:bottom w:val="nil"/>
              <w:right w:val="dotted" w:sz="4" w:space="0" w:color="auto"/>
            </w:tcBorders>
            <w:shd w:val="clear" w:color="000000" w:fill="FFFFFF"/>
            <w:vAlign w:val="center"/>
          </w:tcPr>
          <w:p w14:paraId="086B7D5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4" w:type="pct"/>
            <w:tcBorders>
              <w:top w:val="nil"/>
              <w:left w:val="nil"/>
              <w:bottom w:val="nil"/>
              <w:right w:val="dotted" w:sz="4" w:space="0" w:color="auto"/>
            </w:tcBorders>
            <w:shd w:val="clear" w:color="000000" w:fill="FFFFFF"/>
            <w:vAlign w:val="center"/>
          </w:tcPr>
          <w:p w14:paraId="1EB5543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4" w:type="pct"/>
            <w:tcBorders>
              <w:top w:val="nil"/>
              <w:left w:val="nil"/>
              <w:bottom w:val="nil"/>
              <w:right w:val="dotted" w:sz="4" w:space="0" w:color="auto"/>
            </w:tcBorders>
            <w:shd w:val="clear" w:color="000000" w:fill="FFFFFF"/>
            <w:vAlign w:val="center"/>
          </w:tcPr>
          <w:p w14:paraId="2D6BBBD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7" w:type="pct"/>
            <w:tcBorders>
              <w:top w:val="nil"/>
              <w:left w:val="nil"/>
              <w:bottom w:val="nil"/>
              <w:right w:val="double" w:sz="6" w:space="0" w:color="auto"/>
            </w:tcBorders>
            <w:shd w:val="clear" w:color="000000" w:fill="FFFFFF"/>
            <w:vAlign w:val="center"/>
          </w:tcPr>
          <w:p w14:paraId="1912BB8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r>
      <w:tr w:rsidR="00C50585" w:rsidRPr="00EE038F" w14:paraId="04C88B11" w14:textId="77777777" w:rsidTr="00F42CD5">
        <w:trPr>
          <w:trHeight w:val="20"/>
          <w:jc w:val="center"/>
        </w:trPr>
        <w:tc>
          <w:tcPr>
            <w:tcW w:w="2242" w:type="pct"/>
            <w:tcBorders>
              <w:top w:val="dotted" w:sz="4" w:space="0" w:color="auto"/>
              <w:left w:val="double" w:sz="4" w:space="0" w:color="auto"/>
              <w:bottom w:val="single" w:sz="4" w:space="0" w:color="auto"/>
              <w:right w:val="dotted" w:sz="4" w:space="0" w:color="auto"/>
            </w:tcBorders>
          </w:tcPr>
          <w:p w14:paraId="5719E8A2" w14:textId="77777777" w:rsidR="00C50585" w:rsidRPr="00EE038F" w:rsidRDefault="00C50585" w:rsidP="007C70E7">
            <w:pPr>
              <w:spacing w:after="0" w:line="240" w:lineRule="auto"/>
              <w:ind w:hanging="170"/>
              <w:contextualSpacing/>
              <w:jc w:val="both"/>
              <w:rPr>
                <w:rFonts w:ascii="Garamond" w:hAnsi="Garamond"/>
                <w:sz w:val="18"/>
              </w:rPr>
            </w:pPr>
            <w:r w:rsidRPr="00EE038F">
              <w:rPr>
                <w:rFonts w:ascii="Garamond" w:hAnsi="Garamond"/>
                <w:sz w:val="18"/>
              </w:rPr>
              <w:t>- Akumulimi neto i aktiveve financiare</w:t>
            </w:r>
            <w:r w:rsidRPr="00EE038F">
              <w:rPr>
                <w:rStyle w:val="FootnoteReference"/>
                <w:rFonts w:ascii="Garamond" w:hAnsi="Garamond"/>
                <w:sz w:val="18"/>
              </w:rPr>
              <w:footnoteReference w:id="38"/>
            </w:r>
          </w:p>
        </w:tc>
        <w:tc>
          <w:tcPr>
            <w:tcW w:w="435" w:type="pct"/>
            <w:tcBorders>
              <w:top w:val="dotted" w:sz="4" w:space="0" w:color="auto"/>
              <w:left w:val="dotted" w:sz="4" w:space="0" w:color="auto"/>
              <w:bottom w:val="single" w:sz="4" w:space="0" w:color="auto"/>
              <w:right w:val="single" w:sz="6" w:space="0" w:color="000000"/>
            </w:tcBorders>
          </w:tcPr>
          <w:p w14:paraId="17FE694B" w14:textId="77777777" w:rsidR="00C50585" w:rsidRPr="00EE038F" w:rsidRDefault="00C50585" w:rsidP="007C70E7">
            <w:pPr>
              <w:spacing w:after="0" w:line="240" w:lineRule="auto"/>
              <w:contextualSpacing/>
              <w:jc w:val="both"/>
              <w:rPr>
                <w:rFonts w:ascii="Garamond" w:hAnsi="Garamond"/>
                <w:sz w:val="18"/>
              </w:rPr>
            </w:pPr>
          </w:p>
        </w:tc>
        <w:tc>
          <w:tcPr>
            <w:tcW w:w="464" w:type="pct"/>
            <w:tcBorders>
              <w:top w:val="nil"/>
              <w:left w:val="nil"/>
              <w:bottom w:val="single" w:sz="4" w:space="0" w:color="auto"/>
              <w:right w:val="dotted" w:sz="4" w:space="0" w:color="auto"/>
            </w:tcBorders>
            <w:shd w:val="clear" w:color="000000" w:fill="FFFFFF"/>
            <w:vAlign w:val="center"/>
          </w:tcPr>
          <w:p w14:paraId="161A1EF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4" w:type="pct"/>
            <w:tcBorders>
              <w:top w:val="nil"/>
              <w:left w:val="nil"/>
              <w:bottom w:val="single" w:sz="4" w:space="0" w:color="auto"/>
              <w:right w:val="dotted" w:sz="4" w:space="0" w:color="auto"/>
            </w:tcBorders>
            <w:shd w:val="clear" w:color="000000" w:fill="FFFFFF"/>
            <w:vAlign w:val="center"/>
          </w:tcPr>
          <w:p w14:paraId="0321BBFA"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4" w:type="pct"/>
            <w:tcBorders>
              <w:top w:val="nil"/>
              <w:left w:val="nil"/>
              <w:bottom w:val="single" w:sz="4" w:space="0" w:color="auto"/>
              <w:right w:val="dotted" w:sz="4" w:space="0" w:color="auto"/>
            </w:tcBorders>
            <w:shd w:val="clear" w:color="000000" w:fill="FFFFFF"/>
            <w:vAlign w:val="center"/>
          </w:tcPr>
          <w:p w14:paraId="403510A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4" w:type="pct"/>
            <w:tcBorders>
              <w:top w:val="nil"/>
              <w:left w:val="nil"/>
              <w:bottom w:val="single" w:sz="4" w:space="0" w:color="auto"/>
              <w:right w:val="dotted" w:sz="4" w:space="0" w:color="auto"/>
            </w:tcBorders>
            <w:shd w:val="clear" w:color="000000" w:fill="FFFFFF"/>
            <w:vAlign w:val="center"/>
          </w:tcPr>
          <w:p w14:paraId="4ECDB92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7" w:type="pct"/>
            <w:tcBorders>
              <w:top w:val="nil"/>
              <w:left w:val="nil"/>
              <w:bottom w:val="single" w:sz="4" w:space="0" w:color="auto"/>
              <w:right w:val="double" w:sz="6" w:space="0" w:color="auto"/>
            </w:tcBorders>
            <w:shd w:val="clear" w:color="000000" w:fill="FFFFFF"/>
            <w:vAlign w:val="center"/>
          </w:tcPr>
          <w:p w14:paraId="45450B1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r>
      <w:tr w:rsidR="00C50585" w:rsidRPr="00EE038F" w14:paraId="7C9FB7D6" w14:textId="77777777" w:rsidTr="00F42CD5">
        <w:trPr>
          <w:trHeight w:val="20"/>
          <w:jc w:val="center"/>
        </w:trPr>
        <w:tc>
          <w:tcPr>
            <w:tcW w:w="2242" w:type="pct"/>
            <w:tcBorders>
              <w:top w:val="single" w:sz="4" w:space="0" w:color="auto"/>
              <w:left w:val="double" w:sz="4" w:space="0" w:color="auto"/>
              <w:bottom w:val="dotted" w:sz="4" w:space="0" w:color="auto"/>
              <w:right w:val="dotted" w:sz="4" w:space="0" w:color="auto"/>
            </w:tcBorders>
          </w:tcPr>
          <w:p w14:paraId="1C8BC6BF" w14:textId="77777777" w:rsidR="00C50585" w:rsidRPr="00EE038F" w:rsidRDefault="00C50585" w:rsidP="00F42CD5">
            <w:pPr>
              <w:spacing w:after="0" w:line="240" w:lineRule="auto"/>
              <w:contextualSpacing/>
              <w:jc w:val="both"/>
              <w:rPr>
                <w:rFonts w:ascii="Garamond" w:hAnsi="Garamond"/>
                <w:sz w:val="18"/>
              </w:rPr>
            </w:pPr>
            <w:r w:rsidRPr="00EE038F">
              <w:rPr>
                <w:rFonts w:ascii="Garamond" w:hAnsi="Garamond"/>
                <w:sz w:val="18"/>
              </w:rPr>
              <w:t>nga të cilat:</w:t>
            </w:r>
          </w:p>
        </w:tc>
        <w:tc>
          <w:tcPr>
            <w:tcW w:w="435" w:type="pct"/>
            <w:tcBorders>
              <w:top w:val="single" w:sz="4" w:space="0" w:color="auto"/>
              <w:left w:val="dotted" w:sz="4" w:space="0" w:color="auto"/>
              <w:bottom w:val="dotted" w:sz="4" w:space="0" w:color="auto"/>
              <w:right w:val="single" w:sz="6" w:space="0" w:color="000000"/>
            </w:tcBorders>
          </w:tcPr>
          <w:p w14:paraId="39545060" w14:textId="77777777" w:rsidR="00C50585" w:rsidRPr="00EE038F" w:rsidRDefault="00C50585" w:rsidP="007C70E7">
            <w:pPr>
              <w:spacing w:after="0" w:line="240" w:lineRule="auto"/>
              <w:contextualSpacing/>
              <w:jc w:val="both"/>
              <w:rPr>
                <w:rFonts w:ascii="Garamond" w:hAnsi="Garamond"/>
                <w:sz w:val="18"/>
              </w:rPr>
            </w:pPr>
          </w:p>
        </w:tc>
        <w:tc>
          <w:tcPr>
            <w:tcW w:w="464" w:type="pct"/>
            <w:tcBorders>
              <w:top w:val="single" w:sz="4" w:space="0" w:color="auto"/>
              <w:left w:val="nil"/>
              <w:bottom w:val="nil"/>
              <w:right w:val="dotted" w:sz="4" w:space="0" w:color="auto"/>
            </w:tcBorders>
            <w:shd w:val="clear" w:color="000000" w:fill="FFFFFF"/>
            <w:vAlign w:val="center"/>
          </w:tcPr>
          <w:p w14:paraId="729C352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w:t>
            </w:r>
          </w:p>
        </w:tc>
        <w:tc>
          <w:tcPr>
            <w:tcW w:w="464" w:type="pct"/>
            <w:tcBorders>
              <w:top w:val="single" w:sz="4" w:space="0" w:color="auto"/>
              <w:left w:val="nil"/>
              <w:bottom w:val="nil"/>
              <w:right w:val="dotted" w:sz="4" w:space="0" w:color="auto"/>
            </w:tcBorders>
            <w:shd w:val="clear" w:color="000000" w:fill="FFFFFF"/>
            <w:vAlign w:val="center"/>
          </w:tcPr>
          <w:p w14:paraId="6DB142C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w:t>
            </w:r>
          </w:p>
        </w:tc>
        <w:tc>
          <w:tcPr>
            <w:tcW w:w="464" w:type="pct"/>
            <w:tcBorders>
              <w:top w:val="single" w:sz="4" w:space="0" w:color="auto"/>
              <w:left w:val="nil"/>
              <w:bottom w:val="nil"/>
              <w:right w:val="dotted" w:sz="4" w:space="0" w:color="auto"/>
            </w:tcBorders>
            <w:shd w:val="clear" w:color="000000" w:fill="FFFFFF"/>
            <w:vAlign w:val="center"/>
          </w:tcPr>
          <w:p w14:paraId="445B01E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w:t>
            </w:r>
          </w:p>
        </w:tc>
        <w:tc>
          <w:tcPr>
            <w:tcW w:w="464" w:type="pct"/>
            <w:tcBorders>
              <w:top w:val="single" w:sz="4" w:space="0" w:color="auto"/>
              <w:left w:val="nil"/>
              <w:bottom w:val="nil"/>
              <w:right w:val="dotted" w:sz="4" w:space="0" w:color="auto"/>
            </w:tcBorders>
            <w:shd w:val="clear" w:color="000000" w:fill="FFFFFF"/>
            <w:vAlign w:val="center"/>
          </w:tcPr>
          <w:p w14:paraId="7264539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w:t>
            </w:r>
          </w:p>
        </w:tc>
        <w:tc>
          <w:tcPr>
            <w:tcW w:w="467" w:type="pct"/>
            <w:tcBorders>
              <w:top w:val="single" w:sz="4" w:space="0" w:color="auto"/>
              <w:left w:val="nil"/>
              <w:bottom w:val="nil"/>
              <w:right w:val="double" w:sz="6" w:space="0" w:color="auto"/>
            </w:tcBorders>
            <w:shd w:val="clear" w:color="000000" w:fill="FFFFFF"/>
            <w:vAlign w:val="center"/>
          </w:tcPr>
          <w:p w14:paraId="0DE7471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 </w:t>
            </w:r>
          </w:p>
        </w:tc>
      </w:tr>
      <w:tr w:rsidR="00C50585" w:rsidRPr="00EE038F" w14:paraId="12091C3F" w14:textId="77777777" w:rsidTr="00F42CD5">
        <w:trPr>
          <w:trHeight w:val="20"/>
          <w:jc w:val="center"/>
        </w:trPr>
        <w:tc>
          <w:tcPr>
            <w:tcW w:w="2242" w:type="pct"/>
            <w:tcBorders>
              <w:top w:val="dotted" w:sz="4" w:space="0" w:color="auto"/>
              <w:left w:val="double" w:sz="4" w:space="0" w:color="auto"/>
              <w:bottom w:val="dotted" w:sz="4" w:space="0" w:color="auto"/>
              <w:right w:val="dotted" w:sz="4" w:space="0" w:color="auto"/>
            </w:tcBorders>
          </w:tcPr>
          <w:p w14:paraId="165C9590" w14:textId="21393ED7" w:rsidR="00C50585" w:rsidRPr="00EE038F" w:rsidRDefault="00AD3D9C" w:rsidP="00F42CD5">
            <w:pPr>
              <w:spacing w:after="0" w:line="240" w:lineRule="auto"/>
              <w:contextualSpacing/>
              <w:jc w:val="both"/>
              <w:rPr>
                <w:rFonts w:ascii="Garamond" w:hAnsi="Garamond"/>
                <w:sz w:val="18"/>
              </w:rPr>
            </w:pPr>
            <w:r w:rsidRPr="00EE038F">
              <w:rPr>
                <w:rFonts w:ascii="Garamond" w:hAnsi="Garamond"/>
                <w:sz w:val="18"/>
              </w:rPr>
              <w:t xml:space="preserve"> </w:t>
            </w:r>
            <w:r w:rsidR="00C50585" w:rsidRPr="00EE038F">
              <w:rPr>
                <w:rFonts w:ascii="Garamond" w:hAnsi="Garamond"/>
                <w:sz w:val="18"/>
              </w:rPr>
              <w:t>- Privatizimi vazhdon</w:t>
            </w:r>
          </w:p>
        </w:tc>
        <w:tc>
          <w:tcPr>
            <w:tcW w:w="435" w:type="pct"/>
            <w:tcBorders>
              <w:top w:val="dotted" w:sz="4" w:space="0" w:color="auto"/>
              <w:left w:val="dotted" w:sz="4" w:space="0" w:color="auto"/>
              <w:bottom w:val="dotted" w:sz="4" w:space="0" w:color="auto"/>
              <w:right w:val="single" w:sz="6" w:space="0" w:color="000000"/>
            </w:tcBorders>
          </w:tcPr>
          <w:p w14:paraId="78E282DC" w14:textId="77777777" w:rsidR="00C50585" w:rsidRPr="00EE038F" w:rsidRDefault="00C50585" w:rsidP="007C70E7">
            <w:pPr>
              <w:spacing w:after="0" w:line="240" w:lineRule="auto"/>
              <w:contextualSpacing/>
              <w:jc w:val="both"/>
              <w:rPr>
                <w:rFonts w:ascii="Garamond" w:hAnsi="Garamond"/>
                <w:sz w:val="18"/>
              </w:rPr>
            </w:pPr>
          </w:p>
        </w:tc>
        <w:tc>
          <w:tcPr>
            <w:tcW w:w="464" w:type="pct"/>
            <w:tcBorders>
              <w:top w:val="nil"/>
              <w:left w:val="nil"/>
              <w:bottom w:val="nil"/>
              <w:right w:val="dotted" w:sz="4" w:space="0" w:color="auto"/>
            </w:tcBorders>
            <w:shd w:val="clear" w:color="000000" w:fill="FFFFFF"/>
            <w:vAlign w:val="center"/>
          </w:tcPr>
          <w:p w14:paraId="24C3320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4" w:type="pct"/>
            <w:tcBorders>
              <w:top w:val="nil"/>
              <w:left w:val="nil"/>
              <w:bottom w:val="nil"/>
              <w:right w:val="dotted" w:sz="4" w:space="0" w:color="auto"/>
            </w:tcBorders>
            <w:shd w:val="clear" w:color="000000" w:fill="FFFFFF"/>
            <w:vAlign w:val="center"/>
          </w:tcPr>
          <w:p w14:paraId="6F63E79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4" w:type="pct"/>
            <w:tcBorders>
              <w:top w:val="nil"/>
              <w:left w:val="nil"/>
              <w:bottom w:val="nil"/>
              <w:right w:val="dotted" w:sz="4" w:space="0" w:color="auto"/>
            </w:tcBorders>
            <w:shd w:val="clear" w:color="000000" w:fill="FFFFFF"/>
            <w:vAlign w:val="center"/>
          </w:tcPr>
          <w:p w14:paraId="66B7DDD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4" w:type="pct"/>
            <w:tcBorders>
              <w:top w:val="nil"/>
              <w:left w:val="nil"/>
              <w:bottom w:val="nil"/>
              <w:right w:val="dotted" w:sz="4" w:space="0" w:color="auto"/>
            </w:tcBorders>
            <w:shd w:val="clear" w:color="000000" w:fill="FFFFFF"/>
            <w:vAlign w:val="center"/>
          </w:tcPr>
          <w:p w14:paraId="36C6B9F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7" w:type="pct"/>
            <w:tcBorders>
              <w:top w:val="nil"/>
              <w:left w:val="nil"/>
              <w:bottom w:val="nil"/>
              <w:right w:val="double" w:sz="6" w:space="0" w:color="auto"/>
            </w:tcBorders>
            <w:shd w:val="clear" w:color="000000" w:fill="FFFFFF"/>
            <w:vAlign w:val="center"/>
          </w:tcPr>
          <w:p w14:paraId="00D8A39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r>
      <w:tr w:rsidR="00C50585" w:rsidRPr="00EE038F" w14:paraId="1B20DB71" w14:textId="77777777" w:rsidTr="00F42CD5">
        <w:trPr>
          <w:trHeight w:val="20"/>
          <w:jc w:val="center"/>
        </w:trPr>
        <w:tc>
          <w:tcPr>
            <w:tcW w:w="2242" w:type="pct"/>
            <w:tcBorders>
              <w:top w:val="dotted" w:sz="4" w:space="0" w:color="auto"/>
              <w:left w:val="double" w:sz="4" w:space="0" w:color="auto"/>
              <w:bottom w:val="single" w:sz="6" w:space="0" w:color="000000"/>
              <w:right w:val="dotted" w:sz="4" w:space="0" w:color="auto"/>
            </w:tcBorders>
          </w:tcPr>
          <w:p w14:paraId="028D5371" w14:textId="45525626" w:rsidR="00C50585" w:rsidRPr="00EE038F" w:rsidRDefault="00AD3D9C" w:rsidP="00F42CD5">
            <w:pPr>
              <w:spacing w:after="0" w:line="240" w:lineRule="auto"/>
              <w:contextualSpacing/>
              <w:jc w:val="both"/>
              <w:rPr>
                <w:rFonts w:ascii="Garamond" w:hAnsi="Garamond"/>
                <w:i/>
                <w:sz w:val="18"/>
              </w:rPr>
            </w:pPr>
            <w:r w:rsidRPr="00EE038F">
              <w:rPr>
                <w:rFonts w:ascii="Garamond" w:hAnsi="Garamond"/>
                <w:sz w:val="18"/>
              </w:rPr>
              <w:t xml:space="preserve"> </w:t>
            </w:r>
            <w:r w:rsidR="00C50585" w:rsidRPr="00EE038F">
              <w:rPr>
                <w:rFonts w:ascii="Garamond" w:hAnsi="Garamond"/>
                <w:sz w:val="18"/>
              </w:rPr>
              <w:t>- Efektet e vlerësimit dhe të tjera</w:t>
            </w:r>
            <w:r w:rsidR="00C50585" w:rsidRPr="00EE038F">
              <w:rPr>
                <w:rStyle w:val="FootnoteReference"/>
                <w:rFonts w:ascii="Garamond" w:hAnsi="Garamond"/>
                <w:sz w:val="18"/>
              </w:rPr>
              <w:footnoteReference w:id="39"/>
            </w:r>
          </w:p>
        </w:tc>
        <w:tc>
          <w:tcPr>
            <w:tcW w:w="435" w:type="pct"/>
            <w:tcBorders>
              <w:top w:val="dotted" w:sz="4" w:space="0" w:color="auto"/>
              <w:left w:val="dotted" w:sz="4" w:space="0" w:color="auto"/>
              <w:bottom w:val="single" w:sz="6" w:space="0" w:color="000000"/>
              <w:right w:val="single" w:sz="6" w:space="0" w:color="000000"/>
            </w:tcBorders>
          </w:tcPr>
          <w:p w14:paraId="02C6B7A9" w14:textId="77777777" w:rsidR="00C50585" w:rsidRPr="00EE038F" w:rsidRDefault="00C50585" w:rsidP="007C70E7">
            <w:pPr>
              <w:spacing w:after="0" w:line="240" w:lineRule="auto"/>
              <w:contextualSpacing/>
              <w:jc w:val="both"/>
              <w:rPr>
                <w:rFonts w:ascii="Garamond" w:hAnsi="Garamond"/>
                <w:sz w:val="18"/>
              </w:rPr>
            </w:pPr>
          </w:p>
        </w:tc>
        <w:tc>
          <w:tcPr>
            <w:tcW w:w="464" w:type="pct"/>
            <w:tcBorders>
              <w:top w:val="nil"/>
              <w:left w:val="single" w:sz="8" w:space="0" w:color="auto"/>
              <w:bottom w:val="single" w:sz="4" w:space="0" w:color="auto"/>
              <w:right w:val="dotted" w:sz="4" w:space="0" w:color="auto"/>
            </w:tcBorders>
            <w:shd w:val="clear" w:color="000000" w:fill="FFFFFF"/>
            <w:vAlign w:val="center"/>
          </w:tcPr>
          <w:p w14:paraId="1C80809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4" w:type="pct"/>
            <w:tcBorders>
              <w:top w:val="nil"/>
              <w:left w:val="nil"/>
              <w:bottom w:val="single" w:sz="4" w:space="0" w:color="auto"/>
              <w:right w:val="dotted" w:sz="4" w:space="0" w:color="auto"/>
            </w:tcBorders>
            <w:shd w:val="clear" w:color="000000" w:fill="FFFFFF"/>
            <w:vAlign w:val="center"/>
          </w:tcPr>
          <w:p w14:paraId="08D0E2F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4" w:type="pct"/>
            <w:tcBorders>
              <w:top w:val="nil"/>
              <w:left w:val="nil"/>
              <w:bottom w:val="single" w:sz="4" w:space="0" w:color="auto"/>
              <w:right w:val="dotted" w:sz="4" w:space="0" w:color="auto"/>
            </w:tcBorders>
            <w:shd w:val="clear" w:color="000000" w:fill="FFFFFF"/>
            <w:vAlign w:val="center"/>
          </w:tcPr>
          <w:p w14:paraId="509F352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4" w:type="pct"/>
            <w:tcBorders>
              <w:top w:val="nil"/>
              <w:left w:val="nil"/>
              <w:bottom w:val="single" w:sz="4" w:space="0" w:color="auto"/>
              <w:right w:val="dotted" w:sz="4" w:space="0" w:color="auto"/>
            </w:tcBorders>
            <w:shd w:val="clear" w:color="000000" w:fill="FFFFFF"/>
            <w:vAlign w:val="center"/>
          </w:tcPr>
          <w:p w14:paraId="06C78D4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67" w:type="pct"/>
            <w:tcBorders>
              <w:top w:val="nil"/>
              <w:left w:val="nil"/>
              <w:bottom w:val="single" w:sz="4" w:space="0" w:color="auto"/>
              <w:right w:val="double" w:sz="6" w:space="0" w:color="auto"/>
            </w:tcBorders>
            <w:shd w:val="clear" w:color="000000" w:fill="FFFFFF"/>
            <w:vAlign w:val="center"/>
          </w:tcPr>
          <w:p w14:paraId="30828B2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r>
      <w:tr w:rsidR="00C50585" w:rsidRPr="00EE038F" w14:paraId="188D2991" w14:textId="77777777" w:rsidTr="00F42CD5">
        <w:trPr>
          <w:trHeight w:val="20"/>
          <w:jc w:val="center"/>
        </w:trPr>
        <w:tc>
          <w:tcPr>
            <w:tcW w:w="2242" w:type="pct"/>
            <w:tcBorders>
              <w:top w:val="single" w:sz="6" w:space="0" w:color="000000"/>
              <w:left w:val="double" w:sz="4" w:space="0" w:color="auto"/>
              <w:bottom w:val="single" w:sz="6" w:space="0" w:color="000000"/>
              <w:right w:val="dotted" w:sz="4" w:space="0" w:color="auto"/>
            </w:tcBorders>
          </w:tcPr>
          <w:p w14:paraId="568F3F16" w14:textId="1065CA9C" w:rsidR="00C50585" w:rsidRPr="00EE038F" w:rsidRDefault="00AD3D9C" w:rsidP="007C70E7">
            <w:pPr>
              <w:spacing w:after="0" w:line="240" w:lineRule="auto"/>
              <w:contextualSpacing/>
              <w:jc w:val="both"/>
              <w:rPr>
                <w:rFonts w:ascii="Garamond" w:hAnsi="Garamond"/>
                <w:sz w:val="18"/>
              </w:rPr>
            </w:pPr>
            <w:r w:rsidRPr="00EE038F">
              <w:rPr>
                <w:rFonts w:ascii="Garamond" w:hAnsi="Garamond"/>
                <w:sz w:val="18"/>
              </w:rPr>
              <w:t xml:space="preserve"> </w:t>
            </w:r>
            <w:r w:rsidR="00C50585" w:rsidRPr="00EE038F">
              <w:rPr>
                <w:rFonts w:ascii="Garamond" w:hAnsi="Garamond"/>
                <w:sz w:val="18"/>
              </w:rPr>
              <w:t>p.m. norma e nënkuptuar e interesit për borxhin</w:t>
            </w:r>
            <w:r w:rsidR="00C50585" w:rsidRPr="00EE038F">
              <w:rPr>
                <w:rStyle w:val="FootnoteReference"/>
                <w:rFonts w:ascii="Garamond" w:hAnsi="Garamond"/>
                <w:sz w:val="18"/>
              </w:rPr>
              <w:footnoteReference w:id="40"/>
            </w:r>
          </w:p>
        </w:tc>
        <w:tc>
          <w:tcPr>
            <w:tcW w:w="435" w:type="pct"/>
            <w:tcBorders>
              <w:top w:val="single" w:sz="6" w:space="0" w:color="000000"/>
              <w:left w:val="dotted" w:sz="4" w:space="0" w:color="auto"/>
              <w:bottom w:val="single" w:sz="6" w:space="0" w:color="000000"/>
              <w:right w:val="single" w:sz="6" w:space="0" w:color="000000"/>
            </w:tcBorders>
          </w:tcPr>
          <w:p w14:paraId="5074224E" w14:textId="77777777" w:rsidR="00C50585" w:rsidRPr="00EE038F" w:rsidRDefault="00C50585" w:rsidP="007C70E7">
            <w:pPr>
              <w:spacing w:after="0" w:line="240" w:lineRule="auto"/>
              <w:contextualSpacing/>
              <w:jc w:val="both"/>
              <w:rPr>
                <w:rFonts w:ascii="Garamond" w:hAnsi="Garamond"/>
                <w:sz w:val="18"/>
              </w:rPr>
            </w:pPr>
          </w:p>
        </w:tc>
        <w:tc>
          <w:tcPr>
            <w:tcW w:w="464" w:type="pct"/>
            <w:tcBorders>
              <w:top w:val="nil"/>
              <w:left w:val="single" w:sz="8" w:space="0" w:color="000000"/>
              <w:bottom w:val="single" w:sz="8" w:space="0" w:color="000000"/>
              <w:right w:val="dotted" w:sz="4" w:space="0" w:color="auto"/>
            </w:tcBorders>
            <w:shd w:val="clear" w:color="auto" w:fill="auto"/>
            <w:vAlign w:val="center"/>
          </w:tcPr>
          <w:p w14:paraId="1254F91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3.5</w:t>
            </w:r>
          </w:p>
        </w:tc>
        <w:tc>
          <w:tcPr>
            <w:tcW w:w="464" w:type="pct"/>
            <w:tcBorders>
              <w:top w:val="nil"/>
              <w:left w:val="nil"/>
              <w:bottom w:val="single" w:sz="8" w:space="0" w:color="000000"/>
              <w:right w:val="dotted" w:sz="4" w:space="0" w:color="auto"/>
            </w:tcBorders>
            <w:shd w:val="clear" w:color="auto" w:fill="auto"/>
            <w:vAlign w:val="center"/>
          </w:tcPr>
          <w:p w14:paraId="60E45FF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4.0</w:t>
            </w:r>
          </w:p>
        </w:tc>
        <w:tc>
          <w:tcPr>
            <w:tcW w:w="464" w:type="pct"/>
            <w:tcBorders>
              <w:top w:val="nil"/>
              <w:left w:val="nil"/>
              <w:bottom w:val="single" w:sz="8" w:space="0" w:color="000000"/>
              <w:right w:val="dotted" w:sz="4" w:space="0" w:color="auto"/>
            </w:tcBorders>
            <w:shd w:val="clear" w:color="auto" w:fill="auto"/>
            <w:vAlign w:val="center"/>
          </w:tcPr>
          <w:p w14:paraId="344154B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5.0</w:t>
            </w:r>
          </w:p>
        </w:tc>
        <w:tc>
          <w:tcPr>
            <w:tcW w:w="464" w:type="pct"/>
            <w:tcBorders>
              <w:top w:val="nil"/>
              <w:left w:val="nil"/>
              <w:bottom w:val="single" w:sz="8" w:space="0" w:color="000000"/>
              <w:right w:val="dotted" w:sz="4" w:space="0" w:color="auto"/>
            </w:tcBorders>
            <w:shd w:val="clear" w:color="auto" w:fill="auto"/>
            <w:vAlign w:val="center"/>
          </w:tcPr>
          <w:p w14:paraId="495B410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4.9</w:t>
            </w:r>
          </w:p>
        </w:tc>
        <w:tc>
          <w:tcPr>
            <w:tcW w:w="467" w:type="pct"/>
            <w:tcBorders>
              <w:top w:val="nil"/>
              <w:left w:val="nil"/>
              <w:bottom w:val="single" w:sz="8" w:space="0" w:color="000000"/>
              <w:right w:val="double" w:sz="6" w:space="0" w:color="auto"/>
            </w:tcBorders>
            <w:shd w:val="clear" w:color="auto" w:fill="auto"/>
            <w:vAlign w:val="center"/>
          </w:tcPr>
          <w:p w14:paraId="4CDB6A6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4.8</w:t>
            </w:r>
          </w:p>
        </w:tc>
      </w:tr>
      <w:tr w:rsidR="00C50585" w:rsidRPr="00EE038F" w14:paraId="26E63DA5" w14:textId="77777777" w:rsidTr="00F42CD5">
        <w:trPr>
          <w:trHeight w:val="20"/>
          <w:jc w:val="center"/>
        </w:trPr>
        <w:tc>
          <w:tcPr>
            <w:tcW w:w="5000" w:type="pct"/>
            <w:gridSpan w:val="7"/>
            <w:tcBorders>
              <w:top w:val="single" w:sz="6" w:space="0" w:color="000000"/>
              <w:left w:val="double" w:sz="4" w:space="0" w:color="auto"/>
              <w:bottom w:val="single" w:sz="4" w:space="0" w:color="auto"/>
              <w:right w:val="double" w:sz="4" w:space="0" w:color="auto"/>
            </w:tcBorders>
            <w:vAlign w:val="center"/>
          </w:tcPr>
          <w:p w14:paraId="7A804BBB" w14:textId="77777777" w:rsidR="00C50585" w:rsidRPr="00EE038F" w:rsidRDefault="00C50585" w:rsidP="00280C20">
            <w:pPr>
              <w:spacing w:after="0" w:line="240" w:lineRule="auto"/>
              <w:contextualSpacing/>
              <w:rPr>
                <w:rFonts w:ascii="Garamond" w:hAnsi="Garamond"/>
                <w:sz w:val="18"/>
              </w:rPr>
            </w:pPr>
            <w:r w:rsidRPr="00EE038F">
              <w:rPr>
                <w:rFonts w:ascii="Garamond" w:eastAsia="Times New Roman" w:hAnsi="Garamond"/>
                <w:b/>
                <w:bCs/>
                <w:color w:val="0D0D0D" w:themeColor="text1" w:themeTint="F2"/>
                <w:sz w:val="18"/>
              </w:rPr>
              <w:t>Variabla të tjerë përkatës</w:t>
            </w:r>
          </w:p>
        </w:tc>
      </w:tr>
      <w:tr w:rsidR="00C50585" w:rsidRPr="00EE038F" w14:paraId="2A691A78" w14:textId="77777777" w:rsidTr="00F42CD5">
        <w:trPr>
          <w:trHeight w:val="20"/>
          <w:jc w:val="center"/>
        </w:trPr>
        <w:tc>
          <w:tcPr>
            <w:tcW w:w="2242" w:type="pct"/>
            <w:tcBorders>
              <w:top w:val="single" w:sz="4" w:space="0" w:color="auto"/>
              <w:left w:val="double" w:sz="4" w:space="0" w:color="auto"/>
              <w:bottom w:val="dotted" w:sz="4" w:space="0" w:color="auto"/>
              <w:right w:val="dotted" w:sz="4" w:space="0" w:color="auto"/>
            </w:tcBorders>
          </w:tcPr>
          <w:p w14:paraId="69D7AE64"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8. Asetet financiare likuide</w:t>
            </w:r>
            <w:r w:rsidRPr="00EE038F">
              <w:rPr>
                <w:rStyle w:val="FootnoteReference"/>
                <w:rFonts w:ascii="Garamond" w:hAnsi="Garamond"/>
                <w:sz w:val="18"/>
              </w:rPr>
              <w:footnoteReference w:id="41"/>
            </w:r>
          </w:p>
        </w:tc>
        <w:tc>
          <w:tcPr>
            <w:tcW w:w="435" w:type="pct"/>
            <w:tcBorders>
              <w:top w:val="single" w:sz="4" w:space="0" w:color="auto"/>
              <w:left w:val="dotted" w:sz="4" w:space="0" w:color="auto"/>
              <w:bottom w:val="dotted" w:sz="4" w:space="0" w:color="auto"/>
              <w:right w:val="single" w:sz="4" w:space="0" w:color="auto"/>
            </w:tcBorders>
          </w:tcPr>
          <w:p w14:paraId="124A2F29" w14:textId="77777777" w:rsidR="00C50585" w:rsidRPr="00EE038F" w:rsidRDefault="00C50585" w:rsidP="007C70E7">
            <w:pPr>
              <w:spacing w:after="0" w:line="240" w:lineRule="auto"/>
              <w:contextualSpacing/>
              <w:jc w:val="both"/>
              <w:rPr>
                <w:rFonts w:ascii="Garamond" w:hAnsi="Garamond"/>
                <w:sz w:val="18"/>
              </w:rPr>
            </w:pPr>
          </w:p>
        </w:tc>
        <w:tc>
          <w:tcPr>
            <w:tcW w:w="464" w:type="pct"/>
            <w:tcBorders>
              <w:top w:val="single" w:sz="4" w:space="0" w:color="auto"/>
              <w:left w:val="single" w:sz="8" w:space="0" w:color="auto"/>
              <w:bottom w:val="dotted" w:sz="4" w:space="0" w:color="auto"/>
              <w:right w:val="dotted" w:sz="4" w:space="0" w:color="auto"/>
            </w:tcBorders>
            <w:shd w:val="clear" w:color="000000" w:fill="FFFFFF"/>
            <w:vAlign w:val="center"/>
          </w:tcPr>
          <w:p w14:paraId="430002E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2.0</w:t>
            </w:r>
          </w:p>
        </w:tc>
        <w:tc>
          <w:tcPr>
            <w:tcW w:w="464" w:type="pct"/>
            <w:tcBorders>
              <w:top w:val="single" w:sz="4" w:space="0" w:color="auto"/>
              <w:left w:val="nil"/>
              <w:bottom w:val="dotted" w:sz="4" w:space="0" w:color="auto"/>
              <w:right w:val="dotted" w:sz="4" w:space="0" w:color="auto"/>
            </w:tcBorders>
            <w:shd w:val="clear" w:color="000000" w:fill="FFFFFF"/>
            <w:vAlign w:val="center"/>
          </w:tcPr>
          <w:p w14:paraId="727C049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2.2</w:t>
            </w:r>
          </w:p>
        </w:tc>
        <w:tc>
          <w:tcPr>
            <w:tcW w:w="464" w:type="pct"/>
            <w:tcBorders>
              <w:top w:val="single" w:sz="4" w:space="0" w:color="auto"/>
              <w:left w:val="nil"/>
              <w:bottom w:val="dotted" w:sz="4" w:space="0" w:color="auto"/>
              <w:right w:val="dotted" w:sz="4" w:space="0" w:color="auto"/>
            </w:tcBorders>
            <w:shd w:val="clear" w:color="000000" w:fill="FFFFFF"/>
            <w:vAlign w:val="center"/>
          </w:tcPr>
          <w:p w14:paraId="1AC85F2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1.7</w:t>
            </w:r>
          </w:p>
        </w:tc>
        <w:tc>
          <w:tcPr>
            <w:tcW w:w="464" w:type="pct"/>
            <w:tcBorders>
              <w:top w:val="single" w:sz="4" w:space="0" w:color="auto"/>
              <w:left w:val="nil"/>
              <w:bottom w:val="dotted" w:sz="4" w:space="0" w:color="auto"/>
              <w:right w:val="dotted" w:sz="4" w:space="0" w:color="auto"/>
            </w:tcBorders>
            <w:shd w:val="clear" w:color="000000" w:fill="FFFFFF"/>
            <w:vAlign w:val="center"/>
          </w:tcPr>
          <w:p w14:paraId="13F66C3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1.6</w:t>
            </w:r>
          </w:p>
        </w:tc>
        <w:tc>
          <w:tcPr>
            <w:tcW w:w="467" w:type="pct"/>
            <w:tcBorders>
              <w:top w:val="single" w:sz="4" w:space="0" w:color="auto"/>
              <w:left w:val="nil"/>
              <w:bottom w:val="dotted" w:sz="4" w:space="0" w:color="auto"/>
              <w:right w:val="double" w:sz="6" w:space="0" w:color="auto"/>
            </w:tcBorders>
            <w:shd w:val="clear" w:color="000000" w:fill="FFFFFF"/>
            <w:vAlign w:val="center"/>
          </w:tcPr>
          <w:p w14:paraId="6FA1B9F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1.6</w:t>
            </w:r>
          </w:p>
        </w:tc>
      </w:tr>
      <w:tr w:rsidR="00C50585" w:rsidRPr="00EE038F" w14:paraId="0BA5739B" w14:textId="77777777" w:rsidTr="00F42CD5">
        <w:trPr>
          <w:trHeight w:val="20"/>
          <w:jc w:val="center"/>
        </w:trPr>
        <w:tc>
          <w:tcPr>
            <w:tcW w:w="2242" w:type="pct"/>
            <w:tcBorders>
              <w:top w:val="dotted" w:sz="4" w:space="0" w:color="auto"/>
              <w:left w:val="double" w:sz="4" w:space="0" w:color="auto"/>
              <w:bottom w:val="double" w:sz="4" w:space="0" w:color="auto"/>
              <w:right w:val="dotted" w:sz="4" w:space="0" w:color="auto"/>
            </w:tcBorders>
          </w:tcPr>
          <w:p w14:paraId="1D29354D"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9. Borxhi financiar neto (9 = 1 - 8)</w:t>
            </w:r>
          </w:p>
        </w:tc>
        <w:tc>
          <w:tcPr>
            <w:tcW w:w="435" w:type="pct"/>
            <w:tcBorders>
              <w:top w:val="dotted" w:sz="4" w:space="0" w:color="auto"/>
              <w:left w:val="dotted" w:sz="4" w:space="0" w:color="auto"/>
              <w:bottom w:val="double" w:sz="4" w:space="0" w:color="auto"/>
              <w:right w:val="single" w:sz="4" w:space="0" w:color="auto"/>
            </w:tcBorders>
          </w:tcPr>
          <w:p w14:paraId="50EE9E4B" w14:textId="77777777" w:rsidR="00C50585" w:rsidRPr="00EE038F" w:rsidRDefault="00C50585" w:rsidP="007C70E7">
            <w:pPr>
              <w:spacing w:after="0" w:line="240" w:lineRule="auto"/>
              <w:contextualSpacing/>
              <w:jc w:val="both"/>
              <w:rPr>
                <w:rFonts w:ascii="Garamond" w:hAnsi="Garamond"/>
                <w:sz w:val="18"/>
              </w:rPr>
            </w:pPr>
          </w:p>
        </w:tc>
        <w:tc>
          <w:tcPr>
            <w:tcW w:w="464" w:type="pct"/>
            <w:tcBorders>
              <w:top w:val="dotted" w:sz="4" w:space="0" w:color="auto"/>
              <w:left w:val="single" w:sz="8" w:space="0" w:color="auto"/>
              <w:bottom w:val="double" w:sz="6" w:space="0" w:color="auto"/>
              <w:right w:val="dotted" w:sz="4" w:space="0" w:color="auto"/>
            </w:tcBorders>
            <w:shd w:val="clear" w:color="000000" w:fill="FFFFFF"/>
            <w:vAlign w:val="center"/>
          </w:tcPr>
          <w:p w14:paraId="6D3B7C7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55.5</w:t>
            </w:r>
          </w:p>
        </w:tc>
        <w:tc>
          <w:tcPr>
            <w:tcW w:w="464" w:type="pct"/>
            <w:tcBorders>
              <w:top w:val="dotted" w:sz="4" w:space="0" w:color="auto"/>
              <w:left w:val="nil"/>
              <w:bottom w:val="double" w:sz="6" w:space="0" w:color="auto"/>
              <w:right w:val="dotted" w:sz="4" w:space="0" w:color="auto"/>
            </w:tcBorders>
            <w:shd w:val="clear" w:color="000000" w:fill="FFFFFF"/>
            <w:vAlign w:val="center"/>
          </w:tcPr>
          <w:p w14:paraId="1E2387B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53.0</w:t>
            </w:r>
          </w:p>
        </w:tc>
        <w:tc>
          <w:tcPr>
            <w:tcW w:w="464" w:type="pct"/>
            <w:tcBorders>
              <w:top w:val="dotted" w:sz="4" w:space="0" w:color="auto"/>
              <w:left w:val="nil"/>
              <w:bottom w:val="double" w:sz="6" w:space="0" w:color="auto"/>
              <w:right w:val="dotted" w:sz="4" w:space="0" w:color="auto"/>
            </w:tcBorders>
            <w:shd w:val="clear" w:color="000000" w:fill="FFFFFF"/>
            <w:vAlign w:val="center"/>
          </w:tcPr>
          <w:p w14:paraId="5419B22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53.1</w:t>
            </w:r>
          </w:p>
        </w:tc>
        <w:tc>
          <w:tcPr>
            <w:tcW w:w="464" w:type="pct"/>
            <w:tcBorders>
              <w:top w:val="dotted" w:sz="4" w:space="0" w:color="auto"/>
              <w:left w:val="nil"/>
              <w:bottom w:val="double" w:sz="6" w:space="0" w:color="auto"/>
              <w:right w:val="dotted" w:sz="4" w:space="0" w:color="auto"/>
            </w:tcBorders>
            <w:shd w:val="clear" w:color="000000" w:fill="FFFFFF"/>
            <w:vAlign w:val="center"/>
          </w:tcPr>
          <w:p w14:paraId="78D51B2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52.5</w:t>
            </w:r>
          </w:p>
        </w:tc>
        <w:tc>
          <w:tcPr>
            <w:tcW w:w="467" w:type="pct"/>
            <w:tcBorders>
              <w:top w:val="dotted" w:sz="4" w:space="0" w:color="auto"/>
              <w:left w:val="nil"/>
              <w:bottom w:val="double" w:sz="6" w:space="0" w:color="auto"/>
              <w:right w:val="double" w:sz="6" w:space="0" w:color="auto"/>
            </w:tcBorders>
            <w:shd w:val="clear" w:color="000000" w:fill="FFFFFF"/>
            <w:vAlign w:val="center"/>
          </w:tcPr>
          <w:p w14:paraId="227F607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51.5</w:t>
            </w:r>
          </w:p>
        </w:tc>
      </w:tr>
    </w:tbl>
    <w:p w14:paraId="6550ACC4" w14:textId="77777777" w:rsidR="00F445C3" w:rsidRPr="00EE038F" w:rsidRDefault="00F445C3" w:rsidP="00C50585">
      <w:pPr>
        <w:spacing w:after="0" w:line="240" w:lineRule="auto"/>
        <w:contextualSpacing/>
        <w:jc w:val="both"/>
        <w:rPr>
          <w:rFonts w:ascii="Garamond" w:hAnsi="Garamond"/>
          <w:b/>
          <w:color w:val="0D0D0D" w:themeColor="text1" w:themeTint="F2"/>
        </w:rPr>
      </w:pPr>
    </w:p>
    <w:p w14:paraId="6300C287" w14:textId="77777777" w:rsidR="00C50585" w:rsidRPr="00EE038F" w:rsidRDefault="00C50585" w:rsidP="00066DFC">
      <w:pPr>
        <w:spacing w:after="0" w:line="240" w:lineRule="auto"/>
        <w:contextualSpacing/>
        <w:jc w:val="center"/>
        <w:rPr>
          <w:rFonts w:ascii="Garamond" w:hAnsi="Garamond"/>
          <w:bCs/>
          <w:i/>
          <w:iCs/>
          <w:sz w:val="24"/>
          <w:szCs w:val="24"/>
        </w:rPr>
      </w:pPr>
      <w:r w:rsidRPr="00EE038F">
        <w:rPr>
          <w:rFonts w:ascii="Garamond" w:hAnsi="Garamond"/>
          <w:bCs/>
          <w:i/>
          <w:iCs/>
          <w:color w:val="0D0D0D" w:themeColor="text1" w:themeTint="F2"/>
          <w:sz w:val="24"/>
          <w:szCs w:val="24"/>
        </w:rPr>
        <w:t>Tabela</w:t>
      </w:r>
      <w:r w:rsidRPr="00EE038F">
        <w:rPr>
          <w:rFonts w:ascii="Garamond" w:hAnsi="Garamond"/>
          <w:bCs/>
          <w:i/>
          <w:iCs/>
          <w:sz w:val="24"/>
          <w:szCs w:val="24"/>
        </w:rPr>
        <w:t xml:space="preserve"> 5: Zhvillimet ciklike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6"/>
        <w:gridCol w:w="1191"/>
        <w:gridCol w:w="689"/>
        <w:gridCol w:w="689"/>
        <w:gridCol w:w="689"/>
        <w:gridCol w:w="689"/>
        <w:gridCol w:w="687"/>
      </w:tblGrid>
      <w:tr w:rsidR="00C50585" w:rsidRPr="00EE038F" w14:paraId="0F699275" w14:textId="77777777" w:rsidTr="00066DFC">
        <w:trPr>
          <w:trHeight w:val="20"/>
          <w:jc w:val="center"/>
        </w:trPr>
        <w:tc>
          <w:tcPr>
            <w:tcW w:w="2423" w:type="pct"/>
            <w:tcBorders>
              <w:top w:val="double" w:sz="4" w:space="0" w:color="auto"/>
              <w:left w:val="double" w:sz="4" w:space="0" w:color="auto"/>
              <w:bottom w:val="single" w:sz="6" w:space="0" w:color="000000"/>
              <w:right w:val="single" w:sz="4" w:space="0" w:color="auto"/>
            </w:tcBorders>
            <w:vAlign w:val="center"/>
          </w:tcPr>
          <w:p w14:paraId="2F33A164"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eastAsia="Times New Roman" w:hAnsi="Garamond"/>
                <w:b/>
                <w:bCs/>
                <w:color w:val="0D0D0D" w:themeColor="text1" w:themeTint="F2"/>
                <w:sz w:val="18"/>
              </w:rPr>
              <w:t>% e PBB</w:t>
            </w:r>
            <w:r w:rsidRPr="00EE038F">
              <w:rPr>
                <w:rFonts w:ascii="Garamond" w:hAnsi="Garamond"/>
                <w:b/>
                <w:bCs/>
                <w:color w:val="0D0D0D" w:themeColor="text1" w:themeTint="F2"/>
                <w:sz w:val="18"/>
              </w:rPr>
              <w:t>-s</w:t>
            </w:r>
            <w:r w:rsidRPr="00EE038F">
              <w:rPr>
                <w:rFonts w:ascii="Garamond" w:hAnsi="Garamond"/>
                <w:b/>
                <w:bCs/>
                <w:sz w:val="18"/>
              </w:rPr>
              <w:t>ë</w:t>
            </w:r>
          </w:p>
        </w:tc>
        <w:tc>
          <w:tcPr>
            <w:tcW w:w="663" w:type="pct"/>
            <w:tcBorders>
              <w:top w:val="double" w:sz="4" w:space="0" w:color="auto"/>
              <w:left w:val="single" w:sz="4" w:space="0" w:color="auto"/>
              <w:bottom w:val="single" w:sz="6" w:space="0" w:color="000000"/>
              <w:right w:val="single" w:sz="6" w:space="0" w:color="000000"/>
            </w:tcBorders>
            <w:vAlign w:val="center"/>
          </w:tcPr>
          <w:p w14:paraId="6AC345D4"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hAnsi="Garamond"/>
                <w:b/>
                <w:bCs/>
                <w:sz w:val="18"/>
              </w:rPr>
              <w:t>Kodi</w:t>
            </w:r>
          </w:p>
          <w:p w14:paraId="605AC150"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hAnsi="Garamond"/>
                <w:b/>
                <w:bCs/>
                <w:sz w:val="18"/>
              </w:rPr>
              <w:t>ESA</w:t>
            </w:r>
          </w:p>
        </w:tc>
        <w:tc>
          <w:tcPr>
            <w:tcW w:w="383" w:type="pct"/>
            <w:tcBorders>
              <w:top w:val="double" w:sz="4" w:space="0" w:color="auto"/>
              <w:left w:val="dotted" w:sz="4" w:space="0" w:color="auto"/>
              <w:bottom w:val="single" w:sz="4" w:space="0" w:color="auto"/>
              <w:right w:val="dotted" w:sz="4" w:space="0" w:color="auto"/>
            </w:tcBorders>
            <w:vAlign w:val="center"/>
          </w:tcPr>
          <w:p w14:paraId="14B6F81A"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hAnsi="Garamond"/>
                <w:b/>
                <w:bCs/>
                <w:sz w:val="18"/>
              </w:rPr>
              <w:t>Viti</w:t>
            </w:r>
          </w:p>
          <w:p w14:paraId="4A58AF59"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hAnsi="Garamond"/>
                <w:b/>
                <w:bCs/>
                <w:sz w:val="18"/>
              </w:rPr>
              <w:t>2023</w:t>
            </w:r>
          </w:p>
        </w:tc>
        <w:tc>
          <w:tcPr>
            <w:tcW w:w="383" w:type="pct"/>
            <w:tcBorders>
              <w:top w:val="double" w:sz="4" w:space="0" w:color="auto"/>
              <w:left w:val="dotted" w:sz="4" w:space="0" w:color="auto"/>
              <w:bottom w:val="single" w:sz="4" w:space="0" w:color="auto"/>
              <w:right w:val="dotted" w:sz="4" w:space="0" w:color="auto"/>
            </w:tcBorders>
            <w:vAlign w:val="center"/>
          </w:tcPr>
          <w:p w14:paraId="474BC21F"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hAnsi="Garamond"/>
                <w:b/>
                <w:bCs/>
                <w:sz w:val="18"/>
              </w:rPr>
              <w:t>Viti 2024</w:t>
            </w:r>
          </w:p>
        </w:tc>
        <w:tc>
          <w:tcPr>
            <w:tcW w:w="383" w:type="pct"/>
            <w:tcBorders>
              <w:top w:val="double" w:sz="4" w:space="0" w:color="auto"/>
              <w:left w:val="dotted" w:sz="4" w:space="0" w:color="auto"/>
              <w:bottom w:val="single" w:sz="4" w:space="0" w:color="auto"/>
              <w:right w:val="dotted" w:sz="4" w:space="0" w:color="auto"/>
            </w:tcBorders>
            <w:vAlign w:val="center"/>
          </w:tcPr>
          <w:p w14:paraId="40630278"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hAnsi="Garamond"/>
                <w:b/>
                <w:bCs/>
                <w:sz w:val="18"/>
              </w:rPr>
              <w:t>Viti 2025</w:t>
            </w:r>
          </w:p>
        </w:tc>
        <w:tc>
          <w:tcPr>
            <w:tcW w:w="383" w:type="pct"/>
            <w:tcBorders>
              <w:top w:val="double" w:sz="4" w:space="0" w:color="auto"/>
              <w:left w:val="dotted" w:sz="4" w:space="0" w:color="auto"/>
              <w:bottom w:val="single" w:sz="4" w:space="0" w:color="auto"/>
              <w:right w:val="dotted" w:sz="4" w:space="0" w:color="auto"/>
            </w:tcBorders>
            <w:vAlign w:val="center"/>
          </w:tcPr>
          <w:p w14:paraId="31627BF4"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hAnsi="Garamond"/>
                <w:b/>
                <w:bCs/>
                <w:sz w:val="18"/>
              </w:rPr>
              <w:t>Viti 2026</w:t>
            </w:r>
          </w:p>
        </w:tc>
        <w:tc>
          <w:tcPr>
            <w:tcW w:w="383" w:type="pct"/>
            <w:tcBorders>
              <w:top w:val="double" w:sz="4" w:space="0" w:color="auto"/>
              <w:left w:val="dotted" w:sz="4" w:space="0" w:color="auto"/>
              <w:bottom w:val="single" w:sz="4" w:space="0" w:color="auto"/>
              <w:right w:val="double" w:sz="4" w:space="0" w:color="auto"/>
            </w:tcBorders>
            <w:vAlign w:val="center"/>
          </w:tcPr>
          <w:p w14:paraId="2A3A089F"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hAnsi="Garamond"/>
                <w:b/>
                <w:bCs/>
                <w:sz w:val="18"/>
              </w:rPr>
              <w:t>Viti 2027</w:t>
            </w:r>
          </w:p>
        </w:tc>
      </w:tr>
      <w:tr w:rsidR="00C50585" w:rsidRPr="00EE038F" w14:paraId="6C39C581" w14:textId="77777777" w:rsidTr="00066DFC">
        <w:trPr>
          <w:trHeight w:val="20"/>
          <w:jc w:val="center"/>
        </w:trPr>
        <w:tc>
          <w:tcPr>
            <w:tcW w:w="2423" w:type="pct"/>
            <w:tcBorders>
              <w:top w:val="single" w:sz="6" w:space="0" w:color="000000"/>
              <w:left w:val="double" w:sz="4" w:space="0" w:color="auto"/>
              <w:bottom w:val="dotted" w:sz="4" w:space="0" w:color="auto"/>
              <w:right w:val="single" w:sz="4" w:space="0" w:color="auto"/>
            </w:tcBorders>
            <w:vAlign w:val="center"/>
          </w:tcPr>
          <w:p w14:paraId="60244C0C" w14:textId="346C74EF"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1.</w:t>
            </w:r>
            <w:r w:rsidR="00F42CD5">
              <w:rPr>
                <w:rFonts w:ascii="Garamond" w:hAnsi="Garamond"/>
                <w:sz w:val="18"/>
              </w:rPr>
              <w:t xml:space="preserve"> </w:t>
            </w:r>
            <w:r w:rsidRPr="00EE038F">
              <w:rPr>
                <w:rFonts w:ascii="Garamond" w:hAnsi="Garamond"/>
                <w:sz w:val="18"/>
              </w:rPr>
              <w:t>Rritja reale e PBB-së (%, vjetor)</w:t>
            </w:r>
          </w:p>
        </w:tc>
        <w:tc>
          <w:tcPr>
            <w:tcW w:w="663" w:type="pct"/>
            <w:tcBorders>
              <w:top w:val="single" w:sz="6" w:space="0" w:color="000000"/>
              <w:left w:val="single" w:sz="4" w:space="0" w:color="auto"/>
              <w:bottom w:val="dotted" w:sz="4" w:space="0" w:color="auto"/>
              <w:right w:val="single" w:sz="6" w:space="0" w:color="000000"/>
            </w:tcBorders>
            <w:vAlign w:val="center"/>
          </w:tcPr>
          <w:p w14:paraId="6B865561"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B1g</w:t>
            </w:r>
          </w:p>
        </w:tc>
        <w:tc>
          <w:tcPr>
            <w:tcW w:w="383" w:type="pct"/>
            <w:tcBorders>
              <w:top w:val="single" w:sz="4" w:space="0" w:color="auto"/>
              <w:left w:val="nil"/>
              <w:bottom w:val="dotted" w:sz="4" w:space="0" w:color="000000"/>
              <w:right w:val="dotted" w:sz="4" w:space="0" w:color="000000"/>
            </w:tcBorders>
            <w:shd w:val="clear" w:color="000000" w:fill="FFFFFF"/>
            <w:vAlign w:val="center"/>
          </w:tcPr>
          <w:p w14:paraId="1B864F1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3.9</w:t>
            </w:r>
          </w:p>
        </w:tc>
        <w:tc>
          <w:tcPr>
            <w:tcW w:w="383" w:type="pct"/>
            <w:tcBorders>
              <w:top w:val="single" w:sz="4" w:space="0" w:color="auto"/>
              <w:left w:val="nil"/>
              <w:bottom w:val="dotted" w:sz="4" w:space="0" w:color="000000"/>
              <w:right w:val="dotted" w:sz="4" w:space="0" w:color="000000"/>
            </w:tcBorders>
            <w:shd w:val="clear" w:color="000000" w:fill="FFFFFF"/>
            <w:vAlign w:val="center"/>
          </w:tcPr>
          <w:p w14:paraId="0A95121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3.9</w:t>
            </w:r>
          </w:p>
        </w:tc>
        <w:tc>
          <w:tcPr>
            <w:tcW w:w="383" w:type="pct"/>
            <w:tcBorders>
              <w:top w:val="single" w:sz="4" w:space="0" w:color="auto"/>
              <w:left w:val="nil"/>
              <w:bottom w:val="dotted" w:sz="4" w:space="0" w:color="000000"/>
              <w:right w:val="dotted" w:sz="4" w:space="0" w:color="000000"/>
            </w:tcBorders>
            <w:shd w:val="clear" w:color="000000" w:fill="FFFFFF"/>
            <w:vAlign w:val="center"/>
          </w:tcPr>
          <w:p w14:paraId="13E3524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3.9</w:t>
            </w:r>
          </w:p>
        </w:tc>
        <w:tc>
          <w:tcPr>
            <w:tcW w:w="383" w:type="pct"/>
            <w:tcBorders>
              <w:top w:val="single" w:sz="4" w:space="0" w:color="auto"/>
              <w:left w:val="nil"/>
              <w:bottom w:val="dotted" w:sz="4" w:space="0" w:color="000000"/>
              <w:right w:val="dotted" w:sz="4" w:space="0" w:color="000000"/>
            </w:tcBorders>
            <w:shd w:val="clear" w:color="000000" w:fill="FFFFFF"/>
            <w:vAlign w:val="center"/>
          </w:tcPr>
          <w:p w14:paraId="12D7119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4.0</w:t>
            </w:r>
          </w:p>
        </w:tc>
        <w:tc>
          <w:tcPr>
            <w:tcW w:w="383" w:type="pct"/>
            <w:tcBorders>
              <w:top w:val="single" w:sz="4" w:space="0" w:color="auto"/>
              <w:left w:val="nil"/>
              <w:bottom w:val="dotted" w:sz="4" w:space="0" w:color="000000"/>
              <w:right w:val="double" w:sz="4" w:space="0" w:color="auto"/>
            </w:tcBorders>
            <w:shd w:val="clear" w:color="000000" w:fill="FFFFFF"/>
            <w:vAlign w:val="center"/>
          </w:tcPr>
          <w:p w14:paraId="5FCA3AA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3.9</w:t>
            </w:r>
          </w:p>
        </w:tc>
      </w:tr>
      <w:tr w:rsidR="00C50585" w:rsidRPr="00EE038F" w14:paraId="4260EBF9" w14:textId="77777777" w:rsidTr="00066DFC">
        <w:trPr>
          <w:trHeight w:val="20"/>
          <w:jc w:val="center"/>
        </w:trPr>
        <w:tc>
          <w:tcPr>
            <w:tcW w:w="2423" w:type="pct"/>
            <w:tcBorders>
              <w:top w:val="dotted" w:sz="4" w:space="0" w:color="auto"/>
              <w:left w:val="double" w:sz="4" w:space="0" w:color="auto"/>
              <w:bottom w:val="dotted" w:sz="4" w:space="0" w:color="auto"/>
              <w:right w:val="single" w:sz="4" w:space="0" w:color="auto"/>
            </w:tcBorders>
            <w:vAlign w:val="center"/>
          </w:tcPr>
          <w:p w14:paraId="7F5ACAB7" w14:textId="0FC013CE"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2.</w:t>
            </w:r>
            <w:r w:rsidR="00F42CD5">
              <w:rPr>
                <w:rFonts w:ascii="Garamond" w:hAnsi="Garamond"/>
                <w:sz w:val="18"/>
              </w:rPr>
              <w:t xml:space="preserve"> </w:t>
            </w:r>
            <w:r w:rsidRPr="00EE038F">
              <w:rPr>
                <w:rFonts w:ascii="Garamond" w:hAnsi="Garamond"/>
                <w:sz w:val="18"/>
              </w:rPr>
              <w:t>Huadhënia neto e qeverisë së përgjithshme</w:t>
            </w:r>
          </w:p>
        </w:tc>
        <w:tc>
          <w:tcPr>
            <w:tcW w:w="663" w:type="pct"/>
            <w:tcBorders>
              <w:top w:val="dotted" w:sz="4" w:space="0" w:color="auto"/>
              <w:left w:val="single" w:sz="4" w:space="0" w:color="auto"/>
              <w:bottom w:val="dotted" w:sz="4" w:space="0" w:color="auto"/>
              <w:right w:val="single" w:sz="6" w:space="0" w:color="000000"/>
            </w:tcBorders>
            <w:vAlign w:val="center"/>
          </w:tcPr>
          <w:p w14:paraId="591FBB33"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EDP.B.9</w:t>
            </w:r>
          </w:p>
        </w:tc>
        <w:tc>
          <w:tcPr>
            <w:tcW w:w="383" w:type="pct"/>
            <w:tcBorders>
              <w:top w:val="nil"/>
              <w:left w:val="nil"/>
              <w:bottom w:val="dotted" w:sz="4" w:space="0" w:color="000000"/>
              <w:right w:val="dotted" w:sz="4" w:space="0" w:color="000000"/>
            </w:tcBorders>
            <w:shd w:val="clear" w:color="000000" w:fill="FFFFFF"/>
            <w:vAlign w:val="center"/>
          </w:tcPr>
          <w:p w14:paraId="315D82F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-1.3</w:t>
            </w:r>
          </w:p>
        </w:tc>
        <w:tc>
          <w:tcPr>
            <w:tcW w:w="383" w:type="pct"/>
            <w:tcBorders>
              <w:top w:val="nil"/>
              <w:left w:val="nil"/>
              <w:bottom w:val="dotted" w:sz="4" w:space="0" w:color="000000"/>
              <w:right w:val="dotted" w:sz="4" w:space="0" w:color="000000"/>
            </w:tcBorders>
            <w:shd w:val="clear" w:color="000000" w:fill="FFFFFF"/>
            <w:vAlign w:val="center"/>
          </w:tcPr>
          <w:p w14:paraId="6B755B9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-1.5</w:t>
            </w:r>
          </w:p>
        </w:tc>
        <w:tc>
          <w:tcPr>
            <w:tcW w:w="383" w:type="pct"/>
            <w:tcBorders>
              <w:top w:val="nil"/>
              <w:left w:val="nil"/>
              <w:bottom w:val="dotted" w:sz="4" w:space="0" w:color="000000"/>
              <w:right w:val="dotted" w:sz="4" w:space="0" w:color="000000"/>
            </w:tcBorders>
            <w:shd w:val="clear" w:color="000000" w:fill="FFFFFF"/>
            <w:vAlign w:val="center"/>
          </w:tcPr>
          <w:p w14:paraId="1046F23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-2.6</w:t>
            </w:r>
          </w:p>
        </w:tc>
        <w:tc>
          <w:tcPr>
            <w:tcW w:w="383" w:type="pct"/>
            <w:tcBorders>
              <w:top w:val="nil"/>
              <w:left w:val="nil"/>
              <w:bottom w:val="dotted" w:sz="4" w:space="0" w:color="000000"/>
              <w:right w:val="dotted" w:sz="4" w:space="0" w:color="000000"/>
            </w:tcBorders>
            <w:shd w:val="clear" w:color="000000" w:fill="FFFFFF"/>
            <w:vAlign w:val="center"/>
          </w:tcPr>
          <w:p w14:paraId="0CC608E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-1.9</w:t>
            </w:r>
          </w:p>
        </w:tc>
        <w:tc>
          <w:tcPr>
            <w:tcW w:w="383" w:type="pct"/>
            <w:tcBorders>
              <w:top w:val="nil"/>
              <w:left w:val="nil"/>
              <w:bottom w:val="dotted" w:sz="4" w:space="0" w:color="000000"/>
              <w:right w:val="double" w:sz="4" w:space="0" w:color="auto"/>
            </w:tcBorders>
            <w:shd w:val="clear" w:color="000000" w:fill="FFFFFF"/>
            <w:vAlign w:val="center"/>
          </w:tcPr>
          <w:p w14:paraId="2450949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-1.6</w:t>
            </w:r>
          </w:p>
        </w:tc>
      </w:tr>
      <w:tr w:rsidR="00C50585" w:rsidRPr="00EE038F" w14:paraId="035C6192" w14:textId="77777777" w:rsidTr="00066DFC">
        <w:trPr>
          <w:trHeight w:val="20"/>
          <w:jc w:val="center"/>
        </w:trPr>
        <w:tc>
          <w:tcPr>
            <w:tcW w:w="2423" w:type="pct"/>
            <w:tcBorders>
              <w:top w:val="dotted" w:sz="4" w:space="0" w:color="auto"/>
              <w:left w:val="double" w:sz="4" w:space="0" w:color="auto"/>
              <w:bottom w:val="dotted" w:sz="4" w:space="0" w:color="auto"/>
              <w:right w:val="single" w:sz="4" w:space="0" w:color="auto"/>
            </w:tcBorders>
            <w:vAlign w:val="center"/>
          </w:tcPr>
          <w:p w14:paraId="1B49931D" w14:textId="56C4756A"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3.</w:t>
            </w:r>
            <w:r w:rsidR="00F42CD5">
              <w:rPr>
                <w:rFonts w:ascii="Garamond" w:hAnsi="Garamond"/>
                <w:sz w:val="18"/>
              </w:rPr>
              <w:t xml:space="preserve"> </w:t>
            </w:r>
            <w:r w:rsidRPr="00EE038F">
              <w:rPr>
                <w:rFonts w:ascii="Garamond" w:hAnsi="Garamond"/>
                <w:sz w:val="18"/>
              </w:rPr>
              <w:t>Shpenzimet e interesit</w:t>
            </w:r>
          </w:p>
        </w:tc>
        <w:tc>
          <w:tcPr>
            <w:tcW w:w="663" w:type="pct"/>
            <w:tcBorders>
              <w:top w:val="dotted" w:sz="4" w:space="0" w:color="auto"/>
              <w:left w:val="single" w:sz="4" w:space="0" w:color="auto"/>
              <w:bottom w:val="dotted" w:sz="4" w:space="0" w:color="auto"/>
              <w:right w:val="single" w:sz="6" w:space="0" w:color="000000"/>
            </w:tcBorders>
            <w:vAlign w:val="center"/>
          </w:tcPr>
          <w:p w14:paraId="709D8956"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EDP.D.41</w:t>
            </w:r>
          </w:p>
        </w:tc>
        <w:tc>
          <w:tcPr>
            <w:tcW w:w="383" w:type="pct"/>
            <w:tcBorders>
              <w:top w:val="nil"/>
              <w:left w:val="nil"/>
              <w:bottom w:val="dotted" w:sz="4" w:space="0" w:color="000000"/>
              <w:right w:val="dotted" w:sz="4" w:space="0" w:color="000000"/>
            </w:tcBorders>
            <w:shd w:val="clear" w:color="000000" w:fill="FFFFFF"/>
            <w:vAlign w:val="center"/>
          </w:tcPr>
          <w:p w14:paraId="66AAA53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2.0</w:t>
            </w:r>
          </w:p>
        </w:tc>
        <w:tc>
          <w:tcPr>
            <w:tcW w:w="383" w:type="pct"/>
            <w:tcBorders>
              <w:top w:val="nil"/>
              <w:left w:val="nil"/>
              <w:bottom w:val="dotted" w:sz="4" w:space="0" w:color="000000"/>
              <w:right w:val="dotted" w:sz="4" w:space="0" w:color="000000"/>
            </w:tcBorders>
            <w:shd w:val="clear" w:color="000000" w:fill="FFFFFF"/>
            <w:vAlign w:val="center"/>
          </w:tcPr>
          <w:p w14:paraId="3B9154A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2.2</w:t>
            </w:r>
          </w:p>
        </w:tc>
        <w:tc>
          <w:tcPr>
            <w:tcW w:w="383" w:type="pct"/>
            <w:tcBorders>
              <w:top w:val="nil"/>
              <w:left w:val="nil"/>
              <w:bottom w:val="dotted" w:sz="4" w:space="0" w:color="000000"/>
              <w:right w:val="dotted" w:sz="4" w:space="0" w:color="000000"/>
            </w:tcBorders>
            <w:shd w:val="clear" w:color="000000" w:fill="FFFFFF"/>
            <w:vAlign w:val="center"/>
          </w:tcPr>
          <w:p w14:paraId="51692F1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2.6</w:t>
            </w:r>
          </w:p>
        </w:tc>
        <w:tc>
          <w:tcPr>
            <w:tcW w:w="383" w:type="pct"/>
            <w:tcBorders>
              <w:top w:val="nil"/>
              <w:left w:val="nil"/>
              <w:bottom w:val="dotted" w:sz="4" w:space="0" w:color="000000"/>
              <w:right w:val="dotted" w:sz="4" w:space="0" w:color="000000"/>
            </w:tcBorders>
            <w:shd w:val="clear" w:color="000000" w:fill="FFFFFF"/>
            <w:vAlign w:val="center"/>
          </w:tcPr>
          <w:p w14:paraId="4B401D1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2.5</w:t>
            </w:r>
          </w:p>
        </w:tc>
        <w:tc>
          <w:tcPr>
            <w:tcW w:w="383" w:type="pct"/>
            <w:tcBorders>
              <w:top w:val="nil"/>
              <w:left w:val="nil"/>
              <w:bottom w:val="dotted" w:sz="4" w:space="0" w:color="000000"/>
              <w:right w:val="double" w:sz="4" w:space="0" w:color="auto"/>
            </w:tcBorders>
            <w:shd w:val="clear" w:color="000000" w:fill="FFFFFF"/>
            <w:vAlign w:val="center"/>
          </w:tcPr>
          <w:p w14:paraId="75A984E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2.5</w:t>
            </w:r>
          </w:p>
        </w:tc>
      </w:tr>
      <w:tr w:rsidR="00C50585" w:rsidRPr="00EE038F" w14:paraId="543DD1D9" w14:textId="77777777" w:rsidTr="00066DFC">
        <w:trPr>
          <w:trHeight w:val="20"/>
          <w:jc w:val="center"/>
        </w:trPr>
        <w:tc>
          <w:tcPr>
            <w:tcW w:w="2423" w:type="pct"/>
            <w:tcBorders>
              <w:top w:val="dotted" w:sz="4" w:space="0" w:color="auto"/>
              <w:left w:val="double" w:sz="4" w:space="0" w:color="auto"/>
              <w:bottom w:val="dotted" w:sz="4" w:space="0" w:color="auto"/>
              <w:right w:val="single" w:sz="4" w:space="0" w:color="auto"/>
            </w:tcBorders>
            <w:vAlign w:val="center"/>
          </w:tcPr>
          <w:p w14:paraId="0A17D4D1"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4. Masat e njëhershme dhe masa të tjera të përkohshme</w:t>
            </w:r>
            <w:r w:rsidRPr="00EE038F">
              <w:rPr>
                <w:rStyle w:val="FootnoteReference"/>
                <w:rFonts w:ascii="Garamond" w:hAnsi="Garamond"/>
                <w:sz w:val="18"/>
              </w:rPr>
              <w:footnoteReference w:id="42"/>
            </w:r>
          </w:p>
        </w:tc>
        <w:tc>
          <w:tcPr>
            <w:tcW w:w="663" w:type="pct"/>
            <w:tcBorders>
              <w:top w:val="dotted" w:sz="4" w:space="0" w:color="auto"/>
              <w:left w:val="single" w:sz="4" w:space="0" w:color="auto"/>
              <w:bottom w:val="dotted" w:sz="4" w:space="0" w:color="auto"/>
              <w:right w:val="single" w:sz="6" w:space="0" w:color="000000"/>
            </w:tcBorders>
            <w:vAlign w:val="center"/>
          </w:tcPr>
          <w:p w14:paraId="4F4C00EF" w14:textId="77777777" w:rsidR="00C50585" w:rsidRPr="00EE038F" w:rsidRDefault="00C50585" w:rsidP="00F445C3">
            <w:pPr>
              <w:spacing w:after="0" w:line="240" w:lineRule="auto"/>
              <w:contextualSpacing/>
              <w:jc w:val="both"/>
              <w:rPr>
                <w:rFonts w:ascii="Garamond" w:hAnsi="Garamond"/>
                <w:sz w:val="18"/>
              </w:rPr>
            </w:pPr>
          </w:p>
        </w:tc>
        <w:tc>
          <w:tcPr>
            <w:tcW w:w="383" w:type="pct"/>
            <w:tcBorders>
              <w:top w:val="nil"/>
              <w:left w:val="nil"/>
              <w:bottom w:val="dotted" w:sz="4" w:space="0" w:color="000000"/>
              <w:right w:val="dotted" w:sz="4" w:space="0" w:color="000000"/>
            </w:tcBorders>
            <w:shd w:val="clear" w:color="auto" w:fill="auto"/>
            <w:vAlign w:val="center"/>
          </w:tcPr>
          <w:p w14:paraId="31CCB4B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vAlign w:val="center"/>
          </w:tcPr>
          <w:p w14:paraId="153D3C1A"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vAlign w:val="center"/>
          </w:tcPr>
          <w:p w14:paraId="69377BB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vAlign w:val="center"/>
          </w:tcPr>
          <w:p w14:paraId="10915C1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uble" w:sz="4" w:space="0" w:color="auto"/>
            </w:tcBorders>
            <w:shd w:val="clear" w:color="auto" w:fill="auto"/>
            <w:vAlign w:val="center"/>
          </w:tcPr>
          <w:p w14:paraId="3386C4E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5C837526" w14:textId="77777777" w:rsidTr="00066DFC">
        <w:trPr>
          <w:trHeight w:val="20"/>
          <w:jc w:val="center"/>
        </w:trPr>
        <w:tc>
          <w:tcPr>
            <w:tcW w:w="2423" w:type="pct"/>
            <w:tcBorders>
              <w:top w:val="dotted" w:sz="4" w:space="0" w:color="auto"/>
              <w:left w:val="double" w:sz="4" w:space="0" w:color="auto"/>
              <w:bottom w:val="single" w:sz="6" w:space="0" w:color="000000"/>
              <w:right w:val="single" w:sz="4" w:space="0" w:color="auto"/>
            </w:tcBorders>
            <w:vAlign w:val="center"/>
          </w:tcPr>
          <w:p w14:paraId="62A8678B"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5. Rritja e mundshme e PBB-së (%, vjetor)</w:t>
            </w:r>
          </w:p>
        </w:tc>
        <w:tc>
          <w:tcPr>
            <w:tcW w:w="663" w:type="pct"/>
            <w:tcBorders>
              <w:top w:val="dotted" w:sz="4" w:space="0" w:color="auto"/>
              <w:left w:val="single" w:sz="4" w:space="0" w:color="auto"/>
              <w:bottom w:val="single" w:sz="6" w:space="0" w:color="000000"/>
              <w:right w:val="single" w:sz="6" w:space="0" w:color="000000"/>
            </w:tcBorders>
            <w:vAlign w:val="center"/>
          </w:tcPr>
          <w:p w14:paraId="7199270B" w14:textId="77777777" w:rsidR="00C50585" w:rsidRPr="00EE038F" w:rsidRDefault="00C50585" w:rsidP="00F445C3">
            <w:pPr>
              <w:spacing w:after="0" w:line="240" w:lineRule="auto"/>
              <w:contextualSpacing/>
              <w:jc w:val="both"/>
              <w:rPr>
                <w:rFonts w:ascii="Garamond" w:hAnsi="Garamond"/>
                <w:sz w:val="18"/>
              </w:rPr>
            </w:pPr>
          </w:p>
        </w:tc>
        <w:tc>
          <w:tcPr>
            <w:tcW w:w="383" w:type="pct"/>
            <w:tcBorders>
              <w:top w:val="nil"/>
              <w:left w:val="nil"/>
              <w:bottom w:val="single" w:sz="4" w:space="0" w:color="auto"/>
              <w:right w:val="dotted" w:sz="4" w:space="0" w:color="000000"/>
            </w:tcBorders>
            <w:shd w:val="clear" w:color="auto" w:fill="auto"/>
          </w:tcPr>
          <w:p w14:paraId="1B7BD24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single" w:sz="4" w:space="0" w:color="auto"/>
              <w:right w:val="dotted" w:sz="4" w:space="0" w:color="000000"/>
            </w:tcBorders>
            <w:shd w:val="clear" w:color="auto" w:fill="auto"/>
          </w:tcPr>
          <w:p w14:paraId="783DA17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single" w:sz="4" w:space="0" w:color="auto"/>
              <w:right w:val="dotted" w:sz="4" w:space="0" w:color="000000"/>
            </w:tcBorders>
            <w:shd w:val="clear" w:color="auto" w:fill="auto"/>
          </w:tcPr>
          <w:p w14:paraId="6F681F4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single" w:sz="4" w:space="0" w:color="auto"/>
              <w:right w:val="dotted" w:sz="4" w:space="0" w:color="000000"/>
            </w:tcBorders>
            <w:shd w:val="clear" w:color="auto" w:fill="auto"/>
          </w:tcPr>
          <w:p w14:paraId="0883F65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single" w:sz="4" w:space="0" w:color="auto"/>
              <w:right w:val="double" w:sz="4" w:space="0" w:color="auto"/>
            </w:tcBorders>
            <w:shd w:val="clear" w:color="auto" w:fill="auto"/>
          </w:tcPr>
          <w:p w14:paraId="498DB5C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3E6D232D" w14:textId="77777777" w:rsidTr="00066DFC">
        <w:trPr>
          <w:trHeight w:val="20"/>
          <w:jc w:val="center"/>
        </w:trPr>
        <w:tc>
          <w:tcPr>
            <w:tcW w:w="2423" w:type="pct"/>
            <w:tcBorders>
              <w:top w:val="single" w:sz="6" w:space="0" w:color="000000"/>
              <w:left w:val="double" w:sz="4" w:space="0" w:color="auto"/>
              <w:bottom w:val="dotted" w:sz="4" w:space="0" w:color="auto"/>
              <w:right w:val="single" w:sz="4" w:space="0" w:color="auto"/>
            </w:tcBorders>
            <w:vAlign w:val="center"/>
          </w:tcPr>
          <w:p w14:paraId="3A321530"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Kontributet:</w:t>
            </w:r>
          </w:p>
        </w:tc>
        <w:tc>
          <w:tcPr>
            <w:tcW w:w="663" w:type="pct"/>
            <w:tcBorders>
              <w:top w:val="single" w:sz="6" w:space="0" w:color="000000"/>
              <w:left w:val="single" w:sz="4" w:space="0" w:color="auto"/>
              <w:bottom w:val="dotted" w:sz="4" w:space="0" w:color="auto"/>
              <w:right w:val="single" w:sz="6" w:space="0" w:color="000000"/>
            </w:tcBorders>
            <w:vAlign w:val="center"/>
          </w:tcPr>
          <w:p w14:paraId="2E6398DF" w14:textId="77777777" w:rsidR="00C50585" w:rsidRPr="00EE038F" w:rsidRDefault="00C50585" w:rsidP="00F445C3">
            <w:pPr>
              <w:spacing w:after="0" w:line="240" w:lineRule="auto"/>
              <w:contextualSpacing/>
              <w:jc w:val="both"/>
              <w:rPr>
                <w:rFonts w:ascii="Garamond" w:hAnsi="Garamond"/>
                <w:sz w:val="18"/>
              </w:rPr>
            </w:pPr>
          </w:p>
        </w:tc>
        <w:tc>
          <w:tcPr>
            <w:tcW w:w="383" w:type="pct"/>
            <w:tcBorders>
              <w:top w:val="nil"/>
              <w:left w:val="nil"/>
              <w:bottom w:val="dotted" w:sz="4" w:space="0" w:color="000000"/>
              <w:right w:val="dotted" w:sz="4" w:space="0" w:color="000000"/>
            </w:tcBorders>
            <w:shd w:val="clear" w:color="auto" w:fill="auto"/>
          </w:tcPr>
          <w:p w14:paraId="3DEC72F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330319F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1906EC7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39AAA11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uble" w:sz="4" w:space="0" w:color="auto"/>
            </w:tcBorders>
            <w:shd w:val="clear" w:color="auto" w:fill="auto"/>
          </w:tcPr>
          <w:p w14:paraId="61F2E5F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1F78F8A7" w14:textId="77777777" w:rsidTr="00066DFC">
        <w:trPr>
          <w:trHeight w:val="20"/>
          <w:jc w:val="center"/>
        </w:trPr>
        <w:tc>
          <w:tcPr>
            <w:tcW w:w="2423" w:type="pct"/>
            <w:tcBorders>
              <w:top w:val="dotted" w:sz="4" w:space="0" w:color="auto"/>
              <w:left w:val="double" w:sz="4" w:space="0" w:color="auto"/>
              <w:bottom w:val="dotted" w:sz="4" w:space="0" w:color="auto"/>
              <w:right w:val="single" w:sz="4" w:space="0" w:color="auto"/>
            </w:tcBorders>
            <w:vAlign w:val="center"/>
          </w:tcPr>
          <w:p w14:paraId="7BEB4525"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 punë</w:t>
            </w:r>
          </w:p>
        </w:tc>
        <w:tc>
          <w:tcPr>
            <w:tcW w:w="663" w:type="pct"/>
            <w:tcBorders>
              <w:top w:val="dotted" w:sz="4" w:space="0" w:color="auto"/>
              <w:left w:val="single" w:sz="4" w:space="0" w:color="auto"/>
              <w:bottom w:val="dotted" w:sz="4" w:space="0" w:color="auto"/>
              <w:right w:val="single" w:sz="6" w:space="0" w:color="000000"/>
            </w:tcBorders>
            <w:vAlign w:val="center"/>
          </w:tcPr>
          <w:p w14:paraId="0BC88771" w14:textId="77777777" w:rsidR="00C50585" w:rsidRPr="00EE038F" w:rsidRDefault="00C50585" w:rsidP="00F445C3">
            <w:pPr>
              <w:spacing w:after="0" w:line="240" w:lineRule="auto"/>
              <w:contextualSpacing/>
              <w:jc w:val="both"/>
              <w:rPr>
                <w:rFonts w:ascii="Garamond" w:hAnsi="Garamond"/>
                <w:sz w:val="18"/>
              </w:rPr>
            </w:pPr>
          </w:p>
        </w:tc>
        <w:tc>
          <w:tcPr>
            <w:tcW w:w="383" w:type="pct"/>
            <w:tcBorders>
              <w:top w:val="nil"/>
              <w:left w:val="nil"/>
              <w:bottom w:val="dotted" w:sz="4" w:space="0" w:color="000000"/>
              <w:right w:val="dotted" w:sz="4" w:space="0" w:color="000000"/>
            </w:tcBorders>
            <w:shd w:val="clear" w:color="auto" w:fill="auto"/>
          </w:tcPr>
          <w:p w14:paraId="2700BC3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62414C5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7E1B897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01747EF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uble" w:sz="4" w:space="0" w:color="auto"/>
            </w:tcBorders>
            <w:shd w:val="clear" w:color="auto" w:fill="auto"/>
          </w:tcPr>
          <w:p w14:paraId="6D382F3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12D1451B" w14:textId="77777777" w:rsidTr="00066DFC">
        <w:trPr>
          <w:trHeight w:val="20"/>
          <w:jc w:val="center"/>
        </w:trPr>
        <w:tc>
          <w:tcPr>
            <w:tcW w:w="2423" w:type="pct"/>
            <w:tcBorders>
              <w:top w:val="dotted" w:sz="4" w:space="0" w:color="auto"/>
              <w:left w:val="double" w:sz="4" w:space="0" w:color="auto"/>
              <w:bottom w:val="dotted" w:sz="4" w:space="0" w:color="auto"/>
              <w:right w:val="single" w:sz="4" w:space="0" w:color="auto"/>
            </w:tcBorders>
            <w:vAlign w:val="center"/>
          </w:tcPr>
          <w:p w14:paraId="7EE7D43D"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 kapital</w:t>
            </w:r>
          </w:p>
        </w:tc>
        <w:tc>
          <w:tcPr>
            <w:tcW w:w="663" w:type="pct"/>
            <w:tcBorders>
              <w:top w:val="dotted" w:sz="4" w:space="0" w:color="auto"/>
              <w:left w:val="single" w:sz="4" w:space="0" w:color="auto"/>
              <w:bottom w:val="dotted" w:sz="4" w:space="0" w:color="auto"/>
              <w:right w:val="single" w:sz="6" w:space="0" w:color="000000"/>
            </w:tcBorders>
            <w:vAlign w:val="center"/>
          </w:tcPr>
          <w:p w14:paraId="1EC6237F" w14:textId="77777777" w:rsidR="00C50585" w:rsidRPr="00EE038F" w:rsidRDefault="00C50585" w:rsidP="00F445C3">
            <w:pPr>
              <w:spacing w:after="0" w:line="240" w:lineRule="auto"/>
              <w:contextualSpacing/>
              <w:jc w:val="both"/>
              <w:rPr>
                <w:rFonts w:ascii="Garamond" w:hAnsi="Garamond"/>
                <w:sz w:val="18"/>
              </w:rPr>
            </w:pPr>
          </w:p>
        </w:tc>
        <w:tc>
          <w:tcPr>
            <w:tcW w:w="383" w:type="pct"/>
            <w:tcBorders>
              <w:top w:val="nil"/>
              <w:left w:val="nil"/>
              <w:bottom w:val="dotted" w:sz="4" w:space="0" w:color="000000"/>
              <w:right w:val="dotted" w:sz="4" w:space="0" w:color="000000"/>
            </w:tcBorders>
            <w:shd w:val="clear" w:color="auto" w:fill="auto"/>
          </w:tcPr>
          <w:p w14:paraId="324C720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39BEC3B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6668240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443A9F0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uble" w:sz="4" w:space="0" w:color="auto"/>
            </w:tcBorders>
            <w:shd w:val="clear" w:color="auto" w:fill="auto"/>
          </w:tcPr>
          <w:p w14:paraId="17F450E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13C288A2" w14:textId="77777777" w:rsidTr="00066DFC">
        <w:trPr>
          <w:trHeight w:val="20"/>
          <w:jc w:val="center"/>
        </w:trPr>
        <w:tc>
          <w:tcPr>
            <w:tcW w:w="2423" w:type="pct"/>
            <w:tcBorders>
              <w:top w:val="dotted" w:sz="4" w:space="0" w:color="auto"/>
              <w:left w:val="double" w:sz="4" w:space="0" w:color="auto"/>
              <w:bottom w:val="single" w:sz="6" w:space="0" w:color="000000"/>
              <w:right w:val="single" w:sz="4" w:space="0" w:color="auto"/>
            </w:tcBorders>
            <w:vAlign w:val="center"/>
          </w:tcPr>
          <w:p w14:paraId="0154C859"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 produktiviteti total i faktorëve</w:t>
            </w:r>
          </w:p>
        </w:tc>
        <w:tc>
          <w:tcPr>
            <w:tcW w:w="663" w:type="pct"/>
            <w:tcBorders>
              <w:top w:val="dotted" w:sz="4" w:space="0" w:color="auto"/>
              <w:left w:val="single" w:sz="4" w:space="0" w:color="auto"/>
              <w:bottom w:val="single" w:sz="6" w:space="0" w:color="000000"/>
              <w:right w:val="single" w:sz="6" w:space="0" w:color="000000"/>
            </w:tcBorders>
            <w:vAlign w:val="center"/>
          </w:tcPr>
          <w:p w14:paraId="2C969FE7" w14:textId="77777777" w:rsidR="00C50585" w:rsidRPr="00EE038F" w:rsidRDefault="00C50585" w:rsidP="00F445C3">
            <w:pPr>
              <w:spacing w:after="0" w:line="240" w:lineRule="auto"/>
              <w:contextualSpacing/>
              <w:jc w:val="both"/>
              <w:rPr>
                <w:rFonts w:ascii="Garamond" w:hAnsi="Garamond"/>
                <w:sz w:val="18"/>
              </w:rPr>
            </w:pPr>
          </w:p>
        </w:tc>
        <w:tc>
          <w:tcPr>
            <w:tcW w:w="383" w:type="pct"/>
            <w:tcBorders>
              <w:top w:val="nil"/>
              <w:left w:val="nil"/>
              <w:bottom w:val="single" w:sz="4" w:space="0" w:color="auto"/>
              <w:right w:val="dotted" w:sz="4" w:space="0" w:color="000000"/>
            </w:tcBorders>
            <w:shd w:val="clear" w:color="auto" w:fill="auto"/>
          </w:tcPr>
          <w:p w14:paraId="298122C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single" w:sz="4" w:space="0" w:color="auto"/>
              <w:right w:val="dotted" w:sz="4" w:space="0" w:color="000000"/>
            </w:tcBorders>
            <w:shd w:val="clear" w:color="auto" w:fill="auto"/>
          </w:tcPr>
          <w:p w14:paraId="5A202B0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single" w:sz="4" w:space="0" w:color="auto"/>
              <w:right w:val="dotted" w:sz="4" w:space="0" w:color="000000"/>
            </w:tcBorders>
            <w:shd w:val="clear" w:color="auto" w:fill="auto"/>
          </w:tcPr>
          <w:p w14:paraId="1F1FC85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single" w:sz="4" w:space="0" w:color="auto"/>
              <w:right w:val="dotted" w:sz="4" w:space="0" w:color="000000"/>
            </w:tcBorders>
            <w:shd w:val="clear" w:color="auto" w:fill="auto"/>
          </w:tcPr>
          <w:p w14:paraId="21552EC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single" w:sz="4" w:space="0" w:color="auto"/>
              <w:right w:val="double" w:sz="4" w:space="0" w:color="auto"/>
            </w:tcBorders>
            <w:shd w:val="clear" w:color="auto" w:fill="auto"/>
          </w:tcPr>
          <w:p w14:paraId="5BEFA61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08F007E4" w14:textId="77777777" w:rsidTr="00066DFC">
        <w:trPr>
          <w:trHeight w:val="20"/>
          <w:jc w:val="center"/>
        </w:trPr>
        <w:tc>
          <w:tcPr>
            <w:tcW w:w="2423" w:type="pct"/>
            <w:tcBorders>
              <w:top w:val="single" w:sz="6" w:space="0" w:color="000000"/>
              <w:left w:val="double" w:sz="4" w:space="0" w:color="auto"/>
              <w:bottom w:val="dotted" w:sz="4" w:space="0" w:color="auto"/>
              <w:right w:val="single" w:sz="6" w:space="0" w:color="000000"/>
            </w:tcBorders>
            <w:vAlign w:val="center"/>
          </w:tcPr>
          <w:p w14:paraId="29007A02" w14:textId="11893213" w:rsidR="00C50585" w:rsidRPr="00EE038F" w:rsidRDefault="00AD3D9C" w:rsidP="00F445C3">
            <w:pPr>
              <w:spacing w:after="0" w:line="240" w:lineRule="auto"/>
              <w:contextualSpacing/>
              <w:jc w:val="both"/>
              <w:rPr>
                <w:rFonts w:ascii="Garamond" w:hAnsi="Garamond"/>
                <w:sz w:val="18"/>
              </w:rPr>
            </w:pPr>
            <w:r w:rsidRPr="00EE038F">
              <w:rPr>
                <w:rFonts w:ascii="Garamond" w:hAnsi="Garamond"/>
                <w:sz w:val="18"/>
              </w:rPr>
              <w:t xml:space="preserve"> </w:t>
            </w:r>
            <w:r w:rsidR="00C50585" w:rsidRPr="00EE038F">
              <w:rPr>
                <w:rFonts w:ascii="Garamond" w:hAnsi="Garamond"/>
                <w:sz w:val="18"/>
              </w:rPr>
              <w:t>6. Hendeku i prodhimit</w:t>
            </w:r>
          </w:p>
        </w:tc>
        <w:tc>
          <w:tcPr>
            <w:tcW w:w="663" w:type="pct"/>
            <w:tcBorders>
              <w:top w:val="single" w:sz="6" w:space="0" w:color="000000"/>
              <w:left w:val="single" w:sz="6" w:space="0" w:color="000000"/>
              <w:bottom w:val="dotted" w:sz="4" w:space="0" w:color="auto"/>
              <w:right w:val="single" w:sz="6" w:space="0" w:color="000000"/>
            </w:tcBorders>
            <w:vAlign w:val="center"/>
          </w:tcPr>
          <w:p w14:paraId="12555953" w14:textId="77777777" w:rsidR="00C50585" w:rsidRPr="00EE038F" w:rsidRDefault="00C50585" w:rsidP="00F445C3">
            <w:pPr>
              <w:spacing w:after="0" w:line="240" w:lineRule="auto"/>
              <w:contextualSpacing/>
              <w:jc w:val="both"/>
              <w:rPr>
                <w:rFonts w:ascii="Garamond" w:hAnsi="Garamond"/>
                <w:sz w:val="18"/>
              </w:rPr>
            </w:pPr>
          </w:p>
        </w:tc>
        <w:tc>
          <w:tcPr>
            <w:tcW w:w="383" w:type="pct"/>
            <w:tcBorders>
              <w:top w:val="nil"/>
              <w:left w:val="nil"/>
              <w:bottom w:val="dotted" w:sz="4" w:space="0" w:color="000000"/>
              <w:right w:val="dotted" w:sz="4" w:space="0" w:color="000000"/>
            </w:tcBorders>
            <w:shd w:val="clear" w:color="auto" w:fill="auto"/>
          </w:tcPr>
          <w:p w14:paraId="6F507A4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7D6FC75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443E39E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223F434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uble" w:sz="4" w:space="0" w:color="auto"/>
            </w:tcBorders>
            <w:shd w:val="clear" w:color="auto" w:fill="auto"/>
          </w:tcPr>
          <w:p w14:paraId="7004F32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3AB21A31" w14:textId="77777777" w:rsidTr="00066DFC">
        <w:trPr>
          <w:trHeight w:val="20"/>
          <w:jc w:val="center"/>
        </w:trPr>
        <w:tc>
          <w:tcPr>
            <w:tcW w:w="2423" w:type="pct"/>
            <w:tcBorders>
              <w:top w:val="dotted" w:sz="4" w:space="0" w:color="auto"/>
              <w:left w:val="double" w:sz="4" w:space="0" w:color="auto"/>
              <w:bottom w:val="single" w:sz="6" w:space="0" w:color="000000"/>
              <w:right w:val="single" w:sz="6" w:space="0" w:color="000000"/>
            </w:tcBorders>
            <w:vAlign w:val="center"/>
          </w:tcPr>
          <w:p w14:paraId="7B6B73A4" w14:textId="1A4B4300" w:rsidR="00C50585" w:rsidRPr="00EE038F" w:rsidRDefault="00AD3D9C" w:rsidP="00F445C3">
            <w:pPr>
              <w:spacing w:after="0" w:line="240" w:lineRule="auto"/>
              <w:contextualSpacing/>
              <w:jc w:val="both"/>
              <w:rPr>
                <w:rFonts w:ascii="Garamond" w:hAnsi="Garamond"/>
                <w:sz w:val="18"/>
              </w:rPr>
            </w:pPr>
            <w:r w:rsidRPr="00EE038F">
              <w:rPr>
                <w:rFonts w:ascii="Garamond" w:hAnsi="Garamond"/>
                <w:sz w:val="18"/>
              </w:rPr>
              <w:t xml:space="preserve"> </w:t>
            </w:r>
            <w:r w:rsidR="00C50585" w:rsidRPr="00EE038F">
              <w:rPr>
                <w:rFonts w:ascii="Garamond" w:hAnsi="Garamond"/>
                <w:sz w:val="18"/>
              </w:rPr>
              <w:t>7. Komponenti ciklik buxhetor</w:t>
            </w:r>
          </w:p>
        </w:tc>
        <w:tc>
          <w:tcPr>
            <w:tcW w:w="663" w:type="pct"/>
            <w:tcBorders>
              <w:top w:val="dotted" w:sz="4" w:space="0" w:color="auto"/>
              <w:left w:val="single" w:sz="6" w:space="0" w:color="000000"/>
              <w:bottom w:val="single" w:sz="6" w:space="0" w:color="000000"/>
              <w:right w:val="single" w:sz="6" w:space="0" w:color="000000"/>
            </w:tcBorders>
            <w:vAlign w:val="center"/>
          </w:tcPr>
          <w:p w14:paraId="64405529" w14:textId="77777777" w:rsidR="00C50585" w:rsidRPr="00EE038F" w:rsidRDefault="00C50585" w:rsidP="00F445C3">
            <w:pPr>
              <w:spacing w:after="0" w:line="240" w:lineRule="auto"/>
              <w:contextualSpacing/>
              <w:jc w:val="both"/>
              <w:rPr>
                <w:rFonts w:ascii="Garamond" w:hAnsi="Garamond"/>
                <w:sz w:val="18"/>
              </w:rPr>
            </w:pPr>
          </w:p>
        </w:tc>
        <w:tc>
          <w:tcPr>
            <w:tcW w:w="383" w:type="pct"/>
            <w:tcBorders>
              <w:top w:val="nil"/>
              <w:left w:val="nil"/>
              <w:bottom w:val="single" w:sz="4" w:space="0" w:color="auto"/>
              <w:right w:val="dotted" w:sz="4" w:space="0" w:color="000000"/>
            </w:tcBorders>
            <w:shd w:val="clear" w:color="auto" w:fill="auto"/>
          </w:tcPr>
          <w:p w14:paraId="130FE60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single" w:sz="4" w:space="0" w:color="auto"/>
              <w:right w:val="dotted" w:sz="4" w:space="0" w:color="000000"/>
            </w:tcBorders>
            <w:shd w:val="clear" w:color="auto" w:fill="auto"/>
          </w:tcPr>
          <w:p w14:paraId="63F8761A"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single" w:sz="4" w:space="0" w:color="auto"/>
              <w:right w:val="dotted" w:sz="4" w:space="0" w:color="000000"/>
            </w:tcBorders>
            <w:shd w:val="clear" w:color="auto" w:fill="auto"/>
          </w:tcPr>
          <w:p w14:paraId="4DD7C24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single" w:sz="4" w:space="0" w:color="auto"/>
              <w:right w:val="dotted" w:sz="4" w:space="0" w:color="000000"/>
            </w:tcBorders>
            <w:shd w:val="clear" w:color="auto" w:fill="auto"/>
          </w:tcPr>
          <w:p w14:paraId="6945CB4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single" w:sz="4" w:space="0" w:color="auto"/>
              <w:right w:val="double" w:sz="4" w:space="0" w:color="auto"/>
            </w:tcBorders>
            <w:shd w:val="clear" w:color="auto" w:fill="auto"/>
          </w:tcPr>
          <w:p w14:paraId="3595462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4FFA7FC8" w14:textId="77777777" w:rsidTr="00066DFC">
        <w:trPr>
          <w:trHeight w:val="20"/>
          <w:jc w:val="center"/>
        </w:trPr>
        <w:tc>
          <w:tcPr>
            <w:tcW w:w="2423" w:type="pct"/>
            <w:tcBorders>
              <w:top w:val="single" w:sz="6" w:space="0" w:color="000000"/>
              <w:left w:val="double" w:sz="4" w:space="0" w:color="auto"/>
              <w:bottom w:val="dotted" w:sz="4" w:space="0" w:color="auto"/>
              <w:right w:val="single" w:sz="6" w:space="0" w:color="000000"/>
            </w:tcBorders>
            <w:vAlign w:val="center"/>
          </w:tcPr>
          <w:p w14:paraId="5DA3AE94" w14:textId="05F923AF" w:rsidR="00C50585" w:rsidRPr="00EE038F" w:rsidRDefault="00AD3D9C" w:rsidP="00F445C3">
            <w:pPr>
              <w:spacing w:after="0" w:line="240" w:lineRule="auto"/>
              <w:contextualSpacing/>
              <w:jc w:val="both"/>
              <w:rPr>
                <w:rFonts w:ascii="Garamond" w:hAnsi="Garamond"/>
                <w:sz w:val="18"/>
              </w:rPr>
            </w:pPr>
            <w:r w:rsidRPr="00EE038F">
              <w:rPr>
                <w:rFonts w:ascii="Garamond" w:hAnsi="Garamond"/>
                <w:sz w:val="18"/>
              </w:rPr>
              <w:t xml:space="preserve"> </w:t>
            </w:r>
            <w:r w:rsidR="00C50585" w:rsidRPr="00EE038F">
              <w:rPr>
                <w:rFonts w:ascii="Garamond" w:hAnsi="Garamond"/>
                <w:sz w:val="18"/>
              </w:rPr>
              <w:t>8. Bilanci i rregulluar ciklikisht (2-7)</w:t>
            </w:r>
          </w:p>
        </w:tc>
        <w:tc>
          <w:tcPr>
            <w:tcW w:w="663" w:type="pct"/>
            <w:tcBorders>
              <w:top w:val="single" w:sz="6" w:space="0" w:color="000000"/>
              <w:left w:val="single" w:sz="6" w:space="0" w:color="000000"/>
              <w:bottom w:val="dotted" w:sz="4" w:space="0" w:color="auto"/>
              <w:right w:val="single" w:sz="6" w:space="0" w:color="000000"/>
            </w:tcBorders>
            <w:vAlign w:val="center"/>
          </w:tcPr>
          <w:p w14:paraId="6B6D495E" w14:textId="77777777" w:rsidR="00C50585" w:rsidRPr="00EE038F" w:rsidRDefault="00C50585" w:rsidP="00F445C3">
            <w:pPr>
              <w:spacing w:after="0" w:line="240" w:lineRule="auto"/>
              <w:contextualSpacing/>
              <w:jc w:val="both"/>
              <w:rPr>
                <w:rFonts w:ascii="Garamond" w:hAnsi="Garamond"/>
                <w:sz w:val="18"/>
              </w:rPr>
            </w:pPr>
          </w:p>
        </w:tc>
        <w:tc>
          <w:tcPr>
            <w:tcW w:w="383" w:type="pct"/>
            <w:tcBorders>
              <w:top w:val="nil"/>
              <w:left w:val="nil"/>
              <w:bottom w:val="dotted" w:sz="4" w:space="0" w:color="000000"/>
              <w:right w:val="dotted" w:sz="4" w:space="0" w:color="000000"/>
            </w:tcBorders>
            <w:shd w:val="clear" w:color="auto" w:fill="auto"/>
          </w:tcPr>
          <w:p w14:paraId="5AA480A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73E94B7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5801975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5017763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uble" w:sz="4" w:space="0" w:color="auto"/>
            </w:tcBorders>
            <w:shd w:val="clear" w:color="auto" w:fill="auto"/>
          </w:tcPr>
          <w:p w14:paraId="2F1EE9C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347B73AD" w14:textId="77777777" w:rsidTr="00066DFC">
        <w:trPr>
          <w:trHeight w:val="20"/>
          <w:jc w:val="center"/>
        </w:trPr>
        <w:tc>
          <w:tcPr>
            <w:tcW w:w="2423" w:type="pct"/>
            <w:tcBorders>
              <w:top w:val="dotted" w:sz="4" w:space="0" w:color="auto"/>
              <w:left w:val="double" w:sz="4" w:space="0" w:color="auto"/>
              <w:bottom w:val="dotted" w:sz="4" w:space="0" w:color="auto"/>
              <w:right w:val="single" w:sz="6" w:space="0" w:color="000000"/>
            </w:tcBorders>
            <w:vAlign w:val="center"/>
          </w:tcPr>
          <w:p w14:paraId="5805005C" w14:textId="7AA3A61A" w:rsidR="00C50585" w:rsidRPr="00EE038F" w:rsidRDefault="00AD3D9C" w:rsidP="00F445C3">
            <w:pPr>
              <w:spacing w:after="0" w:line="240" w:lineRule="auto"/>
              <w:contextualSpacing/>
              <w:jc w:val="both"/>
              <w:rPr>
                <w:rFonts w:ascii="Garamond" w:hAnsi="Garamond"/>
                <w:sz w:val="18"/>
              </w:rPr>
            </w:pPr>
            <w:r w:rsidRPr="00EE038F">
              <w:rPr>
                <w:rFonts w:ascii="Garamond" w:hAnsi="Garamond"/>
                <w:sz w:val="18"/>
              </w:rPr>
              <w:t xml:space="preserve"> </w:t>
            </w:r>
            <w:r w:rsidR="00C50585" w:rsidRPr="00EE038F">
              <w:rPr>
                <w:rFonts w:ascii="Garamond" w:hAnsi="Garamond"/>
                <w:sz w:val="18"/>
              </w:rPr>
              <w:t>9. Bilanci primar i rregulluar ciklikisht (8+3)</w:t>
            </w:r>
          </w:p>
        </w:tc>
        <w:tc>
          <w:tcPr>
            <w:tcW w:w="663" w:type="pct"/>
            <w:tcBorders>
              <w:top w:val="dotted" w:sz="4" w:space="0" w:color="auto"/>
              <w:left w:val="single" w:sz="6" w:space="0" w:color="000000"/>
              <w:bottom w:val="dotted" w:sz="4" w:space="0" w:color="auto"/>
              <w:right w:val="single" w:sz="6" w:space="0" w:color="000000"/>
            </w:tcBorders>
            <w:vAlign w:val="center"/>
          </w:tcPr>
          <w:p w14:paraId="52EBA80E" w14:textId="77777777" w:rsidR="00C50585" w:rsidRPr="00EE038F" w:rsidRDefault="00C50585" w:rsidP="00F445C3">
            <w:pPr>
              <w:spacing w:after="0" w:line="240" w:lineRule="auto"/>
              <w:contextualSpacing/>
              <w:jc w:val="both"/>
              <w:rPr>
                <w:rFonts w:ascii="Garamond" w:hAnsi="Garamond"/>
                <w:sz w:val="18"/>
              </w:rPr>
            </w:pPr>
          </w:p>
        </w:tc>
        <w:tc>
          <w:tcPr>
            <w:tcW w:w="383" w:type="pct"/>
            <w:tcBorders>
              <w:top w:val="nil"/>
              <w:left w:val="nil"/>
              <w:bottom w:val="dotted" w:sz="4" w:space="0" w:color="000000"/>
              <w:right w:val="dotted" w:sz="4" w:space="0" w:color="000000"/>
            </w:tcBorders>
            <w:shd w:val="clear" w:color="auto" w:fill="auto"/>
          </w:tcPr>
          <w:p w14:paraId="359B0AB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17F7AC7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13A0D0E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tted" w:sz="4" w:space="0" w:color="000000"/>
            </w:tcBorders>
            <w:shd w:val="clear" w:color="auto" w:fill="auto"/>
          </w:tcPr>
          <w:p w14:paraId="1B7A650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tted" w:sz="4" w:space="0" w:color="000000"/>
              <w:right w:val="double" w:sz="4" w:space="0" w:color="auto"/>
            </w:tcBorders>
            <w:shd w:val="clear" w:color="auto" w:fill="auto"/>
          </w:tcPr>
          <w:p w14:paraId="4182080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6AFE5960" w14:textId="77777777" w:rsidTr="00066DFC">
        <w:trPr>
          <w:trHeight w:val="20"/>
          <w:jc w:val="center"/>
        </w:trPr>
        <w:tc>
          <w:tcPr>
            <w:tcW w:w="2423" w:type="pct"/>
            <w:tcBorders>
              <w:top w:val="dotted" w:sz="4" w:space="0" w:color="auto"/>
              <w:left w:val="double" w:sz="4" w:space="0" w:color="auto"/>
              <w:bottom w:val="double" w:sz="4" w:space="0" w:color="auto"/>
              <w:right w:val="single" w:sz="6" w:space="0" w:color="000000"/>
            </w:tcBorders>
            <w:vAlign w:val="center"/>
          </w:tcPr>
          <w:p w14:paraId="7F1179FA"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 xml:space="preserve"> 10. Bilanci strukturor (8-4)</w:t>
            </w:r>
          </w:p>
        </w:tc>
        <w:tc>
          <w:tcPr>
            <w:tcW w:w="663" w:type="pct"/>
            <w:tcBorders>
              <w:top w:val="dotted" w:sz="4" w:space="0" w:color="auto"/>
              <w:left w:val="single" w:sz="6" w:space="0" w:color="000000"/>
              <w:bottom w:val="double" w:sz="4" w:space="0" w:color="auto"/>
              <w:right w:val="single" w:sz="6" w:space="0" w:color="000000"/>
            </w:tcBorders>
            <w:vAlign w:val="center"/>
          </w:tcPr>
          <w:p w14:paraId="5C816C9F" w14:textId="77777777" w:rsidR="00C50585" w:rsidRPr="00EE038F" w:rsidRDefault="00C50585" w:rsidP="00F445C3">
            <w:pPr>
              <w:spacing w:after="0" w:line="240" w:lineRule="auto"/>
              <w:contextualSpacing/>
              <w:jc w:val="both"/>
              <w:rPr>
                <w:rFonts w:ascii="Garamond" w:hAnsi="Garamond"/>
                <w:sz w:val="18"/>
              </w:rPr>
            </w:pPr>
          </w:p>
        </w:tc>
        <w:tc>
          <w:tcPr>
            <w:tcW w:w="383" w:type="pct"/>
            <w:tcBorders>
              <w:top w:val="nil"/>
              <w:left w:val="nil"/>
              <w:bottom w:val="double" w:sz="4" w:space="0" w:color="auto"/>
              <w:right w:val="dotted" w:sz="4" w:space="0" w:color="000000"/>
            </w:tcBorders>
            <w:shd w:val="clear" w:color="auto" w:fill="auto"/>
            <w:vAlign w:val="center"/>
          </w:tcPr>
          <w:p w14:paraId="6C30F2E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uble" w:sz="4" w:space="0" w:color="auto"/>
              <w:right w:val="dotted" w:sz="4" w:space="0" w:color="000000"/>
            </w:tcBorders>
            <w:shd w:val="clear" w:color="auto" w:fill="auto"/>
            <w:vAlign w:val="center"/>
          </w:tcPr>
          <w:p w14:paraId="2CE2FA9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uble" w:sz="4" w:space="0" w:color="auto"/>
              <w:right w:val="dotted" w:sz="4" w:space="0" w:color="000000"/>
            </w:tcBorders>
            <w:shd w:val="clear" w:color="auto" w:fill="auto"/>
            <w:vAlign w:val="center"/>
          </w:tcPr>
          <w:p w14:paraId="1AB3F36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uble" w:sz="4" w:space="0" w:color="auto"/>
              <w:right w:val="dotted" w:sz="4" w:space="0" w:color="000000"/>
            </w:tcBorders>
            <w:shd w:val="clear" w:color="auto" w:fill="auto"/>
            <w:vAlign w:val="center"/>
          </w:tcPr>
          <w:p w14:paraId="048CB47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383" w:type="pct"/>
            <w:tcBorders>
              <w:top w:val="nil"/>
              <w:left w:val="nil"/>
              <w:bottom w:val="double" w:sz="4" w:space="0" w:color="auto"/>
              <w:right w:val="double" w:sz="4" w:space="0" w:color="auto"/>
            </w:tcBorders>
            <w:shd w:val="clear" w:color="auto" w:fill="auto"/>
            <w:vAlign w:val="center"/>
          </w:tcPr>
          <w:p w14:paraId="24F520F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bl>
    <w:p w14:paraId="356E2564" w14:textId="77777777" w:rsidR="00F445C3" w:rsidRPr="00EE038F" w:rsidRDefault="00F445C3" w:rsidP="00C50585">
      <w:pPr>
        <w:spacing w:after="0" w:line="240" w:lineRule="auto"/>
        <w:contextualSpacing/>
        <w:jc w:val="both"/>
        <w:rPr>
          <w:rFonts w:ascii="Garamond" w:hAnsi="Garamond"/>
          <w:b/>
          <w:color w:val="0D0D0D" w:themeColor="text1" w:themeTint="F2"/>
        </w:rPr>
      </w:pPr>
    </w:p>
    <w:p w14:paraId="5D9D4D62" w14:textId="77777777" w:rsidR="00C50585" w:rsidRPr="00EE038F" w:rsidRDefault="00C50585" w:rsidP="00066DFC">
      <w:pPr>
        <w:spacing w:after="0" w:line="240" w:lineRule="auto"/>
        <w:contextualSpacing/>
        <w:jc w:val="center"/>
        <w:rPr>
          <w:rFonts w:ascii="Garamond" w:hAnsi="Garamond"/>
          <w:bCs/>
          <w:i/>
          <w:iCs/>
          <w:sz w:val="24"/>
          <w:szCs w:val="24"/>
        </w:rPr>
      </w:pPr>
      <w:r w:rsidRPr="00EE038F">
        <w:rPr>
          <w:rFonts w:ascii="Garamond" w:hAnsi="Garamond"/>
          <w:bCs/>
          <w:i/>
          <w:iCs/>
          <w:color w:val="0D0D0D" w:themeColor="text1" w:themeTint="F2"/>
          <w:sz w:val="24"/>
          <w:szCs w:val="24"/>
        </w:rPr>
        <w:t>Tabela</w:t>
      </w:r>
      <w:r w:rsidRPr="00EE038F">
        <w:rPr>
          <w:rFonts w:ascii="Garamond" w:hAnsi="Garamond"/>
          <w:bCs/>
          <w:i/>
          <w:iCs/>
          <w:sz w:val="24"/>
          <w:szCs w:val="24"/>
        </w:rPr>
        <w:t xml:space="preserve"> 6: Divergjenca nga programi i mëparshëm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7"/>
        <w:gridCol w:w="1129"/>
        <w:gridCol w:w="1129"/>
        <w:gridCol w:w="1129"/>
        <w:gridCol w:w="1129"/>
        <w:gridCol w:w="1127"/>
      </w:tblGrid>
      <w:tr w:rsidR="00C50585" w:rsidRPr="00EE038F" w14:paraId="6BD43855" w14:textId="77777777" w:rsidTr="00066DFC">
        <w:trPr>
          <w:trHeight w:val="20"/>
          <w:jc w:val="center"/>
        </w:trPr>
        <w:tc>
          <w:tcPr>
            <w:tcW w:w="1861" w:type="pct"/>
            <w:tcBorders>
              <w:top w:val="double" w:sz="4" w:space="0" w:color="auto"/>
              <w:left w:val="double" w:sz="4" w:space="0" w:color="auto"/>
              <w:bottom w:val="single" w:sz="6" w:space="0" w:color="000000"/>
              <w:right w:val="single" w:sz="6" w:space="0" w:color="000000"/>
            </w:tcBorders>
          </w:tcPr>
          <w:p w14:paraId="76AEA38E" w14:textId="77777777" w:rsidR="00C50585" w:rsidRPr="00EE038F" w:rsidRDefault="00C50585" w:rsidP="007C70E7">
            <w:pPr>
              <w:spacing w:after="0" w:line="240" w:lineRule="auto"/>
              <w:contextualSpacing/>
              <w:jc w:val="both"/>
              <w:rPr>
                <w:rFonts w:ascii="Garamond" w:hAnsi="Garamond"/>
                <w:b/>
                <w:bCs/>
                <w:sz w:val="18"/>
              </w:rPr>
            </w:pPr>
          </w:p>
        </w:tc>
        <w:tc>
          <w:tcPr>
            <w:tcW w:w="628" w:type="pct"/>
            <w:tcBorders>
              <w:top w:val="double" w:sz="4" w:space="0" w:color="auto"/>
              <w:left w:val="dotted" w:sz="4" w:space="0" w:color="auto"/>
              <w:bottom w:val="dotted" w:sz="4" w:space="0" w:color="auto"/>
              <w:right w:val="dotted" w:sz="4" w:space="0" w:color="auto"/>
            </w:tcBorders>
            <w:vAlign w:val="center"/>
          </w:tcPr>
          <w:p w14:paraId="24C58190"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w:t>
            </w:r>
          </w:p>
          <w:p w14:paraId="48083845"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2023</w:t>
            </w:r>
          </w:p>
        </w:tc>
        <w:tc>
          <w:tcPr>
            <w:tcW w:w="628" w:type="pct"/>
            <w:tcBorders>
              <w:top w:val="double" w:sz="4" w:space="0" w:color="auto"/>
              <w:left w:val="dotted" w:sz="4" w:space="0" w:color="auto"/>
              <w:bottom w:val="dotted" w:sz="4" w:space="0" w:color="auto"/>
              <w:right w:val="dotted" w:sz="4" w:space="0" w:color="auto"/>
            </w:tcBorders>
            <w:vAlign w:val="center"/>
          </w:tcPr>
          <w:p w14:paraId="7E63896D"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w:t>
            </w:r>
            <w:r w:rsidRPr="00EE038F">
              <w:rPr>
                <w:rFonts w:ascii="Garamond" w:hAnsi="Garamond"/>
                <w:b/>
                <w:bCs/>
                <w:sz w:val="18"/>
              </w:rPr>
              <w:br/>
              <w:t xml:space="preserve"> 2024</w:t>
            </w:r>
          </w:p>
        </w:tc>
        <w:tc>
          <w:tcPr>
            <w:tcW w:w="628" w:type="pct"/>
            <w:tcBorders>
              <w:top w:val="double" w:sz="4" w:space="0" w:color="auto"/>
              <w:left w:val="dotted" w:sz="4" w:space="0" w:color="auto"/>
              <w:bottom w:val="dotted" w:sz="4" w:space="0" w:color="auto"/>
              <w:right w:val="dotted" w:sz="4" w:space="0" w:color="auto"/>
            </w:tcBorders>
            <w:vAlign w:val="center"/>
          </w:tcPr>
          <w:p w14:paraId="4B9C1D0C"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 xml:space="preserve">Viti </w:t>
            </w:r>
          </w:p>
          <w:p w14:paraId="3F133857"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2025</w:t>
            </w:r>
          </w:p>
        </w:tc>
        <w:tc>
          <w:tcPr>
            <w:tcW w:w="628" w:type="pct"/>
            <w:tcBorders>
              <w:top w:val="double" w:sz="4" w:space="0" w:color="auto"/>
              <w:left w:val="dotted" w:sz="4" w:space="0" w:color="auto"/>
              <w:bottom w:val="dotted" w:sz="4" w:space="0" w:color="auto"/>
              <w:right w:val="dotted" w:sz="4" w:space="0" w:color="auto"/>
            </w:tcBorders>
            <w:vAlign w:val="center"/>
          </w:tcPr>
          <w:p w14:paraId="5F65396B"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Viti</w:t>
            </w:r>
            <w:r w:rsidRPr="00EE038F">
              <w:rPr>
                <w:rFonts w:ascii="Garamond" w:hAnsi="Garamond"/>
                <w:b/>
                <w:bCs/>
                <w:sz w:val="18"/>
              </w:rPr>
              <w:br/>
              <w:t xml:space="preserve"> 2026</w:t>
            </w:r>
          </w:p>
        </w:tc>
        <w:tc>
          <w:tcPr>
            <w:tcW w:w="628" w:type="pct"/>
            <w:tcBorders>
              <w:top w:val="double" w:sz="4" w:space="0" w:color="auto"/>
              <w:left w:val="dotted" w:sz="4" w:space="0" w:color="auto"/>
              <w:bottom w:val="dotted" w:sz="4" w:space="0" w:color="auto"/>
              <w:right w:val="double" w:sz="4" w:space="0" w:color="auto"/>
            </w:tcBorders>
            <w:vAlign w:val="center"/>
          </w:tcPr>
          <w:p w14:paraId="4958B994" w14:textId="77777777" w:rsidR="00C50585" w:rsidRPr="00EE038F" w:rsidRDefault="00C50585" w:rsidP="007C70E7">
            <w:pPr>
              <w:spacing w:after="0" w:line="240" w:lineRule="auto"/>
              <w:contextualSpacing/>
              <w:jc w:val="both"/>
              <w:rPr>
                <w:rFonts w:ascii="Garamond" w:hAnsi="Garamond"/>
                <w:b/>
                <w:bCs/>
                <w:sz w:val="18"/>
              </w:rPr>
            </w:pPr>
            <w:r w:rsidRPr="00EE038F">
              <w:rPr>
                <w:rFonts w:ascii="Garamond" w:hAnsi="Garamond"/>
                <w:b/>
                <w:bCs/>
                <w:sz w:val="18"/>
              </w:rPr>
              <w:t xml:space="preserve">Viti </w:t>
            </w:r>
            <w:r w:rsidRPr="00EE038F">
              <w:rPr>
                <w:rFonts w:ascii="Garamond" w:hAnsi="Garamond"/>
                <w:b/>
                <w:bCs/>
                <w:sz w:val="18"/>
              </w:rPr>
              <w:br/>
              <w:t>2027</w:t>
            </w:r>
          </w:p>
        </w:tc>
      </w:tr>
      <w:tr w:rsidR="00C50585" w:rsidRPr="00EE038F" w14:paraId="612DFDE1" w14:textId="77777777" w:rsidTr="00066DFC">
        <w:trPr>
          <w:trHeight w:val="20"/>
          <w:jc w:val="center"/>
        </w:trPr>
        <w:tc>
          <w:tcPr>
            <w:tcW w:w="5000" w:type="pct"/>
            <w:gridSpan w:val="6"/>
            <w:tcBorders>
              <w:top w:val="single" w:sz="6" w:space="0" w:color="000000"/>
              <w:left w:val="double" w:sz="4" w:space="0" w:color="auto"/>
              <w:bottom w:val="single" w:sz="4" w:space="0" w:color="auto"/>
              <w:right w:val="double" w:sz="4" w:space="0" w:color="auto"/>
            </w:tcBorders>
          </w:tcPr>
          <w:p w14:paraId="4781FF5A" w14:textId="77777777" w:rsidR="00C50585" w:rsidRPr="00EE038F" w:rsidRDefault="00C50585" w:rsidP="007C70E7">
            <w:pPr>
              <w:spacing w:after="0" w:line="240" w:lineRule="auto"/>
              <w:contextualSpacing/>
              <w:jc w:val="both"/>
              <w:rPr>
                <w:rFonts w:ascii="Garamond" w:hAnsi="Garamond"/>
                <w:b/>
                <w:sz w:val="18"/>
              </w:rPr>
            </w:pPr>
            <w:r w:rsidRPr="00EE038F">
              <w:rPr>
                <w:rFonts w:ascii="Garamond" w:eastAsia="Times New Roman" w:hAnsi="Garamond"/>
                <w:b/>
                <w:bCs/>
                <w:color w:val="0D0D0D" w:themeColor="text1" w:themeTint="F2"/>
                <w:sz w:val="18"/>
              </w:rPr>
              <w:t>1. Rritja e PBB-së (%, y-o-y)</w:t>
            </w:r>
          </w:p>
        </w:tc>
      </w:tr>
      <w:tr w:rsidR="00C50585" w:rsidRPr="00EE038F" w14:paraId="280A8414" w14:textId="77777777" w:rsidTr="00066DFC">
        <w:trPr>
          <w:trHeight w:val="20"/>
          <w:jc w:val="center"/>
        </w:trPr>
        <w:tc>
          <w:tcPr>
            <w:tcW w:w="1861" w:type="pct"/>
            <w:tcBorders>
              <w:top w:val="single" w:sz="4" w:space="0" w:color="auto"/>
              <w:left w:val="double" w:sz="4" w:space="0" w:color="auto"/>
              <w:bottom w:val="dotted" w:sz="4" w:space="0" w:color="auto"/>
              <w:right w:val="single" w:sz="6" w:space="0" w:color="000000"/>
            </w:tcBorders>
            <w:vAlign w:val="center"/>
          </w:tcPr>
          <w:p w14:paraId="3C7186F1"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Programi i mëparshëm</w:t>
            </w:r>
          </w:p>
        </w:tc>
        <w:tc>
          <w:tcPr>
            <w:tcW w:w="628" w:type="pct"/>
            <w:tcBorders>
              <w:top w:val="single" w:sz="4" w:space="0" w:color="auto"/>
              <w:left w:val="nil"/>
              <w:bottom w:val="dotted" w:sz="4" w:space="0" w:color="auto"/>
              <w:right w:val="dotted" w:sz="4" w:space="0" w:color="auto"/>
            </w:tcBorders>
            <w:shd w:val="clear" w:color="auto" w:fill="auto"/>
          </w:tcPr>
          <w:p w14:paraId="6A529C19" w14:textId="77777777" w:rsidR="00C50585" w:rsidRPr="00EE038F" w:rsidRDefault="00C50585" w:rsidP="00280C20">
            <w:pPr>
              <w:tabs>
                <w:tab w:val="left" w:pos="706"/>
              </w:tabs>
              <w:spacing w:after="0" w:line="240" w:lineRule="auto"/>
              <w:jc w:val="right"/>
              <w:rPr>
                <w:rFonts w:ascii="Garamond" w:hAnsi="Garamond"/>
                <w:sz w:val="18"/>
              </w:rPr>
            </w:pPr>
            <w:r w:rsidRPr="00EE038F">
              <w:rPr>
                <w:rFonts w:ascii="Garamond" w:hAnsi="Garamond"/>
                <w:sz w:val="18"/>
              </w:rPr>
              <w:t>3.5</w:t>
            </w:r>
            <w:r w:rsidR="004A4C72" w:rsidRPr="00EE038F">
              <w:rPr>
                <w:rFonts w:ascii="Garamond" w:hAnsi="Garamond"/>
                <w:sz w:val="18"/>
              </w:rPr>
              <w:t xml:space="preserve"> </w:t>
            </w:r>
          </w:p>
        </w:tc>
        <w:tc>
          <w:tcPr>
            <w:tcW w:w="628" w:type="pct"/>
            <w:tcBorders>
              <w:top w:val="single" w:sz="4" w:space="0" w:color="auto"/>
              <w:left w:val="nil"/>
              <w:bottom w:val="dotted" w:sz="4" w:space="0" w:color="auto"/>
              <w:right w:val="dotted" w:sz="4" w:space="0" w:color="auto"/>
            </w:tcBorders>
            <w:shd w:val="clear" w:color="auto" w:fill="auto"/>
          </w:tcPr>
          <w:p w14:paraId="7E3B4F08"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3.7</w:t>
            </w:r>
          </w:p>
        </w:tc>
        <w:tc>
          <w:tcPr>
            <w:tcW w:w="628" w:type="pct"/>
            <w:tcBorders>
              <w:top w:val="single" w:sz="4" w:space="0" w:color="auto"/>
              <w:left w:val="nil"/>
              <w:bottom w:val="dotted" w:sz="4" w:space="0" w:color="auto"/>
              <w:right w:val="dotted" w:sz="4" w:space="0" w:color="auto"/>
            </w:tcBorders>
            <w:shd w:val="clear" w:color="auto" w:fill="auto"/>
          </w:tcPr>
          <w:p w14:paraId="4453F1F3"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3.9</w:t>
            </w:r>
          </w:p>
        </w:tc>
        <w:tc>
          <w:tcPr>
            <w:tcW w:w="628" w:type="pct"/>
            <w:tcBorders>
              <w:top w:val="single" w:sz="4" w:space="0" w:color="auto"/>
              <w:left w:val="nil"/>
              <w:bottom w:val="dotted" w:sz="4" w:space="0" w:color="auto"/>
              <w:right w:val="dotted" w:sz="4" w:space="0" w:color="auto"/>
            </w:tcBorders>
            <w:shd w:val="clear" w:color="auto" w:fill="auto"/>
          </w:tcPr>
          <w:p w14:paraId="6375BD7C"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4.0</w:t>
            </w:r>
          </w:p>
        </w:tc>
        <w:tc>
          <w:tcPr>
            <w:tcW w:w="628" w:type="pct"/>
            <w:tcBorders>
              <w:top w:val="single" w:sz="4" w:space="0" w:color="auto"/>
              <w:left w:val="nil"/>
              <w:bottom w:val="dotted" w:sz="4" w:space="0" w:color="auto"/>
              <w:right w:val="double" w:sz="6" w:space="0" w:color="auto"/>
            </w:tcBorders>
            <w:shd w:val="clear" w:color="auto" w:fill="auto"/>
          </w:tcPr>
          <w:p w14:paraId="36F31F74"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w:t>
            </w:r>
          </w:p>
        </w:tc>
      </w:tr>
      <w:tr w:rsidR="00C50585" w:rsidRPr="00EE038F" w14:paraId="00A5FBC5" w14:textId="77777777" w:rsidTr="00066DFC">
        <w:trPr>
          <w:trHeight w:val="20"/>
          <w:jc w:val="center"/>
        </w:trPr>
        <w:tc>
          <w:tcPr>
            <w:tcW w:w="1861" w:type="pct"/>
            <w:tcBorders>
              <w:top w:val="dotted" w:sz="4" w:space="0" w:color="auto"/>
              <w:left w:val="double" w:sz="4" w:space="0" w:color="auto"/>
              <w:bottom w:val="dotted" w:sz="4" w:space="0" w:color="auto"/>
              <w:right w:val="single" w:sz="6" w:space="0" w:color="000000"/>
            </w:tcBorders>
            <w:vAlign w:val="center"/>
          </w:tcPr>
          <w:p w14:paraId="3679AC10"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Përditësimi më i fundit</w:t>
            </w:r>
          </w:p>
        </w:tc>
        <w:tc>
          <w:tcPr>
            <w:tcW w:w="628" w:type="pct"/>
            <w:tcBorders>
              <w:top w:val="nil"/>
              <w:left w:val="nil"/>
              <w:bottom w:val="dotted" w:sz="4" w:space="0" w:color="auto"/>
              <w:right w:val="dotted" w:sz="4" w:space="0" w:color="auto"/>
            </w:tcBorders>
            <w:shd w:val="clear" w:color="000000" w:fill="FFFFFF"/>
          </w:tcPr>
          <w:p w14:paraId="74CAAF83"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3.9</w:t>
            </w:r>
          </w:p>
        </w:tc>
        <w:tc>
          <w:tcPr>
            <w:tcW w:w="628" w:type="pct"/>
            <w:tcBorders>
              <w:top w:val="nil"/>
              <w:left w:val="nil"/>
              <w:bottom w:val="dotted" w:sz="4" w:space="0" w:color="auto"/>
              <w:right w:val="dotted" w:sz="4" w:space="0" w:color="auto"/>
            </w:tcBorders>
            <w:shd w:val="clear" w:color="000000" w:fill="FFFFFF"/>
          </w:tcPr>
          <w:p w14:paraId="1EBC1C4B"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3.9</w:t>
            </w:r>
          </w:p>
        </w:tc>
        <w:tc>
          <w:tcPr>
            <w:tcW w:w="628" w:type="pct"/>
            <w:tcBorders>
              <w:top w:val="nil"/>
              <w:left w:val="nil"/>
              <w:bottom w:val="dotted" w:sz="4" w:space="0" w:color="auto"/>
              <w:right w:val="dotted" w:sz="4" w:space="0" w:color="auto"/>
            </w:tcBorders>
            <w:shd w:val="clear" w:color="000000" w:fill="FFFFFF"/>
          </w:tcPr>
          <w:p w14:paraId="31962BB5"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3.9</w:t>
            </w:r>
          </w:p>
        </w:tc>
        <w:tc>
          <w:tcPr>
            <w:tcW w:w="628" w:type="pct"/>
            <w:tcBorders>
              <w:top w:val="nil"/>
              <w:left w:val="nil"/>
              <w:bottom w:val="dotted" w:sz="4" w:space="0" w:color="auto"/>
              <w:right w:val="dotted" w:sz="4" w:space="0" w:color="auto"/>
            </w:tcBorders>
            <w:shd w:val="clear" w:color="000000" w:fill="FFFFFF"/>
          </w:tcPr>
          <w:p w14:paraId="69179D03"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4.0</w:t>
            </w:r>
          </w:p>
        </w:tc>
        <w:tc>
          <w:tcPr>
            <w:tcW w:w="628" w:type="pct"/>
            <w:tcBorders>
              <w:top w:val="nil"/>
              <w:left w:val="nil"/>
              <w:bottom w:val="dotted" w:sz="4" w:space="0" w:color="auto"/>
              <w:right w:val="double" w:sz="6" w:space="0" w:color="auto"/>
            </w:tcBorders>
            <w:shd w:val="clear" w:color="000000" w:fill="FFFFFF"/>
          </w:tcPr>
          <w:p w14:paraId="49EF6943"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3.9</w:t>
            </w:r>
          </w:p>
        </w:tc>
      </w:tr>
      <w:tr w:rsidR="00C50585" w:rsidRPr="00EE038F" w14:paraId="76BC998C" w14:textId="77777777" w:rsidTr="00066DFC">
        <w:trPr>
          <w:trHeight w:val="20"/>
          <w:jc w:val="center"/>
        </w:trPr>
        <w:tc>
          <w:tcPr>
            <w:tcW w:w="1861" w:type="pct"/>
            <w:tcBorders>
              <w:top w:val="dotted" w:sz="4" w:space="0" w:color="auto"/>
              <w:left w:val="double" w:sz="4" w:space="0" w:color="auto"/>
              <w:bottom w:val="single" w:sz="6" w:space="0" w:color="000000"/>
              <w:right w:val="single" w:sz="6" w:space="0" w:color="000000"/>
            </w:tcBorders>
            <w:vAlign w:val="center"/>
          </w:tcPr>
          <w:p w14:paraId="7AB87287" w14:textId="4B98DB22"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 xml:space="preserve">Diferenca (pikë </w:t>
            </w:r>
            <w:r w:rsidR="009242F9" w:rsidRPr="00EE038F">
              <w:rPr>
                <w:rFonts w:ascii="Garamond" w:hAnsi="Garamond"/>
                <w:sz w:val="18"/>
              </w:rPr>
              <w:t>përqindje</w:t>
            </w:r>
            <w:r w:rsidRPr="00EE038F">
              <w:rPr>
                <w:rFonts w:ascii="Garamond" w:hAnsi="Garamond"/>
                <w:sz w:val="18"/>
              </w:rPr>
              <w:t>je)</w:t>
            </w:r>
          </w:p>
        </w:tc>
        <w:tc>
          <w:tcPr>
            <w:tcW w:w="628" w:type="pct"/>
            <w:tcBorders>
              <w:top w:val="nil"/>
              <w:left w:val="nil"/>
              <w:bottom w:val="single" w:sz="8" w:space="0" w:color="auto"/>
              <w:right w:val="dotted" w:sz="4" w:space="0" w:color="auto"/>
            </w:tcBorders>
            <w:shd w:val="clear" w:color="000000" w:fill="FFFFFF"/>
          </w:tcPr>
          <w:p w14:paraId="110EAD91"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0.5</w:t>
            </w:r>
          </w:p>
        </w:tc>
        <w:tc>
          <w:tcPr>
            <w:tcW w:w="628" w:type="pct"/>
            <w:tcBorders>
              <w:top w:val="nil"/>
              <w:left w:val="nil"/>
              <w:bottom w:val="single" w:sz="8" w:space="0" w:color="auto"/>
              <w:right w:val="dotted" w:sz="4" w:space="0" w:color="auto"/>
            </w:tcBorders>
            <w:shd w:val="clear" w:color="000000" w:fill="FFFFFF"/>
          </w:tcPr>
          <w:p w14:paraId="7B2550BD"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0.1</w:t>
            </w:r>
          </w:p>
        </w:tc>
        <w:tc>
          <w:tcPr>
            <w:tcW w:w="628" w:type="pct"/>
            <w:tcBorders>
              <w:top w:val="nil"/>
              <w:left w:val="nil"/>
              <w:bottom w:val="single" w:sz="8" w:space="0" w:color="auto"/>
              <w:right w:val="dotted" w:sz="4" w:space="0" w:color="auto"/>
            </w:tcBorders>
            <w:shd w:val="clear" w:color="000000" w:fill="FFFFFF"/>
          </w:tcPr>
          <w:p w14:paraId="61976449"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0.0</w:t>
            </w:r>
          </w:p>
        </w:tc>
        <w:tc>
          <w:tcPr>
            <w:tcW w:w="628" w:type="pct"/>
            <w:tcBorders>
              <w:top w:val="nil"/>
              <w:left w:val="nil"/>
              <w:bottom w:val="single" w:sz="8" w:space="0" w:color="auto"/>
              <w:right w:val="dotted" w:sz="4" w:space="0" w:color="auto"/>
            </w:tcBorders>
            <w:shd w:val="clear" w:color="000000" w:fill="FFFFFF"/>
          </w:tcPr>
          <w:p w14:paraId="07EF27A7"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-0.1</w:t>
            </w:r>
          </w:p>
        </w:tc>
        <w:tc>
          <w:tcPr>
            <w:tcW w:w="628" w:type="pct"/>
            <w:tcBorders>
              <w:top w:val="nil"/>
              <w:left w:val="nil"/>
              <w:bottom w:val="single" w:sz="8" w:space="0" w:color="auto"/>
              <w:right w:val="double" w:sz="6" w:space="0" w:color="auto"/>
            </w:tcBorders>
            <w:shd w:val="clear" w:color="000000" w:fill="FFFFFF"/>
          </w:tcPr>
          <w:p w14:paraId="7CD0F10E"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w:t>
            </w:r>
          </w:p>
        </w:tc>
      </w:tr>
      <w:tr w:rsidR="00C50585" w:rsidRPr="00EE038F" w14:paraId="1F2E4D83" w14:textId="77777777" w:rsidTr="00066DFC">
        <w:trPr>
          <w:trHeight w:val="20"/>
          <w:jc w:val="center"/>
        </w:trPr>
        <w:tc>
          <w:tcPr>
            <w:tcW w:w="5000" w:type="pct"/>
            <w:gridSpan w:val="6"/>
            <w:tcBorders>
              <w:top w:val="single" w:sz="6" w:space="0" w:color="000000"/>
              <w:left w:val="double" w:sz="4" w:space="0" w:color="auto"/>
              <w:bottom w:val="single" w:sz="4" w:space="0" w:color="auto"/>
              <w:right w:val="double" w:sz="4" w:space="0" w:color="auto"/>
            </w:tcBorders>
          </w:tcPr>
          <w:p w14:paraId="3C5B8C9E" w14:textId="77777777" w:rsidR="00C50585" w:rsidRPr="00EE038F" w:rsidRDefault="00C50585" w:rsidP="007C70E7">
            <w:pPr>
              <w:spacing w:after="0" w:line="240" w:lineRule="auto"/>
              <w:contextualSpacing/>
              <w:jc w:val="both"/>
              <w:rPr>
                <w:rFonts w:ascii="Garamond" w:hAnsi="Garamond"/>
                <w:b/>
                <w:sz w:val="18"/>
              </w:rPr>
            </w:pPr>
            <w:r w:rsidRPr="00EE038F">
              <w:rPr>
                <w:rFonts w:ascii="Garamond" w:eastAsia="Times New Roman" w:hAnsi="Garamond"/>
                <w:b/>
                <w:bCs/>
                <w:color w:val="0D0D0D" w:themeColor="text1" w:themeTint="F2"/>
                <w:sz w:val="18"/>
              </w:rPr>
              <w:t>2. Huadhënia neto e qeverisë së përgjithshme (% e PBB-së)</w:t>
            </w:r>
          </w:p>
        </w:tc>
      </w:tr>
      <w:tr w:rsidR="00C50585" w:rsidRPr="00EE038F" w14:paraId="151C40B6" w14:textId="77777777" w:rsidTr="00066DFC">
        <w:trPr>
          <w:trHeight w:val="20"/>
          <w:jc w:val="center"/>
        </w:trPr>
        <w:tc>
          <w:tcPr>
            <w:tcW w:w="1861" w:type="pct"/>
            <w:tcBorders>
              <w:top w:val="single" w:sz="4" w:space="0" w:color="auto"/>
              <w:left w:val="double" w:sz="4" w:space="0" w:color="auto"/>
              <w:bottom w:val="dotted" w:sz="4" w:space="0" w:color="auto"/>
              <w:right w:val="single" w:sz="6" w:space="0" w:color="000000"/>
            </w:tcBorders>
            <w:vAlign w:val="center"/>
          </w:tcPr>
          <w:p w14:paraId="4E605256"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Programi i mëparshëm</w:t>
            </w:r>
          </w:p>
        </w:tc>
        <w:tc>
          <w:tcPr>
            <w:tcW w:w="628" w:type="pct"/>
            <w:tcBorders>
              <w:top w:val="single" w:sz="4" w:space="0" w:color="auto"/>
              <w:left w:val="nil"/>
              <w:bottom w:val="dotted" w:sz="4" w:space="0" w:color="auto"/>
              <w:right w:val="dotted" w:sz="4" w:space="0" w:color="auto"/>
            </w:tcBorders>
            <w:shd w:val="clear" w:color="auto" w:fill="auto"/>
          </w:tcPr>
          <w:p w14:paraId="60438C79" w14:textId="77777777" w:rsidR="00C50585" w:rsidRPr="00EE038F" w:rsidRDefault="00C50585" w:rsidP="00280C20">
            <w:pPr>
              <w:tabs>
                <w:tab w:val="left" w:pos="706"/>
              </w:tabs>
              <w:spacing w:after="0" w:line="240" w:lineRule="auto"/>
              <w:jc w:val="right"/>
              <w:rPr>
                <w:rFonts w:ascii="Garamond" w:hAnsi="Garamond"/>
                <w:sz w:val="18"/>
              </w:rPr>
            </w:pPr>
            <w:r w:rsidRPr="00EE038F">
              <w:rPr>
                <w:rFonts w:ascii="Garamond" w:hAnsi="Garamond"/>
                <w:sz w:val="18"/>
              </w:rPr>
              <w:t>-2.2</w:t>
            </w:r>
          </w:p>
        </w:tc>
        <w:tc>
          <w:tcPr>
            <w:tcW w:w="628" w:type="pct"/>
            <w:tcBorders>
              <w:top w:val="single" w:sz="4" w:space="0" w:color="auto"/>
              <w:left w:val="nil"/>
              <w:bottom w:val="dotted" w:sz="4" w:space="0" w:color="auto"/>
              <w:right w:val="dotted" w:sz="4" w:space="0" w:color="auto"/>
            </w:tcBorders>
            <w:shd w:val="clear" w:color="auto" w:fill="auto"/>
          </w:tcPr>
          <w:p w14:paraId="1A70F8FE" w14:textId="51B67174" w:rsidR="00C50585" w:rsidRPr="00EE038F" w:rsidRDefault="00AD3D9C" w:rsidP="00280C20">
            <w:pPr>
              <w:tabs>
                <w:tab w:val="left" w:pos="706"/>
              </w:tabs>
              <w:spacing w:after="0" w:line="240" w:lineRule="auto"/>
              <w:jc w:val="right"/>
              <w:rPr>
                <w:rFonts w:ascii="Garamond" w:hAnsi="Garamond"/>
                <w:sz w:val="18"/>
              </w:rPr>
            </w:pPr>
            <w:r w:rsidRPr="00EE038F">
              <w:rPr>
                <w:rFonts w:ascii="Garamond" w:hAnsi="Garamond"/>
                <w:sz w:val="18"/>
              </w:rPr>
              <w:t xml:space="preserve"> </w:t>
            </w:r>
            <w:r w:rsidR="00C50585" w:rsidRPr="00EE038F">
              <w:rPr>
                <w:rFonts w:ascii="Garamond" w:hAnsi="Garamond"/>
                <w:sz w:val="18"/>
              </w:rPr>
              <w:t>-2.5</w:t>
            </w:r>
          </w:p>
        </w:tc>
        <w:tc>
          <w:tcPr>
            <w:tcW w:w="628" w:type="pct"/>
            <w:tcBorders>
              <w:top w:val="single" w:sz="4" w:space="0" w:color="auto"/>
              <w:left w:val="nil"/>
              <w:bottom w:val="dotted" w:sz="4" w:space="0" w:color="auto"/>
              <w:right w:val="dotted" w:sz="4" w:space="0" w:color="auto"/>
            </w:tcBorders>
            <w:shd w:val="clear" w:color="auto" w:fill="auto"/>
          </w:tcPr>
          <w:p w14:paraId="7B0CE57D" w14:textId="41F49C59" w:rsidR="00C50585" w:rsidRPr="00EE038F" w:rsidRDefault="00AD3D9C" w:rsidP="00280C20">
            <w:pPr>
              <w:tabs>
                <w:tab w:val="left" w:pos="706"/>
              </w:tabs>
              <w:spacing w:after="0" w:line="240" w:lineRule="auto"/>
              <w:jc w:val="right"/>
              <w:rPr>
                <w:rFonts w:ascii="Garamond" w:hAnsi="Garamond"/>
                <w:sz w:val="18"/>
              </w:rPr>
            </w:pPr>
            <w:r w:rsidRPr="00EE038F">
              <w:rPr>
                <w:rFonts w:ascii="Garamond" w:hAnsi="Garamond"/>
                <w:sz w:val="18"/>
              </w:rPr>
              <w:t xml:space="preserve"> </w:t>
            </w:r>
            <w:r w:rsidR="00C50585" w:rsidRPr="00EE038F">
              <w:rPr>
                <w:rFonts w:ascii="Garamond" w:hAnsi="Garamond"/>
                <w:sz w:val="18"/>
              </w:rPr>
              <w:t>-2.1</w:t>
            </w:r>
          </w:p>
        </w:tc>
        <w:tc>
          <w:tcPr>
            <w:tcW w:w="628" w:type="pct"/>
            <w:tcBorders>
              <w:top w:val="single" w:sz="4" w:space="0" w:color="auto"/>
              <w:left w:val="nil"/>
              <w:bottom w:val="dotted" w:sz="4" w:space="0" w:color="auto"/>
              <w:right w:val="dotted" w:sz="4" w:space="0" w:color="auto"/>
            </w:tcBorders>
            <w:shd w:val="clear" w:color="auto" w:fill="auto"/>
          </w:tcPr>
          <w:p w14:paraId="38CCD59C" w14:textId="1C172358" w:rsidR="00C50585" w:rsidRPr="00EE038F" w:rsidRDefault="00AD3D9C" w:rsidP="00280C20">
            <w:pPr>
              <w:tabs>
                <w:tab w:val="left" w:pos="706"/>
              </w:tabs>
              <w:spacing w:after="0" w:line="240" w:lineRule="auto"/>
              <w:jc w:val="right"/>
              <w:rPr>
                <w:rFonts w:ascii="Garamond" w:hAnsi="Garamond"/>
                <w:sz w:val="18"/>
              </w:rPr>
            </w:pPr>
            <w:r w:rsidRPr="00EE038F">
              <w:rPr>
                <w:rFonts w:ascii="Garamond" w:hAnsi="Garamond"/>
                <w:sz w:val="18"/>
              </w:rPr>
              <w:t xml:space="preserve"> </w:t>
            </w:r>
            <w:r w:rsidR="00C50585" w:rsidRPr="00EE038F">
              <w:rPr>
                <w:rFonts w:ascii="Garamond" w:hAnsi="Garamond"/>
                <w:sz w:val="18"/>
              </w:rPr>
              <w:t>-2.1</w:t>
            </w:r>
          </w:p>
        </w:tc>
        <w:tc>
          <w:tcPr>
            <w:tcW w:w="628" w:type="pct"/>
            <w:tcBorders>
              <w:top w:val="single" w:sz="4" w:space="0" w:color="auto"/>
              <w:left w:val="nil"/>
              <w:bottom w:val="dotted" w:sz="4" w:space="0" w:color="auto"/>
              <w:right w:val="double" w:sz="6" w:space="0" w:color="auto"/>
            </w:tcBorders>
            <w:shd w:val="clear" w:color="auto" w:fill="auto"/>
          </w:tcPr>
          <w:p w14:paraId="252B9C69" w14:textId="77777777" w:rsidR="00C50585" w:rsidRPr="00EE038F" w:rsidRDefault="00C50585" w:rsidP="00280C20">
            <w:pPr>
              <w:tabs>
                <w:tab w:val="left" w:pos="706"/>
              </w:tabs>
              <w:spacing w:after="0" w:line="240" w:lineRule="auto"/>
              <w:jc w:val="right"/>
              <w:rPr>
                <w:rFonts w:ascii="Garamond" w:hAnsi="Garamond"/>
                <w:sz w:val="18"/>
              </w:rPr>
            </w:pPr>
            <w:r w:rsidRPr="00EE038F">
              <w:rPr>
                <w:rFonts w:ascii="Garamond" w:hAnsi="Garamond"/>
                <w:sz w:val="18"/>
              </w:rPr>
              <w:t>:</w:t>
            </w:r>
          </w:p>
        </w:tc>
      </w:tr>
      <w:tr w:rsidR="00C50585" w:rsidRPr="00EE038F" w14:paraId="2B93DF63" w14:textId="77777777" w:rsidTr="00066DFC">
        <w:trPr>
          <w:trHeight w:val="20"/>
          <w:jc w:val="center"/>
        </w:trPr>
        <w:tc>
          <w:tcPr>
            <w:tcW w:w="1861" w:type="pct"/>
            <w:tcBorders>
              <w:top w:val="dotted" w:sz="4" w:space="0" w:color="auto"/>
              <w:left w:val="double" w:sz="4" w:space="0" w:color="auto"/>
              <w:bottom w:val="dotted" w:sz="4" w:space="0" w:color="auto"/>
              <w:right w:val="single" w:sz="6" w:space="0" w:color="000000"/>
            </w:tcBorders>
            <w:vAlign w:val="center"/>
          </w:tcPr>
          <w:p w14:paraId="77EB546A"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Përditësimi më i fundit</w:t>
            </w:r>
          </w:p>
        </w:tc>
        <w:tc>
          <w:tcPr>
            <w:tcW w:w="628" w:type="pct"/>
            <w:tcBorders>
              <w:top w:val="nil"/>
              <w:left w:val="nil"/>
              <w:bottom w:val="dotted" w:sz="4" w:space="0" w:color="auto"/>
              <w:right w:val="dotted" w:sz="4" w:space="0" w:color="auto"/>
            </w:tcBorders>
            <w:shd w:val="clear" w:color="000000" w:fill="FFFFFF"/>
          </w:tcPr>
          <w:p w14:paraId="1A125F98" w14:textId="77777777" w:rsidR="00C50585" w:rsidRPr="00EE038F" w:rsidRDefault="00C50585" w:rsidP="00280C20">
            <w:pPr>
              <w:tabs>
                <w:tab w:val="left" w:pos="706"/>
              </w:tabs>
              <w:spacing w:after="0" w:line="240" w:lineRule="auto"/>
              <w:jc w:val="right"/>
              <w:rPr>
                <w:rFonts w:ascii="Garamond" w:hAnsi="Garamond"/>
                <w:sz w:val="18"/>
              </w:rPr>
            </w:pPr>
            <w:r w:rsidRPr="00EE038F">
              <w:rPr>
                <w:rFonts w:ascii="Garamond" w:hAnsi="Garamond"/>
                <w:sz w:val="18"/>
              </w:rPr>
              <w:t>-1.3</w:t>
            </w:r>
          </w:p>
        </w:tc>
        <w:tc>
          <w:tcPr>
            <w:tcW w:w="628" w:type="pct"/>
            <w:tcBorders>
              <w:top w:val="nil"/>
              <w:left w:val="nil"/>
              <w:bottom w:val="dotted" w:sz="4" w:space="0" w:color="auto"/>
              <w:right w:val="dotted" w:sz="4" w:space="0" w:color="auto"/>
            </w:tcBorders>
            <w:shd w:val="clear" w:color="000000" w:fill="FFFFFF"/>
          </w:tcPr>
          <w:p w14:paraId="4DEA1213" w14:textId="0D388212" w:rsidR="00C50585" w:rsidRPr="00EE038F" w:rsidRDefault="00AD3D9C" w:rsidP="00280C20">
            <w:pPr>
              <w:tabs>
                <w:tab w:val="left" w:pos="706"/>
              </w:tabs>
              <w:spacing w:after="0" w:line="240" w:lineRule="auto"/>
              <w:jc w:val="right"/>
              <w:rPr>
                <w:rFonts w:ascii="Garamond" w:hAnsi="Garamond"/>
                <w:sz w:val="18"/>
              </w:rPr>
            </w:pPr>
            <w:r w:rsidRPr="00EE038F">
              <w:rPr>
                <w:rFonts w:ascii="Garamond" w:hAnsi="Garamond"/>
                <w:sz w:val="18"/>
              </w:rPr>
              <w:t xml:space="preserve"> </w:t>
            </w:r>
            <w:r w:rsidR="00C50585" w:rsidRPr="00EE038F">
              <w:rPr>
                <w:rFonts w:ascii="Garamond" w:hAnsi="Garamond"/>
                <w:sz w:val="18"/>
              </w:rPr>
              <w:t>-1.5</w:t>
            </w:r>
          </w:p>
        </w:tc>
        <w:tc>
          <w:tcPr>
            <w:tcW w:w="628" w:type="pct"/>
            <w:tcBorders>
              <w:top w:val="nil"/>
              <w:left w:val="nil"/>
              <w:bottom w:val="dotted" w:sz="4" w:space="0" w:color="auto"/>
              <w:right w:val="dotted" w:sz="4" w:space="0" w:color="auto"/>
            </w:tcBorders>
            <w:shd w:val="clear" w:color="000000" w:fill="FFFFFF"/>
          </w:tcPr>
          <w:p w14:paraId="27C44429" w14:textId="1C27C7B1" w:rsidR="00C50585" w:rsidRPr="00EE038F" w:rsidRDefault="00AD3D9C" w:rsidP="00280C20">
            <w:pPr>
              <w:tabs>
                <w:tab w:val="left" w:pos="706"/>
              </w:tabs>
              <w:spacing w:after="0" w:line="240" w:lineRule="auto"/>
              <w:jc w:val="right"/>
              <w:rPr>
                <w:rFonts w:ascii="Garamond" w:hAnsi="Garamond"/>
                <w:sz w:val="18"/>
              </w:rPr>
            </w:pPr>
            <w:r w:rsidRPr="00EE038F">
              <w:rPr>
                <w:rFonts w:ascii="Garamond" w:hAnsi="Garamond"/>
                <w:sz w:val="18"/>
              </w:rPr>
              <w:t xml:space="preserve"> </w:t>
            </w:r>
            <w:r w:rsidR="00C50585" w:rsidRPr="00EE038F">
              <w:rPr>
                <w:rFonts w:ascii="Garamond" w:hAnsi="Garamond"/>
                <w:sz w:val="18"/>
              </w:rPr>
              <w:t>-2.6</w:t>
            </w:r>
          </w:p>
        </w:tc>
        <w:tc>
          <w:tcPr>
            <w:tcW w:w="628" w:type="pct"/>
            <w:tcBorders>
              <w:top w:val="nil"/>
              <w:left w:val="nil"/>
              <w:bottom w:val="dotted" w:sz="4" w:space="0" w:color="auto"/>
              <w:right w:val="dotted" w:sz="4" w:space="0" w:color="auto"/>
            </w:tcBorders>
            <w:shd w:val="clear" w:color="000000" w:fill="FFFFFF"/>
          </w:tcPr>
          <w:p w14:paraId="2F77A9E5" w14:textId="11A42DE5" w:rsidR="00C50585" w:rsidRPr="00EE038F" w:rsidRDefault="00AD3D9C" w:rsidP="00280C20">
            <w:pPr>
              <w:tabs>
                <w:tab w:val="left" w:pos="706"/>
              </w:tabs>
              <w:spacing w:after="0" w:line="240" w:lineRule="auto"/>
              <w:jc w:val="right"/>
              <w:rPr>
                <w:rFonts w:ascii="Garamond" w:hAnsi="Garamond"/>
                <w:sz w:val="18"/>
              </w:rPr>
            </w:pPr>
            <w:r w:rsidRPr="00EE038F">
              <w:rPr>
                <w:rFonts w:ascii="Garamond" w:hAnsi="Garamond"/>
                <w:sz w:val="18"/>
              </w:rPr>
              <w:t xml:space="preserve"> </w:t>
            </w:r>
            <w:r w:rsidR="00C50585" w:rsidRPr="00EE038F">
              <w:rPr>
                <w:rFonts w:ascii="Garamond" w:hAnsi="Garamond"/>
                <w:sz w:val="18"/>
              </w:rPr>
              <w:t>-1.9</w:t>
            </w:r>
          </w:p>
        </w:tc>
        <w:tc>
          <w:tcPr>
            <w:tcW w:w="628" w:type="pct"/>
            <w:tcBorders>
              <w:top w:val="nil"/>
              <w:left w:val="nil"/>
              <w:bottom w:val="dotted" w:sz="4" w:space="0" w:color="auto"/>
              <w:right w:val="double" w:sz="6" w:space="0" w:color="auto"/>
            </w:tcBorders>
            <w:shd w:val="clear" w:color="000000" w:fill="FFFFFF"/>
          </w:tcPr>
          <w:p w14:paraId="1CBD773B" w14:textId="77777777" w:rsidR="00C50585" w:rsidRPr="00EE038F" w:rsidRDefault="00C50585" w:rsidP="00280C20">
            <w:pPr>
              <w:tabs>
                <w:tab w:val="left" w:pos="706"/>
              </w:tabs>
              <w:spacing w:after="0" w:line="240" w:lineRule="auto"/>
              <w:jc w:val="right"/>
              <w:rPr>
                <w:rFonts w:ascii="Garamond" w:hAnsi="Garamond"/>
                <w:sz w:val="18"/>
              </w:rPr>
            </w:pPr>
            <w:r w:rsidRPr="00EE038F">
              <w:rPr>
                <w:rFonts w:ascii="Garamond" w:hAnsi="Garamond"/>
                <w:sz w:val="18"/>
              </w:rPr>
              <w:t xml:space="preserve"> -1.6</w:t>
            </w:r>
          </w:p>
        </w:tc>
      </w:tr>
      <w:tr w:rsidR="00C50585" w:rsidRPr="00EE038F" w14:paraId="7D79BA1D" w14:textId="77777777" w:rsidTr="00066DFC">
        <w:trPr>
          <w:trHeight w:val="20"/>
          <w:jc w:val="center"/>
        </w:trPr>
        <w:tc>
          <w:tcPr>
            <w:tcW w:w="1861" w:type="pct"/>
            <w:tcBorders>
              <w:top w:val="dotted" w:sz="4" w:space="0" w:color="auto"/>
              <w:left w:val="double" w:sz="4" w:space="0" w:color="auto"/>
              <w:bottom w:val="single" w:sz="6" w:space="0" w:color="000000"/>
              <w:right w:val="single" w:sz="6" w:space="0" w:color="000000"/>
            </w:tcBorders>
            <w:vAlign w:val="center"/>
          </w:tcPr>
          <w:p w14:paraId="62EDA158"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lastRenderedPageBreak/>
              <w:t>Diferenca</w:t>
            </w:r>
          </w:p>
        </w:tc>
        <w:tc>
          <w:tcPr>
            <w:tcW w:w="628" w:type="pct"/>
            <w:tcBorders>
              <w:top w:val="nil"/>
              <w:left w:val="nil"/>
              <w:bottom w:val="single" w:sz="8" w:space="0" w:color="auto"/>
              <w:right w:val="dotted" w:sz="4" w:space="0" w:color="auto"/>
            </w:tcBorders>
            <w:shd w:val="clear" w:color="000000" w:fill="FFFFFF"/>
          </w:tcPr>
          <w:p w14:paraId="515398A4" w14:textId="77777777" w:rsidR="00C50585" w:rsidRPr="00EE038F" w:rsidRDefault="00C50585" w:rsidP="00280C20">
            <w:pPr>
              <w:tabs>
                <w:tab w:val="left" w:pos="706"/>
              </w:tabs>
              <w:spacing w:after="0" w:line="240" w:lineRule="auto"/>
              <w:jc w:val="right"/>
              <w:rPr>
                <w:rFonts w:ascii="Garamond" w:hAnsi="Garamond"/>
                <w:sz w:val="18"/>
              </w:rPr>
            </w:pPr>
            <w:r w:rsidRPr="00EE038F">
              <w:rPr>
                <w:rFonts w:ascii="Garamond" w:hAnsi="Garamond"/>
                <w:sz w:val="18"/>
              </w:rPr>
              <w:t>0.9</w:t>
            </w:r>
          </w:p>
        </w:tc>
        <w:tc>
          <w:tcPr>
            <w:tcW w:w="628" w:type="pct"/>
            <w:tcBorders>
              <w:top w:val="nil"/>
              <w:left w:val="nil"/>
              <w:bottom w:val="single" w:sz="8" w:space="0" w:color="auto"/>
              <w:right w:val="dotted" w:sz="4" w:space="0" w:color="auto"/>
            </w:tcBorders>
            <w:shd w:val="clear" w:color="000000" w:fill="FFFFFF"/>
          </w:tcPr>
          <w:p w14:paraId="0F13A618" w14:textId="77777777" w:rsidR="00C50585" w:rsidRPr="00EE038F" w:rsidRDefault="00C50585" w:rsidP="00280C20">
            <w:pPr>
              <w:tabs>
                <w:tab w:val="left" w:pos="706"/>
              </w:tabs>
              <w:spacing w:after="0" w:line="240" w:lineRule="auto"/>
              <w:jc w:val="right"/>
              <w:rPr>
                <w:rFonts w:ascii="Garamond" w:hAnsi="Garamond"/>
                <w:sz w:val="18"/>
              </w:rPr>
            </w:pPr>
            <w:r w:rsidRPr="00EE038F">
              <w:rPr>
                <w:rFonts w:ascii="Garamond" w:hAnsi="Garamond"/>
                <w:sz w:val="18"/>
              </w:rPr>
              <w:t>1.0</w:t>
            </w:r>
          </w:p>
        </w:tc>
        <w:tc>
          <w:tcPr>
            <w:tcW w:w="628" w:type="pct"/>
            <w:tcBorders>
              <w:top w:val="nil"/>
              <w:left w:val="nil"/>
              <w:bottom w:val="single" w:sz="8" w:space="0" w:color="auto"/>
              <w:right w:val="dotted" w:sz="4" w:space="0" w:color="auto"/>
            </w:tcBorders>
            <w:shd w:val="clear" w:color="000000" w:fill="FFFFFF"/>
          </w:tcPr>
          <w:p w14:paraId="7FD7AA60" w14:textId="3F3FBE5C" w:rsidR="00C50585" w:rsidRPr="00EE038F" w:rsidRDefault="00AD3D9C" w:rsidP="00280C20">
            <w:pPr>
              <w:tabs>
                <w:tab w:val="left" w:pos="706"/>
              </w:tabs>
              <w:spacing w:after="0" w:line="240" w:lineRule="auto"/>
              <w:jc w:val="right"/>
              <w:rPr>
                <w:rFonts w:ascii="Garamond" w:hAnsi="Garamond"/>
                <w:sz w:val="18"/>
              </w:rPr>
            </w:pPr>
            <w:r w:rsidRPr="00EE038F">
              <w:rPr>
                <w:rFonts w:ascii="Garamond" w:hAnsi="Garamond"/>
                <w:sz w:val="18"/>
              </w:rPr>
              <w:t xml:space="preserve"> </w:t>
            </w:r>
            <w:r w:rsidR="00C50585" w:rsidRPr="00EE038F">
              <w:rPr>
                <w:rFonts w:ascii="Garamond" w:hAnsi="Garamond"/>
                <w:sz w:val="18"/>
              </w:rPr>
              <w:t>-0.5</w:t>
            </w:r>
          </w:p>
        </w:tc>
        <w:tc>
          <w:tcPr>
            <w:tcW w:w="628" w:type="pct"/>
            <w:tcBorders>
              <w:top w:val="nil"/>
              <w:left w:val="nil"/>
              <w:bottom w:val="single" w:sz="8" w:space="0" w:color="auto"/>
              <w:right w:val="dotted" w:sz="4" w:space="0" w:color="auto"/>
            </w:tcBorders>
            <w:shd w:val="clear" w:color="000000" w:fill="FFFFFF"/>
          </w:tcPr>
          <w:p w14:paraId="0FB025E8" w14:textId="38BE9AF7" w:rsidR="00C50585" w:rsidRPr="00EE038F" w:rsidRDefault="00AD3D9C" w:rsidP="00280C20">
            <w:pPr>
              <w:tabs>
                <w:tab w:val="left" w:pos="706"/>
              </w:tabs>
              <w:spacing w:after="0" w:line="240" w:lineRule="auto"/>
              <w:jc w:val="right"/>
              <w:rPr>
                <w:rFonts w:ascii="Garamond" w:hAnsi="Garamond"/>
                <w:sz w:val="18"/>
              </w:rPr>
            </w:pPr>
            <w:r w:rsidRPr="00EE038F">
              <w:rPr>
                <w:rFonts w:ascii="Garamond" w:hAnsi="Garamond"/>
                <w:sz w:val="18"/>
              </w:rPr>
              <w:t xml:space="preserve"> </w:t>
            </w:r>
            <w:r w:rsidR="00C50585" w:rsidRPr="00EE038F">
              <w:rPr>
                <w:rFonts w:ascii="Garamond" w:hAnsi="Garamond"/>
                <w:sz w:val="18"/>
              </w:rPr>
              <w:t>0.3</w:t>
            </w:r>
          </w:p>
        </w:tc>
        <w:tc>
          <w:tcPr>
            <w:tcW w:w="628" w:type="pct"/>
            <w:tcBorders>
              <w:top w:val="nil"/>
              <w:left w:val="nil"/>
              <w:bottom w:val="single" w:sz="8" w:space="0" w:color="auto"/>
              <w:right w:val="double" w:sz="6" w:space="0" w:color="auto"/>
            </w:tcBorders>
            <w:shd w:val="clear" w:color="000000" w:fill="FFFFFF"/>
          </w:tcPr>
          <w:p w14:paraId="73AAE0A9" w14:textId="77C34208" w:rsidR="00C50585" w:rsidRPr="00EE038F" w:rsidRDefault="006E3ED1" w:rsidP="00280C20">
            <w:pPr>
              <w:tabs>
                <w:tab w:val="left" w:pos="706"/>
              </w:tabs>
              <w:spacing w:after="0" w:line="240" w:lineRule="auto"/>
              <w:jc w:val="right"/>
              <w:rPr>
                <w:rFonts w:ascii="Garamond" w:hAnsi="Garamond"/>
                <w:sz w:val="18"/>
              </w:rPr>
            </w:pPr>
            <w:r w:rsidRPr="00EE038F">
              <w:rPr>
                <w:rFonts w:ascii="Garamond" w:hAnsi="Garamond"/>
                <w:sz w:val="18"/>
              </w:rPr>
              <w:t>:</w:t>
            </w:r>
          </w:p>
        </w:tc>
      </w:tr>
      <w:tr w:rsidR="00C50585" w:rsidRPr="00EE038F" w14:paraId="2A15414F" w14:textId="77777777" w:rsidTr="00066DFC">
        <w:trPr>
          <w:trHeight w:val="20"/>
          <w:jc w:val="center"/>
        </w:trPr>
        <w:tc>
          <w:tcPr>
            <w:tcW w:w="5000" w:type="pct"/>
            <w:gridSpan w:val="6"/>
            <w:tcBorders>
              <w:top w:val="single" w:sz="6" w:space="0" w:color="000000"/>
              <w:left w:val="double" w:sz="4" w:space="0" w:color="auto"/>
              <w:bottom w:val="single" w:sz="4" w:space="0" w:color="auto"/>
              <w:right w:val="double" w:sz="4" w:space="0" w:color="auto"/>
            </w:tcBorders>
          </w:tcPr>
          <w:p w14:paraId="41E5DB27" w14:textId="77777777" w:rsidR="00C50585" w:rsidRPr="00EE038F" w:rsidRDefault="00C50585" w:rsidP="007C70E7">
            <w:pPr>
              <w:spacing w:after="0" w:line="240" w:lineRule="auto"/>
              <w:contextualSpacing/>
              <w:jc w:val="both"/>
              <w:rPr>
                <w:rFonts w:ascii="Garamond" w:hAnsi="Garamond"/>
                <w:b/>
                <w:sz w:val="18"/>
              </w:rPr>
            </w:pPr>
            <w:r w:rsidRPr="00EE038F">
              <w:rPr>
                <w:rFonts w:ascii="Garamond" w:hAnsi="Garamond"/>
                <w:b/>
                <w:sz w:val="18"/>
              </w:rPr>
              <w:t>3. Borxhi bruto i qeverisë së përgjithshme (% e PBB-së)</w:t>
            </w:r>
          </w:p>
        </w:tc>
      </w:tr>
      <w:tr w:rsidR="00C50585" w:rsidRPr="00EE038F" w14:paraId="4A461E06" w14:textId="77777777" w:rsidTr="00066DFC">
        <w:trPr>
          <w:trHeight w:val="20"/>
          <w:jc w:val="center"/>
        </w:trPr>
        <w:tc>
          <w:tcPr>
            <w:tcW w:w="1861" w:type="pct"/>
            <w:tcBorders>
              <w:top w:val="single" w:sz="4" w:space="0" w:color="auto"/>
              <w:left w:val="double" w:sz="4" w:space="0" w:color="auto"/>
              <w:bottom w:val="dotted" w:sz="4" w:space="0" w:color="auto"/>
              <w:right w:val="single" w:sz="6" w:space="0" w:color="000000"/>
            </w:tcBorders>
            <w:vAlign w:val="center"/>
          </w:tcPr>
          <w:p w14:paraId="0C773AE2"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Programi i mëparshëm</w:t>
            </w:r>
          </w:p>
        </w:tc>
        <w:tc>
          <w:tcPr>
            <w:tcW w:w="628" w:type="pct"/>
            <w:tcBorders>
              <w:top w:val="single" w:sz="4" w:space="0" w:color="auto"/>
              <w:left w:val="nil"/>
              <w:bottom w:val="dotted" w:sz="4" w:space="0" w:color="auto"/>
              <w:right w:val="dotted" w:sz="4" w:space="0" w:color="auto"/>
            </w:tcBorders>
            <w:shd w:val="clear" w:color="auto" w:fill="auto"/>
          </w:tcPr>
          <w:p w14:paraId="551AB901"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61.5</w:t>
            </w:r>
          </w:p>
        </w:tc>
        <w:tc>
          <w:tcPr>
            <w:tcW w:w="628" w:type="pct"/>
            <w:tcBorders>
              <w:top w:val="single" w:sz="4" w:space="0" w:color="auto"/>
              <w:left w:val="nil"/>
              <w:bottom w:val="dotted" w:sz="4" w:space="0" w:color="auto"/>
              <w:right w:val="dotted" w:sz="4" w:space="0" w:color="auto"/>
            </w:tcBorders>
            <w:shd w:val="clear" w:color="auto" w:fill="auto"/>
          </w:tcPr>
          <w:p w14:paraId="7D385172"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59.8</w:t>
            </w:r>
          </w:p>
        </w:tc>
        <w:tc>
          <w:tcPr>
            <w:tcW w:w="628" w:type="pct"/>
            <w:tcBorders>
              <w:top w:val="single" w:sz="4" w:space="0" w:color="auto"/>
              <w:left w:val="nil"/>
              <w:bottom w:val="dotted" w:sz="4" w:space="0" w:color="auto"/>
              <w:right w:val="dotted" w:sz="4" w:space="0" w:color="auto"/>
            </w:tcBorders>
            <w:shd w:val="clear" w:color="auto" w:fill="auto"/>
          </w:tcPr>
          <w:p w14:paraId="74998CCE"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59.3</w:t>
            </w:r>
          </w:p>
        </w:tc>
        <w:tc>
          <w:tcPr>
            <w:tcW w:w="628" w:type="pct"/>
            <w:tcBorders>
              <w:top w:val="single" w:sz="4" w:space="0" w:color="auto"/>
              <w:left w:val="nil"/>
              <w:bottom w:val="dotted" w:sz="4" w:space="0" w:color="auto"/>
              <w:right w:val="dotted" w:sz="4" w:space="0" w:color="auto"/>
            </w:tcBorders>
            <w:shd w:val="clear" w:color="auto" w:fill="auto"/>
          </w:tcPr>
          <w:p w14:paraId="41BBA78F"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58.9</w:t>
            </w:r>
          </w:p>
        </w:tc>
        <w:tc>
          <w:tcPr>
            <w:tcW w:w="628" w:type="pct"/>
            <w:tcBorders>
              <w:top w:val="single" w:sz="4" w:space="0" w:color="auto"/>
              <w:left w:val="nil"/>
              <w:bottom w:val="dotted" w:sz="4" w:space="0" w:color="auto"/>
              <w:right w:val="double" w:sz="6" w:space="0" w:color="auto"/>
            </w:tcBorders>
            <w:shd w:val="clear" w:color="auto" w:fill="auto"/>
          </w:tcPr>
          <w:p w14:paraId="5717E201"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w:t>
            </w:r>
          </w:p>
        </w:tc>
      </w:tr>
      <w:tr w:rsidR="00C50585" w:rsidRPr="00EE038F" w14:paraId="793222F3" w14:textId="77777777" w:rsidTr="00066DFC">
        <w:trPr>
          <w:trHeight w:val="20"/>
          <w:jc w:val="center"/>
        </w:trPr>
        <w:tc>
          <w:tcPr>
            <w:tcW w:w="1861" w:type="pct"/>
            <w:tcBorders>
              <w:top w:val="dotted" w:sz="4" w:space="0" w:color="auto"/>
              <w:left w:val="double" w:sz="4" w:space="0" w:color="auto"/>
              <w:bottom w:val="dotted" w:sz="4" w:space="0" w:color="auto"/>
              <w:right w:val="single" w:sz="6" w:space="0" w:color="000000"/>
            </w:tcBorders>
            <w:vAlign w:val="center"/>
          </w:tcPr>
          <w:p w14:paraId="7EFAA7F7"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Përditësimi më i fundit</w:t>
            </w:r>
          </w:p>
        </w:tc>
        <w:tc>
          <w:tcPr>
            <w:tcW w:w="628" w:type="pct"/>
            <w:tcBorders>
              <w:top w:val="nil"/>
              <w:left w:val="nil"/>
              <w:bottom w:val="dotted" w:sz="4" w:space="0" w:color="auto"/>
              <w:right w:val="dotted" w:sz="4" w:space="0" w:color="auto"/>
            </w:tcBorders>
            <w:shd w:val="clear" w:color="000000" w:fill="FFFFFF"/>
          </w:tcPr>
          <w:p w14:paraId="710A9C20"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57.5</w:t>
            </w:r>
          </w:p>
        </w:tc>
        <w:tc>
          <w:tcPr>
            <w:tcW w:w="628" w:type="pct"/>
            <w:tcBorders>
              <w:top w:val="nil"/>
              <w:left w:val="nil"/>
              <w:bottom w:val="dotted" w:sz="4" w:space="0" w:color="auto"/>
              <w:right w:val="dotted" w:sz="4" w:space="0" w:color="auto"/>
            </w:tcBorders>
            <w:shd w:val="clear" w:color="000000" w:fill="FFFFFF"/>
          </w:tcPr>
          <w:p w14:paraId="3F1458F5"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55.2</w:t>
            </w:r>
          </w:p>
        </w:tc>
        <w:tc>
          <w:tcPr>
            <w:tcW w:w="628" w:type="pct"/>
            <w:tcBorders>
              <w:top w:val="nil"/>
              <w:left w:val="nil"/>
              <w:bottom w:val="dotted" w:sz="4" w:space="0" w:color="auto"/>
              <w:right w:val="dotted" w:sz="4" w:space="0" w:color="auto"/>
            </w:tcBorders>
            <w:shd w:val="clear" w:color="000000" w:fill="FFFFFF"/>
          </w:tcPr>
          <w:p w14:paraId="0AA5870C"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54.8</w:t>
            </w:r>
          </w:p>
        </w:tc>
        <w:tc>
          <w:tcPr>
            <w:tcW w:w="628" w:type="pct"/>
            <w:tcBorders>
              <w:top w:val="nil"/>
              <w:left w:val="nil"/>
              <w:bottom w:val="dotted" w:sz="4" w:space="0" w:color="auto"/>
              <w:right w:val="dotted" w:sz="4" w:space="0" w:color="auto"/>
            </w:tcBorders>
            <w:shd w:val="clear" w:color="000000" w:fill="FFFFFF"/>
          </w:tcPr>
          <w:p w14:paraId="0B3A9B3F"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54.0</w:t>
            </w:r>
          </w:p>
        </w:tc>
        <w:tc>
          <w:tcPr>
            <w:tcW w:w="628" w:type="pct"/>
            <w:tcBorders>
              <w:top w:val="nil"/>
              <w:left w:val="nil"/>
              <w:bottom w:val="dotted" w:sz="4" w:space="0" w:color="auto"/>
              <w:right w:val="double" w:sz="6" w:space="0" w:color="auto"/>
            </w:tcBorders>
            <w:shd w:val="clear" w:color="000000" w:fill="FFFFFF"/>
          </w:tcPr>
          <w:p w14:paraId="62628917"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53.2</w:t>
            </w:r>
          </w:p>
        </w:tc>
      </w:tr>
      <w:tr w:rsidR="00C50585" w:rsidRPr="00EE038F" w14:paraId="1F435E31" w14:textId="77777777" w:rsidTr="00066DFC">
        <w:trPr>
          <w:trHeight w:val="20"/>
          <w:jc w:val="center"/>
        </w:trPr>
        <w:tc>
          <w:tcPr>
            <w:tcW w:w="1861" w:type="pct"/>
            <w:tcBorders>
              <w:top w:val="dotted" w:sz="4" w:space="0" w:color="auto"/>
              <w:left w:val="double" w:sz="4" w:space="0" w:color="auto"/>
              <w:bottom w:val="double" w:sz="4" w:space="0" w:color="auto"/>
              <w:right w:val="single" w:sz="6" w:space="0" w:color="000000"/>
            </w:tcBorders>
            <w:vAlign w:val="center"/>
          </w:tcPr>
          <w:p w14:paraId="1373BE30" w14:textId="77777777" w:rsidR="00C50585" w:rsidRPr="00EE038F" w:rsidRDefault="00C50585" w:rsidP="007C70E7">
            <w:pPr>
              <w:spacing w:after="0" w:line="240" w:lineRule="auto"/>
              <w:contextualSpacing/>
              <w:jc w:val="both"/>
              <w:rPr>
                <w:rFonts w:ascii="Garamond" w:hAnsi="Garamond"/>
                <w:sz w:val="18"/>
              </w:rPr>
            </w:pPr>
            <w:r w:rsidRPr="00EE038F">
              <w:rPr>
                <w:rFonts w:ascii="Garamond" w:hAnsi="Garamond"/>
                <w:sz w:val="18"/>
              </w:rPr>
              <w:t>Diferenca</w:t>
            </w:r>
          </w:p>
        </w:tc>
        <w:tc>
          <w:tcPr>
            <w:tcW w:w="628" w:type="pct"/>
            <w:tcBorders>
              <w:top w:val="nil"/>
              <w:left w:val="nil"/>
              <w:bottom w:val="double" w:sz="6" w:space="0" w:color="auto"/>
              <w:right w:val="dotted" w:sz="4" w:space="0" w:color="auto"/>
            </w:tcBorders>
            <w:shd w:val="clear" w:color="000000" w:fill="FFFFFF"/>
          </w:tcPr>
          <w:p w14:paraId="5A53FF4B"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-3.9</w:t>
            </w:r>
          </w:p>
        </w:tc>
        <w:tc>
          <w:tcPr>
            <w:tcW w:w="628" w:type="pct"/>
            <w:tcBorders>
              <w:top w:val="nil"/>
              <w:left w:val="nil"/>
              <w:bottom w:val="double" w:sz="6" w:space="0" w:color="auto"/>
              <w:right w:val="dotted" w:sz="4" w:space="0" w:color="auto"/>
            </w:tcBorders>
            <w:shd w:val="clear" w:color="000000" w:fill="FFFFFF"/>
          </w:tcPr>
          <w:p w14:paraId="6375C180"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-4.5</w:t>
            </w:r>
          </w:p>
        </w:tc>
        <w:tc>
          <w:tcPr>
            <w:tcW w:w="628" w:type="pct"/>
            <w:tcBorders>
              <w:top w:val="nil"/>
              <w:left w:val="nil"/>
              <w:bottom w:val="double" w:sz="6" w:space="0" w:color="auto"/>
              <w:right w:val="dotted" w:sz="4" w:space="0" w:color="auto"/>
            </w:tcBorders>
            <w:shd w:val="clear" w:color="000000" w:fill="FFFFFF"/>
          </w:tcPr>
          <w:p w14:paraId="378D42DD"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-4.5</w:t>
            </w:r>
          </w:p>
        </w:tc>
        <w:tc>
          <w:tcPr>
            <w:tcW w:w="628" w:type="pct"/>
            <w:tcBorders>
              <w:top w:val="nil"/>
              <w:left w:val="nil"/>
              <w:bottom w:val="double" w:sz="6" w:space="0" w:color="auto"/>
              <w:right w:val="dotted" w:sz="4" w:space="0" w:color="auto"/>
            </w:tcBorders>
            <w:shd w:val="clear" w:color="000000" w:fill="FFFFFF"/>
          </w:tcPr>
          <w:p w14:paraId="414AD953"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-4.9</w:t>
            </w:r>
          </w:p>
        </w:tc>
        <w:tc>
          <w:tcPr>
            <w:tcW w:w="628" w:type="pct"/>
            <w:tcBorders>
              <w:top w:val="nil"/>
              <w:left w:val="nil"/>
              <w:bottom w:val="double" w:sz="6" w:space="0" w:color="auto"/>
              <w:right w:val="double" w:sz="6" w:space="0" w:color="auto"/>
            </w:tcBorders>
            <w:shd w:val="clear" w:color="000000" w:fill="FFFFFF"/>
          </w:tcPr>
          <w:p w14:paraId="6F80121A" w14:textId="77777777" w:rsidR="00C50585" w:rsidRPr="00EE038F" w:rsidRDefault="00C50585" w:rsidP="00280C20">
            <w:pPr>
              <w:spacing w:after="0" w:line="240" w:lineRule="auto"/>
              <w:jc w:val="right"/>
              <w:rPr>
                <w:rFonts w:ascii="Garamond" w:hAnsi="Garamond"/>
                <w:sz w:val="18"/>
              </w:rPr>
            </w:pPr>
            <w:r w:rsidRPr="00EE038F">
              <w:rPr>
                <w:rFonts w:ascii="Garamond" w:hAnsi="Garamond"/>
                <w:sz w:val="18"/>
              </w:rPr>
              <w:t>:</w:t>
            </w:r>
          </w:p>
        </w:tc>
      </w:tr>
    </w:tbl>
    <w:p w14:paraId="57FE236D" w14:textId="77777777" w:rsidR="00F445C3" w:rsidRPr="00EE038F" w:rsidRDefault="00F445C3" w:rsidP="00C50585">
      <w:pPr>
        <w:spacing w:after="0" w:line="240" w:lineRule="auto"/>
        <w:contextualSpacing/>
        <w:jc w:val="both"/>
        <w:rPr>
          <w:rFonts w:ascii="Garamond" w:hAnsi="Garamond"/>
          <w:b/>
          <w:color w:val="0D0D0D" w:themeColor="text1" w:themeTint="F2"/>
        </w:rPr>
      </w:pPr>
    </w:p>
    <w:p w14:paraId="4BA1EE87" w14:textId="77777777" w:rsidR="00C50585" w:rsidRPr="00EE038F" w:rsidRDefault="00C50585" w:rsidP="00066DFC">
      <w:pPr>
        <w:spacing w:after="0" w:line="240" w:lineRule="auto"/>
        <w:contextualSpacing/>
        <w:jc w:val="center"/>
        <w:rPr>
          <w:rFonts w:ascii="Garamond" w:hAnsi="Garamond"/>
          <w:bCs/>
          <w:i/>
          <w:iCs/>
        </w:rPr>
      </w:pPr>
      <w:r w:rsidRPr="00EE038F">
        <w:rPr>
          <w:rFonts w:ascii="Garamond" w:hAnsi="Garamond"/>
          <w:bCs/>
          <w:i/>
          <w:iCs/>
          <w:color w:val="0D0D0D" w:themeColor="text1" w:themeTint="F2"/>
        </w:rPr>
        <w:t>Tabela</w:t>
      </w:r>
      <w:r w:rsidRPr="00EE038F">
        <w:rPr>
          <w:rFonts w:ascii="Garamond" w:hAnsi="Garamond"/>
          <w:bCs/>
          <w:i/>
          <w:iCs/>
        </w:rPr>
        <w:t xml:space="preserve"> 8: Supozimet bazë mbi mjedisin e jashtëm ekonomik</w:t>
      </w:r>
      <w:r w:rsidRPr="00EE038F">
        <w:rPr>
          <w:rStyle w:val="FootnoteReference"/>
          <w:rFonts w:ascii="Garamond" w:hAnsi="Garamond"/>
          <w:bCs/>
          <w:i/>
          <w:iCs/>
        </w:rPr>
        <w:footnoteReference w:id="43"/>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46"/>
        <w:gridCol w:w="1779"/>
        <w:gridCol w:w="753"/>
        <w:gridCol w:w="753"/>
        <w:gridCol w:w="753"/>
        <w:gridCol w:w="753"/>
        <w:gridCol w:w="753"/>
      </w:tblGrid>
      <w:tr w:rsidR="00C50585" w:rsidRPr="00EE038F" w14:paraId="08889CB6" w14:textId="77777777" w:rsidTr="00066DFC">
        <w:trPr>
          <w:trHeight w:val="20"/>
          <w:jc w:val="center"/>
        </w:trPr>
        <w:tc>
          <w:tcPr>
            <w:tcW w:w="1915" w:type="pct"/>
            <w:tcBorders>
              <w:top w:val="double" w:sz="4" w:space="0" w:color="auto"/>
              <w:left w:val="double" w:sz="4" w:space="0" w:color="auto"/>
              <w:bottom w:val="single" w:sz="6" w:space="0" w:color="000000"/>
              <w:right w:val="dotted" w:sz="4" w:space="0" w:color="auto"/>
            </w:tcBorders>
            <w:vAlign w:val="center"/>
          </w:tcPr>
          <w:p w14:paraId="1E489A65" w14:textId="77777777" w:rsidR="00C50585" w:rsidRPr="00EE038F" w:rsidRDefault="00C50585" w:rsidP="00F445C3">
            <w:pPr>
              <w:spacing w:after="0" w:line="240" w:lineRule="auto"/>
              <w:contextualSpacing/>
              <w:jc w:val="both"/>
              <w:rPr>
                <w:rFonts w:ascii="Garamond" w:hAnsi="Garamond"/>
                <w:b/>
                <w:bCs/>
                <w:sz w:val="18"/>
              </w:rPr>
            </w:pPr>
          </w:p>
        </w:tc>
        <w:tc>
          <w:tcPr>
            <w:tcW w:w="989" w:type="pct"/>
            <w:tcBorders>
              <w:top w:val="double" w:sz="4" w:space="0" w:color="auto"/>
              <w:left w:val="dotted" w:sz="4" w:space="0" w:color="auto"/>
              <w:bottom w:val="single" w:sz="6" w:space="0" w:color="000000"/>
              <w:right w:val="single" w:sz="6" w:space="0" w:color="000000"/>
            </w:tcBorders>
            <w:vAlign w:val="center"/>
          </w:tcPr>
          <w:p w14:paraId="6257D700"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eastAsia="Times New Roman" w:hAnsi="Garamond"/>
                <w:b/>
                <w:bCs/>
                <w:color w:val="0D0D0D" w:themeColor="text1" w:themeTint="F2"/>
                <w:sz w:val="18"/>
                <w:lang w:eastAsia="en-GB"/>
              </w:rPr>
              <w:t>Dimensioni</w:t>
            </w:r>
          </w:p>
        </w:tc>
        <w:tc>
          <w:tcPr>
            <w:tcW w:w="418" w:type="pct"/>
            <w:tcBorders>
              <w:top w:val="double" w:sz="4" w:space="0" w:color="auto"/>
              <w:left w:val="single" w:sz="6" w:space="0" w:color="000000"/>
              <w:bottom w:val="single" w:sz="6" w:space="0" w:color="000000"/>
              <w:right w:val="dotted" w:sz="4" w:space="0" w:color="auto"/>
            </w:tcBorders>
            <w:vAlign w:val="center"/>
          </w:tcPr>
          <w:p w14:paraId="5EE011AF"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hAnsi="Garamond"/>
                <w:b/>
                <w:bCs/>
                <w:sz w:val="18"/>
              </w:rPr>
              <w:t>Viti 2023</w:t>
            </w:r>
          </w:p>
        </w:tc>
        <w:tc>
          <w:tcPr>
            <w:tcW w:w="419" w:type="pct"/>
            <w:tcBorders>
              <w:top w:val="double" w:sz="4" w:space="0" w:color="auto"/>
              <w:left w:val="dotted" w:sz="4" w:space="0" w:color="auto"/>
              <w:bottom w:val="single" w:sz="6" w:space="0" w:color="000000"/>
              <w:right w:val="dotted" w:sz="4" w:space="0" w:color="auto"/>
            </w:tcBorders>
            <w:vAlign w:val="center"/>
          </w:tcPr>
          <w:p w14:paraId="55135BFC"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hAnsi="Garamond"/>
                <w:b/>
                <w:bCs/>
                <w:sz w:val="18"/>
              </w:rPr>
              <w:t>Viti 2024</w:t>
            </w:r>
          </w:p>
        </w:tc>
        <w:tc>
          <w:tcPr>
            <w:tcW w:w="419" w:type="pct"/>
            <w:tcBorders>
              <w:top w:val="double" w:sz="4" w:space="0" w:color="auto"/>
              <w:left w:val="dotted" w:sz="4" w:space="0" w:color="auto"/>
              <w:bottom w:val="single" w:sz="6" w:space="0" w:color="000000"/>
              <w:right w:val="dotted" w:sz="4" w:space="0" w:color="auto"/>
            </w:tcBorders>
            <w:vAlign w:val="center"/>
          </w:tcPr>
          <w:p w14:paraId="62BCC496"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hAnsi="Garamond"/>
                <w:b/>
                <w:bCs/>
                <w:sz w:val="18"/>
              </w:rPr>
              <w:t>Viti 2025</w:t>
            </w:r>
          </w:p>
        </w:tc>
        <w:tc>
          <w:tcPr>
            <w:tcW w:w="419" w:type="pct"/>
            <w:tcBorders>
              <w:top w:val="double" w:sz="4" w:space="0" w:color="auto"/>
              <w:left w:val="dotted" w:sz="4" w:space="0" w:color="auto"/>
              <w:bottom w:val="single" w:sz="6" w:space="0" w:color="000000"/>
              <w:right w:val="dotted" w:sz="4" w:space="0" w:color="auto"/>
            </w:tcBorders>
            <w:vAlign w:val="center"/>
          </w:tcPr>
          <w:p w14:paraId="7ECE99DC"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hAnsi="Garamond"/>
                <w:b/>
                <w:bCs/>
                <w:sz w:val="18"/>
              </w:rPr>
              <w:t>Viti 2026</w:t>
            </w:r>
          </w:p>
        </w:tc>
        <w:tc>
          <w:tcPr>
            <w:tcW w:w="419" w:type="pct"/>
            <w:tcBorders>
              <w:top w:val="double" w:sz="4" w:space="0" w:color="auto"/>
              <w:left w:val="dotted" w:sz="4" w:space="0" w:color="auto"/>
              <w:bottom w:val="single" w:sz="6" w:space="0" w:color="000000"/>
              <w:right w:val="double" w:sz="4" w:space="0" w:color="auto"/>
            </w:tcBorders>
            <w:vAlign w:val="center"/>
          </w:tcPr>
          <w:p w14:paraId="56F1984A"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hAnsi="Garamond"/>
                <w:b/>
                <w:bCs/>
                <w:sz w:val="18"/>
              </w:rPr>
              <w:t>Viti</w:t>
            </w:r>
          </w:p>
          <w:p w14:paraId="0D6C2308" w14:textId="77777777" w:rsidR="00C50585" w:rsidRPr="00EE038F" w:rsidRDefault="00C50585" w:rsidP="00F445C3">
            <w:pPr>
              <w:spacing w:after="0" w:line="240" w:lineRule="auto"/>
              <w:contextualSpacing/>
              <w:jc w:val="both"/>
              <w:rPr>
                <w:rFonts w:ascii="Garamond" w:hAnsi="Garamond"/>
                <w:b/>
                <w:bCs/>
                <w:sz w:val="18"/>
              </w:rPr>
            </w:pPr>
            <w:r w:rsidRPr="00EE038F">
              <w:rPr>
                <w:rFonts w:ascii="Garamond" w:hAnsi="Garamond"/>
                <w:b/>
                <w:bCs/>
                <w:sz w:val="18"/>
              </w:rPr>
              <w:t xml:space="preserve"> 2027</w:t>
            </w:r>
          </w:p>
        </w:tc>
      </w:tr>
      <w:tr w:rsidR="00C50585" w:rsidRPr="00EE038F" w14:paraId="5126FB48" w14:textId="77777777" w:rsidTr="00066DFC">
        <w:trPr>
          <w:trHeight w:val="20"/>
          <w:jc w:val="center"/>
        </w:trPr>
        <w:tc>
          <w:tcPr>
            <w:tcW w:w="1915" w:type="pct"/>
            <w:tcBorders>
              <w:top w:val="single" w:sz="6" w:space="0" w:color="000000"/>
              <w:left w:val="double" w:sz="4" w:space="0" w:color="auto"/>
              <w:bottom w:val="dotted" w:sz="4" w:space="0" w:color="auto"/>
              <w:right w:val="dotted" w:sz="4" w:space="0" w:color="auto"/>
            </w:tcBorders>
          </w:tcPr>
          <w:p w14:paraId="7BF0AB6F"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Norma afatshkurtër e interesit</w:t>
            </w:r>
          </w:p>
        </w:tc>
        <w:tc>
          <w:tcPr>
            <w:tcW w:w="989" w:type="pct"/>
            <w:tcBorders>
              <w:top w:val="single" w:sz="6" w:space="0" w:color="000000"/>
              <w:left w:val="dotted" w:sz="4" w:space="0" w:color="auto"/>
              <w:bottom w:val="dotted" w:sz="4" w:space="0" w:color="auto"/>
              <w:right w:val="single" w:sz="6" w:space="0" w:color="000000"/>
            </w:tcBorders>
            <w:vAlign w:val="center"/>
          </w:tcPr>
          <w:p w14:paraId="5AEDBFCD" w14:textId="77777777" w:rsidR="00C50585" w:rsidRPr="00EE038F" w:rsidRDefault="00C50585" w:rsidP="00F445C3">
            <w:pPr>
              <w:spacing w:after="0" w:line="240" w:lineRule="auto"/>
              <w:contextualSpacing/>
              <w:jc w:val="both"/>
              <w:rPr>
                <w:rFonts w:ascii="Garamond" w:hAnsi="Garamond"/>
                <w:sz w:val="18"/>
              </w:rPr>
            </w:pPr>
            <w:r w:rsidRPr="00EE038F">
              <w:rPr>
                <w:rFonts w:ascii="Garamond" w:eastAsia="Times New Roman" w:hAnsi="Garamond"/>
                <w:color w:val="0D0D0D" w:themeColor="text1" w:themeTint="F2"/>
                <w:sz w:val="18"/>
                <w:lang w:eastAsia="en-GB"/>
              </w:rPr>
              <w:t>Mesatare vjetore</w:t>
            </w:r>
          </w:p>
        </w:tc>
        <w:tc>
          <w:tcPr>
            <w:tcW w:w="418" w:type="pct"/>
            <w:tcBorders>
              <w:top w:val="single" w:sz="6" w:space="0" w:color="000000"/>
              <w:left w:val="single" w:sz="6" w:space="0" w:color="000000"/>
              <w:bottom w:val="dotted" w:sz="4" w:space="0" w:color="auto"/>
              <w:right w:val="dotted" w:sz="4" w:space="0" w:color="auto"/>
            </w:tcBorders>
          </w:tcPr>
          <w:p w14:paraId="6DE40CB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3.4</w:t>
            </w:r>
          </w:p>
        </w:tc>
        <w:tc>
          <w:tcPr>
            <w:tcW w:w="419" w:type="pct"/>
            <w:tcBorders>
              <w:top w:val="single" w:sz="6" w:space="0" w:color="000000"/>
              <w:left w:val="dotted" w:sz="4" w:space="0" w:color="auto"/>
              <w:bottom w:val="dotted" w:sz="4" w:space="0" w:color="auto"/>
              <w:right w:val="dotted" w:sz="4" w:space="0" w:color="auto"/>
            </w:tcBorders>
          </w:tcPr>
          <w:p w14:paraId="60C7A762"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3.5</w:t>
            </w:r>
          </w:p>
        </w:tc>
        <w:tc>
          <w:tcPr>
            <w:tcW w:w="419" w:type="pct"/>
            <w:tcBorders>
              <w:top w:val="single" w:sz="6" w:space="0" w:color="000000"/>
              <w:left w:val="dotted" w:sz="4" w:space="0" w:color="auto"/>
              <w:bottom w:val="dotted" w:sz="4" w:space="0" w:color="auto"/>
              <w:right w:val="dotted" w:sz="4" w:space="0" w:color="auto"/>
            </w:tcBorders>
          </w:tcPr>
          <w:p w14:paraId="666D46B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2.1</w:t>
            </w:r>
          </w:p>
        </w:tc>
        <w:tc>
          <w:tcPr>
            <w:tcW w:w="419" w:type="pct"/>
            <w:tcBorders>
              <w:top w:val="single" w:sz="6" w:space="0" w:color="000000"/>
              <w:left w:val="dotted" w:sz="4" w:space="0" w:color="auto"/>
              <w:bottom w:val="dotted" w:sz="4" w:space="0" w:color="auto"/>
              <w:right w:val="dotted" w:sz="4" w:space="0" w:color="auto"/>
            </w:tcBorders>
          </w:tcPr>
          <w:p w14:paraId="093F052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2.0</w:t>
            </w:r>
          </w:p>
        </w:tc>
        <w:tc>
          <w:tcPr>
            <w:tcW w:w="419" w:type="pct"/>
            <w:tcBorders>
              <w:top w:val="single" w:sz="6" w:space="0" w:color="000000"/>
              <w:left w:val="dotted" w:sz="4" w:space="0" w:color="auto"/>
              <w:bottom w:val="dotted" w:sz="4" w:space="0" w:color="auto"/>
              <w:right w:val="double" w:sz="4" w:space="0" w:color="auto"/>
            </w:tcBorders>
          </w:tcPr>
          <w:p w14:paraId="51B613E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7CB68584" w14:textId="77777777" w:rsidTr="00066DFC">
        <w:trPr>
          <w:trHeight w:val="20"/>
          <w:jc w:val="center"/>
        </w:trPr>
        <w:tc>
          <w:tcPr>
            <w:tcW w:w="1915" w:type="pct"/>
            <w:tcBorders>
              <w:top w:val="dotted" w:sz="4" w:space="0" w:color="auto"/>
              <w:left w:val="double" w:sz="4" w:space="0" w:color="auto"/>
              <w:bottom w:val="dotted" w:sz="4" w:space="0" w:color="auto"/>
              <w:right w:val="dotted" w:sz="4" w:space="0" w:color="auto"/>
            </w:tcBorders>
          </w:tcPr>
          <w:p w14:paraId="5F82DBFC"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Norma e interesit afatgjatë</w:t>
            </w:r>
          </w:p>
        </w:tc>
        <w:tc>
          <w:tcPr>
            <w:tcW w:w="989" w:type="pct"/>
            <w:tcBorders>
              <w:top w:val="dotted" w:sz="4" w:space="0" w:color="auto"/>
              <w:left w:val="dotted" w:sz="4" w:space="0" w:color="auto"/>
              <w:bottom w:val="dotted" w:sz="4" w:space="0" w:color="auto"/>
              <w:right w:val="single" w:sz="6" w:space="0" w:color="000000"/>
            </w:tcBorders>
            <w:vAlign w:val="center"/>
          </w:tcPr>
          <w:p w14:paraId="3A3E42CA" w14:textId="77777777" w:rsidR="00C50585" w:rsidRPr="00EE038F" w:rsidRDefault="00C50585" w:rsidP="00F445C3">
            <w:pPr>
              <w:spacing w:after="0" w:line="240" w:lineRule="auto"/>
              <w:contextualSpacing/>
              <w:jc w:val="both"/>
              <w:rPr>
                <w:rFonts w:ascii="Garamond" w:hAnsi="Garamond"/>
                <w:sz w:val="18"/>
              </w:rPr>
            </w:pPr>
            <w:r w:rsidRPr="00EE038F">
              <w:rPr>
                <w:rFonts w:ascii="Garamond" w:eastAsia="Times New Roman" w:hAnsi="Garamond"/>
                <w:color w:val="0D0D0D" w:themeColor="text1" w:themeTint="F2"/>
                <w:sz w:val="18"/>
                <w:lang w:eastAsia="en-GB"/>
              </w:rPr>
              <w:t>Mesatare vjetore</w:t>
            </w:r>
          </w:p>
        </w:tc>
        <w:tc>
          <w:tcPr>
            <w:tcW w:w="418" w:type="pct"/>
            <w:tcBorders>
              <w:top w:val="dotted" w:sz="4" w:space="0" w:color="auto"/>
              <w:left w:val="single" w:sz="6" w:space="0" w:color="000000"/>
              <w:bottom w:val="dotted" w:sz="4" w:space="0" w:color="auto"/>
              <w:right w:val="dotted" w:sz="4" w:space="0" w:color="auto"/>
            </w:tcBorders>
          </w:tcPr>
          <w:p w14:paraId="01951CF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2.4</w:t>
            </w:r>
          </w:p>
        </w:tc>
        <w:tc>
          <w:tcPr>
            <w:tcW w:w="419" w:type="pct"/>
            <w:tcBorders>
              <w:top w:val="dotted" w:sz="4" w:space="0" w:color="auto"/>
              <w:left w:val="dotted" w:sz="4" w:space="0" w:color="auto"/>
              <w:bottom w:val="dotted" w:sz="4" w:space="0" w:color="auto"/>
              <w:right w:val="dotted" w:sz="4" w:space="0" w:color="auto"/>
            </w:tcBorders>
          </w:tcPr>
          <w:p w14:paraId="50852AE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2.3</w:t>
            </w:r>
          </w:p>
        </w:tc>
        <w:tc>
          <w:tcPr>
            <w:tcW w:w="419" w:type="pct"/>
            <w:tcBorders>
              <w:top w:val="dotted" w:sz="4" w:space="0" w:color="auto"/>
              <w:left w:val="dotted" w:sz="4" w:space="0" w:color="auto"/>
              <w:bottom w:val="dotted" w:sz="4" w:space="0" w:color="auto"/>
              <w:right w:val="dotted" w:sz="4" w:space="0" w:color="auto"/>
            </w:tcBorders>
          </w:tcPr>
          <w:p w14:paraId="1FCC1E2A"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2.3</w:t>
            </w:r>
          </w:p>
        </w:tc>
        <w:tc>
          <w:tcPr>
            <w:tcW w:w="419" w:type="pct"/>
            <w:tcBorders>
              <w:top w:val="dotted" w:sz="4" w:space="0" w:color="auto"/>
              <w:left w:val="dotted" w:sz="4" w:space="0" w:color="auto"/>
              <w:bottom w:val="dotted" w:sz="4" w:space="0" w:color="auto"/>
              <w:right w:val="dotted" w:sz="4" w:space="0" w:color="auto"/>
            </w:tcBorders>
          </w:tcPr>
          <w:p w14:paraId="74ADF75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2.4</w:t>
            </w:r>
          </w:p>
        </w:tc>
        <w:tc>
          <w:tcPr>
            <w:tcW w:w="419" w:type="pct"/>
            <w:tcBorders>
              <w:top w:val="dotted" w:sz="4" w:space="0" w:color="auto"/>
              <w:left w:val="dotted" w:sz="4" w:space="0" w:color="auto"/>
              <w:bottom w:val="dotted" w:sz="4" w:space="0" w:color="auto"/>
              <w:right w:val="double" w:sz="4" w:space="0" w:color="auto"/>
            </w:tcBorders>
          </w:tcPr>
          <w:p w14:paraId="50F5B1E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190F6D3D" w14:textId="77777777" w:rsidTr="00066DFC">
        <w:trPr>
          <w:trHeight w:val="20"/>
          <w:jc w:val="center"/>
        </w:trPr>
        <w:tc>
          <w:tcPr>
            <w:tcW w:w="1915" w:type="pct"/>
            <w:tcBorders>
              <w:top w:val="dotted" w:sz="4" w:space="0" w:color="auto"/>
              <w:left w:val="double" w:sz="4" w:space="0" w:color="auto"/>
              <w:bottom w:val="dotted" w:sz="4" w:space="0" w:color="auto"/>
              <w:right w:val="dotted" w:sz="4" w:space="0" w:color="auto"/>
            </w:tcBorders>
          </w:tcPr>
          <w:p w14:paraId="012D054E"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Kursi i këmbimit USD/EUR</w:t>
            </w:r>
          </w:p>
        </w:tc>
        <w:tc>
          <w:tcPr>
            <w:tcW w:w="989" w:type="pct"/>
            <w:tcBorders>
              <w:top w:val="dotted" w:sz="4" w:space="0" w:color="auto"/>
              <w:left w:val="dotted" w:sz="4" w:space="0" w:color="auto"/>
              <w:bottom w:val="dotted" w:sz="4" w:space="0" w:color="auto"/>
              <w:right w:val="single" w:sz="6" w:space="0" w:color="000000"/>
            </w:tcBorders>
            <w:vAlign w:val="center"/>
          </w:tcPr>
          <w:p w14:paraId="373127A0" w14:textId="77777777" w:rsidR="00C50585" w:rsidRPr="00EE038F" w:rsidRDefault="00C50585" w:rsidP="00F445C3">
            <w:pPr>
              <w:spacing w:after="0" w:line="240" w:lineRule="auto"/>
              <w:contextualSpacing/>
              <w:jc w:val="both"/>
              <w:rPr>
                <w:rFonts w:ascii="Garamond" w:hAnsi="Garamond"/>
                <w:sz w:val="18"/>
              </w:rPr>
            </w:pPr>
            <w:r w:rsidRPr="00EE038F">
              <w:rPr>
                <w:rFonts w:ascii="Garamond" w:eastAsia="Times New Roman" w:hAnsi="Garamond"/>
                <w:color w:val="0D0D0D" w:themeColor="text1" w:themeTint="F2"/>
                <w:sz w:val="18"/>
                <w:lang w:eastAsia="en-GB"/>
              </w:rPr>
              <w:t>Mesatare vjetore</w:t>
            </w:r>
          </w:p>
        </w:tc>
        <w:tc>
          <w:tcPr>
            <w:tcW w:w="418" w:type="pct"/>
            <w:tcBorders>
              <w:top w:val="dotted" w:sz="4" w:space="0" w:color="auto"/>
              <w:left w:val="single" w:sz="6" w:space="0" w:color="000000"/>
              <w:bottom w:val="dotted" w:sz="4" w:space="0" w:color="auto"/>
              <w:right w:val="dotted" w:sz="4" w:space="0" w:color="auto"/>
            </w:tcBorders>
          </w:tcPr>
          <w:p w14:paraId="73C9F7F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1.08</w:t>
            </w:r>
          </w:p>
        </w:tc>
        <w:tc>
          <w:tcPr>
            <w:tcW w:w="419" w:type="pct"/>
            <w:tcBorders>
              <w:top w:val="dotted" w:sz="4" w:space="0" w:color="auto"/>
              <w:left w:val="dotted" w:sz="4" w:space="0" w:color="auto"/>
              <w:bottom w:val="dotted" w:sz="4" w:space="0" w:color="auto"/>
              <w:right w:val="dotted" w:sz="4" w:space="0" w:color="auto"/>
            </w:tcBorders>
          </w:tcPr>
          <w:p w14:paraId="263BD2E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1.09</w:t>
            </w:r>
          </w:p>
        </w:tc>
        <w:tc>
          <w:tcPr>
            <w:tcW w:w="419" w:type="pct"/>
            <w:tcBorders>
              <w:top w:val="dotted" w:sz="4" w:space="0" w:color="auto"/>
              <w:left w:val="dotted" w:sz="4" w:space="0" w:color="auto"/>
              <w:bottom w:val="dotted" w:sz="4" w:space="0" w:color="auto"/>
              <w:right w:val="dotted" w:sz="4" w:space="0" w:color="auto"/>
            </w:tcBorders>
          </w:tcPr>
          <w:p w14:paraId="60166C5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1.08</w:t>
            </w:r>
          </w:p>
        </w:tc>
        <w:tc>
          <w:tcPr>
            <w:tcW w:w="419" w:type="pct"/>
            <w:tcBorders>
              <w:top w:val="dotted" w:sz="4" w:space="0" w:color="auto"/>
              <w:left w:val="dotted" w:sz="4" w:space="0" w:color="auto"/>
              <w:bottom w:val="dotted" w:sz="4" w:space="0" w:color="auto"/>
              <w:right w:val="dotted" w:sz="4" w:space="0" w:color="auto"/>
            </w:tcBorders>
          </w:tcPr>
          <w:p w14:paraId="5747149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1.08</w:t>
            </w:r>
          </w:p>
        </w:tc>
        <w:tc>
          <w:tcPr>
            <w:tcW w:w="419" w:type="pct"/>
            <w:tcBorders>
              <w:top w:val="dotted" w:sz="4" w:space="0" w:color="auto"/>
              <w:left w:val="dotted" w:sz="4" w:space="0" w:color="auto"/>
              <w:bottom w:val="dotted" w:sz="4" w:space="0" w:color="auto"/>
              <w:right w:val="double" w:sz="4" w:space="0" w:color="auto"/>
            </w:tcBorders>
          </w:tcPr>
          <w:p w14:paraId="5CED5CD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2055EC69" w14:textId="77777777" w:rsidTr="00066DFC">
        <w:trPr>
          <w:trHeight w:val="20"/>
          <w:jc w:val="center"/>
        </w:trPr>
        <w:tc>
          <w:tcPr>
            <w:tcW w:w="1915" w:type="pct"/>
            <w:tcBorders>
              <w:top w:val="dotted" w:sz="4" w:space="0" w:color="auto"/>
              <w:left w:val="double" w:sz="4" w:space="0" w:color="auto"/>
              <w:bottom w:val="dotted" w:sz="4" w:space="0" w:color="auto"/>
              <w:right w:val="dotted" w:sz="4" w:space="0" w:color="auto"/>
            </w:tcBorders>
          </w:tcPr>
          <w:p w14:paraId="7FDE7B6C"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Kursi nominal efektiv i këmbimit</w:t>
            </w:r>
          </w:p>
        </w:tc>
        <w:tc>
          <w:tcPr>
            <w:tcW w:w="989" w:type="pct"/>
            <w:tcBorders>
              <w:top w:val="dotted" w:sz="4" w:space="0" w:color="auto"/>
              <w:left w:val="dotted" w:sz="4" w:space="0" w:color="auto"/>
              <w:bottom w:val="dotted" w:sz="4" w:space="0" w:color="auto"/>
              <w:right w:val="single" w:sz="6" w:space="0" w:color="000000"/>
            </w:tcBorders>
            <w:vAlign w:val="center"/>
          </w:tcPr>
          <w:p w14:paraId="1531DC44" w14:textId="77777777" w:rsidR="00C50585" w:rsidRPr="00EE038F" w:rsidRDefault="00C50585" w:rsidP="00F445C3">
            <w:pPr>
              <w:spacing w:after="0" w:line="240" w:lineRule="auto"/>
              <w:contextualSpacing/>
              <w:jc w:val="both"/>
              <w:rPr>
                <w:rFonts w:ascii="Garamond" w:hAnsi="Garamond"/>
                <w:sz w:val="18"/>
              </w:rPr>
            </w:pPr>
            <w:r w:rsidRPr="00EE038F">
              <w:rPr>
                <w:rFonts w:ascii="Garamond" w:eastAsia="Times New Roman" w:hAnsi="Garamond"/>
                <w:color w:val="0D0D0D" w:themeColor="text1" w:themeTint="F2"/>
                <w:sz w:val="18"/>
                <w:lang w:eastAsia="en-GB"/>
              </w:rPr>
              <w:t>Mesatare vjetore</w:t>
            </w:r>
          </w:p>
        </w:tc>
        <w:tc>
          <w:tcPr>
            <w:tcW w:w="418" w:type="pct"/>
            <w:tcBorders>
              <w:top w:val="dotted" w:sz="4" w:space="0" w:color="auto"/>
              <w:left w:val="single" w:sz="6" w:space="0" w:color="000000"/>
              <w:bottom w:val="dotted" w:sz="4" w:space="0" w:color="auto"/>
              <w:right w:val="dotted" w:sz="4" w:space="0" w:color="auto"/>
            </w:tcBorders>
          </w:tcPr>
          <w:p w14:paraId="34DBE44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7.0</w:t>
            </w:r>
          </w:p>
        </w:tc>
        <w:tc>
          <w:tcPr>
            <w:tcW w:w="419" w:type="pct"/>
            <w:tcBorders>
              <w:top w:val="dotted" w:sz="4" w:space="0" w:color="auto"/>
              <w:left w:val="dotted" w:sz="4" w:space="0" w:color="auto"/>
              <w:bottom w:val="dotted" w:sz="4" w:space="0" w:color="auto"/>
              <w:right w:val="dotted" w:sz="4" w:space="0" w:color="auto"/>
            </w:tcBorders>
          </w:tcPr>
          <w:p w14:paraId="72D0A3B8"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3.2</w:t>
            </w:r>
          </w:p>
        </w:tc>
        <w:tc>
          <w:tcPr>
            <w:tcW w:w="419" w:type="pct"/>
            <w:tcBorders>
              <w:top w:val="dotted" w:sz="4" w:space="0" w:color="auto"/>
              <w:left w:val="dotted" w:sz="4" w:space="0" w:color="auto"/>
              <w:bottom w:val="dotted" w:sz="4" w:space="0" w:color="auto"/>
              <w:right w:val="dotted" w:sz="4" w:space="0" w:color="auto"/>
            </w:tcBorders>
          </w:tcPr>
          <w:p w14:paraId="4925D1B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0.2</w:t>
            </w:r>
          </w:p>
        </w:tc>
        <w:tc>
          <w:tcPr>
            <w:tcW w:w="419" w:type="pct"/>
            <w:tcBorders>
              <w:top w:val="dotted" w:sz="4" w:space="0" w:color="auto"/>
              <w:left w:val="dotted" w:sz="4" w:space="0" w:color="auto"/>
              <w:bottom w:val="dotted" w:sz="4" w:space="0" w:color="auto"/>
              <w:right w:val="dotted" w:sz="4" w:space="0" w:color="auto"/>
            </w:tcBorders>
          </w:tcPr>
          <w:p w14:paraId="4AEA32EA"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0.0</w:t>
            </w:r>
          </w:p>
        </w:tc>
        <w:tc>
          <w:tcPr>
            <w:tcW w:w="419" w:type="pct"/>
            <w:tcBorders>
              <w:top w:val="dotted" w:sz="4" w:space="0" w:color="auto"/>
              <w:left w:val="dotted" w:sz="4" w:space="0" w:color="auto"/>
              <w:bottom w:val="dotted" w:sz="4" w:space="0" w:color="auto"/>
              <w:right w:val="double" w:sz="4" w:space="0" w:color="auto"/>
            </w:tcBorders>
          </w:tcPr>
          <w:p w14:paraId="15B01D0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6F226A73" w14:textId="77777777" w:rsidTr="00066DFC">
        <w:trPr>
          <w:trHeight w:val="20"/>
          <w:jc w:val="center"/>
        </w:trPr>
        <w:tc>
          <w:tcPr>
            <w:tcW w:w="1915" w:type="pct"/>
            <w:tcBorders>
              <w:top w:val="dotted" w:sz="4" w:space="0" w:color="auto"/>
              <w:left w:val="double" w:sz="4" w:space="0" w:color="auto"/>
              <w:bottom w:val="dotted" w:sz="4" w:space="0" w:color="auto"/>
              <w:right w:val="dotted" w:sz="4" w:space="0" w:color="auto"/>
            </w:tcBorders>
          </w:tcPr>
          <w:p w14:paraId="1B5B3656" w14:textId="77777777" w:rsidR="00C50585" w:rsidRPr="00EE038F" w:rsidRDefault="00C50585" w:rsidP="00F445C3">
            <w:pPr>
              <w:spacing w:after="0" w:line="240" w:lineRule="auto"/>
              <w:contextualSpacing/>
              <w:jc w:val="both"/>
              <w:rPr>
                <w:rFonts w:ascii="Garamond" w:hAnsi="Garamond"/>
                <w:sz w:val="18"/>
                <w:vertAlign w:val="superscript"/>
              </w:rPr>
            </w:pPr>
            <w:r w:rsidRPr="00EE038F">
              <w:rPr>
                <w:rFonts w:ascii="Garamond" w:hAnsi="Garamond"/>
                <w:sz w:val="18"/>
              </w:rPr>
              <w:t>Kursi i këmbimit kundrejt euros</w:t>
            </w:r>
            <w:r w:rsidRPr="00EE038F">
              <w:rPr>
                <w:rFonts w:ascii="Garamond" w:hAnsi="Garamond"/>
                <w:sz w:val="18"/>
                <w:vertAlign w:val="superscript"/>
              </w:rPr>
              <w:t>1</w:t>
            </w:r>
          </w:p>
        </w:tc>
        <w:tc>
          <w:tcPr>
            <w:tcW w:w="989" w:type="pct"/>
            <w:tcBorders>
              <w:top w:val="dotted" w:sz="4" w:space="0" w:color="auto"/>
              <w:left w:val="dotted" w:sz="4" w:space="0" w:color="auto"/>
              <w:bottom w:val="dotted" w:sz="4" w:space="0" w:color="auto"/>
              <w:right w:val="single" w:sz="6" w:space="0" w:color="000000"/>
            </w:tcBorders>
            <w:vAlign w:val="center"/>
          </w:tcPr>
          <w:p w14:paraId="154051F1" w14:textId="77777777" w:rsidR="00C50585" w:rsidRPr="00EE038F" w:rsidRDefault="00C50585" w:rsidP="00F445C3">
            <w:pPr>
              <w:spacing w:after="0" w:line="240" w:lineRule="auto"/>
              <w:contextualSpacing/>
              <w:jc w:val="both"/>
              <w:rPr>
                <w:rFonts w:ascii="Garamond" w:hAnsi="Garamond"/>
                <w:sz w:val="18"/>
              </w:rPr>
            </w:pPr>
            <w:r w:rsidRPr="00EE038F">
              <w:rPr>
                <w:rFonts w:ascii="Garamond" w:eastAsia="Times New Roman" w:hAnsi="Garamond"/>
                <w:color w:val="0D0D0D" w:themeColor="text1" w:themeTint="F2"/>
                <w:sz w:val="18"/>
                <w:lang w:eastAsia="en-GB"/>
              </w:rPr>
              <w:t>Mesatare vjetore</w:t>
            </w:r>
          </w:p>
        </w:tc>
        <w:tc>
          <w:tcPr>
            <w:tcW w:w="418" w:type="pct"/>
            <w:tcBorders>
              <w:top w:val="dotted" w:sz="4" w:space="0" w:color="auto"/>
              <w:left w:val="single" w:sz="6" w:space="0" w:color="000000"/>
              <w:bottom w:val="dotted" w:sz="4" w:space="0" w:color="auto"/>
              <w:right w:val="dotted" w:sz="4" w:space="0" w:color="auto"/>
            </w:tcBorders>
          </w:tcPr>
          <w:p w14:paraId="5F94561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108.8</w:t>
            </w:r>
          </w:p>
        </w:tc>
        <w:tc>
          <w:tcPr>
            <w:tcW w:w="419" w:type="pct"/>
            <w:tcBorders>
              <w:top w:val="dotted" w:sz="4" w:space="0" w:color="auto"/>
              <w:left w:val="dotted" w:sz="4" w:space="0" w:color="auto"/>
              <w:bottom w:val="dotted" w:sz="4" w:space="0" w:color="auto"/>
              <w:right w:val="dotted" w:sz="4" w:space="0" w:color="auto"/>
            </w:tcBorders>
          </w:tcPr>
          <w:p w14:paraId="58B71AB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100.7</w:t>
            </w:r>
          </w:p>
        </w:tc>
        <w:tc>
          <w:tcPr>
            <w:tcW w:w="419" w:type="pct"/>
            <w:tcBorders>
              <w:top w:val="dotted" w:sz="4" w:space="0" w:color="auto"/>
              <w:left w:val="dotted" w:sz="4" w:space="0" w:color="auto"/>
              <w:bottom w:val="dotted" w:sz="4" w:space="0" w:color="auto"/>
              <w:right w:val="dotted" w:sz="4" w:space="0" w:color="auto"/>
            </w:tcBorders>
          </w:tcPr>
          <w:p w14:paraId="0388324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100.7</w:t>
            </w:r>
          </w:p>
        </w:tc>
        <w:tc>
          <w:tcPr>
            <w:tcW w:w="419" w:type="pct"/>
            <w:tcBorders>
              <w:top w:val="dotted" w:sz="4" w:space="0" w:color="auto"/>
              <w:left w:val="dotted" w:sz="4" w:space="0" w:color="auto"/>
              <w:bottom w:val="dotted" w:sz="4" w:space="0" w:color="auto"/>
              <w:right w:val="dotted" w:sz="4" w:space="0" w:color="auto"/>
            </w:tcBorders>
          </w:tcPr>
          <w:p w14:paraId="1AFD7AD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100.7</w:t>
            </w:r>
          </w:p>
        </w:tc>
        <w:tc>
          <w:tcPr>
            <w:tcW w:w="419" w:type="pct"/>
            <w:tcBorders>
              <w:top w:val="dotted" w:sz="4" w:space="0" w:color="auto"/>
              <w:left w:val="dotted" w:sz="4" w:space="0" w:color="auto"/>
              <w:bottom w:val="dotted" w:sz="4" w:space="0" w:color="auto"/>
              <w:right w:val="double" w:sz="4" w:space="0" w:color="auto"/>
            </w:tcBorders>
          </w:tcPr>
          <w:p w14:paraId="095DD0D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100.7</w:t>
            </w:r>
          </w:p>
        </w:tc>
      </w:tr>
      <w:tr w:rsidR="00C50585" w:rsidRPr="00EE038F" w14:paraId="6F336911" w14:textId="77777777" w:rsidTr="00066DFC">
        <w:trPr>
          <w:trHeight w:val="20"/>
          <w:jc w:val="center"/>
        </w:trPr>
        <w:tc>
          <w:tcPr>
            <w:tcW w:w="1915" w:type="pct"/>
            <w:tcBorders>
              <w:top w:val="dotted" w:sz="4" w:space="0" w:color="auto"/>
              <w:left w:val="double" w:sz="4" w:space="0" w:color="auto"/>
              <w:bottom w:val="dotted" w:sz="4" w:space="0" w:color="auto"/>
              <w:right w:val="dotted" w:sz="4" w:space="0" w:color="auto"/>
            </w:tcBorders>
          </w:tcPr>
          <w:p w14:paraId="165AB883"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Rritja globale e PBB-së, duke përjashtuar BE-në</w:t>
            </w:r>
          </w:p>
        </w:tc>
        <w:tc>
          <w:tcPr>
            <w:tcW w:w="989" w:type="pct"/>
            <w:tcBorders>
              <w:top w:val="dotted" w:sz="4" w:space="0" w:color="auto"/>
              <w:left w:val="dotted" w:sz="4" w:space="0" w:color="auto"/>
              <w:bottom w:val="dotted" w:sz="4" w:space="0" w:color="auto"/>
              <w:right w:val="single" w:sz="6" w:space="0" w:color="000000"/>
            </w:tcBorders>
            <w:vAlign w:val="center"/>
          </w:tcPr>
          <w:p w14:paraId="31654173" w14:textId="77777777" w:rsidR="00C50585" w:rsidRPr="00EE038F" w:rsidRDefault="00C50585" w:rsidP="00F445C3">
            <w:pPr>
              <w:spacing w:after="0" w:line="240" w:lineRule="auto"/>
              <w:contextualSpacing/>
              <w:jc w:val="both"/>
              <w:rPr>
                <w:rFonts w:ascii="Garamond" w:hAnsi="Garamond"/>
                <w:sz w:val="18"/>
              </w:rPr>
            </w:pPr>
            <w:r w:rsidRPr="00EE038F">
              <w:rPr>
                <w:rFonts w:ascii="Garamond" w:eastAsia="Times New Roman" w:hAnsi="Garamond"/>
                <w:color w:val="0D0D0D" w:themeColor="text1" w:themeTint="F2"/>
                <w:sz w:val="18"/>
                <w:lang w:eastAsia="en-GB"/>
              </w:rPr>
              <w:t>Mesatare vjetore</w:t>
            </w:r>
          </w:p>
        </w:tc>
        <w:tc>
          <w:tcPr>
            <w:tcW w:w="418" w:type="pct"/>
            <w:tcBorders>
              <w:top w:val="dotted" w:sz="4" w:space="0" w:color="auto"/>
              <w:left w:val="single" w:sz="6" w:space="0" w:color="000000"/>
              <w:bottom w:val="dotted" w:sz="4" w:space="0" w:color="auto"/>
              <w:right w:val="dotted" w:sz="4" w:space="0" w:color="auto"/>
            </w:tcBorders>
          </w:tcPr>
          <w:p w14:paraId="148C93AD"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3.7</w:t>
            </w:r>
          </w:p>
        </w:tc>
        <w:tc>
          <w:tcPr>
            <w:tcW w:w="419" w:type="pct"/>
            <w:tcBorders>
              <w:top w:val="dotted" w:sz="4" w:space="0" w:color="auto"/>
              <w:left w:val="dotted" w:sz="4" w:space="0" w:color="auto"/>
              <w:bottom w:val="dotted" w:sz="4" w:space="0" w:color="auto"/>
              <w:right w:val="dotted" w:sz="4" w:space="0" w:color="auto"/>
            </w:tcBorders>
          </w:tcPr>
          <w:p w14:paraId="7009FE7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3.5</w:t>
            </w:r>
          </w:p>
        </w:tc>
        <w:tc>
          <w:tcPr>
            <w:tcW w:w="419" w:type="pct"/>
            <w:tcBorders>
              <w:top w:val="dotted" w:sz="4" w:space="0" w:color="auto"/>
              <w:left w:val="dotted" w:sz="4" w:space="0" w:color="auto"/>
              <w:bottom w:val="dotted" w:sz="4" w:space="0" w:color="auto"/>
              <w:right w:val="dotted" w:sz="4" w:space="0" w:color="auto"/>
            </w:tcBorders>
          </w:tcPr>
          <w:p w14:paraId="4A749C16"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3.6</w:t>
            </w:r>
          </w:p>
        </w:tc>
        <w:tc>
          <w:tcPr>
            <w:tcW w:w="419" w:type="pct"/>
            <w:tcBorders>
              <w:top w:val="dotted" w:sz="4" w:space="0" w:color="auto"/>
              <w:left w:val="dotted" w:sz="4" w:space="0" w:color="auto"/>
              <w:bottom w:val="dotted" w:sz="4" w:space="0" w:color="auto"/>
              <w:right w:val="dotted" w:sz="4" w:space="0" w:color="auto"/>
            </w:tcBorders>
          </w:tcPr>
          <w:p w14:paraId="7694C4F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3.6</w:t>
            </w:r>
          </w:p>
        </w:tc>
        <w:tc>
          <w:tcPr>
            <w:tcW w:w="419" w:type="pct"/>
            <w:tcBorders>
              <w:top w:val="dotted" w:sz="4" w:space="0" w:color="auto"/>
              <w:left w:val="dotted" w:sz="4" w:space="0" w:color="auto"/>
              <w:bottom w:val="dotted" w:sz="4" w:space="0" w:color="auto"/>
              <w:right w:val="double" w:sz="4" w:space="0" w:color="auto"/>
            </w:tcBorders>
          </w:tcPr>
          <w:p w14:paraId="4454404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6CB60932" w14:textId="77777777" w:rsidTr="00066DFC">
        <w:trPr>
          <w:trHeight w:val="20"/>
          <w:jc w:val="center"/>
        </w:trPr>
        <w:tc>
          <w:tcPr>
            <w:tcW w:w="1915" w:type="pct"/>
            <w:tcBorders>
              <w:top w:val="dotted" w:sz="4" w:space="0" w:color="auto"/>
              <w:left w:val="double" w:sz="4" w:space="0" w:color="auto"/>
              <w:bottom w:val="dotted" w:sz="4" w:space="0" w:color="auto"/>
              <w:right w:val="dotted" w:sz="4" w:space="0" w:color="auto"/>
            </w:tcBorders>
          </w:tcPr>
          <w:p w14:paraId="225299A1"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Rritja e GDP-së së BE-së</w:t>
            </w:r>
          </w:p>
        </w:tc>
        <w:tc>
          <w:tcPr>
            <w:tcW w:w="989" w:type="pct"/>
            <w:tcBorders>
              <w:top w:val="dotted" w:sz="4" w:space="0" w:color="auto"/>
              <w:left w:val="dotted" w:sz="4" w:space="0" w:color="auto"/>
              <w:bottom w:val="dotted" w:sz="4" w:space="0" w:color="auto"/>
              <w:right w:val="single" w:sz="6" w:space="0" w:color="000000"/>
            </w:tcBorders>
            <w:vAlign w:val="center"/>
          </w:tcPr>
          <w:p w14:paraId="55DC710E" w14:textId="77777777" w:rsidR="00C50585" w:rsidRPr="00EE038F" w:rsidRDefault="00C50585" w:rsidP="00F445C3">
            <w:pPr>
              <w:spacing w:after="0" w:line="240" w:lineRule="auto"/>
              <w:contextualSpacing/>
              <w:jc w:val="both"/>
              <w:rPr>
                <w:rFonts w:ascii="Garamond" w:hAnsi="Garamond"/>
                <w:sz w:val="18"/>
              </w:rPr>
            </w:pPr>
            <w:r w:rsidRPr="00EE038F">
              <w:rPr>
                <w:rFonts w:ascii="Garamond" w:eastAsia="Times New Roman" w:hAnsi="Garamond"/>
                <w:color w:val="0D0D0D" w:themeColor="text1" w:themeTint="F2"/>
                <w:sz w:val="18"/>
                <w:lang w:eastAsia="en-GB"/>
              </w:rPr>
              <w:t>Mesatare vjetore</w:t>
            </w:r>
          </w:p>
        </w:tc>
        <w:tc>
          <w:tcPr>
            <w:tcW w:w="418" w:type="pct"/>
            <w:tcBorders>
              <w:top w:val="dotted" w:sz="4" w:space="0" w:color="auto"/>
              <w:left w:val="single" w:sz="6" w:space="0" w:color="000000"/>
              <w:bottom w:val="dotted" w:sz="4" w:space="0" w:color="auto"/>
              <w:right w:val="dotted" w:sz="4" w:space="0" w:color="auto"/>
            </w:tcBorders>
          </w:tcPr>
          <w:p w14:paraId="04EA0F7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0.4</w:t>
            </w:r>
          </w:p>
        </w:tc>
        <w:tc>
          <w:tcPr>
            <w:tcW w:w="419" w:type="pct"/>
            <w:tcBorders>
              <w:top w:val="dotted" w:sz="4" w:space="0" w:color="auto"/>
              <w:left w:val="dotted" w:sz="4" w:space="0" w:color="auto"/>
              <w:bottom w:val="dotted" w:sz="4" w:space="0" w:color="auto"/>
              <w:right w:val="dotted" w:sz="4" w:space="0" w:color="auto"/>
            </w:tcBorders>
          </w:tcPr>
          <w:p w14:paraId="225EFE0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0.9</w:t>
            </w:r>
          </w:p>
        </w:tc>
        <w:tc>
          <w:tcPr>
            <w:tcW w:w="419" w:type="pct"/>
            <w:tcBorders>
              <w:top w:val="dotted" w:sz="4" w:space="0" w:color="auto"/>
              <w:left w:val="dotted" w:sz="4" w:space="0" w:color="auto"/>
              <w:bottom w:val="dotted" w:sz="4" w:space="0" w:color="auto"/>
              <w:right w:val="dotted" w:sz="4" w:space="0" w:color="auto"/>
            </w:tcBorders>
          </w:tcPr>
          <w:p w14:paraId="3143165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1.5</w:t>
            </w:r>
          </w:p>
        </w:tc>
        <w:tc>
          <w:tcPr>
            <w:tcW w:w="419" w:type="pct"/>
            <w:tcBorders>
              <w:top w:val="dotted" w:sz="4" w:space="0" w:color="auto"/>
              <w:left w:val="dotted" w:sz="4" w:space="0" w:color="auto"/>
              <w:bottom w:val="dotted" w:sz="4" w:space="0" w:color="auto"/>
              <w:right w:val="dotted" w:sz="4" w:space="0" w:color="auto"/>
            </w:tcBorders>
          </w:tcPr>
          <w:p w14:paraId="75BC3D33"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1.8</w:t>
            </w:r>
          </w:p>
        </w:tc>
        <w:tc>
          <w:tcPr>
            <w:tcW w:w="419" w:type="pct"/>
            <w:tcBorders>
              <w:top w:val="dotted" w:sz="4" w:space="0" w:color="auto"/>
              <w:left w:val="dotted" w:sz="4" w:space="0" w:color="auto"/>
              <w:bottom w:val="dotted" w:sz="4" w:space="0" w:color="auto"/>
              <w:right w:val="double" w:sz="4" w:space="0" w:color="auto"/>
            </w:tcBorders>
          </w:tcPr>
          <w:p w14:paraId="5184BF91"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5745D5C6" w14:textId="77777777" w:rsidTr="00066DFC">
        <w:trPr>
          <w:trHeight w:val="20"/>
          <w:jc w:val="center"/>
        </w:trPr>
        <w:tc>
          <w:tcPr>
            <w:tcW w:w="1915" w:type="pct"/>
            <w:tcBorders>
              <w:top w:val="dotted" w:sz="4" w:space="0" w:color="auto"/>
              <w:left w:val="double" w:sz="4" w:space="0" w:color="auto"/>
              <w:bottom w:val="dotted" w:sz="4" w:space="0" w:color="auto"/>
              <w:right w:val="dotted" w:sz="4" w:space="0" w:color="auto"/>
            </w:tcBorders>
          </w:tcPr>
          <w:p w14:paraId="1E8BB61B"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Rritja e tregjeve të huaja përkatëse</w:t>
            </w:r>
          </w:p>
        </w:tc>
        <w:tc>
          <w:tcPr>
            <w:tcW w:w="989" w:type="pct"/>
            <w:tcBorders>
              <w:top w:val="dotted" w:sz="4" w:space="0" w:color="auto"/>
              <w:left w:val="dotted" w:sz="4" w:space="0" w:color="auto"/>
              <w:bottom w:val="dotted" w:sz="4" w:space="0" w:color="auto"/>
              <w:right w:val="single" w:sz="6" w:space="0" w:color="000000"/>
            </w:tcBorders>
            <w:vAlign w:val="center"/>
          </w:tcPr>
          <w:p w14:paraId="70D5F5DC" w14:textId="77777777" w:rsidR="00C50585" w:rsidRPr="00EE038F" w:rsidRDefault="00C50585" w:rsidP="00F445C3">
            <w:pPr>
              <w:spacing w:after="0" w:line="240" w:lineRule="auto"/>
              <w:contextualSpacing/>
              <w:jc w:val="both"/>
              <w:rPr>
                <w:rFonts w:ascii="Garamond" w:hAnsi="Garamond"/>
                <w:sz w:val="18"/>
              </w:rPr>
            </w:pPr>
            <w:r w:rsidRPr="00EE038F">
              <w:rPr>
                <w:rFonts w:ascii="Garamond" w:eastAsia="Times New Roman" w:hAnsi="Garamond"/>
                <w:color w:val="0D0D0D" w:themeColor="text1" w:themeTint="F2"/>
                <w:sz w:val="18"/>
                <w:lang w:eastAsia="en-GB"/>
              </w:rPr>
              <w:t>Mesatare vjetore</w:t>
            </w:r>
          </w:p>
        </w:tc>
        <w:tc>
          <w:tcPr>
            <w:tcW w:w="418" w:type="pct"/>
            <w:tcBorders>
              <w:top w:val="dotted" w:sz="4" w:space="0" w:color="auto"/>
              <w:left w:val="single" w:sz="6" w:space="0" w:color="000000"/>
              <w:bottom w:val="dotted" w:sz="4" w:space="0" w:color="auto"/>
              <w:right w:val="dotted" w:sz="4" w:space="0" w:color="auto"/>
            </w:tcBorders>
          </w:tcPr>
          <w:p w14:paraId="5B45E0C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419" w:type="pct"/>
            <w:tcBorders>
              <w:top w:val="dotted" w:sz="4" w:space="0" w:color="auto"/>
              <w:left w:val="dotted" w:sz="4" w:space="0" w:color="auto"/>
              <w:bottom w:val="dotted" w:sz="4" w:space="0" w:color="auto"/>
              <w:right w:val="dotted" w:sz="4" w:space="0" w:color="auto"/>
            </w:tcBorders>
          </w:tcPr>
          <w:p w14:paraId="22CCDC7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419" w:type="pct"/>
            <w:tcBorders>
              <w:top w:val="dotted" w:sz="4" w:space="0" w:color="auto"/>
              <w:left w:val="dotted" w:sz="4" w:space="0" w:color="auto"/>
              <w:bottom w:val="dotted" w:sz="4" w:space="0" w:color="auto"/>
              <w:right w:val="dotted" w:sz="4" w:space="0" w:color="auto"/>
            </w:tcBorders>
          </w:tcPr>
          <w:p w14:paraId="2833184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419" w:type="pct"/>
            <w:tcBorders>
              <w:top w:val="dotted" w:sz="4" w:space="0" w:color="auto"/>
              <w:left w:val="dotted" w:sz="4" w:space="0" w:color="auto"/>
              <w:bottom w:val="dotted" w:sz="4" w:space="0" w:color="auto"/>
              <w:right w:val="dotted" w:sz="4" w:space="0" w:color="auto"/>
            </w:tcBorders>
          </w:tcPr>
          <w:p w14:paraId="4B371B1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c>
          <w:tcPr>
            <w:tcW w:w="419" w:type="pct"/>
            <w:tcBorders>
              <w:top w:val="dotted" w:sz="4" w:space="0" w:color="auto"/>
              <w:left w:val="dotted" w:sz="4" w:space="0" w:color="auto"/>
              <w:bottom w:val="dotted" w:sz="4" w:space="0" w:color="auto"/>
              <w:right w:val="double" w:sz="4" w:space="0" w:color="auto"/>
            </w:tcBorders>
          </w:tcPr>
          <w:p w14:paraId="1C17C74F"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0F5FFC1C" w14:textId="77777777" w:rsidTr="00066DFC">
        <w:trPr>
          <w:trHeight w:val="20"/>
          <w:jc w:val="center"/>
        </w:trPr>
        <w:tc>
          <w:tcPr>
            <w:tcW w:w="1915" w:type="pct"/>
            <w:tcBorders>
              <w:top w:val="dotted" w:sz="4" w:space="0" w:color="auto"/>
              <w:left w:val="double" w:sz="4" w:space="0" w:color="auto"/>
              <w:bottom w:val="dotted" w:sz="4" w:space="0" w:color="auto"/>
              <w:right w:val="dotted" w:sz="4" w:space="0" w:color="auto"/>
            </w:tcBorders>
          </w:tcPr>
          <w:p w14:paraId="2D26EFFD"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Vëllimet botërore të importeve, duke përjashtuar BE-në</w:t>
            </w:r>
          </w:p>
        </w:tc>
        <w:tc>
          <w:tcPr>
            <w:tcW w:w="989" w:type="pct"/>
            <w:tcBorders>
              <w:top w:val="dotted" w:sz="4" w:space="0" w:color="auto"/>
              <w:left w:val="dotted" w:sz="4" w:space="0" w:color="auto"/>
              <w:bottom w:val="dotted" w:sz="4" w:space="0" w:color="auto"/>
              <w:right w:val="single" w:sz="6" w:space="0" w:color="000000"/>
            </w:tcBorders>
            <w:vAlign w:val="center"/>
          </w:tcPr>
          <w:p w14:paraId="49D17555" w14:textId="77777777" w:rsidR="00C50585" w:rsidRPr="00EE038F" w:rsidRDefault="00C50585" w:rsidP="00F445C3">
            <w:pPr>
              <w:spacing w:after="0" w:line="240" w:lineRule="auto"/>
              <w:contextualSpacing/>
              <w:jc w:val="both"/>
              <w:rPr>
                <w:rFonts w:ascii="Garamond" w:hAnsi="Garamond"/>
                <w:sz w:val="18"/>
              </w:rPr>
            </w:pPr>
            <w:r w:rsidRPr="00EE038F">
              <w:rPr>
                <w:rFonts w:ascii="Garamond" w:eastAsia="Times New Roman" w:hAnsi="Garamond"/>
                <w:color w:val="0D0D0D" w:themeColor="text1" w:themeTint="F2"/>
                <w:sz w:val="18"/>
                <w:lang w:eastAsia="en-GB"/>
              </w:rPr>
              <w:t>Mesatare vjetore</w:t>
            </w:r>
          </w:p>
        </w:tc>
        <w:tc>
          <w:tcPr>
            <w:tcW w:w="418" w:type="pct"/>
            <w:tcBorders>
              <w:top w:val="dotted" w:sz="4" w:space="0" w:color="auto"/>
              <w:left w:val="single" w:sz="6" w:space="0" w:color="000000"/>
              <w:bottom w:val="dotted" w:sz="4" w:space="0" w:color="auto"/>
              <w:right w:val="dotted" w:sz="4" w:space="0" w:color="auto"/>
            </w:tcBorders>
          </w:tcPr>
          <w:p w14:paraId="038F0F1B"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1.3</w:t>
            </w:r>
          </w:p>
        </w:tc>
        <w:tc>
          <w:tcPr>
            <w:tcW w:w="419" w:type="pct"/>
            <w:tcBorders>
              <w:top w:val="dotted" w:sz="4" w:space="0" w:color="auto"/>
              <w:left w:val="dotted" w:sz="4" w:space="0" w:color="auto"/>
              <w:bottom w:val="dotted" w:sz="4" w:space="0" w:color="auto"/>
              <w:right w:val="dotted" w:sz="4" w:space="0" w:color="auto"/>
            </w:tcBorders>
          </w:tcPr>
          <w:p w14:paraId="22432E64"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3.2</w:t>
            </w:r>
          </w:p>
        </w:tc>
        <w:tc>
          <w:tcPr>
            <w:tcW w:w="419" w:type="pct"/>
            <w:tcBorders>
              <w:top w:val="dotted" w:sz="4" w:space="0" w:color="auto"/>
              <w:left w:val="dotted" w:sz="4" w:space="0" w:color="auto"/>
              <w:bottom w:val="dotted" w:sz="4" w:space="0" w:color="auto"/>
              <w:right w:val="dotted" w:sz="4" w:space="0" w:color="auto"/>
            </w:tcBorders>
          </w:tcPr>
          <w:p w14:paraId="065772E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3.3</w:t>
            </w:r>
          </w:p>
        </w:tc>
        <w:tc>
          <w:tcPr>
            <w:tcW w:w="419" w:type="pct"/>
            <w:tcBorders>
              <w:top w:val="dotted" w:sz="4" w:space="0" w:color="auto"/>
              <w:left w:val="dotted" w:sz="4" w:space="0" w:color="auto"/>
              <w:bottom w:val="dotted" w:sz="4" w:space="0" w:color="auto"/>
              <w:right w:val="dotted" w:sz="4" w:space="0" w:color="auto"/>
            </w:tcBorders>
          </w:tcPr>
          <w:p w14:paraId="63E06AE0"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3.3</w:t>
            </w:r>
          </w:p>
        </w:tc>
        <w:tc>
          <w:tcPr>
            <w:tcW w:w="419" w:type="pct"/>
            <w:tcBorders>
              <w:top w:val="dotted" w:sz="4" w:space="0" w:color="auto"/>
              <w:left w:val="dotted" w:sz="4" w:space="0" w:color="auto"/>
              <w:bottom w:val="dotted" w:sz="4" w:space="0" w:color="auto"/>
              <w:right w:val="double" w:sz="4" w:space="0" w:color="auto"/>
            </w:tcBorders>
          </w:tcPr>
          <w:p w14:paraId="3370F47C"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r w:rsidR="00C50585" w:rsidRPr="00EE038F" w14:paraId="11668D8E" w14:textId="77777777" w:rsidTr="00066DFC">
        <w:trPr>
          <w:trHeight w:val="20"/>
          <w:jc w:val="center"/>
        </w:trPr>
        <w:tc>
          <w:tcPr>
            <w:tcW w:w="1915" w:type="pct"/>
            <w:tcBorders>
              <w:top w:val="dotted" w:sz="4" w:space="0" w:color="auto"/>
              <w:left w:val="double" w:sz="4" w:space="0" w:color="auto"/>
              <w:bottom w:val="double" w:sz="4" w:space="0" w:color="auto"/>
              <w:right w:val="dotted" w:sz="4" w:space="0" w:color="auto"/>
            </w:tcBorders>
          </w:tcPr>
          <w:p w14:paraId="70578773" w14:textId="77777777" w:rsidR="00C50585" w:rsidRPr="00EE038F" w:rsidRDefault="00C50585" w:rsidP="00F445C3">
            <w:pPr>
              <w:spacing w:after="0" w:line="240" w:lineRule="auto"/>
              <w:contextualSpacing/>
              <w:jc w:val="both"/>
              <w:rPr>
                <w:rFonts w:ascii="Garamond" w:hAnsi="Garamond"/>
                <w:sz w:val="18"/>
              </w:rPr>
            </w:pPr>
            <w:r w:rsidRPr="00EE038F">
              <w:rPr>
                <w:rFonts w:ascii="Garamond" w:hAnsi="Garamond"/>
                <w:sz w:val="18"/>
              </w:rPr>
              <w:t>Çmimet e naftës (Brent, USD/fuçi)</w:t>
            </w:r>
          </w:p>
        </w:tc>
        <w:tc>
          <w:tcPr>
            <w:tcW w:w="989" w:type="pct"/>
            <w:tcBorders>
              <w:top w:val="dotted" w:sz="4" w:space="0" w:color="auto"/>
              <w:left w:val="dotted" w:sz="4" w:space="0" w:color="auto"/>
              <w:bottom w:val="double" w:sz="4" w:space="0" w:color="auto"/>
              <w:right w:val="single" w:sz="6" w:space="0" w:color="000000"/>
            </w:tcBorders>
            <w:vAlign w:val="center"/>
          </w:tcPr>
          <w:p w14:paraId="68F43957" w14:textId="77777777" w:rsidR="00C50585" w:rsidRPr="00EE038F" w:rsidRDefault="00C50585" w:rsidP="00F445C3">
            <w:pPr>
              <w:spacing w:after="0" w:line="240" w:lineRule="auto"/>
              <w:contextualSpacing/>
              <w:jc w:val="both"/>
              <w:rPr>
                <w:rFonts w:ascii="Garamond" w:hAnsi="Garamond"/>
                <w:sz w:val="18"/>
              </w:rPr>
            </w:pPr>
            <w:r w:rsidRPr="00EE038F">
              <w:rPr>
                <w:rFonts w:ascii="Garamond" w:eastAsia="Times New Roman" w:hAnsi="Garamond"/>
                <w:color w:val="0D0D0D" w:themeColor="text1" w:themeTint="F2"/>
                <w:sz w:val="18"/>
                <w:lang w:eastAsia="en-GB"/>
              </w:rPr>
              <w:t>Mesatare vjetore</w:t>
            </w:r>
          </w:p>
        </w:tc>
        <w:tc>
          <w:tcPr>
            <w:tcW w:w="418" w:type="pct"/>
            <w:tcBorders>
              <w:top w:val="dotted" w:sz="4" w:space="0" w:color="auto"/>
              <w:left w:val="single" w:sz="6" w:space="0" w:color="000000"/>
              <w:bottom w:val="double" w:sz="4" w:space="0" w:color="auto"/>
              <w:right w:val="dotted" w:sz="4" w:space="0" w:color="auto"/>
            </w:tcBorders>
          </w:tcPr>
          <w:p w14:paraId="7C48B477"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82.5</w:t>
            </w:r>
          </w:p>
        </w:tc>
        <w:tc>
          <w:tcPr>
            <w:tcW w:w="419" w:type="pct"/>
            <w:tcBorders>
              <w:top w:val="dotted" w:sz="4" w:space="0" w:color="auto"/>
              <w:left w:val="dotted" w:sz="4" w:space="0" w:color="auto"/>
              <w:bottom w:val="double" w:sz="4" w:space="0" w:color="auto"/>
              <w:right w:val="dotted" w:sz="4" w:space="0" w:color="auto"/>
            </w:tcBorders>
          </w:tcPr>
          <w:p w14:paraId="0C402EB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80.7</w:t>
            </w:r>
          </w:p>
        </w:tc>
        <w:tc>
          <w:tcPr>
            <w:tcW w:w="419" w:type="pct"/>
            <w:tcBorders>
              <w:top w:val="dotted" w:sz="4" w:space="0" w:color="auto"/>
              <w:left w:val="dotted" w:sz="4" w:space="0" w:color="auto"/>
              <w:bottom w:val="double" w:sz="4" w:space="0" w:color="auto"/>
              <w:right w:val="dotted" w:sz="4" w:space="0" w:color="auto"/>
            </w:tcBorders>
          </w:tcPr>
          <w:p w14:paraId="154D1B7E"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73.1</w:t>
            </w:r>
          </w:p>
        </w:tc>
        <w:tc>
          <w:tcPr>
            <w:tcW w:w="419" w:type="pct"/>
            <w:tcBorders>
              <w:top w:val="dotted" w:sz="4" w:space="0" w:color="auto"/>
              <w:left w:val="dotted" w:sz="4" w:space="0" w:color="auto"/>
              <w:bottom w:val="double" w:sz="4" w:space="0" w:color="auto"/>
              <w:right w:val="dotted" w:sz="4" w:space="0" w:color="auto"/>
            </w:tcBorders>
          </w:tcPr>
          <w:p w14:paraId="4A2471A9"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71.5</w:t>
            </w:r>
          </w:p>
        </w:tc>
        <w:tc>
          <w:tcPr>
            <w:tcW w:w="419" w:type="pct"/>
            <w:tcBorders>
              <w:top w:val="dotted" w:sz="4" w:space="0" w:color="auto"/>
              <w:left w:val="dotted" w:sz="4" w:space="0" w:color="auto"/>
              <w:bottom w:val="double" w:sz="4" w:space="0" w:color="auto"/>
              <w:right w:val="double" w:sz="4" w:space="0" w:color="auto"/>
            </w:tcBorders>
          </w:tcPr>
          <w:p w14:paraId="732945C5" w14:textId="77777777" w:rsidR="00C50585" w:rsidRPr="00EE038F" w:rsidRDefault="00C50585" w:rsidP="00280C20">
            <w:pPr>
              <w:spacing w:after="0" w:line="240" w:lineRule="auto"/>
              <w:contextualSpacing/>
              <w:jc w:val="right"/>
              <w:rPr>
                <w:rFonts w:ascii="Garamond" w:hAnsi="Garamond"/>
                <w:sz w:val="18"/>
              </w:rPr>
            </w:pPr>
            <w:r w:rsidRPr="00EE038F">
              <w:rPr>
                <w:rFonts w:ascii="Garamond" w:hAnsi="Garamond"/>
                <w:sz w:val="18"/>
              </w:rPr>
              <w:t>:</w:t>
            </w:r>
          </w:p>
        </w:tc>
      </w:tr>
    </w:tbl>
    <w:p w14:paraId="26514526" w14:textId="60AA53A2" w:rsidR="00C50585" w:rsidRPr="00EE038F" w:rsidRDefault="00C50585" w:rsidP="00C50585">
      <w:pPr>
        <w:spacing w:after="0" w:line="240" w:lineRule="auto"/>
        <w:contextualSpacing/>
        <w:rPr>
          <w:rFonts w:ascii="Garamond" w:hAnsi="Garamond"/>
          <w:i/>
          <w:sz w:val="24"/>
        </w:rPr>
      </w:pPr>
      <w:r w:rsidRPr="00EE038F">
        <w:rPr>
          <w:rFonts w:ascii="Garamond" w:hAnsi="Garamond"/>
          <w:i/>
          <w:sz w:val="24"/>
        </w:rPr>
        <w:t>Source: European Economic Forecast, Autumn 2024 (https://economyfinance.ec.europa.eu/document/download/7173e7c9-3841-4660-8d6aa80712932f81_en?filename=ip296_en.pdf)</w:t>
      </w:r>
      <w:r w:rsidR="00AD3D9C" w:rsidRPr="00EE038F">
        <w:rPr>
          <w:rFonts w:ascii="Garamond" w:hAnsi="Garamond"/>
          <w:i/>
          <w:sz w:val="24"/>
        </w:rPr>
        <w:t xml:space="preserve"> </w:t>
      </w:r>
    </w:p>
    <w:p w14:paraId="16D67E00" w14:textId="0F06C4B7" w:rsidR="00C50585" w:rsidRPr="00EE038F" w:rsidRDefault="00C50585" w:rsidP="00C50585">
      <w:pPr>
        <w:spacing w:after="0" w:line="240" w:lineRule="auto"/>
        <w:contextualSpacing/>
        <w:rPr>
          <w:rFonts w:ascii="Garamond" w:hAnsi="Garamond"/>
          <w:b/>
          <w:sz w:val="24"/>
        </w:rPr>
      </w:pPr>
      <w:r w:rsidRPr="00EE038F">
        <w:rPr>
          <w:rFonts w:ascii="Garamond" w:hAnsi="Garamond"/>
          <w:i/>
          <w:sz w:val="24"/>
        </w:rPr>
        <w:t>Note: Based on Macroeconomic and Fiscal Framework, 2026 - 2028 (Ministry of Finance)¹</w:t>
      </w:r>
      <w:r w:rsidR="00AD3D9C" w:rsidRPr="00EE038F">
        <w:rPr>
          <w:rFonts w:ascii="Garamond" w:hAnsi="Garamond"/>
          <w:i/>
          <w:sz w:val="24"/>
        </w:rPr>
        <w:t xml:space="preserve"> </w:t>
      </w:r>
    </w:p>
    <w:p w14:paraId="3DAC8C82" w14:textId="77777777" w:rsidR="00C50585" w:rsidRPr="00EE038F" w:rsidRDefault="00C50585" w:rsidP="00B6191B">
      <w:pPr>
        <w:spacing w:after="0" w:line="240" w:lineRule="auto"/>
        <w:ind w:firstLine="284"/>
        <w:jc w:val="both"/>
        <w:rPr>
          <w:rFonts w:ascii="Garamond" w:eastAsia="Times New Roman" w:hAnsi="Garamond" w:cs="Times New Roman"/>
          <w:bCs/>
          <w:sz w:val="28"/>
          <w:szCs w:val="24"/>
          <w:lang w:bidi="en-US"/>
        </w:rPr>
      </w:pPr>
    </w:p>
    <w:sectPr w:rsidR="00C50585" w:rsidRPr="00EE038F" w:rsidSect="00FB5659">
      <w:footerReference w:type="default" r:id="rId63"/>
      <w:pgSz w:w="11900" w:h="16840" w:code="9"/>
      <w:pgMar w:top="1440" w:right="1440" w:bottom="1440" w:left="144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D0F498" w14:textId="77777777" w:rsidR="00361018" w:rsidRDefault="00361018" w:rsidP="0012162E">
      <w:pPr>
        <w:spacing w:after="0" w:line="240" w:lineRule="auto"/>
      </w:pPr>
      <w:r>
        <w:separator/>
      </w:r>
    </w:p>
  </w:endnote>
  <w:endnote w:type="continuationSeparator" w:id="0">
    <w:p w14:paraId="7350EB2C" w14:textId="77777777" w:rsidR="00361018" w:rsidRDefault="00361018" w:rsidP="0012162E">
      <w:pPr>
        <w:spacing w:after="0" w:line="240" w:lineRule="auto"/>
      </w:pPr>
      <w:r>
        <w:continuationSeparator/>
      </w:r>
    </w:p>
  </w:endnote>
  <w:endnote w:type="continuationNotice" w:id="1">
    <w:p w14:paraId="73F55EC6" w14:textId="77777777" w:rsidR="00361018" w:rsidRDefault="003610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panose1 w:val="00000000000000000000"/>
    <w:charset w:val="02"/>
    <w:family w:val="auto"/>
    <w:notTrueType/>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00000003" w:usb1="00000000" w:usb2="00000000" w:usb3="00000000" w:csb0="00000001" w:csb1="00000000"/>
  </w:font>
  <w:font w:name="ARS Maquette Pro">
    <w:altName w:val="Calibri"/>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8232341"/>
      <w:docPartObj>
        <w:docPartGallery w:val="Page Numbers (Bottom of Page)"/>
        <w:docPartUnique/>
      </w:docPartObj>
    </w:sdtPr>
    <w:sdtEndPr>
      <w:rPr>
        <w:noProof/>
      </w:rPr>
    </w:sdtEndPr>
    <w:sdtContent>
      <w:p w14:paraId="377BF2A9" w14:textId="40896265" w:rsidR="00361018" w:rsidRDefault="003610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E333D6" w14:textId="77777777" w:rsidR="00361018" w:rsidRDefault="003610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F3887" w14:textId="77777777" w:rsidR="00361018" w:rsidRDefault="00361018" w:rsidP="0012162E">
      <w:pPr>
        <w:spacing w:after="0" w:line="240" w:lineRule="auto"/>
      </w:pPr>
      <w:r>
        <w:separator/>
      </w:r>
    </w:p>
  </w:footnote>
  <w:footnote w:type="continuationSeparator" w:id="0">
    <w:p w14:paraId="13C27492" w14:textId="77777777" w:rsidR="00361018" w:rsidRDefault="00361018" w:rsidP="0012162E">
      <w:pPr>
        <w:spacing w:after="0" w:line="240" w:lineRule="auto"/>
      </w:pPr>
      <w:r>
        <w:continuationSeparator/>
      </w:r>
    </w:p>
  </w:footnote>
  <w:footnote w:type="continuationNotice" w:id="1">
    <w:p w14:paraId="39A89E3A" w14:textId="77777777" w:rsidR="00361018" w:rsidRDefault="00361018">
      <w:pPr>
        <w:spacing w:after="0" w:line="240" w:lineRule="auto"/>
      </w:pPr>
    </w:p>
  </w:footnote>
  <w:footnote w:id="2">
    <w:p w14:paraId="667FD7E0" w14:textId="40BCB789"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w:t>
      </w:r>
      <w:r w:rsidRPr="00FB2058">
        <w:rPr>
          <w:rFonts w:ascii="Garamond" w:hAnsi="Garamond"/>
          <w:i/>
          <w:lang w:val="sq-AL"/>
        </w:rPr>
        <w:t>Pa përfshirë detyrimet e prapambetura të ujësjellës-kanalizimeve dhe universiteteve.</w:t>
      </w:r>
    </w:p>
  </w:footnote>
  <w:footnote w:id="3">
    <w:p w14:paraId="5189A72F" w14:textId="7E0294FD" w:rsidR="00361018" w:rsidRPr="00FB2058" w:rsidRDefault="00361018" w:rsidP="00034AE8">
      <w:pPr>
        <w:pStyle w:val="FootnoteText"/>
        <w:jc w:val="both"/>
        <w:rPr>
          <w:rFonts w:ascii="Garamond" w:eastAsiaTheme="minorHAnsi" w:hAnsi="Garamond"/>
          <w:lang w:val="sq-AL"/>
        </w:rPr>
      </w:pPr>
      <w:r w:rsidRPr="00FB2058">
        <w:rPr>
          <w:rStyle w:val="FootnoteReference"/>
          <w:rFonts w:ascii="Garamond" w:hAnsi="Garamond"/>
          <w:lang w:val="sq-AL"/>
        </w:rPr>
        <w:t>[1]</w:t>
      </w:r>
      <w:r w:rsidRPr="00FB2058">
        <w:rPr>
          <w:rFonts w:ascii="Garamond" w:hAnsi="Garamond"/>
          <w:lang w:val="sq-AL"/>
        </w:rPr>
        <w:t xml:space="preserve"> KREK llogaritet si indeks me pesha të bazuara në tregtinë, për 5 vendet kryesore partnere: Itali, Greqi, Gjermani, Kinë dhe Turqi. Një rritje e indeksit nënkupton nënçmim të monedhës vendëse.</w:t>
      </w:r>
    </w:p>
  </w:footnote>
  <w:footnote w:id="4">
    <w:p w14:paraId="28DF84C0" w14:textId="23DFD8EB" w:rsidR="00361018" w:rsidRPr="00FB2058" w:rsidRDefault="00361018" w:rsidP="00034AE8">
      <w:pPr>
        <w:pStyle w:val="FootnoteText"/>
        <w:jc w:val="both"/>
        <w:rPr>
          <w:rFonts w:ascii="Garamond" w:hAnsi="Garamond" w:cs="Calibri"/>
          <w:lang w:val="sq-AL"/>
        </w:rPr>
      </w:pPr>
      <w:r w:rsidRPr="00FB2058">
        <w:rPr>
          <w:rStyle w:val="FootnoteReference"/>
          <w:rFonts w:ascii="Garamond" w:hAnsi="Garamond"/>
          <w:lang w:val="sq-AL"/>
        </w:rPr>
        <w:t>[2]</w:t>
      </w:r>
      <w:r w:rsidRPr="00FB2058">
        <w:rPr>
          <w:rFonts w:ascii="Garamond" w:hAnsi="Garamond"/>
          <w:lang w:val="sq-AL"/>
        </w:rPr>
        <w:t xml:space="preserve"> Në 10 muajt e par</w:t>
      </w:r>
      <w:r w:rsidR="00D6542B">
        <w:rPr>
          <w:rFonts w:ascii="Garamond" w:hAnsi="Garamond"/>
          <w:lang w:val="sq-AL"/>
        </w:rPr>
        <w:t>ë</w:t>
      </w:r>
      <w:r w:rsidRPr="00FB2058">
        <w:rPr>
          <w:rFonts w:ascii="Garamond" w:hAnsi="Garamond"/>
          <w:lang w:val="sq-AL"/>
        </w:rPr>
        <w:t xml:space="preserve"> të 2024.</w:t>
      </w:r>
    </w:p>
  </w:footnote>
  <w:footnote w:id="5">
    <w:p w14:paraId="21F488F4" w14:textId="77777777" w:rsidR="00361018" w:rsidRPr="00FB2058" w:rsidRDefault="00361018" w:rsidP="00034AE8">
      <w:pPr>
        <w:pStyle w:val="FootnoteText"/>
        <w:jc w:val="both"/>
        <w:rPr>
          <w:rFonts w:ascii="Garamond" w:hAnsi="Garamond" w:cstheme="majorBidi"/>
          <w:lang w:val="sq-AL"/>
        </w:rPr>
      </w:pPr>
      <w:r w:rsidRPr="00FB2058">
        <w:rPr>
          <w:rStyle w:val="FootnoteReference"/>
          <w:rFonts w:ascii="Garamond" w:hAnsi="Garamond" w:cstheme="majorBidi"/>
          <w:lang w:val="sq-AL"/>
        </w:rPr>
        <w:footnoteRef/>
      </w:r>
      <w:r w:rsidRPr="00FB2058">
        <w:rPr>
          <w:rFonts w:ascii="Garamond" w:hAnsi="Garamond" w:cstheme="majorBidi"/>
          <w:lang w:val="sq-AL"/>
        </w:rPr>
        <w:t xml:space="preserve"> Shih </w:t>
      </w:r>
      <w:hyperlink r:id="rId1" w:history="1">
        <w:r w:rsidRPr="00FB2058">
          <w:rPr>
            <w:rStyle w:val="Hyperlink"/>
            <w:rFonts w:ascii="Garamond" w:hAnsi="Garamond" w:cstheme="majorBidi"/>
            <w:lang w:val="sq-AL"/>
          </w:rPr>
          <w:t>http://go.worldbank.org/KQCHUD4JN0</w:t>
        </w:r>
      </w:hyperlink>
      <w:r w:rsidRPr="00FB2058">
        <w:rPr>
          <w:rFonts w:ascii="Garamond" w:hAnsi="Garamond" w:cstheme="majorBidi"/>
          <w:lang w:val="sq-AL"/>
        </w:rPr>
        <w:t xml:space="preserve"> për shpjegime mbi metodën PKT.</w:t>
      </w:r>
    </w:p>
  </w:footnote>
  <w:footnote w:id="6">
    <w:p w14:paraId="3D36ABE4" w14:textId="77777777" w:rsidR="00361018" w:rsidRPr="00FB2058" w:rsidRDefault="00361018" w:rsidP="00034AE8">
      <w:pPr>
        <w:spacing w:after="0" w:line="240" w:lineRule="auto"/>
        <w:jc w:val="both"/>
        <w:rPr>
          <w:rFonts w:ascii="Garamond" w:hAnsi="Garamond"/>
          <w:i/>
          <w:iCs/>
          <w:sz w:val="20"/>
          <w:szCs w:val="20"/>
        </w:rPr>
      </w:pPr>
      <w:r w:rsidRPr="00FB2058">
        <w:rPr>
          <w:rStyle w:val="FootnoteReference"/>
          <w:rFonts w:ascii="Garamond" w:eastAsiaTheme="majorEastAsia" w:hAnsi="Garamond"/>
          <w:i/>
          <w:iCs/>
          <w:sz w:val="20"/>
          <w:szCs w:val="20"/>
        </w:rPr>
        <w:footnoteRef/>
      </w:r>
      <w:r w:rsidRPr="00FB2058">
        <w:rPr>
          <w:rFonts w:ascii="Garamond" w:hAnsi="Garamond"/>
          <w:i/>
          <w:iCs/>
          <w:sz w:val="20"/>
          <w:szCs w:val="20"/>
        </w:rPr>
        <w:t xml:space="preserve"> Data on reserve ratio to short-term debt are recalculated according to revisions in short-term debt statistics. </w:t>
      </w:r>
    </w:p>
  </w:footnote>
  <w:footnote w:id="7">
    <w:p w14:paraId="756D2CF5"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t>[3]</w:t>
      </w:r>
      <w:r w:rsidRPr="00FB2058">
        <w:rPr>
          <w:rFonts w:ascii="Garamond" w:hAnsi="Garamond"/>
          <w:lang w:val="sq-AL"/>
        </w:rPr>
        <w:t xml:space="preserve"> Bazuar më parashikimet tona për PBB-në, importet dhe borxhin e jashtëm afatshkurtër për T3-2024. Ky i fundit përfshin edhe borxhin e jashtëm afatshkurtër publik. </w:t>
      </w:r>
    </w:p>
  </w:footnote>
  <w:footnote w:id="8">
    <w:p w14:paraId="786298C1" w14:textId="1B5EC16F"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Kërkesa minimale për instrumentet e kapitalit rregullator dhe detyrimet e pranuara që lidhet me zbatimin e ligjit “Për rimëkëmbjen dhe ndërhyrjen e jashtëzakonshme në banka në Republikën e Shqipërisë”, nr. 133/2016.</w:t>
      </w:r>
    </w:p>
  </w:footnote>
  <w:footnote w:id="9">
    <w:p w14:paraId="798B17B9" w14:textId="77777777" w:rsidR="00361018" w:rsidRPr="00FB2058" w:rsidRDefault="00361018" w:rsidP="00034AE8">
      <w:pPr>
        <w:pStyle w:val="FootnoteText"/>
        <w:jc w:val="both"/>
        <w:rPr>
          <w:rFonts w:ascii="Garamond" w:hAnsi="Garamond" w:cstheme="majorBidi"/>
          <w:lang w:val="sq-AL"/>
        </w:rPr>
      </w:pPr>
      <w:r w:rsidRPr="00FB2058">
        <w:rPr>
          <w:rStyle w:val="FootnoteReference"/>
          <w:rFonts w:ascii="Garamond" w:hAnsi="Garamond" w:cstheme="majorBidi"/>
          <w:lang w:val="sq-AL"/>
        </w:rPr>
        <w:footnoteRef/>
      </w:r>
      <w:r w:rsidRPr="00FB2058">
        <w:rPr>
          <w:rFonts w:ascii="Garamond" w:hAnsi="Garamond" w:cstheme="majorBidi"/>
          <w:lang w:val="sq-AL"/>
        </w:rPr>
        <w:t xml:space="preserve"> </w:t>
      </w:r>
      <w:r w:rsidRPr="00FB2058">
        <w:rPr>
          <w:rFonts w:ascii="Garamond" w:hAnsi="Garamond"/>
          <w:lang w:val="sq-AL"/>
        </w:rPr>
        <w:t>Për shkak të mungesës së të dhënave dhe serive relativisht të shkurtra, në rastin e metodës së disagregimit disa prej elasticiteteve/koeficienteve të vlerësuar nuk ishin të rëndësishëm në nivelet konvencionale dhe u vendosën disa supozime</w:t>
      </w:r>
      <w:r w:rsidRPr="00FB2058">
        <w:rPr>
          <w:rFonts w:ascii="Garamond" w:hAnsi="Garamond" w:cstheme="majorBidi"/>
          <w:lang w:val="sq-AL"/>
        </w:rPr>
        <w:t>.</w:t>
      </w:r>
    </w:p>
  </w:footnote>
  <w:footnote w:id="10">
    <w:p w14:paraId="681A1EE6" w14:textId="0AB2A4D6"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PBB-ja referuar draftkuadrit makroekonomik dhe fiskal datë 29.12.2024.</w:t>
      </w:r>
    </w:p>
  </w:footnote>
  <w:footnote w:id="11">
    <w:p w14:paraId="4D203FC9"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w:t>
      </w:r>
      <w:hyperlink r:id="rId2" w:history="1">
        <w:r w:rsidRPr="00FB2058">
          <w:rPr>
            <w:rStyle w:val="Hyperlink"/>
            <w:rFonts w:ascii="Garamond" w:hAnsi="Garamond"/>
            <w:lang w:val="sq-AL"/>
          </w:rPr>
          <w:t>https://qbz.gov.al/eli/fz/2024/105/d896de92-1aea-4d73-991e-7a99cfeb934f</w:t>
        </w:r>
      </w:hyperlink>
    </w:p>
  </w:footnote>
  <w:footnote w:id="12">
    <w:p w14:paraId="693BE0E0"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w:t>
      </w:r>
      <w:hyperlink r:id="rId3" w:history="1">
        <w:r w:rsidRPr="00FB2058">
          <w:rPr>
            <w:rStyle w:val="Hyperlink"/>
            <w:rFonts w:ascii="Garamond" w:hAnsi="Garamond"/>
            <w:lang w:val="sq-AL"/>
          </w:rPr>
          <w:t>https://financa.gov.al/en/menaxhimi-i-financave-publike/</w:t>
        </w:r>
      </w:hyperlink>
    </w:p>
  </w:footnote>
  <w:footnote w:id="13">
    <w:p w14:paraId="392EEFEE" w14:textId="2E898397" w:rsidR="00361018" w:rsidRPr="00FB2058" w:rsidRDefault="00361018" w:rsidP="00034AE8">
      <w:pPr>
        <w:pStyle w:val="FootnoteText"/>
        <w:jc w:val="both"/>
        <w:rPr>
          <w:rFonts w:ascii="Garamond" w:hAnsi="Garamond" w:cstheme="majorBidi"/>
          <w:lang w:val="sq-AL"/>
        </w:rPr>
      </w:pPr>
      <w:r w:rsidRPr="00FB2058">
        <w:rPr>
          <w:rStyle w:val="FootnoteReference"/>
          <w:rFonts w:ascii="Garamond" w:hAnsi="Garamond" w:cstheme="majorBidi"/>
          <w:lang w:val="sq-AL"/>
        </w:rPr>
        <w:footnoteRef/>
      </w:r>
      <w:r w:rsidRPr="00FB2058">
        <w:rPr>
          <w:rFonts w:ascii="Garamond" w:hAnsi="Garamond" w:cstheme="majorBidi"/>
          <w:lang w:val="sq-AL"/>
        </w:rPr>
        <w:t xml:space="preserve"> Grup-mosha 15–64 vjeç</w:t>
      </w:r>
      <w:r>
        <w:rPr>
          <w:rFonts w:ascii="Garamond" w:hAnsi="Garamond" w:cstheme="majorBidi"/>
          <w:lang w:val="sq-AL"/>
        </w:rPr>
        <w:t>.</w:t>
      </w:r>
    </w:p>
  </w:footnote>
  <w:footnote w:id="14">
    <w:p w14:paraId="58B74F48" w14:textId="6C8A070D" w:rsidR="00361018" w:rsidRPr="00FB2058" w:rsidRDefault="00361018" w:rsidP="00034AE8">
      <w:pPr>
        <w:pStyle w:val="FootnoteText"/>
        <w:jc w:val="both"/>
        <w:rPr>
          <w:rFonts w:ascii="Garamond" w:hAnsi="Garamond" w:cstheme="majorBidi"/>
          <w:lang w:val="sq-AL"/>
        </w:rPr>
      </w:pPr>
      <w:r w:rsidRPr="00FB2058">
        <w:rPr>
          <w:rStyle w:val="FootnoteReference"/>
          <w:rFonts w:ascii="Garamond" w:hAnsi="Garamond" w:cstheme="majorBidi"/>
          <w:lang w:val="sq-AL"/>
        </w:rPr>
        <w:footnoteRef/>
      </w:r>
      <w:r w:rsidRPr="00FB2058">
        <w:rPr>
          <w:rFonts w:ascii="Garamond" w:hAnsi="Garamond" w:cstheme="majorBidi"/>
          <w:lang w:val="sq-AL"/>
        </w:rPr>
        <w:t xml:space="preserve"> Popullsia e okupuar, koncepti i brendshëm përkufizimi i llogarive kombëtare</w:t>
      </w:r>
      <w:r>
        <w:rPr>
          <w:rFonts w:ascii="Garamond" w:hAnsi="Garamond" w:cstheme="majorBidi"/>
          <w:lang w:val="sq-AL"/>
        </w:rPr>
        <w:t>.</w:t>
      </w:r>
    </w:p>
  </w:footnote>
  <w:footnote w:id="15">
    <w:p w14:paraId="0B69647C" w14:textId="063D7DB4" w:rsidR="00361018" w:rsidRPr="00FB2058" w:rsidRDefault="00361018" w:rsidP="00034AE8">
      <w:pPr>
        <w:pStyle w:val="FootnoteText"/>
        <w:jc w:val="both"/>
        <w:rPr>
          <w:rFonts w:ascii="Garamond" w:hAnsi="Garamond" w:cstheme="majorBidi"/>
          <w:lang w:val="sq-AL"/>
        </w:rPr>
      </w:pPr>
      <w:r w:rsidRPr="00FB2058">
        <w:rPr>
          <w:rStyle w:val="FootnoteReference"/>
          <w:rFonts w:ascii="Garamond" w:hAnsi="Garamond" w:cstheme="majorBidi"/>
          <w:lang w:val="sq-AL"/>
        </w:rPr>
        <w:footnoteRef/>
      </w:r>
      <w:r w:rsidRPr="00FB2058">
        <w:rPr>
          <w:rFonts w:ascii="Garamond" w:hAnsi="Garamond" w:cstheme="majorBidi"/>
          <w:lang w:val="sq-AL"/>
        </w:rPr>
        <w:t xml:space="preserve"> Përkufizimi i llogarive kombëtare</w:t>
      </w:r>
      <w:r>
        <w:rPr>
          <w:rFonts w:ascii="Garamond" w:hAnsi="Garamond" w:cstheme="majorBidi"/>
          <w:lang w:val="sq-AL"/>
        </w:rPr>
        <w:t>.</w:t>
      </w:r>
    </w:p>
  </w:footnote>
  <w:footnote w:id="16">
    <w:p w14:paraId="6540AF07" w14:textId="000C1F29" w:rsidR="00361018" w:rsidRPr="00FB2058" w:rsidRDefault="00361018" w:rsidP="00034AE8">
      <w:pPr>
        <w:pStyle w:val="FootnoteText"/>
        <w:jc w:val="both"/>
        <w:rPr>
          <w:rFonts w:ascii="Garamond" w:hAnsi="Garamond" w:cstheme="majorBidi"/>
          <w:lang w:val="sq-AL"/>
        </w:rPr>
      </w:pPr>
      <w:r w:rsidRPr="00FB2058">
        <w:rPr>
          <w:rStyle w:val="FootnoteReference"/>
          <w:rFonts w:ascii="Garamond" w:hAnsi="Garamond" w:cstheme="majorBidi"/>
          <w:lang w:val="sq-AL"/>
        </w:rPr>
        <w:footnoteRef/>
      </w:r>
      <w:r w:rsidRPr="00FB2058">
        <w:rPr>
          <w:rFonts w:ascii="Garamond" w:hAnsi="Garamond" w:cstheme="majorBidi"/>
          <w:lang w:val="sq-AL"/>
        </w:rPr>
        <w:t xml:space="preserve"> Përkufizimi i harmonizuar, Eurostat; nivelet</w:t>
      </w:r>
      <w:r>
        <w:rPr>
          <w:rFonts w:ascii="Garamond" w:hAnsi="Garamond" w:cstheme="majorBidi"/>
          <w:lang w:val="sq-AL"/>
        </w:rPr>
        <w:t>.</w:t>
      </w:r>
    </w:p>
  </w:footnote>
  <w:footnote w:id="17">
    <w:p w14:paraId="7D879268" w14:textId="6C142748" w:rsidR="00361018" w:rsidRPr="00FB2058" w:rsidRDefault="00361018" w:rsidP="00034AE8">
      <w:pPr>
        <w:pStyle w:val="FootnoteText"/>
        <w:jc w:val="both"/>
        <w:rPr>
          <w:rFonts w:ascii="Garamond" w:hAnsi="Garamond" w:cstheme="majorBidi"/>
          <w:lang w:val="sq-AL"/>
        </w:rPr>
      </w:pPr>
      <w:r w:rsidRPr="00FB2058">
        <w:rPr>
          <w:rStyle w:val="FootnoteReference"/>
          <w:rFonts w:ascii="Garamond" w:hAnsi="Garamond" w:cstheme="majorBidi"/>
          <w:lang w:val="sq-AL"/>
        </w:rPr>
        <w:footnoteRef/>
      </w:r>
      <w:r w:rsidRPr="00FB2058">
        <w:rPr>
          <w:rFonts w:ascii="Garamond" w:hAnsi="Garamond" w:cstheme="majorBidi"/>
          <w:lang w:val="sq-AL"/>
        </w:rPr>
        <w:t xml:space="preserve"> PBB reale për person të punësuar</w:t>
      </w:r>
      <w:r>
        <w:rPr>
          <w:rFonts w:ascii="Garamond" w:hAnsi="Garamond" w:cstheme="majorBidi"/>
          <w:lang w:val="sq-AL"/>
        </w:rPr>
        <w:t>.</w:t>
      </w:r>
    </w:p>
  </w:footnote>
  <w:footnote w:id="18">
    <w:p w14:paraId="55088B14" w14:textId="5C33E89F" w:rsidR="00361018" w:rsidRPr="00FB2058" w:rsidRDefault="00361018" w:rsidP="00034AE8">
      <w:pPr>
        <w:pStyle w:val="FootnoteText"/>
        <w:jc w:val="both"/>
        <w:rPr>
          <w:rFonts w:ascii="Garamond" w:hAnsi="Garamond" w:cstheme="majorBidi"/>
          <w:lang w:val="sq-AL"/>
        </w:rPr>
      </w:pPr>
      <w:r w:rsidRPr="00FB2058">
        <w:rPr>
          <w:rStyle w:val="FootnoteReference"/>
          <w:rFonts w:ascii="Garamond" w:hAnsi="Garamond" w:cstheme="majorBidi"/>
          <w:lang w:val="sq-AL"/>
        </w:rPr>
        <w:footnoteRef/>
      </w:r>
      <w:r w:rsidRPr="00FB2058">
        <w:rPr>
          <w:rFonts w:ascii="Garamond" w:hAnsi="Garamond" w:cstheme="majorBidi"/>
          <w:lang w:val="sq-AL"/>
        </w:rPr>
        <w:t xml:space="preserve"> PBB reale për orë të punuar</w:t>
      </w:r>
      <w:r>
        <w:rPr>
          <w:rFonts w:ascii="Garamond" w:hAnsi="Garamond" w:cstheme="majorBidi"/>
          <w:lang w:val="sq-AL"/>
        </w:rPr>
        <w:t>.</w:t>
      </w:r>
    </w:p>
  </w:footnote>
  <w:footnote w:id="19">
    <w:p w14:paraId="43CC5C4D"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Llogaritur si mbetje nga llogaria korrente minus huadhënien/huamarrjen neto të qeverisë së përgjithshme.</w:t>
      </w:r>
    </w:p>
  </w:footnote>
  <w:footnote w:id="20">
    <w:p w14:paraId="11FDCE3E" w14:textId="410BA2FF" w:rsidR="00361018" w:rsidRPr="00FB2058" w:rsidRDefault="00361018" w:rsidP="00034AE8">
      <w:pPr>
        <w:pStyle w:val="FootnoteText"/>
        <w:jc w:val="both"/>
        <w:rPr>
          <w:rFonts w:ascii="Garamond" w:hAnsi="Garamond" w:cstheme="majorBidi"/>
          <w:lang w:val="sq-AL"/>
        </w:rPr>
      </w:pPr>
      <w:r w:rsidRPr="00FB2058">
        <w:rPr>
          <w:rStyle w:val="FootnoteReference"/>
          <w:rFonts w:ascii="Garamond" w:hAnsi="Garamond" w:cstheme="majorBidi"/>
          <w:lang w:val="sq-AL"/>
        </w:rPr>
        <w:footnoteRef/>
      </w:r>
      <w:r w:rsidRPr="00FB2058">
        <w:rPr>
          <w:rFonts w:ascii="Garamond" w:hAnsi="Garamond" w:cstheme="majorBidi"/>
          <w:lang w:val="sq-AL"/>
        </w:rPr>
        <w:t xml:space="preserve"> Rregulluar për rrjedhën tjetër të flukseve të lidhura me shkëmbimin, kështu që TR-TE = EDP.B9.</w:t>
      </w:r>
    </w:p>
  </w:footnote>
  <w:footnote w:id="21">
    <w:p w14:paraId="50DDD2F3" w14:textId="77777777" w:rsidR="00361018" w:rsidRPr="00FB2058" w:rsidRDefault="00361018" w:rsidP="00034AE8">
      <w:pPr>
        <w:pStyle w:val="FootnoteText"/>
        <w:jc w:val="both"/>
        <w:rPr>
          <w:rFonts w:ascii="Garamond" w:hAnsi="Garamond" w:cstheme="majorBidi"/>
          <w:lang w:val="sq-AL"/>
        </w:rPr>
      </w:pPr>
      <w:r w:rsidRPr="00FB2058">
        <w:rPr>
          <w:rStyle w:val="FootnoteReference"/>
          <w:rFonts w:ascii="Garamond" w:hAnsi="Garamond" w:cstheme="majorBidi"/>
          <w:lang w:val="sq-AL"/>
        </w:rPr>
        <w:footnoteRef/>
      </w:r>
      <w:r w:rsidRPr="00FB2058">
        <w:rPr>
          <w:rFonts w:ascii="Garamond" w:hAnsi="Garamond" w:cstheme="majorBidi"/>
          <w:lang w:val="sq-AL"/>
        </w:rPr>
        <w:t xml:space="preserve"> Bilanci primar llogaritet si (EDP B.9, pika 8) plus (EDP D.41, pika 9).</w:t>
      </w:r>
    </w:p>
  </w:footnote>
  <w:footnote w:id="22">
    <w:p w14:paraId="68F2977B" w14:textId="77777777" w:rsidR="00361018" w:rsidRPr="00FB2058" w:rsidRDefault="00361018" w:rsidP="00034AE8">
      <w:pPr>
        <w:pStyle w:val="FootnoteText"/>
        <w:jc w:val="both"/>
        <w:rPr>
          <w:rFonts w:ascii="Garamond" w:hAnsi="Garamond" w:cstheme="majorBidi"/>
          <w:lang w:val="sq-AL"/>
        </w:rPr>
      </w:pPr>
      <w:r w:rsidRPr="00FB2058">
        <w:rPr>
          <w:rStyle w:val="FootnoteReference"/>
          <w:rFonts w:ascii="Garamond" w:hAnsi="Garamond" w:cstheme="majorBidi"/>
          <w:lang w:val="sq-AL"/>
        </w:rPr>
        <w:footnoteRef/>
      </w:r>
      <w:r w:rsidRPr="00FB2058">
        <w:rPr>
          <w:rFonts w:ascii="Garamond" w:hAnsi="Garamond" w:cstheme="majorBidi"/>
          <w:lang w:val="sq-AL"/>
        </w:rPr>
        <w:t xml:space="preserve"> Një shenjë plus nënkupton masa të njëhershme për reduktimin e deficitit.</w:t>
      </w:r>
    </w:p>
  </w:footnote>
  <w:footnote w:id="23">
    <w:p w14:paraId="3DAA3668" w14:textId="7678ECCC" w:rsidR="00361018" w:rsidRPr="00FB2058" w:rsidRDefault="00361018" w:rsidP="00034AE8">
      <w:pPr>
        <w:pStyle w:val="FootnoteText"/>
        <w:jc w:val="both"/>
        <w:rPr>
          <w:rFonts w:ascii="Garamond" w:hAnsi="Garamond" w:cstheme="majorBidi"/>
          <w:lang w:val="sq-AL"/>
        </w:rPr>
      </w:pPr>
      <w:r w:rsidRPr="00FB2058">
        <w:rPr>
          <w:rStyle w:val="FootnoteReference"/>
          <w:rFonts w:ascii="Garamond" w:hAnsi="Garamond" w:cstheme="majorBidi"/>
          <w:lang w:val="sq-AL"/>
        </w:rPr>
        <w:footnoteRef/>
      </w:r>
      <w:r w:rsidRPr="00FB2058">
        <w:rPr>
          <w:rFonts w:ascii="Garamond" w:hAnsi="Garamond" w:cstheme="majorBidi"/>
          <w:lang w:val="sq-AL"/>
        </w:rPr>
        <w:t xml:space="preserve"> P.11+P.12+P.131+D.39+D.7+D.9 (përve</w:t>
      </w:r>
      <w:r w:rsidRPr="00FB2058">
        <w:rPr>
          <w:rFonts w:ascii="Garamond" w:hAnsi="Garamond"/>
          <w:color w:val="0D0D0D" w:themeColor="text1" w:themeTint="F2"/>
          <w:lang w:val="sq-AL"/>
        </w:rPr>
        <w:t>ç</w:t>
      </w:r>
      <w:r w:rsidRPr="00FB2058">
        <w:rPr>
          <w:rFonts w:ascii="Garamond" w:hAnsi="Garamond" w:cstheme="majorBidi"/>
          <w:lang w:val="sq-AL"/>
        </w:rPr>
        <w:t xml:space="preserve"> D.91).</w:t>
      </w:r>
    </w:p>
  </w:footnote>
  <w:footnote w:id="24">
    <w:p w14:paraId="45F5FCC3" w14:textId="77777777" w:rsidR="00361018" w:rsidRPr="00FB2058" w:rsidRDefault="00361018" w:rsidP="00034AE8">
      <w:pPr>
        <w:pStyle w:val="FootnoteText"/>
        <w:jc w:val="both"/>
        <w:rPr>
          <w:rFonts w:ascii="Garamond" w:hAnsi="Garamond" w:cstheme="majorBidi"/>
          <w:lang w:val="sq-AL"/>
        </w:rPr>
      </w:pPr>
      <w:r w:rsidRPr="00FB2058">
        <w:rPr>
          <w:rStyle w:val="FootnoteReference"/>
          <w:rFonts w:ascii="Garamond" w:hAnsi="Garamond" w:cstheme="majorBidi"/>
          <w:lang w:val="sq-AL"/>
        </w:rPr>
        <w:footnoteRef/>
      </w:r>
      <w:r w:rsidRPr="00FB2058">
        <w:rPr>
          <w:rFonts w:ascii="Garamond" w:hAnsi="Garamond" w:cstheme="majorBidi"/>
          <w:lang w:val="sq-AL"/>
        </w:rPr>
        <w:t xml:space="preserve"> Duke përfshirë ato të mbledhura nga BE-ja dhe duke përfshirë një rregullim për taksat dhe kontributet sociale të pambledhura (D995), nëse është e përshtatshme.</w:t>
      </w:r>
    </w:p>
  </w:footnote>
  <w:footnote w:id="25">
    <w:p w14:paraId="08EE9B89" w14:textId="12B3C481"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D.29+D4 (përveç D.41)+ D.5+D.7+D.9+P.52+P.53+K.2+D.8</w:t>
      </w:r>
      <w:r>
        <w:rPr>
          <w:rFonts w:ascii="Garamond" w:hAnsi="Garamond"/>
          <w:lang w:val="sq-AL"/>
        </w:rPr>
        <w:t>.</w:t>
      </w:r>
    </w:p>
  </w:footnote>
  <w:footnote w:id="26">
    <w:p w14:paraId="44D19051" w14:textId="15863573"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Rregulluar për rrjedhën tjetër të flukseve të lidhura me shkëmbimin, kështu që TR-TE = EDP.B9</w:t>
      </w:r>
      <w:r>
        <w:rPr>
          <w:rFonts w:ascii="Garamond" w:hAnsi="Garamond"/>
          <w:lang w:val="sq-AL"/>
        </w:rPr>
        <w:t>.</w:t>
      </w:r>
    </w:p>
  </w:footnote>
  <w:footnote w:id="27">
    <w:p w14:paraId="369A3A16" w14:textId="58BD332D"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Rregulluar për rrjedhën tjetër të flukseve të lidhura me shkëmbimin, kështu që TR-TE = EDP.B9</w:t>
      </w:r>
      <w:r>
        <w:rPr>
          <w:rFonts w:ascii="Garamond" w:hAnsi="Garamond"/>
          <w:lang w:val="sq-AL"/>
        </w:rPr>
        <w:t>.</w:t>
      </w:r>
    </w:p>
  </w:footnote>
  <w:footnote w:id="28">
    <w:p w14:paraId="55B31C7B"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w:t>
      </w:r>
      <w:r w:rsidRPr="00FB2058">
        <w:rPr>
          <w:rFonts w:ascii="Garamond" w:hAnsi="Garamond" w:cstheme="majorBidi"/>
          <w:lang w:val="sq-AL"/>
        </w:rPr>
        <w:t>Bilanci primar llogaritet si (EDP B.9, pika 8) plus (EDP D.41, pika 9).</w:t>
      </w:r>
    </w:p>
  </w:footnote>
  <w:footnote w:id="29">
    <w:p w14:paraId="53588741"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w:t>
      </w:r>
      <w:r w:rsidRPr="00FB2058">
        <w:rPr>
          <w:rFonts w:ascii="Garamond" w:hAnsi="Garamond" w:cstheme="majorBidi"/>
          <w:lang w:val="sq-AL"/>
        </w:rPr>
        <w:t>Një shenjë plus nënkupton masa të njëhershme për reduktimin e deficitit.</w:t>
      </w:r>
    </w:p>
  </w:footnote>
  <w:footnote w:id="30">
    <w:p w14:paraId="0649AA06" w14:textId="77777777" w:rsidR="00361018" w:rsidRPr="00FB2058" w:rsidRDefault="00361018" w:rsidP="00034AE8">
      <w:pPr>
        <w:pStyle w:val="FootnoteText"/>
        <w:jc w:val="both"/>
        <w:rPr>
          <w:rFonts w:ascii="Garamond" w:hAnsi="Garamond" w:cstheme="majorBidi"/>
          <w:lang w:val="sq-AL"/>
        </w:rPr>
      </w:pPr>
      <w:r w:rsidRPr="00FB2058">
        <w:rPr>
          <w:rStyle w:val="FootnoteReference"/>
          <w:rFonts w:ascii="Garamond" w:hAnsi="Garamond"/>
          <w:lang w:val="sq-AL"/>
        </w:rPr>
        <w:footnoteRef/>
      </w:r>
      <w:r w:rsidRPr="00FB2058">
        <w:rPr>
          <w:rFonts w:ascii="Garamond" w:hAnsi="Garamond"/>
          <w:lang w:val="sq-AL"/>
        </w:rPr>
        <w:t xml:space="preserve"> </w:t>
      </w:r>
      <w:r w:rsidRPr="00FB2058">
        <w:rPr>
          <w:rFonts w:ascii="Garamond" w:hAnsi="Garamond" w:cstheme="majorBidi"/>
          <w:lang w:val="sq-AL"/>
        </w:rPr>
        <w:t>P.11+P.12+P.131+D.39+D.7+D.9 (përve</w:t>
      </w:r>
      <w:r w:rsidRPr="00FB2058">
        <w:rPr>
          <w:rFonts w:ascii="Garamond" w:hAnsi="Garamond"/>
          <w:color w:val="0D0D0D" w:themeColor="text1" w:themeTint="F2"/>
          <w:lang w:val="sq-AL"/>
        </w:rPr>
        <w:t>ç</w:t>
      </w:r>
      <w:r w:rsidRPr="00FB2058">
        <w:rPr>
          <w:rFonts w:ascii="Garamond" w:hAnsi="Garamond" w:cstheme="majorBidi"/>
          <w:lang w:val="sq-AL"/>
        </w:rPr>
        <w:t xml:space="preserve"> D.91)</w:t>
      </w:r>
    </w:p>
  </w:footnote>
  <w:footnote w:id="31">
    <w:p w14:paraId="530C60C0"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w:t>
      </w:r>
      <w:r w:rsidRPr="00FB2058">
        <w:rPr>
          <w:rFonts w:ascii="Garamond" w:hAnsi="Garamond" w:cstheme="majorBidi"/>
          <w:lang w:val="sq-AL"/>
        </w:rPr>
        <w:t>Duke përfshirë ato të mbledhura nga BE-ja dhe duke përfshirë një rregullim për taksat dhe kontributet sociale të pambledhura (D995), nëse është e përshtatshme.</w:t>
      </w:r>
    </w:p>
  </w:footnote>
  <w:footnote w:id="32">
    <w:p w14:paraId="1CE884E9"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D.29+D4 (përveç D.41)+ D.5+D.7+D.9+P.52+P.53+K.2+D.8</w:t>
      </w:r>
    </w:p>
  </w:footnote>
  <w:footnote w:id="33">
    <w:p w14:paraId="1F3FAC59"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Rregulluar për rrjedhën tjetër të flukseve të lidhura me shkëmbimin, kështu që TR-TE = EDP.B9</w:t>
      </w:r>
    </w:p>
  </w:footnote>
  <w:footnote w:id="34">
    <w:p w14:paraId="68C393AB"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Siç përcaktohet në Rregulloren 3605/93 (jo një koncept ESA).</w:t>
      </w:r>
    </w:p>
  </w:footnote>
  <w:footnote w:id="35">
    <w:p w14:paraId="3204EFF2"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Pika 10 në tabelën 2.</w:t>
      </w:r>
    </w:p>
  </w:footnote>
  <w:footnote w:id="36">
    <w:p w14:paraId="0275F52E"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Pika 9 në tabelën 2.</w:t>
      </w:r>
    </w:p>
  </w:footnote>
  <w:footnote w:id="37">
    <w:p w14:paraId="024B8629"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Dallimet në lidhje me shpenzimet e interesit, shpenzimet e tjera dhe të ardhurat do të dallohen kur të jenë të rëndësishme.</w:t>
      </w:r>
    </w:p>
  </w:footnote>
  <w:footnote w:id="38">
    <w:p w14:paraId="266678F6"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Aktivet likuide, aktivet në vendet e treta, ndërmarrjet e kontrolluara nga qeveria dhe diferenca midis aktiveve të kuotuara dhe atyre të pakuotuara mund të dallohen kur të jenë të rëndësishme.</w:t>
      </w:r>
    </w:p>
  </w:footnote>
  <w:footnote w:id="39">
    <w:p w14:paraId="443B4A55"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Ndryshimet për shkak të lëvizjes së tërbimit të këmbimit dhe funksionimit në tregun sekondar mund të dallohen kur të jenë të rëndësishme.</w:t>
      </w:r>
    </w:p>
  </w:footnote>
  <w:footnote w:id="40">
    <w:p w14:paraId="319F7054"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Përafruar me shpenzimet për interesa pjesëtuar me nivelin e borxhit të një viti më parë.</w:t>
      </w:r>
    </w:p>
  </w:footnote>
  <w:footnote w:id="41">
    <w:p w14:paraId="4CA50B00"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AF1, AF2, AF3 (të konsoliduara me vlerën e tregut, AF5 (nëse kuotohet në bursë; duke përfshirë aksionet e fondeve të përbashkëta).</w:t>
      </w:r>
    </w:p>
  </w:footnote>
  <w:footnote w:id="42">
    <w:p w14:paraId="72A3D996"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Një shenjë plus nënkupton masa të njëhershme për reduktimin e deficitit.</w:t>
      </w:r>
    </w:p>
  </w:footnote>
  <w:footnote w:id="43">
    <w:p w14:paraId="12DF407D" w14:textId="77777777" w:rsidR="00361018" w:rsidRPr="00FB2058" w:rsidRDefault="00361018" w:rsidP="00034AE8">
      <w:pPr>
        <w:pStyle w:val="FootnoteText"/>
        <w:jc w:val="both"/>
        <w:rPr>
          <w:rFonts w:ascii="Garamond" w:hAnsi="Garamond"/>
          <w:lang w:val="sq-AL"/>
        </w:rPr>
      </w:pPr>
      <w:r w:rsidRPr="00FB2058">
        <w:rPr>
          <w:rStyle w:val="FootnoteReference"/>
          <w:rFonts w:ascii="Garamond" w:hAnsi="Garamond"/>
          <w:lang w:val="sq-AL"/>
        </w:rPr>
        <w:footnoteRef/>
      </w:r>
      <w:r w:rsidRPr="00FB2058">
        <w:rPr>
          <w:rFonts w:ascii="Garamond" w:hAnsi="Garamond"/>
          <w:lang w:val="sq-AL"/>
        </w:rPr>
        <w:t xml:space="preserve"> Nëse është e nevojshme, supozim thjesht teknik.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647D3"/>
    <w:multiLevelType w:val="hybridMultilevel"/>
    <w:tmpl w:val="9DAC78DE"/>
    <w:lvl w:ilvl="0" w:tplc="0809000F">
      <w:start w:val="1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43A06A7"/>
    <w:multiLevelType w:val="multilevel"/>
    <w:tmpl w:val="0409001F"/>
    <w:styleLink w:val="Style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3" w15:restartNumberingAfterBreak="0">
    <w:nsid w:val="726E39B0"/>
    <w:multiLevelType w:val="hybridMultilevel"/>
    <w:tmpl w:val="AA621E88"/>
    <w:lvl w:ilvl="0" w:tplc="C3260486">
      <w:start w:val="1"/>
      <w:numFmt w:val="decimal"/>
      <w:lvlText w:val="%1."/>
      <w:lvlJc w:val="left"/>
      <w:pPr>
        <w:ind w:left="360" w:hanging="360"/>
      </w:pPr>
      <w:rPr>
        <w:b w:val="0"/>
        <w:i/>
        <w:iCs/>
        <w:sz w:val="20"/>
        <w:szCs w:val="20"/>
      </w:rPr>
    </w:lvl>
    <w:lvl w:ilvl="1" w:tplc="041C0019" w:tentative="1">
      <w:start w:val="1"/>
      <w:numFmt w:val="lowerLetter"/>
      <w:lvlText w:val="%2."/>
      <w:lvlJc w:val="left"/>
      <w:pPr>
        <w:ind w:left="1440" w:hanging="360"/>
      </w:pPr>
      <w:rPr>
        <w:rFonts w:cs="Times New Roman"/>
      </w:rPr>
    </w:lvl>
    <w:lvl w:ilvl="2" w:tplc="041C001B" w:tentative="1">
      <w:start w:val="1"/>
      <w:numFmt w:val="lowerRoman"/>
      <w:lvlText w:val="%3."/>
      <w:lvlJc w:val="right"/>
      <w:pPr>
        <w:ind w:left="2160" w:hanging="180"/>
      </w:pPr>
      <w:rPr>
        <w:rFonts w:cs="Times New Roman"/>
      </w:rPr>
    </w:lvl>
    <w:lvl w:ilvl="3" w:tplc="041C000F" w:tentative="1">
      <w:start w:val="1"/>
      <w:numFmt w:val="decimal"/>
      <w:lvlText w:val="%4."/>
      <w:lvlJc w:val="left"/>
      <w:pPr>
        <w:ind w:left="2880" w:hanging="360"/>
      </w:pPr>
      <w:rPr>
        <w:rFonts w:cs="Times New Roman"/>
      </w:rPr>
    </w:lvl>
    <w:lvl w:ilvl="4" w:tplc="041C0019" w:tentative="1">
      <w:start w:val="1"/>
      <w:numFmt w:val="lowerLetter"/>
      <w:lvlText w:val="%5."/>
      <w:lvlJc w:val="left"/>
      <w:pPr>
        <w:ind w:left="3600" w:hanging="360"/>
      </w:pPr>
      <w:rPr>
        <w:rFonts w:cs="Times New Roman"/>
      </w:rPr>
    </w:lvl>
    <w:lvl w:ilvl="5" w:tplc="041C001B" w:tentative="1">
      <w:start w:val="1"/>
      <w:numFmt w:val="lowerRoman"/>
      <w:lvlText w:val="%6."/>
      <w:lvlJc w:val="right"/>
      <w:pPr>
        <w:ind w:left="4320" w:hanging="180"/>
      </w:pPr>
      <w:rPr>
        <w:rFonts w:cs="Times New Roman"/>
      </w:rPr>
    </w:lvl>
    <w:lvl w:ilvl="6" w:tplc="041C000F" w:tentative="1">
      <w:start w:val="1"/>
      <w:numFmt w:val="decimal"/>
      <w:lvlText w:val="%7."/>
      <w:lvlJc w:val="left"/>
      <w:pPr>
        <w:ind w:left="5040" w:hanging="360"/>
      </w:pPr>
      <w:rPr>
        <w:rFonts w:cs="Times New Roman"/>
      </w:rPr>
    </w:lvl>
    <w:lvl w:ilvl="7" w:tplc="041C0019" w:tentative="1">
      <w:start w:val="1"/>
      <w:numFmt w:val="lowerLetter"/>
      <w:lvlText w:val="%8."/>
      <w:lvlJc w:val="left"/>
      <w:pPr>
        <w:ind w:left="5760" w:hanging="360"/>
      </w:pPr>
      <w:rPr>
        <w:rFonts w:cs="Times New Roman"/>
      </w:rPr>
    </w:lvl>
    <w:lvl w:ilvl="8" w:tplc="041C001B" w:tentative="1">
      <w:start w:val="1"/>
      <w:numFmt w:val="lowerRoman"/>
      <w:lvlText w:val="%9."/>
      <w:lvlJc w:val="right"/>
      <w:pPr>
        <w:ind w:left="6480" w:hanging="180"/>
      </w:pPr>
      <w:rPr>
        <w:rFonts w:cs="Times New Roman"/>
      </w:rPr>
    </w:lvl>
  </w:abstractNum>
  <w:abstractNum w:abstractNumId="4" w15:restartNumberingAfterBreak="0">
    <w:nsid w:val="7791379B"/>
    <w:multiLevelType w:val="multilevel"/>
    <w:tmpl w:val="BFB62248"/>
    <w:lvl w:ilvl="0">
      <w:start w:val="1"/>
      <w:numFmt w:val="bullet"/>
      <w:pStyle w:val="ECABullets"/>
      <w:lvlText w:val=""/>
      <w:lvlJc w:val="left"/>
      <w:pPr>
        <w:tabs>
          <w:tab w:val="num" w:pos="1134"/>
        </w:tabs>
        <w:ind w:left="1134" w:hanging="567"/>
      </w:pPr>
      <w:rPr>
        <w:rFonts w:ascii="Monotype Sorts" w:hAnsi="Monotype Sorts" w:hint="default"/>
        <w:sz w:val="22"/>
      </w:rPr>
    </w:lvl>
    <w:lvl w:ilvl="1">
      <w:start w:val="1"/>
      <w:numFmt w:val="bullet"/>
      <w:pStyle w:val="ECABulletsSub"/>
      <w:lvlText w:val=""/>
      <w:lvlJc w:val="left"/>
      <w:pPr>
        <w:tabs>
          <w:tab w:val="num" w:pos="1701"/>
        </w:tabs>
        <w:ind w:left="1701" w:hanging="567"/>
      </w:pPr>
      <w:rPr>
        <w:rFonts w:ascii="Monotype Sorts" w:hAnsi="Monotype Sorts" w:hint="default"/>
        <w:sz w:val="16"/>
      </w:rPr>
    </w:lvl>
    <w:lvl w:ilvl="2">
      <w:start w:val="1"/>
      <w:numFmt w:val="bullet"/>
      <w:lvlRestart w:val="0"/>
      <w:pStyle w:val="ECABulletsSub"/>
      <w:lvlText w:val=""/>
      <w:lvlJc w:val="left"/>
      <w:pPr>
        <w:tabs>
          <w:tab w:val="num" w:pos="2268"/>
        </w:tabs>
        <w:ind w:left="2268" w:hanging="567"/>
      </w:pPr>
      <w:rPr>
        <w:rFonts w:ascii="Wingdings" w:hAnsi="Wingdings" w:hint="default"/>
        <w:sz w:val="16"/>
      </w:rPr>
    </w:lvl>
    <w:lvl w:ilvl="3">
      <w:start w:val="1"/>
      <w:numFmt w:val="none"/>
      <w:lvlText w:val=""/>
      <w:lvlJc w:val="left"/>
      <w:pPr>
        <w:tabs>
          <w:tab w:val="num" w:pos="0"/>
        </w:tabs>
        <w:ind w:left="2214" w:hanging="360"/>
      </w:pPr>
      <w:rPr>
        <w:rFonts w:ascii="Symbol" w:hAnsi="Symbol" w:hint="default"/>
      </w:rPr>
    </w:lvl>
    <w:lvl w:ilvl="4">
      <w:start w:val="1"/>
      <w:numFmt w:val="none"/>
      <w:lvlText w:val="o"/>
      <w:lvlJc w:val="left"/>
      <w:pPr>
        <w:tabs>
          <w:tab w:val="num" w:pos="0"/>
        </w:tabs>
        <w:ind w:left="2574" w:hanging="360"/>
      </w:pPr>
      <w:rPr>
        <w:rFonts w:ascii="Courier New" w:hAnsi="Courier New" w:hint="default"/>
      </w:rPr>
    </w:lvl>
    <w:lvl w:ilvl="5">
      <w:start w:val="1"/>
      <w:numFmt w:val="none"/>
      <w:lvlText w:val=""/>
      <w:lvlJc w:val="left"/>
      <w:pPr>
        <w:tabs>
          <w:tab w:val="num" w:pos="0"/>
        </w:tabs>
        <w:ind w:left="2934" w:hanging="360"/>
      </w:pPr>
      <w:rPr>
        <w:rFonts w:ascii="Wingdings" w:hAnsi="Wingdings" w:hint="default"/>
      </w:rPr>
    </w:lvl>
    <w:lvl w:ilvl="6">
      <w:start w:val="1"/>
      <w:numFmt w:val="none"/>
      <w:lvlText w:val=""/>
      <w:lvlJc w:val="left"/>
      <w:pPr>
        <w:tabs>
          <w:tab w:val="num" w:pos="0"/>
        </w:tabs>
        <w:ind w:left="3294" w:hanging="360"/>
      </w:pPr>
      <w:rPr>
        <w:rFonts w:ascii="Symbol" w:hAnsi="Symbol" w:hint="default"/>
      </w:rPr>
    </w:lvl>
    <w:lvl w:ilvl="7">
      <w:start w:val="1"/>
      <w:numFmt w:val="none"/>
      <w:lvlText w:val="o"/>
      <w:lvlJc w:val="left"/>
      <w:pPr>
        <w:tabs>
          <w:tab w:val="num" w:pos="0"/>
        </w:tabs>
        <w:ind w:left="3654" w:hanging="360"/>
      </w:pPr>
      <w:rPr>
        <w:rFonts w:ascii="Courier New" w:hAnsi="Courier New" w:hint="default"/>
      </w:rPr>
    </w:lvl>
    <w:lvl w:ilvl="8">
      <w:start w:val="1"/>
      <w:numFmt w:val="none"/>
      <w:lvlText w:val=""/>
      <w:lvlJc w:val="left"/>
      <w:pPr>
        <w:tabs>
          <w:tab w:val="num" w:pos="0"/>
        </w:tabs>
        <w:ind w:left="4014" w:hanging="360"/>
      </w:pPr>
      <w:rPr>
        <w:rFonts w:ascii="Wingdings" w:hAnsi="Wingdings" w:hint="default"/>
      </w:rPr>
    </w:lvl>
  </w:abstractNum>
  <w:abstractNum w:abstractNumId="5" w15:restartNumberingAfterBreak="0">
    <w:nsid w:val="78C57DCC"/>
    <w:multiLevelType w:val="hybridMultilevel"/>
    <w:tmpl w:val="390A7E12"/>
    <w:lvl w:ilvl="0" w:tplc="189C598E">
      <w:start w:val="1"/>
      <w:numFmt w:val="decimal"/>
      <w:pStyle w:val="Heading6"/>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78FD4220"/>
    <w:multiLevelType w:val="multilevel"/>
    <w:tmpl w:val="04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5"/>
  </w:num>
  <w:num w:numId="3">
    <w:abstractNumId w:val="4"/>
  </w:num>
  <w:num w:numId="4">
    <w:abstractNumId w:val="6"/>
  </w:num>
  <w:num w:numId="5">
    <w:abstractNumId w:val="1"/>
  </w:num>
  <w:num w:numId="6">
    <w:abstractNumId w:val="3"/>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defaultTabStop w:val="284"/>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AA0"/>
    <w:rsid w:val="00002354"/>
    <w:rsid w:val="00002AAB"/>
    <w:rsid w:val="00002F2E"/>
    <w:rsid w:val="00003930"/>
    <w:rsid w:val="00004A5D"/>
    <w:rsid w:val="0000559E"/>
    <w:rsid w:val="0000795D"/>
    <w:rsid w:val="0001031D"/>
    <w:rsid w:val="0001052C"/>
    <w:rsid w:val="00014EA5"/>
    <w:rsid w:val="000155A5"/>
    <w:rsid w:val="00016322"/>
    <w:rsid w:val="00020D39"/>
    <w:rsid w:val="00021B4C"/>
    <w:rsid w:val="000241D8"/>
    <w:rsid w:val="00024CE9"/>
    <w:rsid w:val="00025FF4"/>
    <w:rsid w:val="000307A3"/>
    <w:rsid w:val="0003137D"/>
    <w:rsid w:val="00034AE8"/>
    <w:rsid w:val="000362C1"/>
    <w:rsid w:val="000370FF"/>
    <w:rsid w:val="0003729D"/>
    <w:rsid w:val="00037B1D"/>
    <w:rsid w:val="00040B3E"/>
    <w:rsid w:val="00040C77"/>
    <w:rsid w:val="00040DB8"/>
    <w:rsid w:val="00047197"/>
    <w:rsid w:val="00053AAA"/>
    <w:rsid w:val="000554C5"/>
    <w:rsid w:val="000606C2"/>
    <w:rsid w:val="00066DFC"/>
    <w:rsid w:val="000702B0"/>
    <w:rsid w:val="000703DD"/>
    <w:rsid w:val="00075C99"/>
    <w:rsid w:val="00077192"/>
    <w:rsid w:val="0007782C"/>
    <w:rsid w:val="00077F1C"/>
    <w:rsid w:val="00080BF2"/>
    <w:rsid w:val="00080F27"/>
    <w:rsid w:val="00085115"/>
    <w:rsid w:val="00091788"/>
    <w:rsid w:val="000922F6"/>
    <w:rsid w:val="00093EC6"/>
    <w:rsid w:val="00096E4A"/>
    <w:rsid w:val="000A046C"/>
    <w:rsid w:val="000A072D"/>
    <w:rsid w:val="000A073D"/>
    <w:rsid w:val="000A0D99"/>
    <w:rsid w:val="000A61D9"/>
    <w:rsid w:val="000B188C"/>
    <w:rsid w:val="000B1F9A"/>
    <w:rsid w:val="000B31A5"/>
    <w:rsid w:val="000B4C65"/>
    <w:rsid w:val="000B6121"/>
    <w:rsid w:val="000C04A2"/>
    <w:rsid w:val="000C1070"/>
    <w:rsid w:val="000C14DA"/>
    <w:rsid w:val="000C1689"/>
    <w:rsid w:val="000C2797"/>
    <w:rsid w:val="000C366D"/>
    <w:rsid w:val="000C3D5A"/>
    <w:rsid w:val="000C53CF"/>
    <w:rsid w:val="000D5C37"/>
    <w:rsid w:val="000D7AD9"/>
    <w:rsid w:val="000E08A2"/>
    <w:rsid w:val="000E094A"/>
    <w:rsid w:val="000E2C0D"/>
    <w:rsid w:val="000E2FB0"/>
    <w:rsid w:val="000E32BC"/>
    <w:rsid w:val="000E47ED"/>
    <w:rsid w:val="000E4B58"/>
    <w:rsid w:val="000F0DFA"/>
    <w:rsid w:val="000F42FC"/>
    <w:rsid w:val="000F75FC"/>
    <w:rsid w:val="00101FF4"/>
    <w:rsid w:val="001057A3"/>
    <w:rsid w:val="00106CF8"/>
    <w:rsid w:val="00107523"/>
    <w:rsid w:val="00107580"/>
    <w:rsid w:val="00110567"/>
    <w:rsid w:val="00111397"/>
    <w:rsid w:val="00120D19"/>
    <w:rsid w:val="0012162E"/>
    <w:rsid w:val="00122419"/>
    <w:rsid w:val="0012549E"/>
    <w:rsid w:val="001267BA"/>
    <w:rsid w:val="00126AEA"/>
    <w:rsid w:val="0013352A"/>
    <w:rsid w:val="00133E7D"/>
    <w:rsid w:val="00135681"/>
    <w:rsid w:val="00141CED"/>
    <w:rsid w:val="001521E6"/>
    <w:rsid w:val="0015517A"/>
    <w:rsid w:val="00162532"/>
    <w:rsid w:val="001626F3"/>
    <w:rsid w:val="00165E0E"/>
    <w:rsid w:val="00167CFE"/>
    <w:rsid w:val="001708BD"/>
    <w:rsid w:val="00170A26"/>
    <w:rsid w:val="00183146"/>
    <w:rsid w:val="001834DB"/>
    <w:rsid w:val="00185212"/>
    <w:rsid w:val="00185485"/>
    <w:rsid w:val="00186C77"/>
    <w:rsid w:val="00187861"/>
    <w:rsid w:val="001A2449"/>
    <w:rsid w:val="001A4152"/>
    <w:rsid w:val="001A4F56"/>
    <w:rsid w:val="001A5A6C"/>
    <w:rsid w:val="001A6948"/>
    <w:rsid w:val="001B2950"/>
    <w:rsid w:val="001B38B7"/>
    <w:rsid w:val="001B4BFD"/>
    <w:rsid w:val="001B5FCA"/>
    <w:rsid w:val="001C1B86"/>
    <w:rsid w:val="001C50FF"/>
    <w:rsid w:val="001D2DBD"/>
    <w:rsid w:val="001D636C"/>
    <w:rsid w:val="001D6B4A"/>
    <w:rsid w:val="001D6E23"/>
    <w:rsid w:val="001D738B"/>
    <w:rsid w:val="001E0EC2"/>
    <w:rsid w:val="001E1C18"/>
    <w:rsid w:val="001E1D77"/>
    <w:rsid w:val="001E3937"/>
    <w:rsid w:val="001E6381"/>
    <w:rsid w:val="001E7657"/>
    <w:rsid w:val="001E7C56"/>
    <w:rsid w:val="001F15F6"/>
    <w:rsid w:val="001F24C5"/>
    <w:rsid w:val="002018EB"/>
    <w:rsid w:val="00201F6E"/>
    <w:rsid w:val="00203269"/>
    <w:rsid w:val="00203AED"/>
    <w:rsid w:val="002061C2"/>
    <w:rsid w:val="00207DD6"/>
    <w:rsid w:val="00210B9A"/>
    <w:rsid w:val="0021331A"/>
    <w:rsid w:val="002143D0"/>
    <w:rsid w:val="002165A1"/>
    <w:rsid w:val="00217C40"/>
    <w:rsid w:val="00220649"/>
    <w:rsid w:val="00225A40"/>
    <w:rsid w:val="00227AE7"/>
    <w:rsid w:val="00230A54"/>
    <w:rsid w:val="00231487"/>
    <w:rsid w:val="00233E3C"/>
    <w:rsid w:val="002354B6"/>
    <w:rsid w:val="00236C99"/>
    <w:rsid w:val="00241C8D"/>
    <w:rsid w:val="00242844"/>
    <w:rsid w:val="00242DB7"/>
    <w:rsid w:val="002430D2"/>
    <w:rsid w:val="002463DE"/>
    <w:rsid w:val="00246E8F"/>
    <w:rsid w:val="00247035"/>
    <w:rsid w:val="0024766B"/>
    <w:rsid w:val="002518A1"/>
    <w:rsid w:val="00252CC8"/>
    <w:rsid w:val="002531EA"/>
    <w:rsid w:val="00260E37"/>
    <w:rsid w:val="00262E9D"/>
    <w:rsid w:val="002639AF"/>
    <w:rsid w:val="0026678C"/>
    <w:rsid w:val="0026740A"/>
    <w:rsid w:val="0027088B"/>
    <w:rsid w:val="00276358"/>
    <w:rsid w:val="002764BC"/>
    <w:rsid w:val="00276A19"/>
    <w:rsid w:val="002804D4"/>
    <w:rsid w:val="00280C20"/>
    <w:rsid w:val="00280E21"/>
    <w:rsid w:val="00282B97"/>
    <w:rsid w:val="00282BAF"/>
    <w:rsid w:val="00283807"/>
    <w:rsid w:val="002907B0"/>
    <w:rsid w:val="0029083B"/>
    <w:rsid w:val="00290F7A"/>
    <w:rsid w:val="00293BB9"/>
    <w:rsid w:val="0029426E"/>
    <w:rsid w:val="002A1384"/>
    <w:rsid w:val="002A3371"/>
    <w:rsid w:val="002A3AD0"/>
    <w:rsid w:val="002A4579"/>
    <w:rsid w:val="002A45C0"/>
    <w:rsid w:val="002A4EDE"/>
    <w:rsid w:val="002A6AC7"/>
    <w:rsid w:val="002B0996"/>
    <w:rsid w:val="002B389E"/>
    <w:rsid w:val="002B38FD"/>
    <w:rsid w:val="002B3E82"/>
    <w:rsid w:val="002C2E74"/>
    <w:rsid w:val="002C7A38"/>
    <w:rsid w:val="002D0DDC"/>
    <w:rsid w:val="002D2258"/>
    <w:rsid w:val="002D3024"/>
    <w:rsid w:val="002E1450"/>
    <w:rsid w:val="002E1F89"/>
    <w:rsid w:val="002E3958"/>
    <w:rsid w:val="002E6AA0"/>
    <w:rsid w:val="002E7859"/>
    <w:rsid w:val="002F0C75"/>
    <w:rsid w:val="002F0F89"/>
    <w:rsid w:val="002F3D4A"/>
    <w:rsid w:val="002F5872"/>
    <w:rsid w:val="00300ACC"/>
    <w:rsid w:val="00302401"/>
    <w:rsid w:val="0030623E"/>
    <w:rsid w:val="00306682"/>
    <w:rsid w:val="00307797"/>
    <w:rsid w:val="00313070"/>
    <w:rsid w:val="003230E6"/>
    <w:rsid w:val="00323291"/>
    <w:rsid w:val="003278A0"/>
    <w:rsid w:val="00337333"/>
    <w:rsid w:val="0034049F"/>
    <w:rsid w:val="00342267"/>
    <w:rsid w:val="00342D20"/>
    <w:rsid w:val="00343830"/>
    <w:rsid w:val="00343B9D"/>
    <w:rsid w:val="003464CB"/>
    <w:rsid w:val="00347139"/>
    <w:rsid w:val="003509E1"/>
    <w:rsid w:val="0035149B"/>
    <w:rsid w:val="00356494"/>
    <w:rsid w:val="003575BA"/>
    <w:rsid w:val="00357691"/>
    <w:rsid w:val="003606CA"/>
    <w:rsid w:val="00361018"/>
    <w:rsid w:val="00361C15"/>
    <w:rsid w:val="00362B5F"/>
    <w:rsid w:val="00363C53"/>
    <w:rsid w:val="00365D89"/>
    <w:rsid w:val="00366351"/>
    <w:rsid w:val="00366B40"/>
    <w:rsid w:val="003710A1"/>
    <w:rsid w:val="00372502"/>
    <w:rsid w:val="00376C82"/>
    <w:rsid w:val="003771A2"/>
    <w:rsid w:val="00377784"/>
    <w:rsid w:val="00390050"/>
    <w:rsid w:val="0039099F"/>
    <w:rsid w:val="00390C1E"/>
    <w:rsid w:val="003914B0"/>
    <w:rsid w:val="003926D2"/>
    <w:rsid w:val="00393539"/>
    <w:rsid w:val="003965FB"/>
    <w:rsid w:val="00396FC0"/>
    <w:rsid w:val="00396FE1"/>
    <w:rsid w:val="003A279D"/>
    <w:rsid w:val="003A4EFE"/>
    <w:rsid w:val="003A66D4"/>
    <w:rsid w:val="003A6F03"/>
    <w:rsid w:val="003A73C3"/>
    <w:rsid w:val="003A7618"/>
    <w:rsid w:val="003B0142"/>
    <w:rsid w:val="003B183C"/>
    <w:rsid w:val="003B2200"/>
    <w:rsid w:val="003B5565"/>
    <w:rsid w:val="003B68AC"/>
    <w:rsid w:val="003B767B"/>
    <w:rsid w:val="003C0887"/>
    <w:rsid w:val="003C0D11"/>
    <w:rsid w:val="003C0F4A"/>
    <w:rsid w:val="003C1C9C"/>
    <w:rsid w:val="003C7BF8"/>
    <w:rsid w:val="003D0763"/>
    <w:rsid w:val="003D2F1A"/>
    <w:rsid w:val="003D5E8E"/>
    <w:rsid w:val="003E02BD"/>
    <w:rsid w:val="003E3B89"/>
    <w:rsid w:val="003E4019"/>
    <w:rsid w:val="003E50EB"/>
    <w:rsid w:val="003E7B74"/>
    <w:rsid w:val="003E7FE9"/>
    <w:rsid w:val="003F3361"/>
    <w:rsid w:val="003F6B10"/>
    <w:rsid w:val="003F70BC"/>
    <w:rsid w:val="00402934"/>
    <w:rsid w:val="0040468A"/>
    <w:rsid w:val="0041573D"/>
    <w:rsid w:val="00420E41"/>
    <w:rsid w:val="00423F63"/>
    <w:rsid w:val="00424D80"/>
    <w:rsid w:val="004312AB"/>
    <w:rsid w:val="00432171"/>
    <w:rsid w:val="004342BD"/>
    <w:rsid w:val="00437525"/>
    <w:rsid w:val="0044266D"/>
    <w:rsid w:val="0044286C"/>
    <w:rsid w:val="0045189A"/>
    <w:rsid w:val="00454DC6"/>
    <w:rsid w:val="00457FAB"/>
    <w:rsid w:val="00462139"/>
    <w:rsid w:val="00462484"/>
    <w:rsid w:val="00463145"/>
    <w:rsid w:val="0046424A"/>
    <w:rsid w:val="0046470A"/>
    <w:rsid w:val="00470663"/>
    <w:rsid w:val="00471B32"/>
    <w:rsid w:val="00473C92"/>
    <w:rsid w:val="00474296"/>
    <w:rsid w:val="004764A7"/>
    <w:rsid w:val="004829CB"/>
    <w:rsid w:val="00483231"/>
    <w:rsid w:val="004857C6"/>
    <w:rsid w:val="0048779C"/>
    <w:rsid w:val="00490077"/>
    <w:rsid w:val="004925E1"/>
    <w:rsid w:val="00495CFD"/>
    <w:rsid w:val="0049727F"/>
    <w:rsid w:val="00497609"/>
    <w:rsid w:val="004A027A"/>
    <w:rsid w:val="004A2DA4"/>
    <w:rsid w:val="004A4C72"/>
    <w:rsid w:val="004B602F"/>
    <w:rsid w:val="004B75D7"/>
    <w:rsid w:val="004C4D0C"/>
    <w:rsid w:val="004C544B"/>
    <w:rsid w:val="004C6DCE"/>
    <w:rsid w:val="004D2C63"/>
    <w:rsid w:val="004D314D"/>
    <w:rsid w:val="004D3345"/>
    <w:rsid w:val="004D40EC"/>
    <w:rsid w:val="004D6B09"/>
    <w:rsid w:val="004E1FF3"/>
    <w:rsid w:val="004E27FB"/>
    <w:rsid w:val="004E321E"/>
    <w:rsid w:val="004E4917"/>
    <w:rsid w:val="004E4EAB"/>
    <w:rsid w:val="004E5195"/>
    <w:rsid w:val="004E7B72"/>
    <w:rsid w:val="004F3BFC"/>
    <w:rsid w:val="004F4370"/>
    <w:rsid w:val="004F68C6"/>
    <w:rsid w:val="005003C7"/>
    <w:rsid w:val="00500419"/>
    <w:rsid w:val="00501838"/>
    <w:rsid w:val="00502A04"/>
    <w:rsid w:val="00503D6A"/>
    <w:rsid w:val="00504275"/>
    <w:rsid w:val="005065B9"/>
    <w:rsid w:val="00514E0D"/>
    <w:rsid w:val="0051685D"/>
    <w:rsid w:val="00517126"/>
    <w:rsid w:val="00521DAC"/>
    <w:rsid w:val="00531BF0"/>
    <w:rsid w:val="00534602"/>
    <w:rsid w:val="005423DB"/>
    <w:rsid w:val="0054449A"/>
    <w:rsid w:val="00546AEF"/>
    <w:rsid w:val="00550743"/>
    <w:rsid w:val="00552C7B"/>
    <w:rsid w:val="0056035F"/>
    <w:rsid w:val="00560ACF"/>
    <w:rsid w:val="00561AF2"/>
    <w:rsid w:val="00561B0D"/>
    <w:rsid w:val="00566E9D"/>
    <w:rsid w:val="00572506"/>
    <w:rsid w:val="005767B6"/>
    <w:rsid w:val="00581895"/>
    <w:rsid w:val="00581D39"/>
    <w:rsid w:val="005867D2"/>
    <w:rsid w:val="00593A02"/>
    <w:rsid w:val="00594A55"/>
    <w:rsid w:val="0059731A"/>
    <w:rsid w:val="005A19D3"/>
    <w:rsid w:val="005A50F1"/>
    <w:rsid w:val="005A6792"/>
    <w:rsid w:val="005A69AE"/>
    <w:rsid w:val="005A7198"/>
    <w:rsid w:val="005B181C"/>
    <w:rsid w:val="005B21ED"/>
    <w:rsid w:val="005B2652"/>
    <w:rsid w:val="005B2CCB"/>
    <w:rsid w:val="005B420E"/>
    <w:rsid w:val="005B6AE4"/>
    <w:rsid w:val="005B7C08"/>
    <w:rsid w:val="005C0690"/>
    <w:rsid w:val="005C2C04"/>
    <w:rsid w:val="005C45EC"/>
    <w:rsid w:val="005C4E7B"/>
    <w:rsid w:val="005C584A"/>
    <w:rsid w:val="005C7EC5"/>
    <w:rsid w:val="005D46D8"/>
    <w:rsid w:val="005D6FC7"/>
    <w:rsid w:val="005E18A6"/>
    <w:rsid w:val="005E3B78"/>
    <w:rsid w:val="005E627B"/>
    <w:rsid w:val="005E7CDB"/>
    <w:rsid w:val="005F2977"/>
    <w:rsid w:val="005F31B1"/>
    <w:rsid w:val="005F3C06"/>
    <w:rsid w:val="005F5899"/>
    <w:rsid w:val="0060092C"/>
    <w:rsid w:val="00602FCC"/>
    <w:rsid w:val="006037AE"/>
    <w:rsid w:val="00605E55"/>
    <w:rsid w:val="00607711"/>
    <w:rsid w:val="00607E83"/>
    <w:rsid w:val="0061216D"/>
    <w:rsid w:val="0061366D"/>
    <w:rsid w:val="0061459F"/>
    <w:rsid w:val="00614EFE"/>
    <w:rsid w:val="00616F62"/>
    <w:rsid w:val="00617BB5"/>
    <w:rsid w:val="00617CC3"/>
    <w:rsid w:val="0062018F"/>
    <w:rsid w:val="00621A23"/>
    <w:rsid w:val="0062320F"/>
    <w:rsid w:val="00630899"/>
    <w:rsid w:val="00636AAC"/>
    <w:rsid w:val="00637A11"/>
    <w:rsid w:val="00641F82"/>
    <w:rsid w:val="006426F3"/>
    <w:rsid w:val="00643144"/>
    <w:rsid w:val="00645F4B"/>
    <w:rsid w:val="006529C9"/>
    <w:rsid w:val="00653E7A"/>
    <w:rsid w:val="00662A67"/>
    <w:rsid w:val="00662EEB"/>
    <w:rsid w:val="0066452A"/>
    <w:rsid w:val="006712AC"/>
    <w:rsid w:val="006718D4"/>
    <w:rsid w:val="00672D0D"/>
    <w:rsid w:val="00672F7E"/>
    <w:rsid w:val="00674188"/>
    <w:rsid w:val="006770D7"/>
    <w:rsid w:val="006811FD"/>
    <w:rsid w:val="00682ABA"/>
    <w:rsid w:val="00685922"/>
    <w:rsid w:val="006863ED"/>
    <w:rsid w:val="00687A38"/>
    <w:rsid w:val="006907AE"/>
    <w:rsid w:val="006946AE"/>
    <w:rsid w:val="006949F4"/>
    <w:rsid w:val="006959DF"/>
    <w:rsid w:val="00695C3E"/>
    <w:rsid w:val="00696F32"/>
    <w:rsid w:val="0069729E"/>
    <w:rsid w:val="00697A39"/>
    <w:rsid w:val="00697D0B"/>
    <w:rsid w:val="006A036D"/>
    <w:rsid w:val="006A1FD7"/>
    <w:rsid w:val="006A2199"/>
    <w:rsid w:val="006A33C0"/>
    <w:rsid w:val="006A3BC7"/>
    <w:rsid w:val="006A5045"/>
    <w:rsid w:val="006A523E"/>
    <w:rsid w:val="006A55EC"/>
    <w:rsid w:val="006A63F4"/>
    <w:rsid w:val="006A7806"/>
    <w:rsid w:val="006B12E6"/>
    <w:rsid w:val="006B6D1E"/>
    <w:rsid w:val="006C0565"/>
    <w:rsid w:val="006C0C90"/>
    <w:rsid w:val="006C1D18"/>
    <w:rsid w:val="006C51DD"/>
    <w:rsid w:val="006C57A2"/>
    <w:rsid w:val="006C6A13"/>
    <w:rsid w:val="006D3CB1"/>
    <w:rsid w:val="006D67C4"/>
    <w:rsid w:val="006E0116"/>
    <w:rsid w:val="006E3ED1"/>
    <w:rsid w:val="006E4D67"/>
    <w:rsid w:val="006F0233"/>
    <w:rsid w:val="006F1319"/>
    <w:rsid w:val="006F239B"/>
    <w:rsid w:val="006F3D16"/>
    <w:rsid w:val="006F4534"/>
    <w:rsid w:val="006F50FD"/>
    <w:rsid w:val="00702F7D"/>
    <w:rsid w:val="00704FA4"/>
    <w:rsid w:val="00706C0F"/>
    <w:rsid w:val="00707DC1"/>
    <w:rsid w:val="00711D63"/>
    <w:rsid w:val="00720E7C"/>
    <w:rsid w:val="00724FFF"/>
    <w:rsid w:val="00727F6C"/>
    <w:rsid w:val="00734F88"/>
    <w:rsid w:val="00736234"/>
    <w:rsid w:val="00741257"/>
    <w:rsid w:val="0074181C"/>
    <w:rsid w:val="007459AA"/>
    <w:rsid w:val="00745B3F"/>
    <w:rsid w:val="007468DE"/>
    <w:rsid w:val="007533E6"/>
    <w:rsid w:val="00754482"/>
    <w:rsid w:val="007706B2"/>
    <w:rsid w:val="00771682"/>
    <w:rsid w:val="007771B2"/>
    <w:rsid w:val="0078106D"/>
    <w:rsid w:val="00785653"/>
    <w:rsid w:val="0078570A"/>
    <w:rsid w:val="007922B5"/>
    <w:rsid w:val="00793544"/>
    <w:rsid w:val="007935F8"/>
    <w:rsid w:val="00796241"/>
    <w:rsid w:val="007A2253"/>
    <w:rsid w:val="007A2A72"/>
    <w:rsid w:val="007A3D78"/>
    <w:rsid w:val="007A426A"/>
    <w:rsid w:val="007A7ECB"/>
    <w:rsid w:val="007B63DE"/>
    <w:rsid w:val="007B6878"/>
    <w:rsid w:val="007C065E"/>
    <w:rsid w:val="007C27B0"/>
    <w:rsid w:val="007C4163"/>
    <w:rsid w:val="007C4243"/>
    <w:rsid w:val="007C70E7"/>
    <w:rsid w:val="007D04D1"/>
    <w:rsid w:val="007D1D2B"/>
    <w:rsid w:val="007D1F12"/>
    <w:rsid w:val="007D259A"/>
    <w:rsid w:val="007D729A"/>
    <w:rsid w:val="007D7936"/>
    <w:rsid w:val="007E5A2D"/>
    <w:rsid w:val="007F03FA"/>
    <w:rsid w:val="007F15FB"/>
    <w:rsid w:val="007F1795"/>
    <w:rsid w:val="007F5768"/>
    <w:rsid w:val="007F6BCD"/>
    <w:rsid w:val="007F728D"/>
    <w:rsid w:val="007F7BAB"/>
    <w:rsid w:val="00801403"/>
    <w:rsid w:val="00803975"/>
    <w:rsid w:val="00806A4C"/>
    <w:rsid w:val="0081055A"/>
    <w:rsid w:val="00810AF7"/>
    <w:rsid w:val="00812EBB"/>
    <w:rsid w:val="0081466A"/>
    <w:rsid w:val="00816198"/>
    <w:rsid w:val="008203F7"/>
    <w:rsid w:val="00820F34"/>
    <w:rsid w:val="00824CF0"/>
    <w:rsid w:val="00826B9A"/>
    <w:rsid w:val="008328CD"/>
    <w:rsid w:val="0083398D"/>
    <w:rsid w:val="00836357"/>
    <w:rsid w:val="008364BE"/>
    <w:rsid w:val="00840D65"/>
    <w:rsid w:val="00844575"/>
    <w:rsid w:val="0084558B"/>
    <w:rsid w:val="00850177"/>
    <w:rsid w:val="00850248"/>
    <w:rsid w:val="00850898"/>
    <w:rsid w:val="00850D8F"/>
    <w:rsid w:val="00851B0A"/>
    <w:rsid w:val="00851D25"/>
    <w:rsid w:val="00851EA8"/>
    <w:rsid w:val="00852832"/>
    <w:rsid w:val="00853B25"/>
    <w:rsid w:val="00855231"/>
    <w:rsid w:val="00864EB2"/>
    <w:rsid w:val="008709C0"/>
    <w:rsid w:val="00871219"/>
    <w:rsid w:val="00871CE2"/>
    <w:rsid w:val="00884E2A"/>
    <w:rsid w:val="00887A95"/>
    <w:rsid w:val="00891B37"/>
    <w:rsid w:val="008958DB"/>
    <w:rsid w:val="008966D7"/>
    <w:rsid w:val="008A5CD3"/>
    <w:rsid w:val="008A69CC"/>
    <w:rsid w:val="008A7D66"/>
    <w:rsid w:val="008B0209"/>
    <w:rsid w:val="008B02DF"/>
    <w:rsid w:val="008B56E1"/>
    <w:rsid w:val="008C0144"/>
    <w:rsid w:val="008C1015"/>
    <w:rsid w:val="008C17A0"/>
    <w:rsid w:val="008C1E87"/>
    <w:rsid w:val="008C26DD"/>
    <w:rsid w:val="008C2AB4"/>
    <w:rsid w:val="008C3502"/>
    <w:rsid w:val="008C3D7D"/>
    <w:rsid w:val="008C6CBB"/>
    <w:rsid w:val="008C788C"/>
    <w:rsid w:val="008D0E4B"/>
    <w:rsid w:val="008D128D"/>
    <w:rsid w:val="008D2618"/>
    <w:rsid w:val="008D3CCD"/>
    <w:rsid w:val="008D6996"/>
    <w:rsid w:val="008D7399"/>
    <w:rsid w:val="008D7F46"/>
    <w:rsid w:val="008E230B"/>
    <w:rsid w:val="008E298F"/>
    <w:rsid w:val="008E332D"/>
    <w:rsid w:val="008E52C2"/>
    <w:rsid w:val="008E61D4"/>
    <w:rsid w:val="008F32C0"/>
    <w:rsid w:val="008F48D7"/>
    <w:rsid w:val="008F4FA6"/>
    <w:rsid w:val="008F53B5"/>
    <w:rsid w:val="008F622D"/>
    <w:rsid w:val="00903573"/>
    <w:rsid w:val="00915B3F"/>
    <w:rsid w:val="009177F4"/>
    <w:rsid w:val="009204FA"/>
    <w:rsid w:val="00923BED"/>
    <w:rsid w:val="009242F9"/>
    <w:rsid w:val="009245DC"/>
    <w:rsid w:val="009248D0"/>
    <w:rsid w:val="009263EE"/>
    <w:rsid w:val="00926E39"/>
    <w:rsid w:val="009279DE"/>
    <w:rsid w:val="009300CE"/>
    <w:rsid w:val="0093248C"/>
    <w:rsid w:val="00937EDA"/>
    <w:rsid w:val="00941773"/>
    <w:rsid w:val="009435E0"/>
    <w:rsid w:val="00945420"/>
    <w:rsid w:val="00946BA4"/>
    <w:rsid w:val="009471F2"/>
    <w:rsid w:val="00947F12"/>
    <w:rsid w:val="00955888"/>
    <w:rsid w:val="00955AD5"/>
    <w:rsid w:val="00961647"/>
    <w:rsid w:val="0096791C"/>
    <w:rsid w:val="009713E3"/>
    <w:rsid w:val="0097266C"/>
    <w:rsid w:val="00977257"/>
    <w:rsid w:val="00977779"/>
    <w:rsid w:val="0098275F"/>
    <w:rsid w:val="00986479"/>
    <w:rsid w:val="00987E7B"/>
    <w:rsid w:val="00993C20"/>
    <w:rsid w:val="009958B3"/>
    <w:rsid w:val="009A0CAE"/>
    <w:rsid w:val="009A3B30"/>
    <w:rsid w:val="009A4F8D"/>
    <w:rsid w:val="009A61D3"/>
    <w:rsid w:val="009B00B9"/>
    <w:rsid w:val="009B064E"/>
    <w:rsid w:val="009B0A03"/>
    <w:rsid w:val="009B4D5F"/>
    <w:rsid w:val="009B6678"/>
    <w:rsid w:val="009B668C"/>
    <w:rsid w:val="009C0900"/>
    <w:rsid w:val="009C5972"/>
    <w:rsid w:val="009C761A"/>
    <w:rsid w:val="009D3DB8"/>
    <w:rsid w:val="009D51D8"/>
    <w:rsid w:val="009E0A5E"/>
    <w:rsid w:val="009E22A8"/>
    <w:rsid w:val="009E514F"/>
    <w:rsid w:val="009E64C7"/>
    <w:rsid w:val="009F5365"/>
    <w:rsid w:val="009F5906"/>
    <w:rsid w:val="009F5CD5"/>
    <w:rsid w:val="009F68E1"/>
    <w:rsid w:val="00A000D1"/>
    <w:rsid w:val="00A020F5"/>
    <w:rsid w:val="00A0380B"/>
    <w:rsid w:val="00A04722"/>
    <w:rsid w:val="00A05F68"/>
    <w:rsid w:val="00A076E8"/>
    <w:rsid w:val="00A1114B"/>
    <w:rsid w:val="00A1128B"/>
    <w:rsid w:val="00A11ED0"/>
    <w:rsid w:val="00A11FA0"/>
    <w:rsid w:val="00A12006"/>
    <w:rsid w:val="00A1295C"/>
    <w:rsid w:val="00A2002A"/>
    <w:rsid w:val="00A2369C"/>
    <w:rsid w:val="00A25CF0"/>
    <w:rsid w:val="00A33035"/>
    <w:rsid w:val="00A35306"/>
    <w:rsid w:val="00A501BD"/>
    <w:rsid w:val="00A54D67"/>
    <w:rsid w:val="00A57C60"/>
    <w:rsid w:val="00A63845"/>
    <w:rsid w:val="00A64608"/>
    <w:rsid w:val="00A74EAA"/>
    <w:rsid w:val="00A8087B"/>
    <w:rsid w:val="00A81C4F"/>
    <w:rsid w:val="00A842C7"/>
    <w:rsid w:val="00A862EA"/>
    <w:rsid w:val="00A924BC"/>
    <w:rsid w:val="00A92B23"/>
    <w:rsid w:val="00A96B82"/>
    <w:rsid w:val="00AA2487"/>
    <w:rsid w:val="00AA2F9A"/>
    <w:rsid w:val="00AA3AD7"/>
    <w:rsid w:val="00AB024B"/>
    <w:rsid w:val="00AB06E5"/>
    <w:rsid w:val="00AB18CF"/>
    <w:rsid w:val="00AB1C04"/>
    <w:rsid w:val="00AB2979"/>
    <w:rsid w:val="00AB376C"/>
    <w:rsid w:val="00AB3A8C"/>
    <w:rsid w:val="00AB3BA4"/>
    <w:rsid w:val="00AB3CC2"/>
    <w:rsid w:val="00AB6110"/>
    <w:rsid w:val="00AB6258"/>
    <w:rsid w:val="00AB627F"/>
    <w:rsid w:val="00AB66F8"/>
    <w:rsid w:val="00AB72C2"/>
    <w:rsid w:val="00AC0302"/>
    <w:rsid w:val="00AC0CFA"/>
    <w:rsid w:val="00AC10DE"/>
    <w:rsid w:val="00AC2649"/>
    <w:rsid w:val="00AC39AF"/>
    <w:rsid w:val="00AD02B7"/>
    <w:rsid w:val="00AD2397"/>
    <w:rsid w:val="00AD3D9C"/>
    <w:rsid w:val="00AD43A6"/>
    <w:rsid w:val="00AD56F2"/>
    <w:rsid w:val="00AE01AF"/>
    <w:rsid w:val="00AE08B7"/>
    <w:rsid w:val="00AE1884"/>
    <w:rsid w:val="00AE5FE5"/>
    <w:rsid w:val="00AE78D4"/>
    <w:rsid w:val="00AF0575"/>
    <w:rsid w:val="00AF1534"/>
    <w:rsid w:val="00AF2DB7"/>
    <w:rsid w:val="00AF4A1A"/>
    <w:rsid w:val="00AF5DEC"/>
    <w:rsid w:val="00B106A4"/>
    <w:rsid w:val="00B10EF7"/>
    <w:rsid w:val="00B161E1"/>
    <w:rsid w:val="00B201D8"/>
    <w:rsid w:val="00B310AE"/>
    <w:rsid w:val="00B348F7"/>
    <w:rsid w:val="00B41EC3"/>
    <w:rsid w:val="00B4717C"/>
    <w:rsid w:val="00B47656"/>
    <w:rsid w:val="00B52FFC"/>
    <w:rsid w:val="00B533FC"/>
    <w:rsid w:val="00B6191B"/>
    <w:rsid w:val="00B65666"/>
    <w:rsid w:val="00B65F24"/>
    <w:rsid w:val="00B662A1"/>
    <w:rsid w:val="00B70EDE"/>
    <w:rsid w:val="00B711A4"/>
    <w:rsid w:val="00B71B78"/>
    <w:rsid w:val="00B7583B"/>
    <w:rsid w:val="00B8021B"/>
    <w:rsid w:val="00B80400"/>
    <w:rsid w:val="00B82B17"/>
    <w:rsid w:val="00B837F2"/>
    <w:rsid w:val="00B862C9"/>
    <w:rsid w:val="00B87386"/>
    <w:rsid w:val="00B90A96"/>
    <w:rsid w:val="00B914B8"/>
    <w:rsid w:val="00B92343"/>
    <w:rsid w:val="00B92A5D"/>
    <w:rsid w:val="00B93467"/>
    <w:rsid w:val="00B9691A"/>
    <w:rsid w:val="00BA286B"/>
    <w:rsid w:val="00BA365D"/>
    <w:rsid w:val="00BA5E9D"/>
    <w:rsid w:val="00BA614C"/>
    <w:rsid w:val="00BA6BF0"/>
    <w:rsid w:val="00BA6C4B"/>
    <w:rsid w:val="00BA7574"/>
    <w:rsid w:val="00BB000A"/>
    <w:rsid w:val="00BB0249"/>
    <w:rsid w:val="00BB066A"/>
    <w:rsid w:val="00BB3E49"/>
    <w:rsid w:val="00BB458E"/>
    <w:rsid w:val="00BB4D7F"/>
    <w:rsid w:val="00BB534E"/>
    <w:rsid w:val="00BB5712"/>
    <w:rsid w:val="00BB7057"/>
    <w:rsid w:val="00BC1D37"/>
    <w:rsid w:val="00BC21BF"/>
    <w:rsid w:val="00BC3237"/>
    <w:rsid w:val="00BC4090"/>
    <w:rsid w:val="00BC4C71"/>
    <w:rsid w:val="00BC4D84"/>
    <w:rsid w:val="00BC61E1"/>
    <w:rsid w:val="00BC76E2"/>
    <w:rsid w:val="00BC78EE"/>
    <w:rsid w:val="00BD0FBC"/>
    <w:rsid w:val="00BD50D3"/>
    <w:rsid w:val="00BD5661"/>
    <w:rsid w:val="00BD6A2D"/>
    <w:rsid w:val="00BD6A3F"/>
    <w:rsid w:val="00BD779D"/>
    <w:rsid w:val="00BD7899"/>
    <w:rsid w:val="00BE0624"/>
    <w:rsid w:val="00BE2595"/>
    <w:rsid w:val="00BF38E8"/>
    <w:rsid w:val="00BF4CBB"/>
    <w:rsid w:val="00BF6CE0"/>
    <w:rsid w:val="00BF7ADD"/>
    <w:rsid w:val="00C0566D"/>
    <w:rsid w:val="00C10FF0"/>
    <w:rsid w:val="00C11D38"/>
    <w:rsid w:val="00C122AB"/>
    <w:rsid w:val="00C15618"/>
    <w:rsid w:val="00C1585E"/>
    <w:rsid w:val="00C17ECA"/>
    <w:rsid w:val="00C253BF"/>
    <w:rsid w:val="00C25C61"/>
    <w:rsid w:val="00C303FB"/>
    <w:rsid w:val="00C31A83"/>
    <w:rsid w:val="00C340EA"/>
    <w:rsid w:val="00C42028"/>
    <w:rsid w:val="00C44033"/>
    <w:rsid w:val="00C45A19"/>
    <w:rsid w:val="00C47E33"/>
    <w:rsid w:val="00C50585"/>
    <w:rsid w:val="00C50D62"/>
    <w:rsid w:val="00C55AFD"/>
    <w:rsid w:val="00C57263"/>
    <w:rsid w:val="00C57964"/>
    <w:rsid w:val="00C64580"/>
    <w:rsid w:val="00C65FAC"/>
    <w:rsid w:val="00C66157"/>
    <w:rsid w:val="00C675E0"/>
    <w:rsid w:val="00C73532"/>
    <w:rsid w:val="00C806D4"/>
    <w:rsid w:val="00C81789"/>
    <w:rsid w:val="00C8243D"/>
    <w:rsid w:val="00C831FD"/>
    <w:rsid w:val="00C91045"/>
    <w:rsid w:val="00C92087"/>
    <w:rsid w:val="00C971B7"/>
    <w:rsid w:val="00CA12FC"/>
    <w:rsid w:val="00CA1843"/>
    <w:rsid w:val="00CA4CE0"/>
    <w:rsid w:val="00CA617E"/>
    <w:rsid w:val="00CB2BE5"/>
    <w:rsid w:val="00CB32E4"/>
    <w:rsid w:val="00CB491D"/>
    <w:rsid w:val="00CB56E3"/>
    <w:rsid w:val="00CC0E6A"/>
    <w:rsid w:val="00CC48E4"/>
    <w:rsid w:val="00CC64A2"/>
    <w:rsid w:val="00CC7BF2"/>
    <w:rsid w:val="00CD0554"/>
    <w:rsid w:val="00CD09A4"/>
    <w:rsid w:val="00CD1995"/>
    <w:rsid w:val="00CD282B"/>
    <w:rsid w:val="00CD42E3"/>
    <w:rsid w:val="00CD7453"/>
    <w:rsid w:val="00CD7C99"/>
    <w:rsid w:val="00CE060D"/>
    <w:rsid w:val="00CE313E"/>
    <w:rsid w:val="00CF1E8E"/>
    <w:rsid w:val="00CF2FCC"/>
    <w:rsid w:val="00CF372A"/>
    <w:rsid w:val="00CF3B74"/>
    <w:rsid w:val="00CF6E77"/>
    <w:rsid w:val="00D01883"/>
    <w:rsid w:val="00D1065E"/>
    <w:rsid w:val="00D12947"/>
    <w:rsid w:val="00D15903"/>
    <w:rsid w:val="00D16822"/>
    <w:rsid w:val="00D17157"/>
    <w:rsid w:val="00D17FCF"/>
    <w:rsid w:val="00D20C71"/>
    <w:rsid w:val="00D22E60"/>
    <w:rsid w:val="00D23F28"/>
    <w:rsid w:val="00D24267"/>
    <w:rsid w:val="00D3094E"/>
    <w:rsid w:val="00D32013"/>
    <w:rsid w:val="00D40407"/>
    <w:rsid w:val="00D416F0"/>
    <w:rsid w:val="00D45E1E"/>
    <w:rsid w:val="00D52FB2"/>
    <w:rsid w:val="00D555C7"/>
    <w:rsid w:val="00D57E0F"/>
    <w:rsid w:val="00D60136"/>
    <w:rsid w:val="00D6542B"/>
    <w:rsid w:val="00D66A6B"/>
    <w:rsid w:val="00D6713D"/>
    <w:rsid w:val="00D751D8"/>
    <w:rsid w:val="00D8036D"/>
    <w:rsid w:val="00D821BA"/>
    <w:rsid w:val="00D8634E"/>
    <w:rsid w:val="00D916F1"/>
    <w:rsid w:val="00D97C8E"/>
    <w:rsid w:val="00DA1983"/>
    <w:rsid w:val="00DA4CFA"/>
    <w:rsid w:val="00DB0159"/>
    <w:rsid w:val="00DB0BF2"/>
    <w:rsid w:val="00DC1201"/>
    <w:rsid w:val="00DC2390"/>
    <w:rsid w:val="00DC45A1"/>
    <w:rsid w:val="00DC4A22"/>
    <w:rsid w:val="00DC4F0B"/>
    <w:rsid w:val="00DC6729"/>
    <w:rsid w:val="00DC689D"/>
    <w:rsid w:val="00DC7906"/>
    <w:rsid w:val="00DD4470"/>
    <w:rsid w:val="00DD5FFD"/>
    <w:rsid w:val="00DD723E"/>
    <w:rsid w:val="00DE0A49"/>
    <w:rsid w:val="00DE3268"/>
    <w:rsid w:val="00DE4A62"/>
    <w:rsid w:val="00DE76F2"/>
    <w:rsid w:val="00DF06B3"/>
    <w:rsid w:val="00DF1700"/>
    <w:rsid w:val="00DF2472"/>
    <w:rsid w:val="00DF6057"/>
    <w:rsid w:val="00E02AEA"/>
    <w:rsid w:val="00E10129"/>
    <w:rsid w:val="00E10777"/>
    <w:rsid w:val="00E16E60"/>
    <w:rsid w:val="00E1786C"/>
    <w:rsid w:val="00E203EC"/>
    <w:rsid w:val="00E20846"/>
    <w:rsid w:val="00E214C0"/>
    <w:rsid w:val="00E21F5C"/>
    <w:rsid w:val="00E22BD1"/>
    <w:rsid w:val="00E26008"/>
    <w:rsid w:val="00E26381"/>
    <w:rsid w:val="00E324E2"/>
    <w:rsid w:val="00E33922"/>
    <w:rsid w:val="00E36859"/>
    <w:rsid w:val="00E37126"/>
    <w:rsid w:val="00E41473"/>
    <w:rsid w:val="00E41E4B"/>
    <w:rsid w:val="00E50EC1"/>
    <w:rsid w:val="00E513FC"/>
    <w:rsid w:val="00E52D17"/>
    <w:rsid w:val="00E52DE0"/>
    <w:rsid w:val="00E534C6"/>
    <w:rsid w:val="00E57CE0"/>
    <w:rsid w:val="00E64015"/>
    <w:rsid w:val="00E64DCF"/>
    <w:rsid w:val="00E70EE9"/>
    <w:rsid w:val="00E71077"/>
    <w:rsid w:val="00E736BE"/>
    <w:rsid w:val="00E742AF"/>
    <w:rsid w:val="00E83157"/>
    <w:rsid w:val="00E9010B"/>
    <w:rsid w:val="00E92457"/>
    <w:rsid w:val="00E95FDC"/>
    <w:rsid w:val="00E97E79"/>
    <w:rsid w:val="00EA12A1"/>
    <w:rsid w:val="00EB3242"/>
    <w:rsid w:val="00EB4FEF"/>
    <w:rsid w:val="00EB5CA8"/>
    <w:rsid w:val="00EB6B2E"/>
    <w:rsid w:val="00EB7E58"/>
    <w:rsid w:val="00EC0561"/>
    <w:rsid w:val="00EC1C80"/>
    <w:rsid w:val="00EC3AFA"/>
    <w:rsid w:val="00EC5060"/>
    <w:rsid w:val="00EC5B98"/>
    <w:rsid w:val="00ED03E4"/>
    <w:rsid w:val="00ED6EAA"/>
    <w:rsid w:val="00EE038F"/>
    <w:rsid w:val="00EE14EB"/>
    <w:rsid w:val="00EE1E67"/>
    <w:rsid w:val="00EE315A"/>
    <w:rsid w:val="00EF1214"/>
    <w:rsid w:val="00EF32E5"/>
    <w:rsid w:val="00EF67DB"/>
    <w:rsid w:val="00F02E6E"/>
    <w:rsid w:val="00F05A80"/>
    <w:rsid w:val="00F129E0"/>
    <w:rsid w:val="00F12AD5"/>
    <w:rsid w:val="00F13948"/>
    <w:rsid w:val="00F13FD9"/>
    <w:rsid w:val="00F200EF"/>
    <w:rsid w:val="00F20BD4"/>
    <w:rsid w:val="00F215D9"/>
    <w:rsid w:val="00F222F5"/>
    <w:rsid w:val="00F24053"/>
    <w:rsid w:val="00F24256"/>
    <w:rsid w:val="00F242DC"/>
    <w:rsid w:val="00F249FD"/>
    <w:rsid w:val="00F254B8"/>
    <w:rsid w:val="00F26092"/>
    <w:rsid w:val="00F26A5E"/>
    <w:rsid w:val="00F31566"/>
    <w:rsid w:val="00F32F3C"/>
    <w:rsid w:val="00F351E9"/>
    <w:rsid w:val="00F37032"/>
    <w:rsid w:val="00F404FD"/>
    <w:rsid w:val="00F4115F"/>
    <w:rsid w:val="00F4227C"/>
    <w:rsid w:val="00F42CD5"/>
    <w:rsid w:val="00F445C3"/>
    <w:rsid w:val="00F52183"/>
    <w:rsid w:val="00F523C6"/>
    <w:rsid w:val="00F53009"/>
    <w:rsid w:val="00F53077"/>
    <w:rsid w:val="00F53E0E"/>
    <w:rsid w:val="00F54612"/>
    <w:rsid w:val="00F56597"/>
    <w:rsid w:val="00F61C81"/>
    <w:rsid w:val="00F6660C"/>
    <w:rsid w:val="00F674D6"/>
    <w:rsid w:val="00F679C3"/>
    <w:rsid w:val="00F70DCE"/>
    <w:rsid w:val="00F71DDC"/>
    <w:rsid w:val="00F81116"/>
    <w:rsid w:val="00F832BE"/>
    <w:rsid w:val="00F84502"/>
    <w:rsid w:val="00F8535C"/>
    <w:rsid w:val="00F905C8"/>
    <w:rsid w:val="00F918F2"/>
    <w:rsid w:val="00F92E50"/>
    <w:rsid w:val="00F93EA6"/>
    <w:rsid w:val="00F94FF2"/>
    <w:rsid w:val="00F9515F"/>
    <w:rsid w:val="00F956E0"/>
    <w:rsid w:val="00FA1AA0"/>
    <w:rsid w:val="00FA5236"/>
    <w:rsid w:val="00FA7378"/>
    <w:rsid w:val="00FB080E"/>
    <w:rsid w:val="00FB145A"/>
    <w:rsid w:val="00FB2058"/>
    <w:rsid w:val="00FB2D5D"/>
    <w:rsid w:val="00FB4889"/>
    <w:rsid w:val="00FB5659"/>
    <w:rsid w:val="00FB5945"/>
    <w:rsid w:val="00FB65E7"/>
    <w:rsid w:val="00FB79AC"/>
    <w:rsid w:val="00FB7F5A"/>
    <w:rsid w:val="00FC0062"/>
    <w:rsid w:val="00FC3BB1"/>
    <w:rsid w:val="00FC4A93"/>
    <w:rsid w:val="00FD0FAE"/>
    <w:rsid w:val="00FD1BFD"/>
    <w:rsid w:val="00FD6514"/>
    <w:rsid w:val="00FD7D25"/>
    <w:rsid w:val="00FE4872"/>
    <w:rsid w:val="00FE67AA"/>
    <w:rsid w:val="00FF0088"/>
    <w:rsid w:val="00FF03E3"/>
    <w:rsid w:val="00FF0F85"/>
    <w:rsid w:val="00FF1CC5"/>
    <w:rsid w:val="00FF757C"/>
  </w:rsids>
  <m:mathPr>
    <m:mathFont m:val="Cambria Math"/>
    <m:brkBin m:val="before"/>
    <m:brkBinSub m:val="--"/>
    <m:smallFrac m:val="0"/>
    <m:dispDef/>
    <m:lMargin m:val="0"/>
    <m:rMargin m:val="0"/>
    <m:defJc m:val="centerGroup"/>
    <m:wrapIndent m:val="1440"/>
    <m:intLim m:val="subSup"/>
    <m:naryLim m:val="undOvr"/>
  </m:mathPr>
  <w:themeFontLang w:val="sq-A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FB68C"/>
  <w15:docId w15:val="{A7EB0F39-6061-4F3E-B684-FDD222F66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B6191B"/>
    <w:pPr>
      <w:autoSpaceDE w:val="0"/>
      <w:autoSpaceDN w:val="0"/>
      <w:adjustRightInd w:val="0"/>
      <w:spacing w:after="0" w:line="240" w:lineRule="auto"/>
      <w:ind w:left="100"/>
      <w:outlineLvl w:val="0"/>
    </w:pPr>
    <w:rPr>
      <w:rFonts w:ascii="Times New Roman" w:hAnsi="Times New Roman" w:cs="Times New Roman"/>
      <w:b/>
      <w:bCs/>
      <w:color w:val="000000"/>
      <w:sz w:val="24"/>
      <w:szCs w:val="24"/>
    </w:rPr>
  </w:style>
  <w:style w:type="paragraph" w:styleId="Heading2">
    <w:name w:val="heading 2"/>
    <w:basedOn w:val="Normal"/>
    <w:next w:val="Normal"/>
    <w:link w:val="Heading2Char"/>
    <w:unhideWhenUsed/>
    <w:qFormat/>
    <w:rsid w:val="00C5058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qFormat/>
    <w:rsid w:val="00C50585"/>
    <w:pPr>
      <w:widowControl w:val="0"/>
      <w:spacing w:after="0" w:line="240" w:lineRule="auto"/>
      <w:ind w:left="20"/>
      <w:outlineLvl w:val="2"/>
    </w:pPr>
    <w:rPr>
      <w:rFonts w:ascii="Calibri" w:eastAsia="Calibri" w:hAnsi="Calibri" w:cs="Times New Roman"/>
      <w:sz w:val="23"/>
      <w:szCs w:val="23"/>
      <w:lang w:val="en-GB" w:eastAsia="en-US"/>
    </w:rPr>
  </w:style>
  <w:style w:type="paragraph" w:styleId="Heading4">
    <w:name w:val="heading 4"/>
    <w:basedOn w:val="Normal"/>
    <w:link w:val="Heading4Char"/>
    <w:qFormat/>
    <w:rsid w:val="00C50585"/>
    <w:pPr>
      <w:widowControl w:val="0"/>
      <w:spacing w:after="0" w:line="240" w:lineRule="auto"/>
      <w:ind w:left="1380"/>
      <w:outlineLvl w:val="3"/>
    </w:pPr>
    <w:rPr>
      <w:rFonts w:ascii="Arial Narrow" w:eastAsia="Arial Narrow" w:hAnsi="Arial Narrow" w:cs="Times New Roman"/>
      <w:b/>
      <w:bCs/>
      <w:lang w:val="en-GB" w:eastAsia="en-US"/>
    </w:rPr>
  </w:style>
  <w:style w:type="paragraph" w:styleId="Heading5">
    <w:name w:val="heading 5"/>
    <w:basedOn w:val="Normal"/>
    <w:link w:val="Heading5Char"/>
    <w:qFormat/>
    <w:rsid w:val="00C50585"/>
    <w:pPr>
      <w:widowControl w:val="0"/>
      <w:spacing w:after="0" w:line="240" w:lineRule="auto"/>
      <w:ind w:left="1379"/>
      <w:outlineLvl w:val="4"/>
    </w:pPr>
    <w:rPr>
      <w:rFonts w:ascii="Arial Narrow" w:eastAsia="Arial Narrow" w:hAnsi="Arial Narrow" w:cs="Times New Roman"/>
      <w:b/>
      <w:bCs/>
      <w:i/>
      <w:lang w:val="en-GB" w:eastAsia="en-US"/>
    </w:rPr>
  </w:style>
  <w:style w:type="paragraph" w:styleId="Heading6">
    <w:name w:val="heading 6"/>
    <w:basedOn w:val="Normal"/>
    <w:next w:val="Normal"/>
    <w:link w:val="Heading6Char"/>
    <w:qFormat/>
    <w:rsid w:val="00C50585"/>
    <w:pPr>
      <w:numPr>
        <w:numId w:val="2"/>
      </w:numPr>
      <w:spacing w:after="0" w:line="240" w:lineRule="auto"/>
      <w:jc w:val="both"/>
      <w:outlineLvl w:val="5"/>
    </w:pPr>
    <w:rPr>
      <w:rFonts w:ascii="Times New Roman" w:eastAsia="Times New Roman" w:hAnsi="Times New Roman" w:cs="Times New Roman"/>
      <w:i/>
      <w:sz w:val="24"/>
      <w:szCs w:val="24"/>
      <w:u w:val="single"/>
      <w:lang w:val="x-none" w:eastAsia="x-none"/>
    </w:rPr>
  </w:style>
  <w:style w:type="paragraph" w:styleId="Heading7">
    <w:name w:val="heading 7"/>
    <w:basedOn w:val="Normal"/>
    <w:next w:val="Normal"/>
    <w:link w:val="Heading7Char"/>
    <w:qFormat/>
    <w:rsid w:val="00C50585"/>
    <w:pPr>
      <w:tabs>
        <w:tab w:val="num" w:pos="360"/>
      </w:tabs>
      <w:spacing w:before="240" w:after="60" w:line="240" w:lineRule="auto"/>
      <w:ind w:left="360" w:hanging="360"/>
      <w:jc w:val="both"/>
      <w:outlineLvl w:val="6"/>
    </w:pPr>
    <w:rPr>
      <w:rFonts w:ascii="Arial" w:eastAsia="Times New Roman" w:hAnsi="Arial" w:cs="Times New Roman"/>
      <w:sz w:val="20"/>
      <w:szCs w:val="20"/>
      <w:lang w:val="x-none" w:eastAsia="x-none"/>
    </w:rPr>
  </w:style>
  <w:style w:type="paragraph" w:styleId="Heading8">
    <w:name w:val="heading 8"/>
    <w:basedOn w:val="Normal"/>
    <w:next w:val="Normal"/>
    <w:link w:val="Heading8Char"/>
    <w:qFormat/>
    <w:rsid w:val="00C50585"/>
    <w:pPr>
      <w:tabs>
        <w:tab w:val="num" w:pos="360"/>
      </w:tabs>
      <w:spacing w:before="240" w:after="60" w:line="240" w:lineRule="auto"/>
      <w:ind w:left="360" w:hanging="360"/>
      <w:jc w:val="both"/>
      <w:outlineLvl w:val="7"/>
    </w:pPr>
    <w:rPr>
      <w:rFonts w:ascii="Arial" w:eastAsia="Times New Roman" w:hAnsi="Arial" w:cs="Times New Roman"/>
      <w:i/>
      <w:sz w:val="20"/>
      <w:szCs w:val="20"/>
      <w:lang w:val="x-none" w:eastAsia="x-none"/>
    </w:rPr>
  </w:style>
  <w:style w:type="paragraph" w:styleId="Heading9">
    <w:name w:val="heading 9"/>
    <w:basedOn w:val="Normal"/>
    <w:next w:val="Normal"/>
    <w:link w:val="Heading9Char"/>
    <w:qFormat/>
    <w:rsid w:val="00C50585"/>
    <w:pPr>
      <w:tabs>
        <w:tab w:val="num" w:pos="360"/>
      </w:tabs>
      <w:spacing w:before="240" w:after="60" w:line="240" w:lineRule="auto"/>
      <w:ind w:left="360" w:hanging="360"/>
      <w:jc w:val="both"/>
      <w:outlineLvl w:val="8"/>
    </w:pPr>
    <w:rPr>
      <w:rFonts w:ascii="Arial" w:eastAsia="Times New Roman" w:hAnsi="Arial" w:cs="Times New Roman"/>
      <w:i/>
      <w:sz w:val="1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E6AA0"/>
    <w:pPr>
      <w:tabs>
        <w:tab w:val="center" w:pos="4680"/>
        <w:tab w:val="right" w:pos="9360"/>
      </w:tabs>
      <w:spacing w:after="0" w:line="240" w:lineRule="auto"/>
    </w:pPr>
  </w:style>
  <w:style w:type="character" w:customStyle="1" w:styleId="HeaderChar">
    <w:name w:val="Header Char"/>
    <w:basedOn w:val="DefaultParagraphFont"/>
    <w:link w:val="Header"/>
    <w:rsid w:val="002E6AA0"/>
  </w:style>
  <w:style w:type="paragraph" w:styleId="ListParagraph">
    <w:name w:val="List Paragraph"/>
    <w:aliases w:val="Bullet Points,Bu,Bullet Number,List Paragraph Char Char,MAIN CONTENT,Párrafo de lista,Recommendation,List Paragraph2,Graphic,Table/Figure Heading,Listeafsnit,Bullet List,FooterText,Colorful List Accent 1,numbered,Paragraphe de liste1,列出段落"/>
    <w:basedOn w:val="Normal"/>
    <w:link w:val="ListParagraphChar"/>
    <w:uiPriority w:val="99"/>
    <w:qFormat/>
    <w:rsid w:val="002E6AA0"/>
    <w:pPr>
      <w:ind w:left="720"/>
      <w:contextualSpacing/>
    </w:pPr>
  </w:style>
  <w:style w:type="paragraph" w:customStyle="1" w:styleId="AutoritetiEmer">
    <w:name w:val="Autoriteti_Emer"/>
    <w:next w:val="Normal"/>
    <w:link w:val="AutoritetiEmerChar"/>
    <w:rsid w:val="002E6AA0"/>
    <w:pPr>
      <w:widowControl w:val="0"/>
      <w:spacing w:after="0" w:line="240" w:lineRule="auto"/>
      <w:jc w:val="right"/>
    </w:pPr>
    <w:rPr>
      <w:rFonts w:ascii="CG Times" w:eastAsia="Times New Roman" w:hAnsi="CG Times" w:cs="Times New Roman"/>
      <w:b/>
      <w:lang w:val="en-GB"/>
    </w:rPr>
  </w:style>
  <w:style w:type="paragraph" w:customStyle="1" w:styleId="Autoriteti">
    <w:name w:val="Autoriteti"/>
    <w:next w:val="AutoritetiEmer"/>
    <w:rsid w:val="002E6AA0"/>
    <w:pPr>
      <w:keepNext/>
      <w:widowControl w:val="0"/>
      <w:spacing w:after="0" w:line="240" w:lineRule="auto"/>
      <w:jc w:val="right"/>
    </w:pPr>
    <w:rPr>
      <w:rFonts w:ascii="CG Times" w:eastAsia="Times New Roman" w:hAnsi="CG Times" w:cs="Times New Roman"/>
      <w:caps/>
      <w:lang w:val="en-GB"/>
    </w:rPr>
  </w:style>
  <w:style w:type="character" w:customStyle="1" w:styleId="AutoritetiEmerChar">
    <w:name w:val="Autoriteti_Emer Char"/>
    <w:link w:val="AutoritetiEmer"/>
    <w:rsid w:val="002E6AA0"/>
    <w:rPr>
      <w:rFonts w:ascii="CG Times" w:eastAsia="Times New Roman" w:hAnsi="CG Times" w:cs="Times New Roman"/>
      <w:b/>
      <w:lang w:val="en-GB"/>
    </w:rPr>
  </w:style>
  <w:style w:type="paragraph" w:customStyle="1" w:styleId="Paragrafi">
    <w:name w:val="Paragrafi"/>
    <w:link w:val="ParagrafiChar"/>
    <w:qFormat/>
    <w:rsid w:val="002E6AA0"/>
    <w:pPr>
      <w:widowControl w:val="0"/>
      <w:spacing w:after="0" w:line="240" w:lineRule="auto"/>
      <w:ind w:firstLine="720"/>
      <w:jc w:val="both"/>
    </w:pPr>
    <w:rPr>
      <w:rFonts w:ascii="CG Times" w:eastAsia="Times New Roman" w:hAnsi="CG Times" w:cs="Times New Roman"/>
      <w:szCs w:val="20"/>
      <w:lang w:val="en-US"/>
    </w:rPr>
  </w:style>
  <w:style w:type="character" w:customStyle="1" w:styleId="ListParagraphChar">
    <w:name w:val="List Paragraph Char"/>
    <w:aliases w:val="Bullet Points Char,Bu Char,Bullet Number Char,List Paragraph Char Char Char1,MAIN CONTENT Char,Párrafo de lista Char,Recommendation Char,List Paragraph2 Char,Graphic Char,Table/Figure Heading Char,Listeafsnit Char,Bullet List Char"/>
    <w:link w:val="ListParagraph"/>
    <w:uiPriority w:val="34"/>
    <w:qFormat/>
    <w:rsid w:val="002E6AA0"/>
  </w:style>
  <w:style w:type="paragraph" w:customStyle="1" w:styleId="Style5">
    <w:name w:val="Style5"/>
    <w:basedOn w:val="Normal"/>
    <w:rsid w:val="002E6AA0"/>
    <w:pPr>
      <w:spacing w:after="0" w:line="240" w:lineRule="auto"/>
      <w:jc w:val="center"/>
    </w:pPr>
    <w:rPr>
      <w:rFonts w:ascii="Bookman Old Style" w:eastAsia="Times New Roman" w:hAnsi="Bookman Old Style" w:cs="Times New Roman"/>
      <w:b/>
      <w:bCs/>
      <w:sz w:val="24"/>
      <w:szCs w:val="20"/>
      <w:lang w:val="it-IT"/>
    </w:rPr>
  </w:style>
  <w:style w:type="paragraph" w:styleId="Footer">
    <w:name w:val="footer"/>
    <w:basedOn w:val="Normal"/>
    <w:link w:val="FooterChar"/>
    <w:uiPriority w:val="99"/>
    <w:unhideWhenUsed/>
    <w:rsid w:val="002E6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AA0"/>
  </w:style>
  <w:style w:type="paragraph" w:styleId="NormalWeb">
    <w:name w:val="Normal (Web)"/>
    <w:basedOn w:val="Normal"/>
    <w:uiPriority w:val="99"/>
    <w:unhideWhenUsed/>
    <w:rsid w:val="002E6AA0"/>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qFormat/>
    <w:rsid w:val="002E6AA0"/>
    <w:rPr>
      <w:sz w:val="16"/>
      <w:szCs w:val="16"/>
    </w:rPr>
  </w:style>
  <w:style w:type="paragraph" w:styleId="CommentText">
    <w:name w:val="annotation text"/>
    <w:basedOn w:val="Normal"/>
    <w:link w:val="CommentTextChar"/>
    <w:uiPriority w:val="99"/>
    <w:unhideWhenUsed/>
    <w:qFormat/>
    <w:rsid w:val="002E6AA0"/>
    <w:pPr>
      <w:spacing w:line="240" w:lineRule="auto"/>
    </w:pPr>
    <w:rPr>
      <w:sz w:val="20"/>
      <w:szCs w:val="20"/>
    </w:rPr>
  </w:style>
  <w:style w:type="character" w:customStyle="1" w:styleId="CommentTextChar">
    <w:name w:val="Comment Text Char"/>
    <w:basedOn w:val="DefaultParagraphFont"/>
    <w:link w:val="CommentText"/>
    <w:uiPriority w:val="99"/>
    <w:qFormat/>
    <w:rsid w:val="002E6AA0"/>
    <w:rPr>
      <w:sz w:val="20"/>
      <w:szCs w:val="20"/>
    </w:rPr>
  </w:style>
  <w:style w:type="paragraph" w:styleId="BalloonText">
    <w:name w:val="Balloon Text"/>
    <w:basedOn w:val="Normal"/>
    <w:link w:val="BalloonTextChar"/>
    <w:uiPriority w:val="99"/>
    <w:semiHidden/>
    <w:unhideWhenUsed/>
    <w:rsid w:val="002E6A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AA0"/>
    <w:rPr>
      <w:rFonts w:ascii="Tahoma" w:hAnsi="Tahoma" w:cs="Tahoma"/>
      <w:sz w:val="16"/>
      <w:szCs w:val="16"/>
    </w:rPr>
  </w:style>
  <w:style w:type="character" w:customStyle="1" w:styleId="TitulliChar">
    <w:name w:val="Titulli Char"/>
    <w:link w:val="Titulli"/>
    <w:uiPriority w:val="99"/>
    <w:locked/>
    <w:rsid w:val="005A19D3"/>
    <w:rPr>
      <w:rFonts w:ascii="CG Times" w:hAnsi="CG Times"/>
      <w:b/>
      <w:caps/>
    </w:rPr>
  </w:style>
  <w:style w:type="paragraph" w:customStyle="1" w:styleId="Titulli">
    <w:name w:val="Titulli"/>
    <w:next w:val="Normal"/>
    <w:link w:val="TitulliChar"/>
    <w:uiPriority w:val="99"/>
    <w:rsid w:val="005A19D3"/>
    <w:pPr>
      <w:keepNext/>
      <w:widowControl w:val="0"/>
      <w:spacing w:after="0" w:line="240" w:lineRule="auto"/>
      <w:jc w:val="center"/>
      <w:outlineLvl w:val="1"/>
    </w:pPr>
    <w:rPr>
      <w:rFonts w:ascii="CG Times" w:hAnsi="CG Times"/>
      <w:b/>
      <w:caps/>
    </w:rPr>
  </w:style>
  <w:style w:type="paragraph" w:styleId="CommentSubject">
    <w:name w:val="annotation subject"/>
    <w:basedOn w:val="CommentText"/>
    <w:next w:val="CommentText"/>
    <w:link w:val="CommentSubjectChar"/>
    <w:uiPriority w:val="99"/>
    <w:semiHidden/>
    <w:unhideWhenUsed/>
    <w:rsid w:val="007922B5"/>
    <w:rPr>
      <w:b/>
      <w:bCs/>
    </w:rPr>
  </w:style>
  <w:style w:type="character" w:customStyle="1" w:styleId="CommentSubjectChar">
    <w:name w:val="Comment Subject Char"/>
    <w:basedOn w:val="CommentTextChar"/>
    <w:link w:val="CommentSubject"/>
    <w:uiPriority w:val="99"/>
    <w:semiHidden/>
    <w:rsid w:val="007922B5"/>
    <w:rPr>
      <w:b/>
      <w:bCs/>
      <w:sz w:val="20"/>
      <w:szCs w:val="20"/>
    </w:rPr>
  </w:style>
  <w:style w:type="paragraph" w:styleId="Revision">
    <w:name w:val="Revision"/>
    <w:hidden/>
    <w:uiPriority w:val="99"/>
    <w:semiHidden/>
    <w:rsid w:val="00D3094E"/>
    <w:pPr>
      <w:spacing w:after="0" w:line="240" w:lineRule="auto"/>
    </w:pPr>
  </w:style>
  <w:style w:type="paragraph" w:customStyle="1" w:styleId="TEKSTIII">
    <w:name w:val="TEKSTIII"/>
    <w:basedOn w:val="Normal"/>
    <w:qFormat/>
    <w:rsid w:val="00BD6A3F"/>
    <w:pPr>
      <w:spacing w:after="0" w:line="240" w:lineRule="auto"/>
      <w:ind w:firstLine="284"/>
      <w:jc w:val="both"/>
    </w:pPr>
    <w:rPr>
      <w:rFonts w:ascii="Garamond" w:eastAsiaTheme="minorHAnsi" w:hAnsi="Garamond"/>
      <w:bCs/>
      <w:color w:val="000000"/>
      <w:sz w:val="24"/>
      <w:szCs w:val="28"/>
    </w:rPr>
  </w:style>
  <w:style w:type="character" w:customStyle="1" w:styleId="Heading1Char">
    <w:name w:val="Heading 1 Char"/>
    <w:basedOn w:val="DefaultParagraphFont"/>
    <w:link w:val="Heading1"/>
    <w:rsid w:val="00B6191B"/>
    <w:rPr>
      <w:rFonts w:ascii="Times New Roman" w:hAnsi="Times New Roman" w:cs="Times New Roman"/>
      <w:b/>
      <w:bCs/>
      <w:color w:val="000000"/>
      <w:sz w:val="24"/>
      <w:szCs w:val="24"/>
    </w:rPr>
  </w:style>
  <w:style w:type="character" w:customStyle="1" w:styleId="Heading2Char">
    <w:name w:val="Heading 2 Char"/>
    <w:basedOn w:val="DefaultParagraphFont"/>
    <w:link w:val="Heading2"/>
    <w:rsid w:val="00C5058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C50585"/>
    <w:rPr>
      <w:rFonts w:ascii="Calibri" w:eastAsia="Calibri" w:hAnsi="Calibri" w:cs="Times New Roman"/>
      <w:sz w:val="23"/>
      <w:szCs w:val="23"/>
      <w:lang w:val="en-GB" w:eastAsia="en-US"/>
    </w:rPr>
  </w:style>
  <w:style w:type="character" w:customStyle="1" w:styleId="Heading4Char">
    <w:name w:val="Heading 4 Char"/>
    <w:basedOn w:val="DefaultParagraphFont"/>
    <w:link w:val="Heading4"/>
    <w:rsid w:val="00C50585"/>
    <w:rPr>
      <w:rFonts w:ascii="Arial Narrow" w:eastAsia="Arial Narrow" w:hAnsi="Arial Narrow" w:cs="Times New Roman"/>
      <w:b/>
      <w:bCs/>
      <w:lang w:val="en-GB" w:eastAsia="en-US"/>
    </w:rPr>
  </w:style>
  <w:style w:type="character" w:customStyle="1" w:styleId="Heading5Char">
    <w:name w:val="Heading 5 Char"/>
    <w:basedOn w:val="DefaultParagraphFont"/>
    <w:link w:val="Heading5"/>
    <w:rsid w:val="00C50585"/>
    <w:rPr>
      <w:rFonts w:ascii="Arial Narrow" w:eastAsia="Arial Narrow" w:hAnsi="Arial Narrow" w:cs="Times New Roman"/>
      <w:b/>
      <w:bCs/>
      <w:i/>
      <w:lang w:val="en-GB" w:eastAsia="en-US"/>
    </w:rPr>
  </w:style>
  <w:style w:type="character" w:customStyle="1" w:styleId="Heading6Char">
    <w:name w:val="Heading 6 Char"/>
    <w:basedOn w:val="DefaultParagraphFont"/>
    <w:link w:val="Heading6"/>
    <w:rsid w:val="00C50585"/>
    <w:rPr>
      <w:rFonts w:ascii="Times New Roman" w:eastAsia="Times New Roman" w:hAnsi="Times New Roman" w:cs="Times New Roman"/>
      <w:i/>
      <w:sz w:val="24"/>
      <w:szCs w:val="24"/>
      <w:u w:val="single"/>
      <w:lang w:val="x-none" w:eastAsia="x-none"/>
    </w:rPr>
  </w:style>
  <w:style w:type="character" w:customStyle="1" w:styleId="Heading7Char">
    <w:name w:val="Heading 7 Char"/>
    <w:basedOn w:val="DefaultParagraphFont"/>
    <w:link w:val="Heading7"/>
    <w:rsid w:val="00C50585"/>
    <w:rPr>
      <w:rFonts w:ascii="Arial" w:eastAsia="Times New Roman" w:hAnsi="Arial" w:cs="Times New Roman"/>
      <w:sz w:val="20"/>
      <w:szCs w:val="20"/>
      <w:lang w:val="x-none" w:eastAsia="x-none"/>
    </w:rPr>
  </w:style>
  <w:style w:type="character" w:customStyle="1" w:styleId="Heading8Char">
    <w:name w:val="Heading 8 Char"/>
    <w:basedOn w:val="DefaultParagraphFont"/>
    <w:link w:val="Heading8"/>
    <w:rsid w:val="00C50585"/>
    <w:rPr>
      <w:rFonts w:ascii="Arial" w:eastAsia="Times New Roman" w:hAnsi="Arial" w:cs="Times New Roman"/>
      <w:i/>
      <w:sz w:val="20"/>
      <w:szCs w:val="20"/>
      <w:lang w:val="x-none" w:eastAsia="x-none"/>
    </w:rPr>
  </w:style>
  <w:style w:type="character" w:customStyle="1" w:styleId="Heading9Char">
    <w:name w:val="Heading 9 Char"/>
    <w:basedOn w:val="DefaultParagraphFont"/>
    <w:link w:val="Heading9"/>
    <w:rsid w:val="00C50585"/>
    <w:rPr>
      <w:rFonts w:ascii="Arial" w:eastAsia="Times New Roman" w:hAnsi="Arial" w:cs="Times New Roman"/>
      <w:i/>
      <w:sz w:val="18"/>
      <w:szCs w:val="20"/>
      <w:lang w:val="x-none" w:eastAsia="x-none"/>
    </w:rPr>
  </w:style>
  <w:style w:type="paragraph" w:styleId="BodyText">
    <w:name w:val="Body Text"/>
    <w:basedOn w:val="Normal"/>
    <w:link w:val="BodyTextChar"/>
    <w:uiPriority w:val="1"/>
    <w:qFormat/>
    <w:rsid w:val="00C50585"/>
    <w:pPr>
      <w:widowControl w:val="0"/>
      <w:spacing w:after="0" w:line="240" w:lineRule="auto"/>
      <w:ind w:left="1380"/>
    </w:pPr>
    <w:rPr>
      <w:rFonts w:ascii="Arial Narrow" w:eastAsia="Arial Narrow" w:hAnsi="Arial Narrow" w:cs="Times New Roman"/>
      <w:lang w:val="en-GB" w:eastAsia="en-US"/>
    </w:rPr>
  </w:style>
  <w:style w:type="character" w:customStyle="1" w:styleId="BodyTextChar">
    <w:name w:val="Body Text Char"/>
    <w:basedOn w:val="DefaultParagraphFont"/>
    <w:link w:val="BodyText"/>
    <w:uiPriority w:val="1"/>
    <w:rsid w:val="00C50585"/>
    <w:rPr>
      <w:rFonts w:ascii="Arial Narrow" w:eastAsia="Arial Narrow" w:hAnsi="Arial Narrow" w:cs="Times New Roman"/>
      <w:lang w:val="en-GB" w:eastAsia="en-US"/>
    </w:rPr>
  </w:style>
  <w:style w:type="paragraph" w:customStyle="1" w:styleId="ColorfulList-Accent11">
    <w:name w:val="Colorful List - Accent 11"/>
    <w:aliases w:val="List Paragraph (numbered (a)),Normal 1,List Paragraph 1,Akapit z listą BS,Bullets,List Paragraph1,Bullet1,NumberedParas,Dot pt,F5 List Paragraph,List Paragraph Char Char Char,Indicator Text,Numbered Para 1,Bullet 1"/>
    <w:basedOn w:val="Normal"/>
    <w:link w:val="ColorfulList-Accent1Char"/>
    <w:uiPriority w:val="34"/>
    <w:qFormat/>
    <w:rsid w:val="00C50585"/>
    <w:pPr>
      <w:widowControl w:val="0"/>
      <w:spacing w:after="0" w:line="240" w:lineRule="auto"/>
    </w:pPr>
    <w:rPr>
      <w:rFonts w:ascii="Calibri" w:eastAsia="Calibri" w:hAnsi="Calibri" w:cs="Times New Roman"/>
      <w:lang w:val="en-GB" w:eastAsia="en-US"/>
    </w:rPr>
  </w:style>
  <w:style w:type="character" w:customStyle="1" w:styleId="ColorfulList-Accent1Char">
    <w:name w:val="Colorful List - Accent 1 Char"/>
    <w:aliases w:val="List Paragraph (numbered (a)) Char,Normal 1 Char,List Paragraph 1 Char,Akapit z listą BS Char,Bullets Char,List Paragraph1 Char,Bullet1 Char,NumberedParas Char,Dot pt Char,F5 List Paragraph Char,Indicator Text Char"/>
    <w:link w:val="ColorfulList-Accent11"/>
    <w:uiPriority w:val="34"/>
    <w:qFormat/>
    <w:locked/>
    <w:rsid w:val="00C50585"/>
    <w:rPr>
      <w:rFonts w:ascii="Calibri" w:eastAsia="Calibri" w:hAnsi="Calibri" w:cs="Times New Roman"/>
      <w:lang w:val="en-GB" w:eastAsia="en-US"/>
    </w:rPr>
  </w:style>
  <w:style w:type="paragraph" w:customStyle="1" w:styleId="TableParagraph">
    <w:name w:val="Table Paragraph"/>
    <w:basedOn w:val="Normal"/>
    <w:uiPriority w:val="1"/>
    <w:qFormat/>
    <w:rsid w:val="00C50585"/>
    <w:pPr>
      <w:widowControl w:val="0"/>
      <w:spacing w:after="0" w:line="240" w:lineRule="auto"/>
    </w:pPr>
    <w:rPr>
      <w:rFonts w:ascii="Calibri" w:eastAsia="Calibri" w:hAnsi="Calibri" w:cs="Times New Roman"/>
      <w:lang w:val="en-GB" w:eastAsia="en-US"/>
    </w:rPr>
  </w:style>
  <w:style w:type="table" w:styleId="TableGrid">
    <w:name w:val="Table Grid"/>
    <w:basedOn w:val="TableNormal"/>
    <w:uiPriority w:val="59"/>
    <w:rsid w:val="00C50585"/>
    <w:pPr>
      <w:widowControl w:val="0"/>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semiHidden/>
    <w:unhideWhenUsed/>
    <w:qFormat/>
    <w:rsid w:val="00C50585"/>
    <w:pPr>
      <w:keepNext/>
      <w:keepLines/>
      <w:autoSpaceDE/>
      <w:autoSpaceDN/>
      <w:adjustRightInd/>
      <w:spacing w:before="480" w:line="276" w:lineRule="auto"/>
      <w:ind w:left="0"/>
      <w:outlineLvl w:val="9"/>
    </w:pPr>
    <w:rPr>
      <w:rFonts w:ascii="Calibri Light" w:eastAsia="Times New Roman" w:hAnsi="Calibri Light"/>
      <w:color w:val="2E74B5"/>
      <w:sz w:val="28"/>
      <w:szCs w:val="28"/>
      <w:lang w:val="en-GB" w:eastAsia="ja-JP"/>
    </w:rPr>
  </w:style>
  <w:style w:type="paragraph" w:styleId="TOC1">
    <w:name w:val="toc 1"/>
    <w:basedOn w:val="Normal"/>
    <w:next w:val="Normal"/>
    <w:autoRedefine/>
    <w:uiPriority w:val="39"/>
    <w:unhideWhenUsed/>
    <w:qFormat/>
    <w:rsid w:val="00C50585"/>
    <w:pPr>
      <w:widowControl w:val="0"/>
      <w:spacing w:after="100" w:line="240" w:lineRule="auto"/>
    </w:pPr>
    <w:rPr>
      <w:rFonts w:ascii="Calibri" w:eastAsia="Calibri" w:hAnsi="Calibri" w:cs="Times New Roman"/>
      <w:lang w:val="en-GB" w:eastAsia="en-US"/>
    </w:rPr>
  </w:style>
  <w:style w:type="paragraph" w:styleId="TOC2">
    <w:name w:val="toc 2"/>
    <w:basedOn w:val="Normal"/>
    <w:next w:val="Normal"/>
    <w:autoRedefine/>
    <w:uiPriority w:val="39"/>
    <w:unhideWhenUsed/>
    <w:qFormat/>
    <w:rsid w:val="00C50585"/>
    <w:pPr>
      <w:widowControl w:val="0"/>
      <w:spacing w:after="100" w:line="240" w:lineRule="auto"/>
      <w:ind w:left="220"/>
    </w:pPr>
    <w:rPr>
      <w:rFonts w:ascii="Calibri" w:eastAsia="Calibri" w:hAnsi="Calibri" w:cs="Times New Roman"/>
      <w:lang w:val="en-GB" w:eastAsia="en-US"/>
    </w:rPr>
  </w:style>
  <w:style w:type="paragraph" w:styleId="TOC3">
    <w:name w:val="toc 3"/>
    <w:basedOn w:val="Normal"/>
    <w:next w:val="Normal"/>
    <w:autoRedefine/>
    <w:uiPriority w:val="39"/>
    <w:unhideWhenUsed/>
    <w:qFormat/>
    <w:rsid w:val="00C50585"/>
    <w:pPr>
      <w:widowControl w:val="0"/>
      <w:tabs>
        <w:tab w:val="left" w:pos="1134"/>
        <w:tab w:val="right" w:leader="dot" w:pos="9632"/>
      </w:tabs>
      <w:spacing w:after="100" w:line="240" w:lineRule="auto"/>
      <w:ind w:left="567"/>
      <w:jc w:val="both"/>
    </w:pPr>
    <w:rPr>
      <w:rFonts w:ascii="Calibri" w:eastAsia="Calibri" w:hAnsi="Calibri" w:cs="Times New Roman"/>
      <w:lang w:val="en-GB" w:eastAsia="en-US"/>
    </w:rPr>
  </w:style>
  <w:style w:type="character" w:styleId="Hyperlink">
    <w:name w:val="Hyperlink"/>
    <w:uiPriority w:val="99"/>
    <w:unhideWhenUsed/>
    <w:rsid w:val="00C50585"/>
    <w:rPr>
      <w:color w:val="0563C1"/>
      <w:u w:val="single"/>
    </w:rPr>
  </w:style>
  <w:style w:type="paragraph" w:styleId="Caption">
    <w:name w:val="caption"/>
    <w:basedOn w:val="Normal"/>
    <w:next w:val="Normal"/>
    <w:uiPriority w:val="35"/>
    <w:qFormat/>
    <w:rsid w:val="00C50585"/>
    <w:pPr>
      <w:widowControl w:val="0"/>
      <w:spacing w:line="240" w:lineRule="auto"/>
    </w:pPr>
    <w:rPr>
      <w:rFonts w:ascii="Calibri" w:eastAsia="Calibri" w:hAnsi="Calibri" w:cs="Times New Roman"/>
      <w:b/>
      <w:bCs/>
      <w:color w:val="5B9BD5"/>
      <w:sz w:val="18"/>
      <w:szCs w:val="18"/>
      <w:lang w:val="en-GB" w:eastAsia="en-US"/>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har Char Char,C"/>
    <w:basedOn w:val="Normal"/>
    <w:link w:val="FootnoteTextChar"/>
    <w:uiPriority w:val="99"/>
    <w:unhideWhenUsed/>
    <w:qFormat/>
    <w:rsid w:val="00C50585"/>
    <w:pPr>
      <w:widowControl w:val="0"/>
      <w:spacing w:after="0" w:line="240" w:lineRule="auto"/>
    </w:pPr>
    <w:rPr>
      <w:rFonts w:ascii="Calibri" w:eastAsia="Calibri" w:hAnsi="Calibri" w:cs="Times New Roman"/>
      <w:sz w:val="20"/>
      <w:szCs w:val="20"/>
      <w:lang w:val="en-GB" w:eastAsia="en-US"/>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uiPriority w:val="99"/>
    <w:qFormat/>
    <w:rsid w:val="00C50585"/>
    <w:rPr>
      <w:rFonts w:ascii="Calibri" w:eastAsia="Calibri" w:hAnsi="Calibri" w:cs="Times New Roman"/>
      <w:sz w:val="20"/>
      <w:szCs w:val="20"/>
      <w:lang w:val="en-GB" w:eastAsia="en-US"/>
    </w:rPr>
  </w:style>
  <w:style w:type="character" w:styleId="FootnoteReference">
    <w:name w:val="footnote reference"/>
    <w:aliases w:val="BVI fnr,16 Point,Superscript 6 Point,ftref,fr,Fußnotenzeichen DISS,Footnote,Footnote symbol,Char1 Char Char Char Char, Char1 Char Char Char Char,Odwołanie przypisu,nota pié di pagina,Footnote reference number,Times 10 Point,note TESI"/>
    <w:link w:val="BVIfnrCarCarCarCarChar"/>
    <w:uiPriority w:val="99"/>
    <w:unhideWhenUsed/>
    <w:qFormat/>
    <w:rsid w:val="00C50585"/>
    <w:rPr>
      <w:vertAlign w:val="superscript"/>
    </w:rPr>
  </w:style>
  <w:style w:type="paragraph" w:customStyle="1" w:styleId="BVIfnrCarCarCarCarChar">
    <w:name w:val="BVI fnr Car Car Car Car Char"/>
    <w:basedOn w:val="Normal"/>
    <w:link w:val="FootnoteReference"/>
    <w:uiPriority w:val="99"/>
    <w:qFormat/>
    <w:rsid w:val="00C50585"/>
    <w:pPr>
      <w:spacing w:after="160" w:line="240" w:lineRule="exact"/>
    </w:pPr>
    <w:rPr>
      <w:vertAlign w:val="superscript"/>
    </w:rPr>
  </w:style>
  <w:style w:type="paragraph" w:styleId="DocumentMap">
    <w:name w:val="Document Map"/>
    <w:basedOn w:val="Normal"/>
    <w:link w:val="DocumentMapChar"/>
    <w:semiHidden/>
    <w:unhideWhenUsed/>
    <w:rsid w:val="00C50585"/>
    <w:pPr>
      <w:widowControl w:val="0"/>
      <w:spacing w:after="0" w:line="240" w:lineRule="auto"/>
    </w:pPr>
    <w:rPr>
      <w:rFonts w:ascii="Times New Roman" w:eastAsia="Calibri" w:hAnsi="Times New Roman" w:cs="Times New Roman"/>
      <w:sz w:val="24"/>
      <w:szCs w:val="24"/>
      <w:lang w:val="en-GB" w:eastAsia="en-US"/>
    </w:rPr>
  </w:style>
  <w:style w:type="character" w:customStyle="1" w:styleId="DocumentMapChar">
    <w:name w:val="Document Map Char"/>
    <w:basedOn w:val="DefaultParagraphFont"/>
    <w:link w:val="DocumentMap"/>
    <w:semiHidden/>
    <w:rsid w:val="00C50585"/>
    <w:rPr>
      <w:rFonts w:ascii="Times New Roman" w:eastAsia="Calibri" w:hAnsi="Times New Roman" w:cs="Times New Roman"/>
      <w:sz w:val="24"/>
      <w:szCs w:val="24"/>
      <w:lang w:val="en-GB" w:eastAsia="en-US"/>
    </w:rPr>
  </w:style>
  <w:style w:type="character" w:styleId="PageNumber">
    <w:name w:val="page number"/>
    <w:uiPriority w:val="99"/>
    <w:semiHidden/>
    <w:unhideWhenUsed/>
    <w:rsid w:val="00C50585"/>
  </w:style>
  <w:style w:type="character" w:customStyle="1" w:styleId="Notedebasdepage">
    <w:name w:val="Note de bas de page_"/>
    <w:link w:val="Notedebasdepage0"/>
    <w:uiPriority w:val="99"/>
    <w:rsid w:val="00C50585"/>
    <w:rPr>
      <w:sz w:val="17"/>
      <w:szCs w:val="17"/>
      <w:shd w:val="clear" w:color="auto" w:fill="FFFFFF"/>
    </w:rPr>
  </w:style>
  <w:style w:type="paragraph" w:customStyle="1" w:styleId="Notedebasdepage0">
    <w:name w:val="Note de bas de page"/>
    <w:basedOn w:val="Normal"/>
    <w:link w:val="Notedebasdepage"/>
    <w:uiPriority w:val="99"/>
    <w:rsid w:val="00C50585"/>
    <w:pPr>
      <w:widowControl w:val="0"/>
      <w:shd w:val="clear" w:color="auto" w:fill="FFFFFF"/>
      <w:spacing w:after="0" w:line="206" w:lineRule="exact"/>
      <w:ind w:hanging="180"/>
      <w:jc w:val="both"/>
    </w:pPr>
    <w:rPr>
      <w:sz w:val="17"/>
      <w:szCs w:val="17"/>
    </w:rPr>
  </w:style>
  <w:style w:type="character" w:customStyle="1" w:styleId="Corpsdutexte2">
    <w:name w:val="Corps du texte (2)_"/>
    <w:link w:val="Corpsdutexte21"/>
    <w:uiPriority w:val="99"/>
    <w:rsid w:val="00C50585"/>
    <w:rPr>
      <w:rFonts w:ascii="Arial" w:hAnsi="Arial" w:cs="Arial"/>
      <w:sz w:val="16"/>
      <w:szCs w:val="16"/>
      <w:shd w:val="clear" w:color="auto" w:fill="FFFFFF"/>
    </w:rPr>
  </w:style>
  <w:style w:type="paragraph" w:customStyle="1" w:styleId="Corpsdutexte21">
    <w:name w:val="Corps du texte (2)1"/>
    <w:basedOn w:val="Normal"/>
    <w:link w:val="Corpsdutexte2"/>
    <w:uiPriority w:val="99"/>
    <w:rsid w:val="00C50585"/>
    <w:pPr>
      <w:widowControl w:val="0"/>
      <w:shd w:val="clear" w:color="auto" w:fill="FFFFFF"/>
      <w:spacing w:after="720" w:line="240" w:lineRule="atLeast"/>
      <w:jc w:val="right"/>
    </w:pPr>
    <w:rPr>
      <w:rFonts w:ascii="Arial" w:hAnsi="Arial" w:cs="Arial"/>
      <w:sz w:val="16"/>
      <w:szCs w:val="16"/>
    </w:rPr>
  </w:style>
  <w:style w:type="character" w:customStyle="1" w:styleId="Corpsdutexte20">
    <w:name w:val="Corps du texte (2)"/>
    <w:uiPriority w:val="99"/>
    <w:rsid w:val="00C50585"/>
    <w:rPr>
      <w:rFonts w:ascii="Arial" w:hAnsi="Arial" w:cs="Arial"/>
      <w:color w:val="000096"/>
      <w:sz w:val="16"/>
      <w:szCs w:val="16"/>
      <w:u w:val="none"/>
      <w:lang w:val="bg-BG" w:eastAsia="bg-BG"/>
    </w:rPr>
  </w:style>
  <w:style w:type="character" w:customStyle="1" w:styleId="Corpsdutexte24">
    <w:name w:val="Corps du texte (2)4"/>
    <w:uiPriority w:val="99"/>
    <w:rsid w:val="00C50585"/>
    <w:rPr>
      <w:rFonts w:ascii="Arial" w:hAnsi="Arial" w:cs="Arial"/>
      <w:color w:val="4B4B4B"/>
      <w:sz w:val="16"/>
      <w:szCs w:val="16"/>
      <w:u w:val="none"/>
      <w:lang w:val="de-DE" w:eastAsia="de-DE"/>
    </w:rPr>
  </w:style>
  <w:style w:type="character" w:customStyle="1" w:styleId="Corpsdutexte3">
    <w:name w:val="Corps du texte (3)_"/>
    <w:link w:val="Corpsdutexte30"/>
    <w:uiPriority w:val="99"/>
    <w:rsid w:val="00C50585"/>
    <w:rPr>
      <w:rFonts w:ascii="Arial" w:hAnsi="Arial" w:cs="Arial"/>
      <w:shd w:val="clear" w:color="auto" w:fill="FFFFFF"/>
      <w:lang w:val="fi-FI" w:eastAsia="fi-FI"/>
    </w:rPr>
  </w:style>
  <w:style w:type="paragraph" w:customStyle="1" w:styleId="Corpsdutexte30">
    <w:name w:val="Corps du texte (3)"/>
    <w:basedOn w:val="Normal"/>
    <w:link w:val="Corpsdutexte3"/>
    <w:uiPriority w:val="99"/>
    <w:rsid w:val="00C50585"/>
    <w:pPr>
      <w:widowControl w:val="0"/>
      <w:shd w:val="clear" w:color="auto" w:fill="FFFFFF"/>
      <w:spacing w:before="720" w:after="60" w:line="240" w:lineRule="atLeast"/>
    </w:pPr>
    <w:rPr>
      <w:rFonts w:ascii="Arial" w:hAnsi="Arial" w:cs="Arial"/>
      <w:lang w:val="fi-FI" w:eastAsia="fi-FI"/>
    </w:rPr>
  </w:style>
  <w:style w:type="character" w:customStyle="1" w:styleId="Corpsdutexte4">
    <w:name w:val="Corps du texte (4)_"/>
    <w:link w:val="Corpsdutexte40"/>
    <w:uiPriority w:val="99"/>
    <w:rsid w:val="00C50585"/>
    <w:rPr>
      <w:rFonts w:ascii="Arial" w:hAnsi="Arial" w:cs="Arial"/>
      <w:sz w:val="14"/>
      <w:szCs w:val="14"/>
      <w:shd w:val="clear" w:color="auto" w:fill="FFFFFF"/>
    </w:rPr>
  </w:style>
  <w:style w:type="paragraph" w:customStyle="1" w:styleId="Corpsdutexte40">
    <w:name w:val="Corps du texte (4)"/>
    <w:basedOn w:val="Normal"/>
    <w:link w:val="Corpsdutexte4"/>
    <w:uiPriority w:val="99"/>
    <w:rsid w:val="00C50585"/>
    <w:pPr>
      <w:widowControl w:val="0"/>
      <w:shd w:val="clear" w:color="auto" w:fill="FFFFFF"/>
      <w:spacing w:before="60" w:after="5340" w:line="240" w:lineRule="atLeast"/>
    </w:pPr>
    <w:rPr>
      <w:rFonts w:ascii="Arial" w:hAnsi="Arial" w:cs="Arial"/>
      <w:sz w:val="14"/>
      <w:szCs w:val="14"/>
    </w:rPr>
  </w:style>
  <w:style w:type="character" w:customStyle="1" w:styleId="Corpsdutexte5">
    <w:name w:val="Corps du texte (5)_"/>
    <w:link w:val="Corpsdutexte50"/>
    <w:uiPriority w:val="99"/>
    <w:rsid w:val="00C50585"/>
    <w:rPr>
      <w:rFonts w:ascii="Times New Roman" w:hAnsi="Times New Roman" w:cs="Times New Roman"/>
      <w:b/>
      <w:bCs/>
      <w:sz w:val="31"/>
      <w:szCs w:val="31"/>
      <w:shd w:val="clear" w:color="auto" w:fill="FFFFFF"/>
      <w:lang w:val="de-DE" w:eastAsia="de-DE"/>
    </w:rPr>
  </w:style>
  <w:style w:type="paragraph" w:customStyle="1" w:styleId="Corpsdutexte50">
    <w:name w:val="Corps du texte (5)"/>
    <w:basedOn w:val="Normal"/>
    <w:link w:val="Corpsdutexte5"/>
    <w:uiPriority w:val="99"/>
    <w:rsid w:val="00C50585"/>
    <w:pPr>
      <w:widowControl w:val="0"/>
      <w:shd w:val="clear" w:color="auto" w:fill="FFFFFF"/>
      <w:spacing w:before="5340" w:after="1800" w:line="370" w:lineRule="exact"/>
    </w:pPr>
    <w:rPr>
      <w:rFonts w:ascii="Times New Roman" w:hAnsi="Times New Roman" w:cs="Times New Roman"/>
      <w:b/>
      <w:bCs/>
      <w:sz w:val="31"/>
      <w:szCs w:val="31"/>
      <w:lang w:val="de-DE" w:eastAsia="de-DE"/>
    </w:rPr>
  </w:style>
  <w:style w:type="character" w:customStyle="1" w:styleId="Corpsdutexte6">
    <w:name w:val="Corps du texte (6)_"/>
    <w:link w:val="Corpsdutexte60"/>
    <w:uiPriority w:val="99"/>
    <w:rsid w:val="00C50585"/>
    <w:rPr>
      <w:sz w:val="31"/>
      <w:szCs w:val="31"/>
      <w:shd w:val="clear" w:color="auto" w:fill="FFFFFF"/>
    </w:rPr>
  </w:style>
  <w:style w:type="paragraph" w:customStyle="1" w:styleId="Corpsdutexte60">
    <w:name w:val="Corps du texte (6)"/>
    <w:basedOn w:val="Normal"/>
    <w:link w:val="Corpsdutexte6"/>
    <w:uiPriority w:val="99"/>
    <w:rsid w:val="00C50585"/>
    <w:pPr>
      <w:widowControl w:val="0"/>
      <w:shd w:val="clear" w:color="auto" w:fill="FFFFFF"/>
      <w:spacing w:before="1800" w:after="0" w:line="240" w:lineRule="atLeast"/>
    </w:pPr>
    <w:rPr>
      <w:sz w:val="31"/>
      <w:szCs w:val="31"/>
    </w:rPr>
  </w:style>
  <w:style w:type="character" w:customStyle="1" w:styleId="Corpsdutexte">
    <w:name w:val="Corps du texte_"/>
    <w:link w:val="Corpsdutexte1"/>
    <w:uiPriority w:val="99"/>
    <w:rsid w:val="00C50585"/>
    <w:rPr>
      <w:sz w:val="23"/>
      <w:szCs w:val="23"/>
      <w:shd w:val="clear" w:color="auto" w:fill="FFFFFF"/>
    </w:rPr>
  </w:style>
  <w:style w:type="paragraph" w:customStyle="1" w:styleId="Corpsdutexte1">
    <w:name w:val="Corps du texte1"/>
    <w:basedOn w:val="Normal"/>
    <w:link w:val="Corpsdutexte"/>
    <w:uiPriority w:val="99"/>
    <w:rsid w:val="00C50585"/>
    <w:pPr>
      <w:widowControl w:val="0"/>
      <w:shd w:val="clear" w:color="auto" w:fill="FFFFFF"/>
      <w:spacing w:after="300" w:line="240" w:lineRule="atLeast"/>
      <w:jc w:val="both"/>
    </w:pPr>
    <w:rPr>
      <w:sz w:val="23"/>
      <w:szCs w:val="23"/>
    </w:rPr>
  </w:style>
  <w:style w:type="character" w:customStyle="1" w:styleId="Corpsdutexte0">
    <w:name w:val="Corps du texte"/>
    <w:uiPriority w:val="99"/>
    <w:rsid w:val="00C50585"/>
    <w:rPr>
      <w:sz w:val="23"/>
      <w:szCs w:val="23"/>
      <w:u w:val="single"/>
    </w:rPr>
  </w:style>
  <w:style w:type="character" w:customStyle="1" w:styleId="En-tteoupieddepage">
    <w:name w:val="En-tête ou pied de page_"/>
    <w:link w:val="En-tteoupieddepage0"/>
    <w:uiPriority w:val="99"/>
    <w:rsid w:val="00C50585"/>
    <w:rPr>
      <w:rFonts w:ascii="Times New Roman" w:hAnsi="Times New Roman" w:cs="Times New Roman"/>
      <w:noProof/>
      <w:sz w:val="20"/>
      <w:szCs w:val="20"/>
      <w:shd w:val="clear" w:color="auto" w:fill="FFFFFF"/>
    </w:rPr>
  </w:style>
  <w:style w:type="paragraph" w:customStyle="1" w:styleId="En-tteoupieddepage0">
    <w:name w:val="En-tête ou pied de page"/>
    <w:basedOn w:val="Normal"/>
    <w:link w:val="En-tteoupieddepage"/>
    <w:uiPriority w:val="99"/>
    <w:rsid w:val="00C50585"/>
    <w:pPr>
      <w:widowControl w:val="0"/>
      <w:shd w:val="clear" w:color="auto" w:fill="FFFFFF"/>
      <w:spacing w:after="0" w:line="240" w:lineRule="auto"/>
    </w:pPr>
    <w:rPr>
      <w:rFonts w:ascii="Times New Roman" w:hAnsi="Times New Roman" w:cs="Times New Roman"/>
      <w:noProof/>
      <w:sz w:val="20"/>
      <w:szCs w:val="20"/>
    </w:rPr>
  </w:style>
  <w:style w:type="character" w:customStyle="1" w:styleId="En-tteoupieddepage11pt">
    <w:name w:val="En-tête ou pied de page + 11 pt"/>
    <w:uiPriority w:val="99"/>
    <w:rsid w:val="00C50585"/>
    <w:rPr>
      <w:rFonts w:ascii="Times New Roman" w:hAnsi="Times New Roman" w:cs="Times New Roman"/>
      <w:noProof/>
      <w:sz w:val="22"/>
      <w:szCs w:val="22"/>
      <w:u w:val="none"/>
    </w:rPr>
  </w:style>
  <w:style w:type="character" w:customStyle="1" w:styleId="CorpsdutexteItalique">
    <w:name w:val="Corps du texte + Italique"/>
    <w:uiPriority w:val="99"/>
    <w:rsid w:val="00C50585"/>
    <w:rPr>
      <w:i/>
      <w:iCs/>
      <w:sz w:val="23"/>
      <w:szCs w:val="23"/>
      <w:u w:val="none"/>
    </w:rPr>
  </w:style>
  <w:style w:type="character" w:customStyle="1" w:styleId="Corpsdutexte31">
    <w:name w:val="Corps du texte3"/>
    <w:uiPriority w:val="99"/>
    <w:rsid w:val="00C50585"/>
    <w:rPr>
      <w:sz w:val="23"/>
      <w:szCs w:val="23"/>
      <w:u w:val="none"/>
    </w:rPr>
  </w:style>
  <w:style w:type="character" w:customStyle="1" w:styleId="CorpsdutexteGras">
    <w:name w:val="Corps du texte + Gras"/>
    <w:uiPriority w:val="99"/>
    <w:rsid w:val="00C50585"/>
    <w:rPr>
      <w:rFonts w:ascii="Times New Roman" w:hAnsi="Times New Roman" w:cs="Times New Roman"/>
      <w:b/>
      <w:bCs/>
      <w:noProof/>
      <w:sz w:val="23"/>
      <w:szCs w:val="23"/>
      <w:u w:val="none"/>
    </w:rPr>
  </w:style>
  <w:style w:type="character" w:customStyle="1" w:styleId="CorpsdutexteGras4">
    <w:name w:val="Corps du texte + Gras4"/>
    <w:uiPriority w:val="99"/>
    <w:rsid w:val="00C50585"/>
    <w:rPr>
      <w:b/>
      <w:bCs/>
      <w:sz w:val="23"/>
      <w:szCs w:val="23"/>
      <w:u w:val="single"/>
    </w:rPr>
  </w:style>
  <w:style w:type="character" w:customStyle="1" w:styleId="Corpsdutexte10pt">
    <w:name w:val="Corps du texte + 10 pt"/>
    <w:uiPriority w:val="99"/>
    <w:rsid w:val="00C50585"/>
    <w:rPr>
      <w:color w:val="0000FF"/>
      <w:sz w:val="20"/>
      <w:szCs w:val="20"/>
      <w:u w:val="single"/>
    </w:rPr>
  </w:style>
  <w:style w:type="character" w:customStyle="1" w:styleId="Corpsdutexte7">
    <w:name w:val="Corps du texte (7)_"/>
    <w:link w:val="Corpsdutexte71"/>
    <w:uiPriority w:val="99"/>
    <w:rsid w:val="00C50585"/>
    <w:rPr>
      <w:b/>
      <w:bCs/>
      <w:sz w:val="23"/>
      <w:szCs w:val="23"/>
      <w:shd w:val="clear" w:color="auto" w:fill="FFFFFF"/>
    </w:rPr>
  </w:style>
  <w:style w:type="paragraph" w:customStyle="1" w:styleId="Corpsdutexte71">
    <w:name w:val="Corps du texte (7)1"/>
    <w:basedOn w:val="Normal"/>
    <w:link w:val="Corpsdutexte7"/>
    <w:uiPriority w:val="99"/>
    <w:rsid w:val="00C50585"/>
    <w:pPr>
      <w:widowControl w:val="0"/>
      <w:shd w:val="clear" w:color="auto" w:fill="FFFFFF"/>
      <w:spacing w:after="540" w:line="240" w:lineRule="atLeast"/>
      <w:jc w:val="center"/>
    </w:pPr>
    <w:rPr>
      <w:b/>
      <w:bCs/>
      <w:sz w:val="23"/>
      <w:szCs w:val="23"/>
    </w:rPr>
  </w:style>
  <w:style w:type="character" w:customStyle="1" w:styleId="Corpsdutexte70">
    <w:name w:val="Corps du texte (7)"/>
    <w:uiPriority w:val="99"/>
    <w:rsid w:val="00C50585"/>
    <w:rPr>
      <w:rFonts w:ascii="Times New Roman" w:hAnsi="Times New Roman" w:cs="Times New Roman"/>
      <w:b/>
      <w:bCs/>
      <w:sz w:val="23"/>
      <w:szCs w:val="23"/>
      <w:u w:val="single"/>
      <w:lang w:val="de-DE" w:eastAsia="de-DE"/>
    </w:rPr>
  </w:style>
  <w:style w:type="character" w:customStyle="1" w:styleId="Corpsdutexte710pt">
    <w:name w:val="Corps du texte (7) + 10 pt"/>
    <w:aliases w:val="Non Gras"/>
    <w:uiPriority w:val="99"/>
    <w:rsid w:val="00C50585"/>
    <w:rPr>
      <w:b/>
      <w:bCs/>
      <w:sz w:val="20"/>
      <w:szCs w:val="20"/>
      <w:u w:val="none"/>
    </w:rPr>
  </w:style>
  <w:style w:type="character" w:customStyle="1" w:styleId="Corpsdutexte8">
    <w:name w:val="Corps du texte (8)_"/>
    <w:link w:val="Corpsdutexte80"/>
    <w:uiPriority w:val="99"/>
    <w:rsid w:val="00C50585"/>
    <w:rPr>
      <w:i/>
      <w:iCs/>
      <w:sz w:val="21"/>
      <w:szCs w:val="21"/>
      <w:shd w:val="clear" w:color="auto" w:fill="FFFFFF"/>
    </w:rPr>
  </w:style>
  <w:style w:type="paragraph" w:customStyle="1" w:styleId="Corpsdutexte80">
    <w:name w:val="Corps du texte (8)"/>
    <w:basedOn w:val="Normal"/>
    <w:link w:val="Corpsdutexte8"/>
    <w:uiPriority w:val="99"/>
    <w:rsid w:val="00C50585"/>
    <w:pPr>
      <w:widowControl w:val="0"/>
      <w:shd w:val="clear" w:color="auto" w:fill="FFFFFF"/>
      <w:spacing w:before="180" w:after="180" w:line="240" w:lineRule="atLeast"/>
      <w:ind w:hanging="340"/>
      <w:jc w:val="both"/>
    </w:pPr>
    <w:rPr>
      <w:i/>
      <w:iCs/>
      <w:sz w:val="21"/>
      <w:szCs w:val="21"/>
    </w:rPr>
  </w:style>
  <w:style w:type="character" w:customStyle="1" w:styleId="Corpsdutexte8NonItalique">
    <w:name w:val="Corps du texte (8) + Non Italique"/>
    <w:uiPriority w:val="99"/>
    <w:rsid w:val="00C50585"/>
    <w:rPr>
      <w:i/>
      <w:iCs/>
      <w:sz w:val="21"/>
      <w:szCs w:val="21"/>
      <w:u w:val="none"/>
    </w:rPr>
  </w:style>
  <w:style w:type="character" w:customStyle="1" w:styleId="Corpsdutexte710pt5">
    <w:name w:val="Corps du texte (7) + 10 pt5"/>
    <w:aliases w:val="Italique,Espacement 1 pt"/>
    <w:uiPriority w:val="99"/>
    <w:rsid w:val="00C50585"/>
    <w:rPr>
      <w:rFonts w:ascii="Times New Roman" w:hAnsi="Times New Roman" w:cs="Times New Roman"/>
      <w:b/>
      <w:bCs/>
      <w:i/>
      <w:iCs/>
      <w:spacing w:val="20"/>
      <w:sz w:val="20"/>
      <w:szCs w:val="20"/>
      <w:u w:val="none"/>
      <w:lang w:val="sl-SI" w:eastAsia="sl-SI"/>
    </w:rPr>
  </w:style>
  <w:style w:type="character" w:customStyle="1" w:styleId="Corpsdutexte9">
    <w:name w:val="Corps du texte (9)_"/>
    <w:link w:val="Corpsdutexte90"/>
    <w:uiPriority w:val="99"/>
    <w:rsid w:val="00C50585"/>
    <w:rPr>
      <w:b/>
      <w:bCs/>
      <w:i/>
      <w:iCs/>
      <w:sz w:val="21"/>
      <w:szCs w:val="21"/>
      <w:shd w:val="clear" w:color="auto" w:fill="FFFFFF"/>
    </w:rPr>
  </w:style>
  <w:style w:type="paragraph" w:customStyle="1" w:styleId="Corpsdutexte90">
    <w:name w:val="Corps du texte (9)"/>
    <w:basedOn w:val="Normal"/>
    <w:link w:val="Corpsdutexte9"/>
    <w:uiPriority w:val="99"/>
    <w:rsid w:val="00C50585"/>
    <w:pPr>
      <w:widowControl w:val="0"/>
      <w:shd w:val="clear" w:color="auto" w:fill="FFFFFF"/>
      <w:spacing w:before="300" w:after="300" w:line="240" w:lineRule="atLeast"/>
      <w:jc w:val="both"/>
    </w:pPr>
    <w:rPr>
      <w:b/>
      <w:bCs/>
      <w:i/>
      <w:iCs/>
      <w:sz w:val="21"/>
      <w:szCs w:val="21"/>
    </w:rPr>
  </w:style>
  <w:style w:type="character" w:customStyle="1" w:styleId="Corpsdutexte710pt4">
    <w:name w:val="Corps du texte (7) + 10 pt4"/>
    <w:aliases w:val="Non Gras2"/>
    <w:uiPriority w:val="99"/>
    <w:rsid w:val="00C50585"/>
    <w:rPr>
      <w:b/>
      <w:bCs/>
      <w:sz w:val="20"/>
      <w:szCs w:val="20"/>
      <w:u w:val="none"/>
    </w:rPr>
  </w:style>
  <w:style w:type="character" w:customStyle="1" w:styleId="Corpsdutexte8NonItalique3">
    <w:name w:val="Corps du texte (8) + Non Italique3"/>
    <w:uiPriority w:val="99"/>
    <w:rsid w:val="00C50585"/>
    <w:rPr>
      <w:i/>
      <w:iCs/>
      <w:sz w:val="21"/>
      <w:szCs w:val="21"/>
      <w:u w:val="none"/>
    </w:rPr>
  </w:style>
  <w:style w:type="character" w:customStyle="1" w:styleId="Corpsdutexte710pt3">
    <w:name w:val="Corps du texte (7) + 10 pt3"/>
    <w:aliases w:val="Italique2,Espacement 1 pt2"/>
    <w:uiPriority w:val="99"/>
    <w:rsid w:val="00C50585"/>
    <w:rPr>
      <w:rFonts w:ascii="Times New Roman" w:hAnsi="Times New Roman" w:cs="Times New Roman"/>
      <w:b/>
      <w:bCs/>
      <w:i/>
      <w:iCs/>
      <w:spacing w:val="20"/>
      <w:sz w:val="20"/>
      <w:szCs w:val="20"/>
      <w:u w:val="none"/>
      <w:lang w:val="sl-SI" w:eastAsia="sl-SI"/>
    </w:rPr>
  </w:style>
  <w:style w:type="character" w:customStyle="1" w:styleId="Corpsdutexte8NonItalique2">
    <w:name w:val="Corps du texte (8) + Non Italique2"/>
    <w:uiPriority w:val="99"/>
    <w:rsid w:val="00C50585"/>
    <w:rPr>
      <w:i/>
      <w:iCs/>
      <w:sz w:val="21"/>
      <w:szCs w:val="21"/>
      <w:u w:val="none"/>
    </w:rPr>
  </w:style>
  <w:style w:type="character" w:customStyle="1" w:styleId="Corpsdutexte710pt2">
    <w:name w:val="Corps du texte (7) + 10 pt2"/>
    <w:aliases w:val="Italique1,Espacement 1 pt1"/>
    <w:uiPriority w:val="99"/>
    <w:rsid w:val="00C50585"/>
    <w:rPr>
      <w:rFonts w:ascii="Times New Roman" w:hAnsi="Times New Roman" w:cs="Times New Roman"/>
      <w:b/>
      <w:bCs/>
      <w:i/>
      <w:iCs/>
      <w:spacing w:val="20"/>
      <w:sz w:val="20"/>
      <w:szCs w:val="20"/>
      <w:u w:val="none"/>
      <w:lang w:val="sl-SI" w:eastAsia="sl-SI"/>
    </w:rPr>
  </w:style>
  <w:style w:type="character" w:customStyle="1" w:styleId="Corpsdutexte710pt1">
    <w:name w:val="Corps du texte (7) + 10 pt1"/>
    <w:aliases w:val="Non Gras1"/>
    <w:uiPriority w:val="99"/>
    <w:rsid w:val="00C50585"/>
    <w:rPr>
      <w:b/>
      <w:bCs/>
      <w:sz w:val="20"/>
      <w:szCs w:val="20"/>
      <w:u w:val="none"/>
    </w:rPr>
  </w:style>
  <w:style w:type="character" w:customStyle="1" w:styleId="Corpsdutexte8NonItalique1">
    <w:name w:val="Corps du texte (8) + Non Italique1"/>
    <w:uiPriority w:val="99"/>
    <w:rsid w:val="00C50585"/>
    <w:rPr>
      <w:i/>
      <w:iCs/>
      <w:sz w:val="21"/>
      <w:szCs w:val="21"/>
      <w:u w:val="none"/>
    </w:rPr>
  </w:style>
  <w:style w:type="character" w:customStyle="1" w:styleId="En-tte1">
    <w:name w:val="En-tête #1_"/>
    <w:link w:val="En-tte11"/>
    <w:uiPriority w:val="99"/>
    <w:rsid w:val="00C50585"/>
    <w:rPr>
      <w:b/>
      <w:bCs/>
      <w:sz w:val="23"/>
      <w:szCs w:val="23"/>
      <w:shd w:val="clear" w:color="auto" w:fill="FFFFFF"/>
    </w:rPr>
  </w:style>
  <w:style w:type="paragraph" w:customStyle="1" w:styleId="En-tte11">
    <w:name w:val="En-tête #11"/>
    <w:basedOn w:val="Normal"/>
    <w:link w:val="En-tte1"/>
    <w:uiPriority w:val="99"/>
    <w:rsid w:val="00C50585"/>
    <w:pPr>
      <w:widowControl w:val="0"/>
      <w:shd w:val="clear" w:color="auto" w:fill="FFFFFF"/>
      <w:spacing w:after="600" w:line="240" w:lineRule="atLeast"/>
      <w:ind w:hanging="360"/>
      <w:jc w:val="center"/>
      <w:outlineLvl w:val="0"/>
    </w:pPr>
    <w:rPr>
      <w:b/>
      <w:bCs/>
      <w:sz w:val="23"/>
      <w:szCs w:val="23"/>
    </w:rPr>
  </w:style>
  <w:style w:type="character" w:customStyle="1" w:styleId="En-tte10">
    <w:name w:val="En-tête #1"/>
    <w:uiPriority w:val="99"/>
    <w:rsid w:val="00C50585"/>
    <w:rPr>
      <w:b/>
      <w:bCs/>
      <w:sz w:val="23"/>
      <w:szCs w:val="23"/>
      <w:u w:val="single"/>
    </w:rPr>
  </w:style>
  <w:style w:type="character" w:customStyle="1" w:styleId="Corpsdutexte12">
    <w:name w:val="Corps du texte (12)_"/>
    <w:link w:val="Corpsdutexte120"/>
    <w:uiPriority w:val="99"/>
    <w:rsid w:val="00C50585"/>
    <w:rPr>
      <w:i/>
      <w:iCs/>
      <w:sz w:val="23"/>
      <w:szCs w:val="23"/>
      <w:shd w:val="clear" w:color="auto" w:fill="FFFFFF"/>
    </w:rPr>
  </w:style>
  <w:style w:type="paragraph" w:customStyle="1" w:styleId="Corpsdutexte120">
    <w:name w:val="Corps du texte (12)"/>
    <w:basedOn w:val="Normal"/>
    <w:link w:val="Corpsdutexte12"/>
    <w:uiPriority w:val="99"/>
    <w:rsid w:val="00C50585"/>
    <w:pPr>
      <w:widowControl w:val="0"/>
      <w:shd w:val="clear" w:color="auto" w:fill="FFFFFF"/>
      <w:spacing w:before="300" w:after="180" w:line="274" w:lineRule="exact"/>
      <w:ind w:hanging="360"/>
    </w:pPr>
    <w:rPr>
      <w:i/>
      <w:iCs/>
      <w:sz w:val="23"/>
      <w:szCs w:val="23"/>
    </w:rPr>
  </w:style>
  <w:style w:type="character" w:customStyle="1" w:styleId="Corpsdutexte10">
    <w:name w:val="Corps du texte (10)_"/>
    <w:link w:val="Corpsdutexte101"/>
    <w:uiPriority w:val="99"/>
    <w:rsid w:val="00C50585"/>
    <w:rPr>
      <w:rFonts w:ascii="Arial" w:hAnsi="Arial" w:cs="Arial"/>
      <w:b/>
      <w:bCs/>
      <w:sz w:val="17"/>
      <w:szCs w:val="17"/>
      <w:shd w:val="clear" w:color="auto" w:fill="FFFFFF"/>
    </w:rPr>
  </w:style>
  <w:style w:type="paragraph" w:customStyle="1" w:styleId="Corpsdutexte101">
    <w:name w:val="Corps du texte (10)1"/>
    <w:basedOn w:val="Normal"/>
    <w:link w:val="Corpsdutexte10"/>
    <w:uiPriority w:val="99"/>
    <w:rsid w:val="00C50585"/>
    <w:pPr>
      <w:widowControl w:val="0"/>
      <w:shd w:val="clear" w:color="auto" w:fill="FFFFFF"/>
      <w:spacing w:after="0" w:line="240" w:lineRule="atLeast"/>
    </w:pPr>
    <w:rPr>
      <w:rFonts w:ascii="Arial" w:hAnsi="Arial" w:cs="Arial"/>
      <w:b/>
      <w:bCs/>
      <w:sz w:val="17"/>
      <w:szCs w:val="17"/>
    </w:rPr>
  </w:style>
  <w:style w:type="character" w:customStyle="1" w:styleId="Corpsdutexte100">
    <w:name w:val="Corps du texte (10)"/>
    <w:uiPriority w:val="99"/>
    <w:rsid w:val="00C50585"/>
    <w:rPr>
      <w:rFonts w:ascii="Arial" w:hAnsi="Arial" w:cs="Arial"/>
      <w:b/>
      <w:bCs/>
      <w:color w:val="FF0000"/>
      <w:sz w:val="17"/>
      <w:szCs w:val="17"/>
      <w:u w:val="none"/>
    </w:rPr>
  </w:style>
  <w:style w:type="character" w:customStyle="1" w:styleId="Corpsdutexte23">
    <w:name w:val="Corps du texte (2)3"/>
    <w:uiPriority w:val="99"/>
    <w:rsid w:val="00C50585"/>
    <w:rPr>
      <w:rFonts w:ascii="Arial" w:hAnsi="Arial" w:cs="Arial"/>
      <w:color w:val="FF0000"/>
      <w:sz w:val="16"/>
      <w:szCs w:val="16"/>
      <w:u w:val="none"/>
    </w:rPr>
  </w:style>
  <w:style w:type="character" w:customStyle="1" w:styleId="Corpsdutexte22">
    <w:name w:val="Corps du texte (2)2"/>
    <w:uiPriority w:val="99"/>
    <w:rsid w:val="00C50585"/>
    <w:rPr>
      <w:rFonts w:ascii="Arial" w:hAnsi="Arial" w:cs="Arial"/>
      <w:color w:val="FF0000"/>
      <w:sz w:val="16"/>
      <w:szCs w:val="16"/>
      <w:u w:val="none"/>
    </w:rPr>
  </w:style>
  <w:style w:type="character" w:customStyle="1" w:styleId="Corpsdutexte2Exact">
    <w:name w:val="Corps du texte (2) Exact"/>
    <w:uiPriority w:val="99"/>
    <w:rsid w:val="00C50585"/>
    <w:rPr>
      <w:rFonts w:ascii="Arial" w:hAnsi="Arial" w:cs="Arial"/>
      <w:spacing w:val="5"/>
      <w:sz w:val="15"/>
      <w:szCs w:val="15"/>
      <w:u w:val="none"/>
    </w:rPr>
  </w:style>
  <w:style w:type="character" w:customStyle="1" w:styleId="Corpsdutexte13">
    <w:name w:val="Corps du texte (13)_"/>
    <w:link w:val="Corpsdutexte130"/>
    <w:uiPriority w:val="99"/>
    <w:rsid w:val="00C50585"/>
    <w:rPr>
      <w:rFonts w:ascii="Times New Roman" w:hAnsi="Times New Roman" w:cs="Times New Roman"/>
      <w:sz w:val="17"/>
      <w:szCs w:val="17"/>
      <w:shd w:val="clear" w:color="auto" w:fill="FFFFFF"/>
      <w:lang w:val="sk-SK" w:eastAsia="sk-SK"/>
    </w:rPr>
  </w:style>
  <w:style w:type="paragraph" w:customStyle="1" w:styleId="Corpsdutexte130">
    <w:name w:val="Corps du texte (13)"/>
    <w:basedOn w:val="Normal"/>
    <w:link w:val="Corpsdutexte13"/>
    <w:uiPriority w:val="99"/>
    <w:rsid w:val="00C50585"/>
    <w:pPr>
      <w:widowControl w:val="0"/>
      <w:shd w:val="clear" w:color="auto" w:fill="FFFFFF"/>
      <w:spacing w:after="0" w:line="240" w:lineRule="atLeast"/>
      <w:jc w:val="right"/>
    </w:pPr>
    <w:rPr>
      <w:rFonts w:ascii="Times New Roman" w:hAnsi="Times New Roman" w:cs="Times New Roman"/>
      <w:sz w:val="17"/>
      <w:szCs w:val="17"/>
      <w:lang w:val="sk-SK" w:eastAsia="sk-SK"/>
    </w:rPr>
  </w:style>
  <w:style w:type="character" w:customStyle="1" w:styleId="CorpsdutexteGras3">
    <w:name w:val="Corps du texte + Gras3"/>
    <w:uiPriority w:val="99"/>
    <w:rsid w:val="00C50585"/>
    <w:rPr>
      <w:rFonts w:ascii="Times New Roman" w:hAnsi="Times New Roman" w:cs="Times New Roman"/>
      <w:b/>
      <w:bCs/>
      <w:sz w:val="23"/>
      <w:szCs w:val="23"/>
      <w:u w:val="none"/>
      <w:lang w:val="sl-SI" w:eastAsia="sl-SI"/>
    </w:rPr>
  </w:style>
  <w:style w:type="character" w:customStyle="1" w:styleId="CorpsdutexteGras2">
    <w:name w:val="Corps du texte + Gras2"/>
    <w:uiPriority w:val="99"/>
    <w:rsid w:val="00C50585"/>
    <w:rPr>
      <w:rFonts w:ascii="Times New Roman" w:hAnsi="Times New Roman" w:cs="Times New Roman"/>
      <w:b/>
      <w:bCs/>
      <w:sz w:val="23"/>
      <w:szCs w:val="23"/>
      <w:u w:val="none"/>
      <w:lang w:val="sl-SI" w:eastAsia="sl-SI"/>
    </w:rPr>
  </w:style>
  <w:style w:type="character" w:customStyle="1" w:styleId="Corpsdutexte25">
    <w:name w:val="Corps du texte2"/>
    <w:uiPriority w:val="99"/>
    <w:rsid w:val="00C50585"/>
    <w:rPr>
      <w:sz w:val="23"/>
      <w:szCs w:val="23"/>
      <w:u w:val="none"/>
    </w:rPr>
  </w:style>
  <w:style w:type="character" w:customStyle="1" w:styleId="CorpsdutexteItalique2">
    <w:name w:val="Corps du texte + Italique2"/>
    <w:uiPriority w:val="99"/>
    <w:rsid w:val="00C50585"/>
    <w:rPr>
      <w:i/>
      <w:iCs/>
      <w:sz w:val="23"/>
      <w:szCs w:val="23"/>
      <w:u w:val="none"/>
    </w:rPr>
  </w:style>
  <w:style w:type="character" w:customStyle="1" w:styleId="CorpsdutexteItalique1">
    <w:name w:val="Corps du texte + Italique1"/>
    <w:uiPriority w:val="99"/>
    <w:rsid w:val="00C50585"/>
    <w:rPr>
      <w:i/>
      <w:iCs/>
      <w:sz w:val="23"/>
      <w:szCs w:val="23"/>
      <w:u w:val="none"/>
    </w:rPr>
  </w:style>
  <w:style w:type="character" w:customStyle="1" w:styleId="Corpsdutexte11Exact">
    <w:name w:val="Corps du texte (11) Exact"/>
    <w:link w:val="Corpsdutexte11"/>
    <w:uiPriority w:val="99"/>
    <w:rsid w:val="00C50585"/>
    <w:rPr>
      <w:rFonts w:ascii="Times New Roman" w:hAnsi="Times New Roman" w:cs="Times New Roman"/>
      <w:sz w:val="20"/>
      <w:szCs w:val="20"/>
      <w:shd w:val="clear" w:color="auto" w:fill="FFFFFF"/>
      <w:lang w:val="bg-BG" w:eastAsia="bg-BG"/>
    </w:rPr>
  </w:style>
  <w:style w:type="paragraph" w:customStyle="1" w:styleId="Corpsdutexte11">
    <w:name w:val="Corps du texte (11)"/>
    <w:basedOn w:val="Normal"/>
    <w:link w:val="Corpsdutexte11Exact"/>
    <w:uiPriority w:val="99"/>
    <w:rsid w:val="00C50585"/>
    <w:pPr>
      <w:widowControl w:val="0"/>
      <w:shd w:val="clear" w:color="auto" w:fill="FFFFFF"/>
      <w:spacing w:after="0" w:line="240" w:lineRule="atLeast"/>
    </w:pPr>
    <w:rPr>
      <w:rFonts w:ascii="Times New Roman" w:hAnsi="Times New Roman" w:cs="Times New Roman"/>
      <w:sz w:val="20"/>
      <w:szCs w:val="20"/>
      <w:lang w:val="bg-BG" w:eastAsia="bg-BG"/>
    </w:rPr>
  </w:style>
  <w:style w:type="character" w:customStyle="1" w:styleId="CorpsdutexteGras1">
    <w:name w:val="Corps du texte + Gras1"/>
    <w:uiPriority w:val="99"/>
    <w:rsid w:val="00C50585"/>
    <w:rPr>
      <w:rFonts w:ascii="Times New Roman" w:hAnsi="Times New Roman" w:cs="Times New Roman"/>
      <w:b/>
      <w:bCs/>
      <w:sz w:val="23"/>
      <w:szCs w:val="23"/>
      <w:u w:val="none"/>
      <w:lang w:val="sl-SI" w:eastAsia="sl-SI"/>
    </w:rPr>
  </w:style>
  <w:style w:type="character" w:customStyle="1" w:styleId="Corpsdutexte14">
    <w:name w:val="Corps du texte (14)_"/>
    <w:link w:val="Corpsdutexte140"/>
    <w:uiPriority w:val="99"/>
    <w:rsid w:val="00C50585"/>
    <w:rPr>
      <w:rFonts w:ascii="Arial" w:hAnsi="Arial" w:cs="Arial"/>
      <w:b/>
      <w:bCs/>
      <w:i/>
      <w:iCs/>
      <w:sz w:val="17"/>
      <w:szCs w:val="17"/>
      <w:shd w:val="clear" w:color="auto" w:fill="FFFFFF"/>
    </w:rPr>
  </w:style>
  <w:style w:type="paragraph" w:customStyle="1" w:styleId="Corpsdutexte140">
    <w:name w:val="Corps du texte (14)"/>
    <w:basedOn w:val="Normal"/>
    <w:link w:val="Corpsdutexte14"/>
    <w:uiPriority w:val="99"/>
    <w:rsid w:val="00C50585"/>
    <w:pPr>
      <w:widowControl w:val="0"/>
      <w:shd w:val="clear" w:color="auto" w:fill="FFFFFF"/>
      <w:spacing w:after="0" w:line="240" w:lineRule="atLeast"/>
      <w:jc w:val="center"/>
    </w:pPr>
    <w:rPr>
      <w:rFonts w:ascii="Arial" w:hAnsi="Arial" w:cs="Arial"/>
      <w:b/>
      <w:bCs/>
      <w:i/>
      <w:iCs/>
      <w:sz w:val="17"/>
      <w:szCs w:val="17"/>
    </w:rPr>
  </w:style>
  <w:style w:type="character" w:customStyle="1" w:styleId="En-tte12">
    <w:name w:val="En-tête #12"/>
    <w:uiPriority w:val="99"/>
    <w:rsid w:val="00C50585"/>
    <w:rPr>
      <w:rFonts w:ascii="Times New Roman" w:hAnsi="Times New Roman" w:cs="Times New Roman"/>
      <w:b/>
      <w:bCs/>
      <w:noProof/>
      <w:sz w:val="23"/>
      <w:szCs w:val="23"/>
      <w:u w:val="single"/>
    </w:rPr>
  </w:style>
  <w:style w:type="character" w:customStyle="1" w:styleId="CommentSubjectChar1">
    <w:name w:val="Comment Subject Char1"/>
    <w:basedOn w:val="CommentTextChar"/>
    <w:uiPriority w:val="99"/>
    <w:semiHidden/>
    <w:rsid w:val="00C50585"/>
    <w:rPr>
      <w:rFonts w:ascii="Times New Roman" w:eastAsia="Times New Roman" w:hAnsi="Times New Roman" w:cs="Times New Roman"/>
      <w:b/>
      <w:bCs/>
      <w:color w:val="000000"/>
      <w:sz w:val="20"/>
      <w:szCs w:val="20"/>
    </w:rPr>
  </w:style>
  <w:style w:type="paragraph" w:customStyle="1" w:styleId="Logo">
    <w:name w:val="Logo"/>
    <w:basedOn w:val="Normal"/>
    <w:rsid w:val="00C50585"/>
    <w:pPr>
      <w:spacing w:after="0" w:line="240" w:lineRule="auto"/>
    </w:pPr>
    <w:rPr>
      <w:rFonts w:ascii="Arial" w:eastAsia="Times New Roman" w:hAnsi="Arial" w:cs="Times New Roman"/>
      <w:sz w:val="26"/>
      <w:szCs w:val="20"/>
      <w:lang w:val="en-GB" w:eastAsia="en-GB"/>
    </w:rPr>
  </w:style>
  <w:style w:type="paragraph" w:customStyle="1" w:styleId="ZDG">
    <w:name w:val="Z_DG"/>
    <w:basedOn w:val="Logo"/>
    <w:rsid w:val="00C50585"/>
    <w:rPr>
      <w:sz w:val="16"/>
      <w:lang w:val="fr-FR"/>
    </w:rPr>
  </w:style>
  <w:style w:type="paragraph" w:customStyle="1" w:styleId="ZD">
    <w:name w:val="Z_D"/>
    <w:basedOn w:val="Logo"/>
    <w:rsid w:val="00C50585"/>
    <w:rPr>
      <w:sz w:val="16"/>
      <w:lang w:val="fr-FR"/>
    </w:rPr>
  </w:style>
  <w:style w:type="paragraph" w:customStyle="1" w:styleId="ListBullet1">
    <w:name w:val="List Bullet 1"/>
    <w:basedOn w:val="Normal"/>
    <w:rsid w:val="00C50585"/>
    <w:pPr>
      <w:numPr>
        <w:numId w:val="1"/>
      </w:numPr>
      <w:spacing w:after="240" w:line="240" w:lineRule="auto"/>
      <w:jc w:val="both"/>
    </w:pPr>
    <w:rPr>
      <w:rFonts w:ascii="Times New Roman" w:eastAsia="Times New Roman" w:hAnsi="Times New Roman" w:cs="Times New Roman"/>
      <w:sz w:val="24"/>
      <w:szCs w:val="20"/>
      <w:lang w:val="en-GB" w:eastAsia="en-US"/>
    </w:rPr>
  </w:style>
  <w:style w:type="paragraph" w:styleId="TOC4">
    <w:name w:val="toc 4"/>
    <w:basedOn w:val="Normal"/>
    <w:next w:val="Normal"/>
    <w:autoRedefine/>
    <w:rsid w:val="00C50585"/>
    <w:pPr>
      <w:spacing w:after="0" w:line="240" w:lineRule="auto"/>
      <w:ind w:left="720"/>
    </w:pPr>
    <w:rPr>
      <w:rFonts w:ascii="Times New Roman" w:eastAsia="Times New Roman" w:hAnsi="Times New Roman" w:cs="Times New Roman"/>
      <w:sz w:val="24"/>
      <w:szCs w:val="20"/>
      <w:lang w:val="fr-FR" w:eastAsia="en-GB"/>
    </w:rPr>
  </w:style>
  <w:style w:type="paragraph" w:customStyle="1" w:styleId="Normal8pt">
    <w:name w:val="Normal + 8 pt"/>
    <w:aliases w:val="Before:  12 pt"/>
    <w:basedOn w:val="Normal"/>
    <w:rsid w:val="00C50585"/>
    <w:pPr>
      <w:spacing w:before="240" w:after="180" w:line="240" w:lineRule="auto"/>
    </w:pPr>
    <w:rPr>
      <w:rFonts w:ascii="Times New Roman" w:eastAsia="Times New Roman" w:hAnsi="Times New Roman" w:cs="Times New Roman"/>
      <w:sz w:val="16"/>
      <w:szCs w:val="16"/>
      <w:lang w:val="en-GB" w:eastAsia="en-GB"/>
    </w:rPr>
  </w:style>
  <w:style w:type="character" w:styleId="FollowedHyperlink">
    <w:name w:val="FollowedHyperlink"/>
    <w:rsid w:val="00C50585"/>
    <w:rPr>
      <w:color w:val="800080"/>
      <w:u w:val="single"/>
    </w:rPr>
  </w:style>
  <w:style w:type="paragraph" w:customStyle="1" w:styleId="ZCom">
    <w:name w:val="Z_Com"/>
    <w:basedOn w:val="Normal"/>
    <w:next w:val="ZDGName"/>
    <w:uiPriority w:val="99"/>
    <w:rsid w:val="00C50585"/>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uiPriority w:val="99"/>
    <w:rsid w:val="00C50585"/>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customStyle="1" w:styleId="Heading4a">
    <w:name w:val="Heading 4a"/>
    <w:basedOn w:val="Heading3"/>
    <w:rsid w:val="00C50585"/>
    <w:pPr>
      <w:keepNext/>
      <w:widowControl/>
      <w:tabs>
        <w:tab w:val="left" w:pos="510"/>
        <w:tab w:val="num" w:pos="851"/>
      </w:tabs>
      <w:spacing w:before="300" w:after="60"/>
      <w:ind w:left="851" w:hanging="567"/>
      <w:jc w:val="both"/>
    </w:pPr>
    <w:rPr>
      <w:rFonts w:ascii="Times New Roman Bold" w:eastAsia="Times New Roman" w:hAnsi="Times New Roman Bold"/>
      <w:b/>
      <w:lang w:val="x-none" w:eastAsia="x-none"/>
    </w:rPr>
  </w:style>
  <w:style w:type="character" w:customStyle="1" w:styleId="hps">
    <w:name w:val="hps"/>
    <w:rsid w:val="00C50585"/>
  </w:style>
  <w:style w:type="paragraph" w:customStyle="1" w:styleId="Default">
    <w:name w:val="Default"/>
    <w:rsid w:val="00C50585"/>
    <w:pPr>
      <w:autoSpaceDE w:val="0"/>
      <w:autoSpaceDN w:val="0"/>
      <w:adjustRightInd w:val="0"/>
      <w:spacing w:after="0" w:line="240" w:lineRule="auto"/>
    </w:pPr>
    <w:rPr>
      <w:rFonts w:ascii="Times New Roman" w:eastAsia="Calibri" w:hAnsi="Times New Roman" w:cs="Times New Roman"/>
      <w:color w:val="000000"/>
      <w:sz w:val="24"/>
      <w:szCs w:val="24"/>
      <w:lang w:val="en-US" w:eastAsia="en-US"/>
    </w:rPr>
  </w:style>
  <w:style w:type="paragraph" w:customStyle="1" w:styleId="MediumGrid21">
    <w:name w:val="Medium Grid 21"/>
    <w:link w:val="MediumGrid2Char"/>
    <w:uiPriority w:val="1"/>
    <w:qFormat/>
    <w:rsid w:val="00C50585"/>
    <w:pPr>
      <w:spacing w:after="0" w:line="240" w:lineRule="auto"/>
    </w:pPr>
    <w:rPr>
      <w:rFonts w:ascii="Arial" w:eastAsia="Calibri" w:hAnsi="Arial" w:cs="Times New Roman"/>
      <w:sz w:val="20"/>
      <w:lang w:val="en-AU"/>
    </w:rPr>
  </w:style>
  <w:style w:type="character" w:customStyle="1" w:styleId="MediumGrid2Char">
    <w:name w:val="Medium Grid 2 Char"/>
    <w:link w:val="MediumGrid21"/>
    <w:uiPriority w:val="1"/>
    <w:rsid w:val="00C50585"/>
    <w:rPr>
      <w:rFonts w:ascii="Arial" w:eastAsia="Calibri" w:hAnsi="Arial" w:cs="Times New Roman"/>
      <w:sz w:val="20"/>
      <w:lang w:val="en-AU"/>
    </w:rPr>
  </w:style>
  <w:style w:type="paragraph" w:customStyle="1" w:styleId="Body">
    <w:name w:val="Body"/>
    <w:uiPriority w:val="99"/>
    <w:rsid w:val="00C50585"/>
    <w:pPr>
      <w:pBdr>
        <w:top w:val="nil"/>
        <w:left w:val="nil"/>
        <w:bottom w:val="nil"/>
        <w:right w:val="nil"/>
        <w:between w:val="nil"/>
        <w:bar w:val="nil"/>
      </w:pBdr>
    </w:pPr>
    <w:rPr>
      <w:rFonts w:ascii="Calibri" w:eastAsia="Calibri" w:hAnsi="Calibri" w:cs="Calibri"/>
      <w:color w:val="000000"/>
      <w:u w:color="000000"/>
      <w:bdr w:val="nil"/>
      <w:lang w:val="en-US" w:eastAsia="en-US"/>
    </w:rPr>
  </w:style>
  <w:style w:type="character" w:customStyle="1" w:styleId="longtext">
    <w:name w:val="long_text"/>
    <w:rsid w:val="00C50585"/>
  </w:style>
  <w:style w:type="paragraph" w:styleId="Title">
    <w:name w:val="Title"/>
    <w:basedOn w:val="Normal"/>
    <w:next w:val="Normal"/>
    <w:link w:val="TitleChar"/>
    <w:uiPriority w:val="99"/>
    <w:qFormat/>
    <w:rsid w:val="00C50585"/>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en-GB" w:eastAsia="en-GB"/>
    </w:rPr>
  </w:style>
  <w:style w:type="character" w:customStyle="1" w:styleId="TitleChar">
    <w:name w:val="Title Char"/>
    <w:basedOn w:val="DefaultParagraphFont"/>
    <w:link w:val="Title"/>
    <w:uiPriority w:val="99"/>
    <w:rsid w:val="00C50585"/>
    <w:rPr>
      <w:rFonts w:ascii="Cambria" w:eastAsia="Times New Roman" w:hAnsi="Cambria" w:cs="Times New Roman"/>
      <w:color w:val="17365D"/>
      <w:spacing w:val="5"/>
      <w:kern w:val="28"/>
      <w:sz w:val="52"/>
      <w:szCs w:val="52"/>
      <w:lang w:val="en-GB" w:eastAsia="en-GB"/>
    </w:rPr>
  </w:style>
  <w:style w:type="character" w:customStyle="1" w:styleId="Bodytext0">
    <w:name w:val="Body text_"/>
    <w:link w:val="BodyText189"/>
    <w:locked/>
    <w:rsid w:val="00C50585"/>
    <w:rPr>
      <w:sz w:val="25"/>
      <w:szCs w:val="25"/>
      <w:shd w:val="clear" w:color="auto" w:fill="FFFFFF"/>
    </w:rPr>
  </w:style>
  <w:style w:type="paragraph" w:customStyle="1" w:styleId="BodyText189">
    <w:name w:val="Body Text189"/>
    <w:basedOn w:val="Normal"/>
    <w:link w:val="Bodytext0"/>
    <w:rsid w:val="00C50585"/>
    <w:pPr>
      <w:shd w:val="clear" w:color="auto" w:fill="FFFFFF"/>
      <w:spacing w:before="420" w:after="240" w:line="322" w:lineRule="exact"/>
      <w:ind w:hanging="1420"/>
      <w:jc w:val="center"/>
    </w:pPr>
    <w:rPr>
      <w:sz w:val="25"/>
      <w:szCs w:val="25"/>
    </w:rPr>
  </w:style>
  <w:style w:type="character" w:customStyle="1" w:styleId="BodyText3">
    <w:name w:val="Body Text3"/>
    <w:rsid w:val="00C50585"/>
  </w:style>
  <w:style w:type="character" w:customStyle="1" w:styleId="BodytextBold">
    <w:name w:val="Body text + Bold"/>
    <w:aliases w:val="Italic"/>
    <w:rsid w:val="00C50585"/>
    <w:rPr>
      <w:rFonts w:ascii="Times New Roman" w:hAnsi="Times New Roman" w:cs="Times New Roman"/>
      <w:b/>
      <w:bCs/>
      <w:i/>
      <w:iCs/>
      <w:spacing w:val="0"/>
      <w:sz w:val="25"/>
      <w:szCs w:val="25"/>
      <w:lang w:bidi="ar-SA"/>
    </w:rPr>
  </w:style>
  <w:style w:type="character" w:customStyle="1" w:styleId="BodytextArialUnicodeMS">
    <w:name w:val="Body text + Arial Unicode MS"/>
    <w:aliases w:val="7 pt"/>
    <w:rsid w:val="00C50585"/>
    <w:rPr>
      <w:rFonts w:ascii="Arial Unicode MS" w:eastAsia="Arial Unicode MS" w:hAnsi="Arial Unicode MS" w:cs="Arial Unicode MS"/>
      <w:spacing w:val="0"/>
      <w:sz w:val="14"/>
      <w:szCs w:val="14"/>
      <w:lang w:bidi="ar-SA"/>
    </w:rPr>
  </w:style>
  <w:style w:type="paragraph" w:customStyle="1" w:styleId="BodyText2">
    <w:name w:val="Body Text2"/>
    <w:basedOn w:val="Normal"/>
    <w:uiPriority w:val="99"/>
    <w:rsid w:val="00C50585"/>
    <w:pPr>
      <w:shd w:val="clear" w:color="auto" w:fill="FFFFFF"/>
      <w:spacing w:after="660" w:line="240" w:lineRule="atLeast"/>
      <w:ind w:hanging="340"/>
    </w:pPr>
    <w:rPr>
      <w:rFonts w:ascii="Arial" w:eastAsia="Times New Roman" w:hAnsi="Arial" w:cs="Arial"/>
      <w:color w:val="000000"/>
      <w:lang w:val="en-GB" w:eastAsia="en-US"/>
    </w:rPr>
  </w:style>
  <w:style w:type="character" w:customStyle="1" w:styleId="Heading1714">
    <w:name w:val="Heading #1714"/>
    <w:rsid w:val="00C50585"/>
    <w:rPr>
      <w:sz w:val="35"/>
      <w:szCs w:val="35"/>
      <w:lang w:bidi="ar-SA"/>
    </w:rPr>
  </w:style>
  <w:style w:type="character" w:customStyle="1" w:styleId="Bodytext4">
    <w:name w:val="Body text (4)"/>
    <w:rsid w:val="00C50585"/>
    <w:rPr>
      <w:sz w:val="23"/>
      <w:szCs w:val="23"/>
      <w:lang w:bidi="ar-SA"/>
    </w:rPr>
  </w:style>
  <w:style w:type="paragraph" w:customStyle="1" w:styleId="1">
    <w:name w:val="Абзац списка1"/>
    <w:basedOn w:val="Normal"/>
    <w:uiPriority w:val="99"/>
    <w:rsid w:val="00C50585"/>
    <w:pPr>
      <w:suppressAutoHyphens/>
      <w:ind w:left="720" w:firstLine="360"/>
    </w:pPr>
    <w:rPr>
      <w:rFonts w:ascii="Calibri" w:eastAsia="SimSun" w:hAnsi="Calibri" w:cs="Times New Roman"/>
      <w:lang w:val="en-GB" w:eastAsia="ar-SA"/>
    </w:rPr>
  </w:style>
  <w:style w:type="character" w:customStyle="1" w:styleId="alt-edited">
    <w:name w:val="alt-edited"/>
    <w:rsid w:val="00C50585"/>
  </w:style>
  <w:style w:type="paragraph" w:styleId="BodyTextIndent2">
    <w:name w:val="Body Text Indent 2"/>
    <w:basedOn w:val="Normal"/>
    <w:link w:val="BodyTextIndent2Char"/>
    <w:uiPriority w:val="99"/>
    <w:rsid w:val="00C50585"/>
    <w:pPr>
      <w:spacing w:after="120" w:line="480" w:lineRule="auto"/>
      <w:ind w:left="360"/>
    </w:pPr>
    <w:rPr>
      <w:rFonts w:ascii="Times New Roman" w:eastAsia="MS Mincho" w:hAnsi="Times New Roman" w:cs="Times New Roman"/>
      <w:sz w:val="20"/>
      <w:szCs w:val="20"/>
      <w:lang w:val="x-none" w:eastAsia="x-none"/>
    </w:rPr>
  </w:style>
  <w:style w:type="character" w:customStyle="1" w:styleId="BodyTextIndent2Char">
    <w:name w:val="Body Text Indent 2 Char"/>
    <w:basedOn w:val="DefaultParagraphFont"/>
    <w:link w:val="BodyTextIndent2"/>
    <w:uiPriority w:val="99"/>
    <w:rsid w:val="00C50585"/>
    <w:rPr>
      <w:rFonts w:ascii="Times New Roman" w:eastAsia="MS Mincho" w:hAnsi="Times New Roman" w:cs="Times New Roman"/>
      <w:sz w:val="20"/>
      <w:szCs w:val="20"/>
      <w:lang w:val="x-none" w:eastAsia="x-none"/>
    </w:rPr>
  </w:style>
  <w:style w:type="character" w:customStyle="1" w:styleId="atn">
    <w:name w:val="atn"/>
    <w:rsid w:val="00C50585"/>
  </w:style>
  <w:style w:type="character" w:customStyle="1" w:styleId="shorttext">
    <w:name w:val="short_text"/>
    <w:uiPriority w:val="99"/>
    <w:rsid w:val="00C50585"/>
  </w:style>
  <w:style w:type="character" w:customStyle="1" w:styleId="hpsatn">
    <w:name w:val="hps atn"/>
    <w:uiPriority w:val="99"/>
    <w:rsid w:val="00C50585"/>
  </w:style>
  <w:style w:type="paragraph" w:styleId="List">
    <w:name w:val="List"/>
    <w:basedOn w:val="Normal"/>
    <w:uiPriority w:val="99"/>
    <w:rsid w:val="00C50585"/>
    <w:pPr>
      <w:suppressAutoHyphens/>
      <w:spacing w:after="0" w:line="240" w:lineRule="auto"/>
      <w:ind w:left="360" w:hanging="360"/>
    </w:pPr>
    <w:rPr>
      <w:rFonts w:ascii="Times New Roman" w:eastAsia="Times New Roman" w:hAnsi="Times New Roman" w:cs="Times New Roman"/>
      <w:sz w:val="24"/>
      <w:szCs w:val="24"/>
      <w:lang w:val="en-GB" w:eastAsia="zh-CN"/>
    </w:rPr>
  </w:style>
  <w:style w:type="character" w:customStyle="1" w:styleId="st">
    <w:name w:val="st"/>
    <w:rsid w:val="00C50585"/>
  </w:style>
  <w:style w:type="character" w:styleId="Emphasis">
    <w:name w:val="Emphasis"/>
    <w:uiPriority w:val="20"/>
    <w:qFormat/>
    <w:rsid w:val="00C50585"/>
    <w:rPr>
      <w:i/>
      <w:iCs/>
    </w:rPr>
  </w:style>
  <w:style w:type="paragraph" w:customStyle="1" w:styleId="paragraph">
    <w:name w:val="paragraph"/>
    <w:basedOn w:val="ColorfulList-Accent11"/>
    <w:uiPriority w:val="99"/>
    <w:rsid w:val="00C50585"/>
    <w:pPr>
      <w:keepNext/>
      <w:widowControl/>
      <w:spacing w:after="200" w:line="276" w:lineRule="auto"/>
      <w:contextualSpacing/>
    </w:pPr>
    <w:rPr>
      <w:rFonts w:eastAsia="Times New Roman"/>
      <w:b/>
      <w:lang w:val="en-US" w:bidi="en-US"/>
    </w:rPr>
  </w:style>
  <w:style w:type="paragraph" w:styleId="ListBullet">
    <w:name w:val="List Bullet"/>
    <w:aliases w:val="List Bullet Char,List Bullet-Richard's,List Bullet Char1 Char Char,List Bullet Char Char Char Char,List Bullet Char Char1,List Bullet Char1 Char,List Bullet Char Char Char,List Bullet Char Char Char Char Char Char Char Char,List Bullet Char2"/>
    <w:basedOn w:val="Normal"/>
    <w:link w:val="ListBulletChar1"/>
    <w:uiPriority w:val="2"/>
    <w:qFormat/>
    <w:rsid w:val="00C50585"/>
    <w:pPr>
      <w:tabs>
        <w:tab w:val="num" w:pos="720"/>
      </w:tabs>
      <w:spacing w:after="240" w:line="264" w:lineRule="auto"/>
      <w:ind w:left="720" w:hanging="720"/>
    </w:pPr>
    <w:rPr>
      <w:rFonts w:ascii="Times New Roman" w:eastAsia="Calibri" w:hAnsi="Times New Roman" w:cs="Times New Roman"/>
      <w:sz w:val="24"/>
      <w:szCs w:val="24"/>
      <w:lang w:val="en-GB" w:eastAsia="en-US"/>
    </w:rPr>
  </w:style>
  <w:style w:type="character" w:customStyle="1" w:styleId="ListBulletChar1">
    <w:name w:val="List Bullet Char1"/>
    <w:aliases w:val="List Bullet Char Char,List Bullet-Richard's Char,List Bullet Char1 Char Char Char,List Bullet Char Char Char Char Char,List Bullet Char Char1 Char,List Bullet Char1 Char Char1,List Bullet Char Char Char Char1,List Bullet Char2 Char"/>
    <w:link w:val="ListBullet"/>
    <w:uiPriority w:val="2"/>
    <w:rsid w:val="00C50585"/>
    <w:rPr>
      <w:rFonts w:ascii="Times New Roman" w:eastAsia="Calibri" w:hAnsi="Times New Roman" w:cs="Times New Roman"/>
      <w:sz w:val="24"/>
      <w:szCs w:val="24"/>
      <w:lang w:val="en-GB" w:eastAsia="en-US"/>
    </w:rPr>
  </w:style>
  <w:style w:type="paragraph" w:customStyle="1" w:styleId="LightGrid-Accent31">
    <w:name w:val="Light Grid - Accent 31"/>
    <w:basedOn w:val="Normal"/>
    <w:uiPriority w:val="34"/>
    <w:qFormat/>
    <w:rsid w:val="00C50585"/>
    <w:pPr>
      <w:ind w:left="720"/>
      <w:contextualSpacing/>
      <w:jc w:val="both"/>
    </w:pPr>
    <w:rPr>
      <w:rFonts w:ascii="Calibri" w:eastAsia="MS PGothic" w:hAnsi="Calibri" w:cs="Times New Roman"/>
      <w:lang w:val="en-GB" w:eastAsia="zh-CN"/>
    </w:rPr>
  </w:style>
  <w:style w:type="paragraph" w:customStyle="1" w:styleId="BoxBullet">
    <w:name w:val="Box Bullet"/>
    <w:basedOn w:val="Normal"/>
    <w:uiPriority w:val="3"/>
    <w:qFormat/>
    <w:rsid w:val="00C50585"/>
    <w:pPr>
      <w:spacing w:after="120" w:line="240" w:lineRule="auto"/>
      <w:ind w:left="720" w:hanging="360"/>
    </w:pPr>
    <w:rPr>
      <w:rFonts w:ascii="Segoe UI" w:eastAsia="MS Mincho" w:hAnsi="Segoe UI" w:cs="Segoe UI"/>
      <w:sz w:val="19"/>
      <w:szCs w:val="20"/>
      <w:lang w:val="en-US" w:eastAsia="en-US"/>
    </w:rPr>
  </w:style>
  <w:style w:type="paragraph" w:customStyle="1" w:styleId="Cell">
    <w:name w:val="Cell"/>
    <w:basedOn w:val="Normal"/>
    <w:uiPriority w:val="99"/>
    <w:qFormat/>
    <w:rsid w:val="00C50585"/>
    <w:pPr>
      <w:spacing w:after="0" w:line="240" w:lineRule="auto"/>
    </w:pPr>
    <w:rPr>
      <w:rFonts w:ascii="Arial" w:eastAsia="Times New Roman" w:hAnsi="Arial" w:cs="Arial"/>
      <w:sz w:val="18"/>
      <w:szCs w:val="18"/>
      <w:lang w:val="en-GB" w:eastAsia="zh-CN"/>
    </w:rPr>
  </w:style>
  <w:style w:type="paragraph" w:styleId="TOCHeading">
    <w:name w:val="TOC Heading"/>
    <w:basedOn w:val="Heading1"/>
    <w:next w:val="Normal"/>
    <w:uiPriority w:val="39"/>
    <w:unhideWhenUsed/>
    <w:qFormat/>
    <w:rsid w:val="00C50585"/>
    <w:pPr>
      <w:keepNext/>
      <w:keepLines/>
      <w:autoSpaceDE/>
      <w:autoSpaceDN/>
      <w:adjustRightInd/>
      <w:spacing w:before="480" w:line="276" w:lineRule="auto"/>
      <w:ind w:left="0"/>
      <w:outlineLvl w:val="9"/>
    </w:pPr>
    <w:rPr>
      <w:rFonts w:asciiTheme="majorHAnsi" w:eastAsiaTheme="majorEastAsia" w:hAnsiTheme="majorHAnsi" w:cstheme="majorBidi"/>
      <w:color w:val="365F91" w:themeColor="accent1" w:themeShade="BF"/>
      <w:sz w:val="28"/>
      <w:szCs w:val="28"/>
      <w:lang w:val="en-US" w:eastAsia="ja-JP"/>
    </w:rPr>
  </w:style>
  <w:style w:type="character" w:styleId="Strong">
    <w:name w:val="Strong"/>
    <w:basedOn w:val="DefaultParagraphFont"/>
    <w:uiPriority w:val="22"/>
    <w:qFormat/>
    <w:rsid w:val="00C50585"/>
    <w:rPr>
      <w:b/>
      <w:bCs/>
    </w:rPr>
  </w:style>
  <w:style w:type="paragraph" w:customStyle="1" w:styleId="BodyA">
    <w:name w:val="Body A"/>
    <w:uiPriority w:val="99"/>
    <w:rsid w:val="00C50585"/>
    <w:pPr>
      <w:pBdr>
        <w:top w:val="nil"/>
        <w:left w:val="nil"/>
        <w:bottom w:val="nil"/>
        <w:right w:val="nil"/>
        <w:between w:val="nil"/>
        <w:bar w:val="nil"/>
      </w:pBdr>
      <w:spacing w:after="0" w:line="216" w:lineRule="auto"/>
      <w:jc w:val="both"/>
    </w:pPr>
    <w:rPr>
      <w:rFonts w:ascii="Times New Roman" w:eastAsia="Times New Roman" w:hAnsi="Times New Roman" w:cs="Times New Roman"/>
      <w:color w:val="000000"/>
      <w:sz w:val="24"/>
      <w:szCs w:val="24"/>
      <w:u w:color="000000"/>
      <w:bdr w:val="nil"/>
      <w:lang w:val="en-US" w:eastAsia="en-US"/>
    </w:rPr>
  </w:style>
  <w:style w:type="paragraph" w:customStyle="1" w:styleId="Pa22">
    <w:name w:val="Pa22"/>
    <w:basedOn w:val="Default"/>
    <w:next w:val="Default"/>
    <w:uiPriority w:val="99"/>
    <w:rsid w:val="00C50585"/>
    <w:pPr>
      <w:spacing w:line="241" w:lineRule="atLeast"/>
    </w:pPr>
    <w:rPr>
      <w:rFonts w:ascii="Times" w:eastAsiaTheme="minorHAnsi" w:hAnsi="Times" w:cs="Times"/>
      <w:color w:val="auto"/>
    </w:rPr>
  </w:style>
  <w:style w:type="table" w:customStyle="1" w:styleId="TableGrid1">
    <w:name w:val="Table Grid1"/>
    <w:basedOn w:val="TableNormal"/>
    <w:next w:val="TableGrid"/>
    <w:uiPriority w:val="59"/>
    <w:rsid w:val="00C50585"/>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C505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50585"/>
    <w:rPr>
      <w:rFonts w:ascii="Courier New" w:eastAsia="Times New Roman" w:hAnsi="Courier New" w:cs="Courier New"/>
      <w:sz w:val="20"/>
      <w:szCs w:val="20"/>
    </w:rPr>
  </w:style>
  <w:style w:type="character" w:customStyle="1" w:styleId="table0020gridchar">
    <w:name w:val="table_0020grid__char"/>
    <w:basedOn w:val="DefaultParagraphFont"/>
    <w:rsid w:val="00C50585"/>
  </w:style>
  <w:style w:type="paragraph" w:customStyle="1" w:styleId="OCtext">
    <w:name w:val="OC text"/>
    <w:basedOn w:val="Normal"/>
    <w:uiPriority w:val="99"/>
    <w:qFormat/>
    <w:rsid w:val="00C50585"/>
    <w:pPr>
      <w:shd w:val="clear" w:color="auto" w:fill="FFFFFF"/>
      <w:spacing w:after="240" w:line="240" w:lineRule="auto"/>
      <w:jc w:val="both"/>
    </w:pPr>
    <w:rPr>
      <w:rFonts w:ascii="Times New Roman" w:eastAsia="Times New Roman" w:hAnsi="Times New Roman" w:cs="Times New Roman"/>
      <w:color w:val="000000"/>
      <w:sz w:val="20"/>
      <w:szCs w:val="24"/>
      <w:lang w:val="en-GB" w:eastAsia="en-GB"/>
    </w:rPr>
  </w:style>
  <w:style w:type="paragraph" w:styleId="NoSpacing">
    <w:name w:val="No Spacing"/>
    <w:link w:val="NoSpacingChar"/>
    <w:uiPriority w:val="1"/>
    <w:qFormat/>
    <w:rsid w:val="00C50585"/>
    <w:pPr>
      <w:spacing w:after="0" w:line="240" w:lineRule="auto"/>
    </w:pPr>
    <w:rPr>
      <w:rFonts w:ascii="Calibri" w:eastAsia="Calibri" w:hAnsi="Calibri" w:cs="Times New Roman"/>
      <w:lang w:val="en-US" w:eastAsia="en-US"/>
    </w:rPr>
  </w:style>
  <w:style w:type="character" w:customStyle="1" w:styleId="tlid-translation">
    <w:name w:val="tlid-translation"/>
    <w:basedOn w:val="DefaultParagraphFont"/>
    <w:rsid w:val="00C50585"/>
  </w:style>
  <w:style w:type="table" w:customStyle="1" w:styleId="PlainTable31">
    <w:name w:val="Plain Table 31"/>
    <w:basedOn w:val="TableNormal"/>
    <w:uiPriority w:val="43"/>
    <w:rsid w:val="00C50585"/>
    <w:pPr>
      <w:spacing w:after="0" w:line="240" w:lineRule="auto"/>
    </w:pPr>
    <w:rPr>
      <w:rFonts w:eastAsiaTheme="minorHAnsi"/>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TabletextChar">
    <w:name w:val="Table text Char"/>
    <w:link w:val="Tabletext"/>
    <w:rsid w:val="00C50585"/>
    <w:rPr>
      <w:rFonts w:cs="Arial"/>
      <w:color w:val="616264"/>
    </w:rPr>
  </w:style>
  <w:style w:type="paragraph" w:customStyle="1" w:styleId="Tabletext">
    <w:name w:val="Table text"/>
    <w:basedOn w:val="Normal"/>
    <w:link w:val="TabletextChar"/>
    <w:qFormat/>
    <w:rsid w:val="00C50585"/>
    <w:pPr>
      <w:spacing w:after="0" w:line="240" w:lineRule="auto"/>
      <w:jc w:val="center"/>
    </w:pPr>
    <w:rPr>
      <w:rFonts w:cs="Arial"/>
      <w:color w:val="616264"/>
    </w:rPr>
  </w:style>
  <w:style w:type="paragraph" w:customStyle="1" w:styleId="Char2">
    <w:name w:val="Char2"/>
    <w:aliases w:val="Char Char Char Char"/>
    <w:basedOn w:val="Normal"/>
    <w:uiPriority w:val="99"/>
    <w:rsid w:val="00C50585"/>
    <w:pPr>
      <w:spacing w:after="160" w:line="240" w:lineRule="exact"/>
    </w:pPr>
    <w:rPr>
      <w:rFonts w:eastAsiaTheme="minorHAnsi"/>
      <w:vertAlign w:val="superscript"/>
      <w:lang w:val="en-US" w:eastAsia="en-US"/>
    </w:rPr>
  </w:style>
  <w:style w:type="character" w:customStyle="1" w:styleId="BulletedChar">
    <w:name w:val="Bulleted Char"/>
    <w:link w:val="Bulleted"/>
    <w:locked/>
    <w:rsid w:val="00C50585"/>
  </w:style>
  <w:style w:type="paragraph" w:customStyle="1" w:styleId="Bulleted">
    <w:name w:val="Bulleted"/>
    <w:basedOn w:val="Normal"/>
    <w:link w:val="BulletedChar"/>
    <w:qFormat/>
    <w:rsid w:val="00C50585"/>
    <w:pPr>
      <w:spacing w:after="0" w:line="240" w:lineRule="auto"/>
    </w:pPr>
  </w:style>
  <w:style w:type="character" w:customStyle="1" w:styleId="normalchar">
    <w:name w:val="normal__char"/>
    <w:basedOn w:val="DefaultParagraphFont"/>
    <w:rsid w:val="00C50585"/>
  </w:style>
  <w:style w:type="paragraph" w:customStyle="1" w:styleId="RowsHeading">
    <w:name w:val="Rows Heading"/>
    <w:basedOn w:val="Normal"/>
    <w:uiPriority w:val="99"/>
    <w:rsid w:val="00C50585"/>
    <w:pPr>
      <w:spacing w:after="0" w:line="240" w:lineRule="auto"/>
    </w:pPr>
    <w:rPr>
      <w:rFonts w:ascii="Arial" w:eastAsia="Calibri" w:hAnsi="Arial" w:cs="Arial"/>
      <w:sz w:val="18"/>
      <w:szCs w:val="18"/>
      <w:lang w:eastAsia="zh-CN"/>
    </w:rPr>
  </w:style>
  <w:style w:type="character" w:styleId="PlaceholderText">
    <w:name w:val="Placeholder Text"/>
    <w:basedOn w:val="DefaultParagraphFont"/>
    <w:uiPriority w:val="99"/>
    <w:unhideWhenUsed/>
    <w:rsid w:val="00C50585"/>
    <w:rPr>
      <w:color w:val="808080"/>
    </w:rPr>
  </w:style>
  <w:style w:type="table" w:styleId="GridTable1Light">
    <w:name w:val="Grid Table 1 Light"/>
    <w:basedOn w:val="TableNormal"/>
    <w:uiPriority w:val="46"/>
    <w:rsid w:val="00C50585"/>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C50585"/>
    <w:pPr>
      <w:spacing w:after="0" w:line="240" w:lineRule="auto"/>
    </w:pPr>
    <w:rPr>
      <w:rFonts w:eastAsiaTheme="minorHAnsi"/>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50585"/>
    <w:pPr>
      <w:spacing w:after="0" w:line="240" w:lineRule="auto"/>
    </w:pPr>
    <w:rPr>
      <w:rFonts w:eastAsiaTheme="minorHAnsi"/>
      <w:lang w:val="en-US"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a2">
    <w:name w:val="Pa2"/>
    <w:basedOn w:val="Normal"/>
    <w:next w:val="Normal"/>
    <w:uiPriority w:val="99"/>
    <w:rsid w:val="00C50585"/>
    <w:pPr>
      <w:autoSpaceDE w:val="0"/>
      <w:autoSpaceDN w:val="0"/>
      <w:adjustRightInd w:val="0"/>
      <w:spacing w:after="0" w:line="241" w:lineRule="atLeast"/>
    </w:pPr>
    <w:rPr>
      <w:rFonts w:ascii="ARS Maquette Pro" w:eastAsiaTheme="minorHAnsi" w:hAnsi="ARS Maquette Pro"/>
      <w:sz w:val="24"/>
      <w:szCs w:val="24"/>
      <w:lang w:val="en-US" w:eastAsia="en-US"/>
    </w:rPr>
  </w:style>
  <w:style w:type="character" w:customStyle="1" w:styleId="A2">
    <w:name w:val="A2"/>
    <w:uiPriority w:val="99"/>
    <w:rsid w:val="00C50585"/>
    <w:rPr>
      <w:rFonts w:cs="ARS Maquette Pro"/>
      <w:color w:val="000000"/>
      <w:sz w:val="22"/>
      <w:szCs w:val="22"/>
    </w:rPr>
  </w:style>
  <w:style w:type="character" w:customStyle="1" w:styleId="A10">
    <w:name w:val="A10"/>
    <w:uiPriority w:val="99"/>
    <w:rsid w:val="00C50585"/>
    <w:rPr>
      <w:rFonts w:cs="ARS Maquette Pro"/>
      <w:color w:val="000000"/>
      <w:sz w:val="12"/>
      <w:szCs w:val="12"/>
    </w:rPr>
  </w:style>
  <w:style w:type="paragraph" w:customStyle="1" w:styleId="Text1">
    <w:name w:val="Text 1"/>
    <w:basedOn w:val="Normal"/>
    <w:uiPriority w:val="99"/>
    <w:qFormat/>
    <w:rsid w:val="00C50585"/>
    <w:pPr>
      <w:suppressAutoHyphens/>
      <w:spacing w:after="0" w:line="240" w:lineRule="auto"/>
      <w:ind w:left="482"/>
    </w:pPr>
    <w:rPr>
      <w:rFonts w:ascii="Times New Roman" w:eastAsia="Times New Roman" w:hAnsi="Times New Roman" w:cs="Times New Roman"/>
      <w:sz w:val="24"/>
      <w:szCs w:val="24"/>
      <w:lang w:val="en-GB" w:eastAsia="en-GB"/>
    </w:rPr>
  </w:style>
  <w:style w:type="paragraph" w:styleId="EndnoteText">
    <w:name w:val="endnote text"/>
    <w:basedOn w:val="Normal"/>
    <w:link w:val="EndnoteTextChar"/>
    <w:uiPriority w:val="99"/>
    <w:semiHidden/>
    <w:unhideWhenUsed/>
    <w:rsid w:val="00C50585"/>
    <w:pPr>
      <w:spacing w:after="0" w:line="240" w:lineRule="auto"/>
    </w:pPr>
    <w:rPr>
      <w:rFonts w:ascii="Calibri" w:eastAsia="Calibri" w:hAnsi="Calibri" w:cs="Times New Roman"/>
      <w:sz w:val="20"/>
      <w:szCs w:val="20"/>
      <w:lang w:val="en-GB" w:eastAsia="en-US"/>
    </w:rPr>
  </w:style>
  <w:style w:type="character" w:customStyle="1" w:styleId="EndnoteTextChar">
    <w:name w:val="Endnote Text Char"/>
    <w:basedOn w:val="DefaultParagraphFont"/>
    <w:link w:val="EndnoteText"/>
    <w:uiPriority w:val="99"/>
    <w:semiHidden/>
    <w:rsid w:val="00C50585"/>
    <w:rPr>
      <w:rFonts w:ascii="Calibri" w:eastAsia="Calibri" w:hAnsi="Calibri" w:cs="Times New Roman"/>
      <w:sz w:val="20"/>
      <w:szCs w:val="20"/>
      <w:lang w:val="en-GB" w:eastAsia="en-US"/>
    </w:rPr>
  </w:style>
  <w:style w:type="character" w:styleId="EndnoteReference">
    <w:name w:val="endnote reference"/>
    <w:basedOn w:val="DefaultParagraphFont"/>
    <w:uiPriority w:val="99"/>
    <w:semiHidden/>
    <w:unhideWhenUsed/>
    <w:rsid w:val="00C50585"/>
    <w:rPr>
      <w:vertAlign w:val="superscript"/>
    </w:rPr>
  </w:style>
  <w:style w:type="paragraph" w:customStyle="1" w:styleId="ECABullets">
    <w:name w:val="ECA Bullets"/>
    <w:basedOn w:val="Normal"/>
    <w:link w:val="ECABulletsChar"/>
    <w:qFormat/>
    <w:rsid w:val="00C50585"/>
    <w:pPr>
      <w:numPr>
        <w:numId w:val="3"/>
      </w:numPr>
      <w:spacing w:before="240" w:after="240" w:line="240" w:lineRule="auto"/>
    </w:pPr>
    <w:rPr>
      <w:rFonts w:ascii="Book Antiqua" w:eastAsia="Times New Roman" w:hAnsi="Book Antiqua" w:cs="Times New Roman"/>
      <w:szCs w:val="20"/>
      <w:lang w:val="en-GB" w:eastAsia="en-US"/>
    </w:rPr>
  </w:style>
  <w:style w:type="character" w:customStyle="1" w:styleId="ECABulletsChar">
    <w:name w:val="ECA Bullets Char"/>
    <w:link w:val="ECABullets"/>
    <w:rsid w:val="00C50585"/>
    <w:rPr>
      <w:rFonts w:ascii="Book Antiqua" w:eastAsia="Times New Roman" w:hAnsi="Book Antiqua" w:cs="Times New Roman"/>
      <w:szCs w:val="20"/>
      <w:lang w:val="en-GB" w:eastAsia="en-US"/>
    </w:rPr>
  </w:style>
  <w:style w:type="paragraph" w:customStyle="1" w:styleId="ECABulletsSub">
    <w:name w:val="ECA Bullets Sub"/>
    <w:basedOn w:val="Normal"/>
    <w:uiPriority w:val="99"/>
    <w:qFormat/>
    <w:rsid w:val="00C50585"/>
    <w:pPr>
      <w:numPr>
        <w:ilvl w:val="2"/>
        <w:numId w:val="3"/>
      </w:numPr>
      <w:tabs>
        <w:tab w:val="clear" w:pos="2268"/>
        <w:tab w:val="num" w:pos="1701"/>
      </w:tabs>
      <w:spacing w:before="240" w:after="240" w:line="240" w:lineRule="auto"/>
      <w:ind w:left="1701"/>
    </w:pPr>
    <w:rPr>
      <w:rFonts w:ascii="Book Antiqua" w:eastAsia="Times New Roman" w:hAnsi="Book Antiqua" w:cs="Times New Roman"/>
      <w:szCs w:val="20"/>
      <w:lang w:val="en-GB" w:eastAsia="en-US"/>
    </w:rPr>
  </w:style>
  <w:style w:type="paragraph" w:customStyle="1" w:styleId="ECABulletsSub-Sub">
    <w:name w:val="ECA Bullets Sub-Sub"/>
    <w:basedOn w:val="Normal"/>
    <w:autoRedefine/>
    <w:uiPriority w:val="99"/>
    <w:qFormat/>
    <w:rsid w:val="00C50585"/>
    <w:pPr>
      <w:tabs>
        <w:tab w:val="num" w:pos="2268"/>
      </w:tabs>
      <w:spacing w:after="240" w:line="240" w:lineRule="auto"/>
      <w:ind w:left="2268" w:hanging="567"/>
    </w:pPr>
    <w:rPr>
      <w:rFonts w:ascii="Book Antiqua" w:eastAsia="Times New Roman" w:hAnsi="Book Antiqua" w:cs="Times New Roman"/>
      <w:szCs w:val="20"/>
      <w:lang w:val="en-GB" w:eastAsia="en-US"/>
    </w:rPr>
  </w:style>
  <w:style w:type="table" w:customStyle="1" w:styleId="GridTable1Light1">
    <w:name w:val="Grid Table 1 Light1"/>
    <w:basedOn w:val="TableNormal"/>
    <w:uiPriority w:val="46"/>
    <w:rsid w:val="00C50585"/>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viiyi">
    <w:name w:val="viiyi"/>
    <w:basedOn w:val="DefaultParagraphFont"/>
    <w:rsid w:val="00C50585"/>
  </w:style>
  <w:style w:type="character" w:customStyle="1" w:styleId="jlqj4b">
    <w:name w:val="jlqj4b"/>
    <w:basedOn w:val="DefaultParagraphFont"/>
    <w:rsid w:val="00C50585"/>
  </w:style>
  <w:style w:type="paragraph" w:customStyle="1" w:styleId="xmsonormal">
    <w:name w:val="x_msonormal"/>
    <w:basedOn w:val="Normal"/>
    <w:uiPriority w:val="99"/>
    <w:rsid w:val="00C5058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TableGrid2">
    <w:name w:val="Table Grid2"/>
    <w:basedOn w:val="TableNormal"/>
    <w:next w:val="TableGrid"/>
    <w:uiPriority w:val="59"/>
    <w:rsid w:val="00C50585"/>
    <w:pPr>
      <w:widowControl w:val="0"/>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uiPriority w:val="99"/>
    <w:rsid w:val="00C5058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TableGrid11">
    <w:name w:val="Table Grid11"/>
    <w:basedOn w:val="TableNormal"/>
    <w:next w:val="TableGrid"/>
    <w:uiPriority w:val="59"/>
    <w:rsid w:val="00C50585"/>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
    <w:name w:val="C1"/>
    <w:basedOn w:val="Normal"/>
    <w:next w:val="FootnoteText"/>
    <w:uiPriority w:val="99"/>
    <w:unhideWhenUsed/>
    <w:qFormat/>
    <w:rsid w:val="00C50585"/>
    <w:pPr>
      <w:spacing w:after="0" w:line="240" w:lineRule="auto"/>
    </w:pPr>
    <w:rPr>
      <w:rFonts w:eastAsiaTheme="minorHAnsi"/>
      <w:sz w:val="20"/>
      <w:szCs w:val="20"/>
      <w:lang w:val="en-US" w:eastAsia="en-US"/>
    </w:rPr>
  </w:style>
  <w:style w:type="character" w:customStyle="1" w:styleId="FootnoteTextChar1">
    <w:name w:val="Footnote Text Char1"/>
    <w:aliases w:val="Footnote Text Char Char Char Char1,Footnote Text Char Char Char2,Fußnote Char1,Testo nota a piè di pagina Carattere Char1,Geneva 9 Char1,Font: Geneva 9 Char1,Boston 10 Char1,f Char1,single space Char1,FOOTNOTES Char1,fn Char1,C Char1"/>
    <w:basedOn w:val="DefaultParagraphFont"/>
    <w:uiPriority w:val="8"/>
    <w:semiHidden/>
    <w:rsid w:val="00C50585"/>
    <w:rPr>
      <w:sz w:val="20"/>
      <w:szCs w:val="20"/>
    </w:rPr>
  </w:style>
  <w:style w:type="character" w:customStyle="1" w:styleId="y2iqfc">
    <w:name w:val="y2iqfc"/>
    <w:basedOn w:val="DefaultParagraphFont"/>
    <w:qFormat/>
    <w:rsid w:val="00C50585"/>
  </w:style>
  <w:style w:type="table" w:customStyle="1" w:styleId="TableGrid31">
    <w:name w:val="Table Grid31"/>
    <w:basedOn w:val="TableNormal"/>
    <w:uiPriority w:val="39"/>
    <w:rsid w:val="00C50585"/>
    <w:pPr>
      <w:spacing w:after="0"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1">
    <w:name w:val="Grid Table 1 Light11"/>
    <w:basedOn w:val="TableNormal"/>
    <w:uiPriority w:val="46"/>
    <w:rsid w:val="00C50585"/>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Accent51">
    <w:name w:val="Grid Table 2 - Accent 51"/>
    <w:basedOn w:val="TableNormal"/>
    <w:uiPriority w:val="47"/>
    <w:rsid w:val="00C50585"/>
    <w:pPr>
      <w:spacing w:after="0" w:line="240" w:lineRule="auto"/>
    </w:pPr>
    <w:rPr>
      <w:rFonts w:eastAsiaTheme="minorHAnsi"/>
      <w:lang w:val="en-US" w:eastAsia="en-US"/>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51">
    <w:name w:val="Grid Table 4 - Accent 51"/>
    <w:basedOn w:val="TableNormal"/>
    <w:uiPriority w:val="49"/>
    <w:rsid w:val="00C50585"/>
    <w:pPr>
      <w:spacing w:after="0" w:line="240" w:lineRule="auto"/>
    </w:pPr>
    <w:rPr>
      <w:rFonts w:eastAsiaTheme="minorHAnsi"/>
      <w:lang w:val="en-US"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Grid32">
    <w:name w:val="Table Grid32"/>
    <w:basedOn w:val="TableNormal"/>
    <w:uiPriority w:val="39"/>
    <w:rsid w:val="00C50585"/>
    <w:pPr>
      <w:widowControl w:val="0"/>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C50585"/>
    <w:pPr>
      <w:widowControl w:val="0"/>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C50585"/>
    <w:pPr>
      <w:spacing w:after="0" w:line="240" w:lineRule="auto"/>
    </w:pPr>
    <w:rPr>
      <w:rFonts w:ascii="Times New Roman" w:eastAsia="Times New Roman" w:hAnsi="Times New Roman" w:cs="Times New Roman"/>
      <w:i/>
      <w:iCs/>
      <w:color w:val="000000" w:themeColor="text1"/>
      <w:sz w:val="24"/>
      <w:szCs w:val="24"/>
      <w:lang w:val="en-US" w:eastAsia="en-US"/>
    </w:rPr>
  </w:style>
  <w:style w:type="character" w:customStyle="1" w:styleId="QuoteChar">
    <w:name w:val="Quote Char"/>
    <w:basedOn w:val="DefaultParagraphFont"/>
    <w:link w:val="Quote"/>
    <w:uiPriority w:val="29"/>
    <w:rsid w:val="00C50585"/>
    <w:rPr>
      <w:rFonts w:ascii="Times New Roman" w:eastAsia="Times New Roman" w:hAnsi="Times New Roman" w:cs="Times New Roman"/>
      <w:i/>
      <w:iCs/>
      <w:color w:val="000000" w:themeColor="text1"/>
      <w:sz w:val="24"/>
      <w:szCs w:val="24"/>
      <w:lang w:val="en-US" w:eastAsia="en-US"/>
    </w:rPr>
  </w:style>
  <w:style w:type="character" w:customStyle="1" w:styleId="rynqvb">
    <w:name w:val="rynqvb"/>
    <w:basedOn w:val="DefaultParagraphFont"/>
    <w:rsid w:val="00C50585"/>
  </w:style>
  <w:style w:type="character" w:customStyle="1" w:styleId="hwtze">
    <w:name w:val="hwtze"/>
    <w:basedOn w:val="DefaultParagraphFont"/>
    <w:rsid w:val="00C50585"/>
  </w:style>
  <w:style w:type="table" w:customStyle="1" w:styleId="TableGrid3">
    <w:name w:val="Table Grid3"/>
    <w:basedOn w:val="TableNormal"/>
    <w:next w:val="TableGrid"/>
    <w:uiPriority w:val="39"/>
    <w:rsid w:val="00C50585"/>
    <w:pPr>
      <w:widowControl w:val="0"/>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C50585"/>
    <w:rPr>
      <w:rFonts w:ascii="Segoe UI" w:hAnsi="Segoe UI" w:cs="Segoe UI" w:hint="default"/>
      <w:sz w:val="18"/>
      <w:szCs w:val="18"/>
    </w:rPr>
  </w:style>
  <w:style w:type="character" w:customStyle="1" w:styleId="WW8Num20z1">
    <w:name w:val="WW8Num20z1"/>
    <w:qFormat/>
    <w:rsid w:val="00C50585"/>
  </w:style>
  <w:style w:type="table" w:styleId="GridTable3-Accent1">
    <w:name w:val="Grid Table 3 Accent 1"/>
    <w:basedOn w:val="TableNormal"/>
    <w:uiPriority w:val="48"/>
    <w:rsid w:val="00C50585"/>
    <w:pPr>
      <w:spacing w:after="0" w:line="240" w:lineRule="auto"/>
    </w:pPr>
    <w:rPr>
      <w:rFonts w:eastAsiaTheme="minorHAnsi"/>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customStyle="1" w:styleId="AAAAAAATEXXXX">
    <w:name w:val="AAAAAAATEXXXX"/>
    <w:basedOn w:val="ListParagraph"/>
    <w:qFormat/>
    <w:rsid w:val="00C50585"/>
    <w:pPr>
      <w:widowControl w:val="0"/>
      <w:tabs>
        <w:tab w:val="left" w:pos="720"/>
      </w:tabs>
      <w:spacing w:after="0" w:line="240" w:lineRule="auto"/>
      <w:ind w:left="0" w:firstLine="284"/>
      <w:contextualSpacing w:val="0"/>
      <w:jc w:val="both"/>
    </w:pPr>
    <w:rPr>
      <w:rFonts w:ascii="Garamond" w:eastAsia="Arial Narrow" w:hAnsi="Garamond" w:cs="Times New Roman"/>
      <w:color w:val="0D0D0D"/>
      <w:sz w:val="24"/>
      <w:szCs w:val="24"/>
      <w:lang w:val="en-US" w:eastAsia="en-US"/>
    </w:rPr>
  </w:style>
  <w:style w:type="character" w:customStyle="1" w:styleId="ParagrafiChar">
    <w:name w:val="Paragrafi Char"/>
    <w:basedOn w:val="DefaultParagraphFont"/>
    <w:link w:val="Paragrafi"/>
    <w:locked/>
    <w:rsid w:val="00C50585"/>
    <w:rPr>
      <w:rFonts w:ascii="CG Times" w:eastAsia="Times New Roman" w:hAnsi="CG Times" w:cs="Times New Roman"/>
      <w:szCs w:val="20"/>
      <w:lang w:val="en-US"/>
    </w:rPr>
  </w:style>
  <w:style w:type="character" w:customStyle="1" w:styleId="ParagraphNumberingChar">
    <w:name w:val="Paragraph Numbering Char"/>
    <w:basedOn w:val="DefaultParagraphFont"/>
    <w:link w:val="ParagraphNumbering"/>
    <w:locked/>
    <w:rsid w:val="00C50585"/>
    <w:rPr>
      <w:rFonts w:ascii="Times New Roman" w:hAnsi="Times New Roman"/>
      <w:sz w:val="24"/>
      <w:szCs w:val="24"/>
      <w:lang w:val="en-US" w:eastAsia="zh-CN"/>
    </w:rPr>
  </w:style>
  <w:style w:type="paragraph" w:customStyle="1" w:styleId="ParagraphNumbering">
    <w:name w:val="Paragraph Numbering"/>
    <w:basedOn w:val="Normal"/>
    <w:link w:val="ParagraphNumberingChar"/>
    <w:qFormat/>
    <w:rsid w:val="00C50585"/>
    <w:pPr>
      <w:spacing w:after="240" w:line="264" w:lineRule="auto"/>
    </w:pPr>
    <w:rPr>
      <w:rFonts w:ascii="Times New Roman" w:hAnsi="Times New Roman"/>
      <w:sz w:val="24"/>
      <w:szCs w:val="24"/>
      <w:lang w:val="en-US" w:eastAsia="zh-CN"/>
    </w:rPr>
  </w:style>
  <w:style w:type="character" w:customStyle="1" w:styleId="fontstyle01">
    <w:name w:val="fontstyle01"/>
    <w:basedOn w:val="DefaultParagraphFont"/>
    <w:rsid w:val="00C50585"/>
    <w:rPr>
      <w:rFonts w:ascii="Times New Roman" w:hAnsi="Times New Roman" w:cs="Times New Roman" w:hint="default"/>
      <w:b w:val="0"/>
      <w:bCs w:val="0"/>
      <w:i w:val="0"/>
      <w:iCs w:val="0"/>
      <w:color w:val="0D0D0D"/>
      <w:sz w:val="24"/>
      <w:szCs w:val="24"/>
    </w:rPr>
  </w:style>
  <w:style w:type="character" w:customStyle="1" w:styleId="fontstyle21">
    <w:name w:val="fontstyle21"/>
    <w:basedOn w:val="DefaultParagraphFont"/>
    <w:rsid w:val="00C50585"/>
    <w:rPr>
      <w:rFonts w:ascii="Times New Roman" w:hAnsi="Times New Roman" w:cs="Times New Roman" w:hint="default"/>
      <w:b w:val="0"/>
      <w:bCs w:val="0"/>
      <w:i/>
      <w:iCs/>
      <w:color w:val="0D0D0D"/>
      <w:sz w:val="24"/>
      <w:szCs w:val="24"/>
    </w:rPr>
  </w:style>
  <w:style w:type="character" w:customStyle="1" w:styleId="q4iawc">
    <w:name w:val="q4iawc"/>
    <w:basedOn w:val="DefaultParagraphFont"/>
    <w:rsid w:val="00C50585"/>
  </w:style>
  <w:style w:type="numbering" w:customStyle="1" w:styleId="Style1">
    <w:name w:val="Style1"/>
    <w:uiPriority w:val="99"/>
    <w:rsid w:val="00C50585"/>
    <w:pPr>
      <w:numPr>
        <w:numId w:val="4"/>
      </w:numPr>
    </w:pPr>
  </w:style>
  <w:style w:type="numbering" w:customStyle="1" w:styleId="Style2">
    <w:name w:val="Style2"/>
    <w:uiPriority w:val="99"/>
    <w:rsid w:val="00C50585"/>
    <w:pPr>
      <w:numPr>
        <w:numId w:val="5"/>
      </w:numPr>
    </w:pPr>
  </w:style>
  <w:style w:type="table" w:customStyle="1" w:styleId="TableGrid5">
    <w:name w:val="Table Grid5"/>
    <w:basedOn w:val="TableNormal"/>
    <w:next w:val="TableGrid"/>
    <w:uiPriority w:val="59"/>
    <w:rsid w:val="00C50585"/>
    <w:pPr>
      <w:spacing w:after="0" w:line="240" w:lineRule="auto"/>
    </w:pPr>
    <w:rPr>
      <w:rFonts w:ascii="Times New Roman" w:eastAsia="Times New Roman" w:hAnsi="Times New Roman" w:cs="Times New Roman"/>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qFormat/>
    <w:rsid w:val="00C50585"/>
    <w:pPr>
      <w:autoSpaceDE w:val="0"/>
      <w:autoSpaceDN w:val="0"/>
      <w:adjustRightInd w:val="0"/>
      <w:spacing w:after="0" w:line="240" w:lineRule="auto"/>
    </w:pPr>
    <w:rPr>
      <w:rFonts w:ascii="Arial" w:eastAsia="Times New Roman" w:hAnsi="Arial" w:cs="Arial"/>
      <w:sz w:val="24"/>
      <w:szCs w:val="24"/>
      <w:lang w:val="en-GB" w:eastAsia="zh-CN"/>
    </w:rPr>
  </w:style>
  <w:style w:type="character" w:customStyle="1" w:styleId="NoSpacingChar">
    <w:name w:val="No Spacing Char"/>
    <w:link w:val="NoSpacing"/>
    <w:uiPriority w:val="1"/>
    <w:locked/>
    <w:rsid w:val="00C50585"/>
    <w:rPr>
      <w:rFonts w:ascii="Calibri" w:eastAsia="Calibri" w:hAnsi="Calibri" w:cs="Times New Roman"/>
      <w:lang w:val="en-US" w:eastAsia="en-US"/>
    </w:rPr>
  </w:style>
  <w:style w:type="character" w:customStyle="1" w:styleId="normaltextrun">
    <w:name w:val="normaltextrun"/>
    <w:basedOn w:val="DefaultParagraphFont"/>
    <w:rsid w:val="00C50585"/>
  </w:style>
  <w:style w:type="table" w:styleId="TableGridLight">
    <w:name w:val="Grid Table Light"/>
    <w:basedOn w:val="TableNormal"/>
    <w:uiPriority w:val="40"/>
    <w:rsid w:val="00C50585"/>
    <w:pPr>
      <w:spacing w:after="0" w:line="240" w:lineRule="auto"/>
    </w:pPr>
    <w:rPr>
      <w:rFonts w:eastAsia="MS Mincho"/>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C50585"/>
    <w:pPr>
      <w:spacing w:after="0" w:line="240" w:lineRule="auto"/>
    </w:pPr>
    <w:rPr>
      <w:rFonts w:eastAsiaTheme="minorHAnsi"/>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C50585"/>
    <w:pPr>
      <w:spacing w:after="0" w:line="240" w:lineRule="auto"/>
    </w:pPr>
    <w:rPr>
      <w:rFonts w:eastAsiaTheme="minorHAnsi"/>
      <w:lang w:val="en-US"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3-Accent11">
    <w:name w:val="Grid Table 3 - Accent 11"/>
    <w:basedOn w:val="TableNormal"/>
    <w:uiPriority w:val="48"/>
    <w:rsid w:val="00C50585"/>
    <w:pPr>
      <w:spacing w:after="0" w:line="240" w:lineRule="auto"/>
    </w:pPr>
    <w:rPr>
      <w:rFonts w:eastAsiaTheme="minorHAnsi"/>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Elegant">
    <w:name w:val="Table Elegant"/>
    <w:basedOn w:val="TableNormal"/>
    <w:rsid w:val="00C50585"/>
    <w:pPr>
      <w:spacing w:after="0" w:line="240" w:lineRule="auto"/>
    </w:pPr>
    <w:rPr>
      <w:rFonts w:ascii="Times New Roman" w:eastAsia="Times New Roman" w:hAnsi="Times New Roman" w:cs="Times New Roman"/>
      <w:sz w:val="20"/>
      <w:szCs w:val="20"/>
      <w:lang w:val="fr-BE" w:eastAsia="fr-B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HTMLCite">
    <w:name w:val="HTML Cite"/>
    <w:uiPriority w:val="99"/>
    <w:semiHidden/>
    <w:unhideWhenUsed/>
    <w:rsid w:val="00C50585"/>
    <w:rPr>
      <w:i/>
      <w:iCs/>
    </w:rPr>
  </w:style>
  <w:style w:type="paragraph" w:customStyle="1" w:styleId="TEKSTIIIIII">
    <w:name w:val="TEKSTIIIIII"/>
    <w:basedOn w:val="Normal"/>
    <w:qFormat/>
    <w:rsid w:val="00C50585"/>
    <w:pPr>
      <w:autoSpaceDE w:val="0"/>
      <w:autoSpaceDN w:val="0"/>
      <w:adjustRightInd w:val="0"/>
      <w:spacing w:after="0" w:line="240" w:lineRule="auto"/>
      <w:ind w:firstLine="284"/>
      <w:jc w:val="both"/>
    </w:pPr>
    <w:rPr>
      <w:rFonts w:ascii="Garamond" w:hAnsi="Garamond" w:cs="Times New Roman"/>
      <w:color w:val="000000"/>
      <w:sz w:val="24"/>
      <w:szCs w:val="24"/>
    </w:rPr>
  </w:style>
  <w:style w:type="character" w:styleId="UnresolvedMention">
    <w:name w:val="Unresolved Mention"/>
    <w:basedOn w:val="DefaultParagraphFont"/>
    <w:uiPriority w:val="99"/>
    <w:semiHidden/>
    <w:unhideWhenUsed/>
    <w:rsid w:val="007C70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emf"/><Relationship Id="rId34" Type="http://schemas.openxmlformats.org/officeDocument/2006/relationships/image" Target="media/image18.emf"/><Relationship Id="rId42" Type="http://schemas.openxmlformats.org/officeDocument/2006/relationships/image" Target="media/image21.emf"/><Relationship Id="rId47" Type="http://schemas.openxmlformats.org/officeDocument/2006/relationships/image" Target="media/image26.png"/><Relationship Id="rId50" Type="http://schemas.openxmlformats.org/officeDocument/2006/relationships/chart" Target="charts/chart9.xml"/><Relationship Id="rId55" Type="http://schemas.openxmlformats.org/officeDocument/2006/relationships/image" Target="media/image30.emf"/><Relationship Id="rId63"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1.emf"/><Relationship Id="rId29" Type="http://schemas.openxmlformats.org/officeDocument/2006/relationships/image" Target="media/image14.png"/><Relationship Id="rId11" Type="http://schemas.openxmlformats.org/officeDocument/2006/relationships/endnotes" Target="endnotes.xml"/><Relationship Id="rId24" Type="http://schemas.openxmlformats.org/officeDocument/2006/relationships/image" Target="media/image9.emf"/><Relationship Id="rId32" Type="http://schemas.openxmlformats.org/officeDocument/2006/relationships/image" Target="cid:image003.png@01DB46FD.17504B90" TargetMode="External"/><Relationship Id="rId37" Type="http://schemas.openxmlformats.org/officeDocument/2006/relationships/chart" Target="charts/chart3.xml"/><Relationship Id="rId40" Type="http://schemas.openxmlformats.org/officeDocument/2006/relationships/chart" Target="charts/chart6.xml"/><Relationship Id="rId45" Type="http://schemas.openxmlformats.org/officeDocument/2006/relationships/image" Target="media/image24.emf"/><Relationship Id="rId53" Type="http://schemas.openxmlformats.org/officeDocument/2006/relationships/image" Target="media/image29.emf"/><Relationship Id="rId58" Type="http://schemas.openxmlformats.org/officeDocument/2006/relationships/image" Target="media/image31.emf"/><Relationship Id="rId5" Type="http://schemas.openxmlformats.org/officeDocument/2006/relationships/customXml" Target="../customXml/item5.xml"/><Relationship Id="rId61" Type="http://schemas.openxmlformats.org/officeDocument/2006/relationships/image" Target="media/image34.emf"/><Relationship Id="rId19" Type="http://schemas.openxmlformats.org/officeDocument/2006/relationships/image" Target="media/image4.emf"/><Relationship Id="rId14" Type="http://schemas.openxmlformats.org/officeDocument/2006/relationships/hyperlink" Target="https://financa.gov.al/buxheti-faktik-nder-vite/" TargetMode="External"/><Relationship Id="rId22" Type="http://schemas.openxmlformats.org/officeDocument/2006/relationships/image" Target="media/image7.emf"/><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19.wmf"/><Relationship Id="rId43" Type="http://schemas.openxmlformats.org/officeDocument/2006/relationships/image" Target="media/image22.emf"/><Relationship Id="rId48" Type="http://schemas.openxmlformats.org/officeDocument/2006/relationships/chart" Target="charts/chart7.xml"/><Relationship Id="rId56" Type="http://schemas.openxmlformats.org/officeDocument/2006/relationships/chart" Target="charts/chart11.xml"/><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27.emf"/><Relationship Id="rId3" Type="http://schemas.openxmlformats.org/officeDocument/2006/relationships/customXml" Target="../customXml/item3.xml"/><Relationship Id="rId12" Type="http://schemas.openxmlformats.org/officeDocument/2006/relationships/chart" Target="charts/chart1.xml"/><Relationship Id="rId17" Type="http://schemas.openxmlformats.org/officeDocument/2006/relationships/image" Target="media/image2.emf"/><Relationship Id="rId25" Type="http://schemas.openxmlformats.org/officeDocument/2006/relationships/image" Target="media/image10.emf"/><Relationship Id="rId33" Type="http://schemas.openxmlformats.org/officeDocument/2006/relationships/image" Target="media/image17.emf"/><Relationship Id="rId38" Type="http://schemas.openxmlformats.org/officeDocument/2006/relationships/chart" Target="charts/chart4.xml"/><Relationship Id="rId46" Type="http://schemas.openxmlformats.org/officeDocument/2006/relationships/image" Target="media/image25.emf"/><Relationship Id="rId59" Type="http://schemas.openxmlformats.org/officeDocument/2006/relationships/image" Target="media/image32.emf"/><Relationship Id="rId20" Type="http://schemas.openxmlformats.org/officeDocument/2006/relationships/image" Target="media/image5.emf"/><Relationship Id="rId41" Type="http://schemas.openxmlformats.org/officeDocument/2006/relationships/image" Target="media/image20.emf"/><Relationship Id="rId54" Type="http://schemas.openxmlformats.org/officeDocument/2006/relationships/chart" Target="charts/chart10.xml"/><Relationship Id="rId62" Type="http://schemas.openxmlformats.org/officeDocument/2006/relationships/image" Target="media/image35.emf"/><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financa.gov.al/projektbuxhete-2/" TargetMode="External"/><Relationship Id="rId23" Type="http://schemas.openxmlformats.org/officeDocument/2006/relationships/image" Target="media/image8.emf"/><Relationship Id="rId28" Type="http://schemas.openxmlformats.org/officeDocument/2006/relationships/image" Target="media/image13.png"/><Relationship Id="rId36" Type="http://schemas.openxmlformats.org/officeDocument/2006/relationships/chart" Target="charts/chart2.xml"/><Relationship Id="rId49" Type="http://schemas.openxmlformats.org/officeDocument/2006/relationships/chart" Target="charts/chart8.xml"/><Relationship Id="rId57" Type="http://schemas.openxmlformats.org/officeDocument/2006/relationships/chart" Target="charts/chart12.xml"/><Relationship Id="rId10" Type="http://schemas.openxmlformats.org/officeDocument/2006/relationships/footnotes" Target="footnotes.xml"/><Relationship Id="rId31" Type="http://schemas.openxmlformats.org/officeDocument/2006/relationships/image" Target="media/image16.png"/><Relationship Id="rId44" Type="http://schemas.openxmlformats.org/officeDocument/2006/relationships/image" Target="media/image23.emf"/><Relationship Id="rId52" Type="http://schemas.openxmlformats.org/officeDocument/2006/relationships/image" Target="media/image28.emf"/><Relationship Id="rId60" Type="http://schemas.openxmlformats.org/officeDocument/2006/relationships/image" Target="media/image33.emf"/><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financa.gov.al/detyrimet-e-prapambetura/" TargetMode="External"/><Relationship Id="rId18" Type="http://schemas.openxmlformats.org/officeDocument/2006/relationships/image" Target="media/image3.emf"/><Relationship Id="rId39" Type="http://schemas.openxmlformats.org/officeDocument/2006/relationships/chart" Target="charts/chart5.xml"/></Relationships>
</file>

<file path=word/_rels/footnotes.xml.rels><?xml version="1.0" encoding="UTF-8" standalone="yes"?>
<Relationships xmlns="http://schemas.openxmlformats.org/package/2006/relationships"><Relationship Id="rId3" Type="http://schemas.openxmlformats.org/officeDocument/2006/relationships/hyperlink" Target="https://financa.gov.al/en/menaxhimi-i-financave-publike/" TargetMode="External"/><Relationship Id="rId2" Type="http://schemas.openxmlformats.org/officeDocument/2006/relationships/hyperlink" Target="https://qbz.gov.al/eli/fz/2024/105/d896de92-1aea-4d73-991e-7a99cfeb934f" TargetMode="External"/><Relationship Id="rId1" Type="http://schemas.openxmlformats.org/officeDocument/2006/relationships/hyperlink" Target="http://go.worldbank.org/KQCHUD4JN0"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Chart%20in%20Microsoft%20PowerPoint"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Chart%20in%20Microsoft%20PowerPoint"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Chart%20in%20Microsoft%20Word"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Chart%20in%20Microsoft%20Word"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1.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2.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3.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4.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5.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a:solidFill>
                  <a:srgbClr val="C00000"/>
                </a:solidFill>
              </a:defRPr>
            </a:pPr>
            <a:r>
              <a:rPr lang="en-US">
                <a:solidFill>
                  <a:sysClr val="windowText" lastClr="000000"/>
                </a:solidFill>
              </a:rPr>
              <a:t>Detyrimet e Prapambetura e Qeverisjes së </a:t>
            </a:r>
            <a:r>
              <a:rPr lang="en-US" sz="900">
                <a:solidFill>
                  <a:sysClr val="windowText" lastClr="000000"/>
                </a:solidFill>
              </a:rPr>
              <a:t>Përgjithsme</a:t>
            </a:r>
            <a:r>
              <a:rPr lang="en-US">
                <a:solidFill>
                  <a:sysClr val="windowText" lastClr="000000"/>
                </a:solidFill>
              </a:rPr>
              <a:t> (2018-9M2024)</a:t>
            </a:r>
            <a:endParaRPr lang="sq-AL">
              <a:solidFill>
                <a:sysClr val="windowText" lastClr="000000"/>
              </a:solidFill>
            </a:endParaRPr>
          </a:p>
        </c:rich>
      </c:tx>
      <c:layout>
        <c:manualLayout>
          <c:xMode val="edge"/>
          <c:yMode val="edge"/>
          <c:x val="0.11533070607949064"/>
          <c:y val="2.4610560043630911E-2"/>
        </c:manualLayout>
      </c:layout>
      <c:overlay val="0"/>
      <c:spPr>
        <a:noFill/>
        <a:ln>
          <a:noFill/>
        </a:ln>
        <a:effectLst/>
      </c:spPr>
    </c:title>
    <c:autoTitleDeleted val="0"/>
    <c:plotArea>
      <c:layout>
        <c:manualLayout>
          <c:layoutTarget val="inner"/>
          <c:xMode val="edge"/>
          <c:yMode val="edge"/>
          <c:x val="3.4390741890419761E-2"/>
          <c:y val="0.1450563294972744"/>
          <c:w val="0.63650289327869114"/>
          <c:h val="0.74351679117033442"/>
        </c:manualLayout>
      </c:layout>
      <c:barChart>
        <c:barDir val="col"/>
        <c:grouping val="stacked"/>
        <c:varyColors val="0"/>
        <c:ser>
          <c:idx val="0"/>
          <c:order val="0"/>
          <c:tx>
            <c:strRef>
              <c:f>'Detyrimet Tot'!$B$4</c:f>
              <c:strCache>
                <c:ptCount val="1"/>
                <c:pt idx="0">
                  <c:v> Vendime Gjyqësore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'[1]Detyrimet Tot'!$C$3:$K$3</c:f>
              <c:numCache>
                <c:formatCode>General</c:formatCode>
                <c:ptCount val="9"/>
                <c:pt idx="0">
                  <c:v>0</c:v>
                </c:pt>
                <c:pt idx="1">
                  <c:v>0</c:v>
                </c:pt>
                <c:pt idx="2">
                  <c:v>0</c:v>
                </c:pt>
                <c:pt idx="3">
                  <c:v>0</c:v>
                </c:pt>
                <c:pt idx="4">
                  <c:v>0</c:v>
                </c:pt>
                <c:pt idx="5">
                  <c:v>0</c:v>
                </c:pt>
                <c:pt idx="6">
                  <c:v>0</c:v>
                </c:pt>
                <c:pt idx="7">
                  <c:v>0</c:v>
                </c:pt>
                <c:pt idx="8">
                  <c:v>0</c:v>
                </c:pt>
              </c:numCache>
            </c:numRef>
          </c:cat>
          <c:val>
            <c:numRef>
              <c:f>'Detyrimet Tot'!$C$4:$K$4</c:f>
            </c:numRef>
          </c:val>
          <c:extLst>
            <c:ext xmlns:c16="http://schemas.microsoft.com/office/drawing/2014/chart" uri="{C3380CC4-5D6E-409C-BE32-E72D297353CC}">
              <c16:uniqueId val="{00000000-24CD-4EC1-A7A8-4EE0DA8C1F8C}"/>
            </c:ext>
          </c:extLst>
        </c:ser>
        <c:ser>
          <c:idx val="1"/>
          <c:order val="1"/>
          <c:tx>
            <c:strRef>
              <c:f>'Detyrimet Tot'!$B$5</c:f>
              <c:strCache>
                <c:ptCount val="1"/>
                <c:pt idx="0">
                  <c:v> Mirëmbajtje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'[1]Detyrimet Tot'!$C$3:$K$3</c:f>
              <c:numCache>
                <c:formatCode>General</c:formatCode>
                <c:ptCount val="9"/>
                <c:pt idx="0">
                  <c:v>0</c:v>
                </c:pt>
                <c:pt idx="1">
                  <c:v>0</c:v>
                </c:pt>
                <c:pt idx="2">
                  <c:v>0</c:v>
                </c:pt>
                <c:pt idx="3">
                  <c:v>0</c:v>
                </c:pt>
                <c:pt idx="4">
                  <c:v>0</c:v>
                </c:pt>
                <c:pt idx="5">
                  <c:v>0</c:v>
                </c:pt>
                <c:pt idx="6">
                  <c:v>0</c:v>
                </c:pt>
                <c:pt idx="7">
                  <c:v>0</c:v>
                </c:pt>
                <c:pt idx="8">
                  <c:v>0</c:v>
                </c:pt>
              </c:numCache>
            </c:numRef>
          </c:cat>
          <c:val>
            <c:numRef>
              <c:f>'Detyrimet Tot'!$C$5:$K$5</c:f>
            </c:numRef>
          </c:val>
          <c:extLst>
            <c:ext xmlns:c16="http://schemas.microsoft.com/office/drawing/2014/chart" uri="{C3380CC4-5D6E-409C-BE32-E72D297353CC}">
              <c16:uniqueId val="{00000001-24CD-4EC1-A7A8-4EE0DA8C1F8C}"/>
            </c:ext>
          </c:extLst>
        </c:ser>
        <c:ser>
          <c:idx val="2"/>
          <c:order val="2"/>
          <c:tx>
            <c:strRef>
              <c:f>'Detyrimet Tot'!$B$6</c:f>
              <c:strCache>
                <c:ptCount val="1"/>
                <c:pt idx="0">
                  <c:v> Investime (infrastrukturë)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'[1]Detyrimet Tot'!$C$3:$K$3</c:f>
              <c:numCache>
                <c:formatCode>General</c:formatCode>
                <c:ptCount val="9"/>
                <c:pt idx="0">
                  <c:v>0</c:v>
                </c:pt>
                <c:pt idx="1">
                  <c:v>0</c:v>
                </c:pt>
                <c:pt idx="2">
                  <c:v>0</c:v>
                </c:pt>
                <c:pt idx="3">
                  <c:v>0</c:v>
                </c:pt>
                <c:pt idx="4">
                  <c:v>0</c:v>
                </c:pt>
                <c:pt idx="5">
                  <c:v>0</c:v>
                </c:pt>
                <c:pt idx="6">
                  <c:v>0</c:v>
                </c:pt>
                <c:pt idx="7">
                  <c:v>0</c:v>
                </c:pt>
                <c:pt idx="8">
                  <c:v>0</c:v>
                </c:pt>
              </c:numCache>
            </c:numRef>
          </c:cat>
          <c:val>
            <c:numRef>
              <c:f>'Detyrimet Tot'!$C$6:$K$6</c:f>
            </c:numRef>
          </c:val>
          <c:extLst>
            <c:ext xmlns:c16="http://schemas.microsoft.com/office/drawing/2014/chart" uri="{C3380CC4-5D6E-409C-BE32-E72D297353CC}">
              <c16:uniqueId val="{00000002-24CD-4EC1-A7A8-4EE0DA8C1F8C}"/>
            </c:ext>
          </c:extLst>
        </c:ser>
        <c:ser>
          <c:idx val="3"/>
          <c:order val="3"/>
          <c:tx>
            <c:strRef>
              <c:f>'Detyrimet Tot'!$B$7</c:f>
              <c:strCache>
                <c:ptCount val="1"/>
                <c:pt idx="0">
                  <c:v> Te tjera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'[1]Detyrimet Tot'!$C$3:$K$3</c:f>
              <c:numCache>
                <c:formatCode>General</c:formatCode>
                <c:ptCount val="9"/>
                <c:pt idx="0">
                  <c:v>0</c:v>
                </c:pt>
                <c:pt idx="1">
                  <c:v>0</c:v>
                </c:pt>
                <c:pt idx="2">
                  <c:v>0</c:v>
                </c:pt>
                <c:pt idx="3">
                  <c:v>0</c:v>
                </c:pt>
                <c:pt idx="4">
                  <c:v>0</c:v>
                </c:pt>
                <c:pt idx="5">
                  <c:v>0</c:v>
                </c:pt>
                <c:pt idx="6">
                  <c:v>0</c:v>
                </c:pt>
                <c:pt idx="7">
                  <c:v>0</c:v>
                </c:pt>
                <c:pt idx="8">
                  <c:v>0</c:v>
                </c:pt>
              </c:numCache>
            </c:numRef>
          </c:cat>
          <c:val>
            <c:numRef>
              <c:f>'Detyrimet Tot'!$C$7:$K$7</c:f>
            </c:numRef>
          </c:val>
          <c:extLst>
            <c:ext xmlns:c16="http://schemas.microsoft.com/office/drawing/2014/chart" uri="{C3380CC4-5D6E-409C-BE32-E72D297353CC}">
              <c16:uniqueId val="{00000003-24CD-4EC1-A7A8-4EE0DA8C1F8C}"/>
            </c:ext>
          </c:extLst>
        </c:ser>
        <c:ser>
          <c:idx val="4"/>
          <c:order val="4"/>
          <c:tx>
            <c:strRef>
              <c:f>'Detyrimet Tot'!$B$8</c:f>
              <c:strCache>
                <c:ptCount val="1"/>
                <c:pt idx="0">
                  <c:v>Totali Detyrimeve të Qeverisë Qendrore</c:v>
                </c:pt>
              </c:strCache>
            </c:strRef>
          </c:tx>
          <c:spPr>
            <a:solidFill>
              <a:schemeClr val="accent5"/>
            </a:solidFill>
            <a:ln>
              <a:noFill/>
            </a:ln>
            <a:effectLst/>
          </c:spPr>
          <c:invertIfNegative val="0"/>
          <c:dLbls>
            <c:spPr>
              <a:solidFill>
                <a:sysClr val="window" lastClr="FFFFFF"/>
              </a:solidFill>
              <a:ln>
                <a:noFill/>
              </a:ln>
              <a:effectLst/>
            </c:spPr>
            <c:txPr>
              <a:bodyPr rot="0" vert="horz"/>
              <a:lstStyle/>
              <a:p>
                <a:pPr>
                  <a:defRPr b="1"/>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'Detyrimet Tot'!$C$3:$P$3</c:f>
              <c:strCache>
                <c:ptCount val="7"/>
                <c:pt idx="0">
                  <c:v>2018</c:v>
                </c:pt>
                <c:pt idx="1">
                  <c:v>2019</c:v>
                </c:pt>
                <c:pt idx="2">
                  <c:v>2020</c:v>
                </c:pt>
                <c:pt idx="3">
                  <c:v>2021</c:v>
                </c:pt>
                <c:pt idx="4">
                  <c:v>2022</c:v>
                </c:pt>
                <c:pt idx="5">
                  <c:v>2023</c:v>
                </c:pt>
                <c:pt idx="6">
                  <c:v>9M 2024</c:v>
                </c:pt>
              </c:strCache>
            </c:strRef>
          </c:cat>
          <c:val>
            <c:numRef>
              <c:f>'Detyrimet Tot'!$C$8:$P$8</c:f>
              <c:numCache>
                <c:formatCode>_-* #,##0_L_e_k_-;\-* #,##0_L_e_k_-;_-* "-"??_L_e_k_-;_-@_-</c:formatCode>
                <c:ptCount val="7"/>
                <c:pt idx="0">
                  <c:v>6176.09</c:v>
                </c:pt>
                <c:pt idx="1">
                  <c:v>8200.25</c:v>
                </c:pt>
                <c:pt idx="2">
                  <c:v>6969.9161947100019</c:v>
                </c:pt>
                <c:pt idx="3">
                  <c:v>6149.7587629100008</c:v>
                </c:pt>
                <c:pt idx="4">
                  <c:v>6769.6607726399989</c:v>
                </c:pt>
                <c:pt idx="5">
                  <c:v>3012.6954282300003</c:v>
                </c:pt>
                <c:pt idx="6">
                  <c:v>7001.5418659499992</c:v>
                </c:pt>
              </c:numCache>
            </c:numRef>
          </c:val>
          <c:extLst>
            <c:ext xmlns:c16="http://schemas.microsoft.com/office/drawing/2014/chart" uri="{C3380CC4-5D6E-409C-BE32-E72D297353CC}">
              <c16:uniqueId val="{00000004-24CD-4EC1-A7A8-4EE0DA8C1F8C}"/>
            </c:ext>
          </c:extLst>
        </c:ser>
        <c:ser>
          <c:idx val="5"/>
          <c:order val="5"/>
          <c:tx>
            <c:strRef>
              <c:f>'Detyrimet Tot'!$B$9</c:f>
              <c:strCache>
                <c:ptCount val="1"/>
                <c:pt idx="0">
                  <c:v>2. Totali Detyrimeve të Qeverisë Vendore</c:v>
                </c:pt>
              </c:strCache>
            </c:strRef>
          </c:tx>
          <c:spPr>
            <a:solidFill>
              <a:schemeClr val="accent6"/>
            </a:solidFill>
            <a:ln>
              <a:noFill/>
            </a:ln>
            <a:effectLst/>
          </c:spPr>
          <c:invertIfNegative val="0"/>
          <c:dLbls>
            <c:spPr>
              <a:solidFill>
                <a:sysClr val="window" lastClr="FFFFFF"/>
              </a:solidFill>
              <a:ln>
                <a:noFill/>
              </a:ln>
              <a:effectLst/>
            </c:spPr>
            <c:txPr>
              <a:bodyPr rot="0" vert="horz"/>
              <a:lstStyle/>
              <a:p>
                <a:pPr>
                  <a:defRPr b="1"/>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'Detyrimet Tot'!$C$3:$P$3</c:f>
              <c:strCache>
                <c:ptCount val="7"/>
                <c:pt idx="0">
                  <c:v>2018</c:v>
                </c:pt>
                <c:pt idx="1">
                  <c:v>2019</c:v>
                </c:pt>
                <c:pt idx="2">
                  <c:v>2020</c:v>
                </c:pt>
                <c:pt idx="3">
                  <c:v>2021</c:v>
                </c:pt>
                <c:pt idx="4">
                  <c:v>2022</c:v>
                </c:pt>
                <c:pt idx="5">
                  <c:v>2023</c:v>
                </c:pt>
                <c:pt idx="6">
                  <c:v>9M 2024</c:v>
                </c:pt>
              </c:strCache>
            </c:strRef>
          </c:cat>
          <c:val>
            <c:numRef>
              <c:f>'Detyrimet Tot'!$C$9:$P$9</c:f>
              <c:numCache>
                <c:formatCode>_-* #,##0_L_e_k_-;\-* #,##0_L_e_k_-;_-* "-"??_L_e_k_-;_-@_-</c:formatCode>
                <c:ptCount val="7"/>
                <c:pt idx="0">
                  <c:v>6769.4109796536786</c:v>
                </c:pt>
                <c:pt idx="1">
                  <c:v>8170.0943504226288</c:v>
                </c:pt>
                <c:pt idx="2">
                  <c:v>7058.9435894000007</c:v>
                </c:pt>
                <c:pt idx="3">
                  <c:v>6604.1740495399999</c:v>
                </c:pt>
                <c:pt idx="4">
                  <c:v>5428.9492626100009</c:v>
                </c:pt>
                <c:pt idx="5">
                  <c:v>4839.3243202099984</c:v>
                </c:pt>
                <c:pt idx="6">
                  <c:v>3550.20333093</c:v>
                </c:pt>
              </c:numCache>
            </c:numRef>
          </c:val>
          <c:extLst>
            <c:ext xmlns:c16="http://schemas.microsoft.com/office/drawing/2014/chart" uri="{C3380CC4-5D6E-409C-BE32-E72D297353CC}">
              <c16:uniqueId val="{00000005-24CD-4EC1-A7A8-4EE0DA8C1F8C}"/>
            </c:ext>
          </c:extLst>
        </c:ser>
        <c:ser>
          <c:idx val="6"/>
          <c:order val="6"/>
          <c:tx>
            <c:strRef>
              <c:f>'Detyrimet Tot'!$B$10</c:f>
              <c:strCache>
                <c:ptCount val="1"/>
                <c:pt idx="0">
                  <c:v>3. Rimbursim i TVSH</c:v>
                </c:pt>
              </c:strCache>
            </c:strRef>
          </c:tx>
          <c:spPr>
            <a:solidFill>
              <a:schemeClr val="accent1">
                <a:lumMod val="60000"/>
              </a:schemeClr>
            </a:solidFill>
            <a:ln>
              <a:noFill/>
            </a:ln>
            <a:effectLst/>
          </c:spPr>
          <c:invertIfNegative val="0"/>
          <c:dLbls>
            <c:spPr>
              <a:solidFill>
                <a:sysClr val="window" lastClr="FFFFFF"/>
              </a:solidFill>
              <a:ln>
                <a:noFill/>
              </a:ln>
              <a:effectLst/>
            </c:spPr>
            <c:txPr>
              <a:bodyPr rot="0" vert="horz"/>
              <a:lstStyle/>
              <a:p>
                <a:pPr>
                  <a:defRPr b="1"/>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'Detyrimet Tot'!$C$3:$P$3</c:f>
              <c:strCache>
                <c:ptCount val="7"/>
                <c:pt idx="0">
                  <c:v>2018</c:v>
                </c:pt>
                <c:pt idx="1">
                  <c:v>2019</c:v>
                </c:pt>
                <c:pt idx="2">
                  <c:v>2020</c:v>
                </c:pt>
                <c:pt idx="3">
                  <c:v>2021</c:v>
                </c:pt>
                <c:pt idx="4">
                  <c:v>2022</c:v>
                </c:pt>
                <c:pt idx="5">
                  <c:v>2023</c:v>
                </c:pt>
                <c:pt idx="6">
                  <c:v>9M 2024</c:v>
                </c:pt>
              </c:strCache>
            </c:strRef>
          </c:cat>
          <c:val>
            <c:numRef>
              <c:f>'Detyrimet Tot'!$C$10:$P$10</c:f>
              <c:numCache>
                <c:formatCode>_-* #,##0_L_e_k_-;\-* #,##0_L_e_k_-;_-* "-"??_L_e_k_-;_-@_-</c:formatCode>
                <c:ptCount val="7"/>
                <c:pt idx="0">
                  <c:v>16840</c:v>
                </c:pt>
                <c:pt idx="1">
                  <c:v>11251</c:v>
                </c:pt>
                <c:pt idx="2">
                  <c:v>9797.3091710000008</c:v>
                </c:pt>
                <c:pt idx="3">
                  <c:v>476.65039000000002</c:v>
                </c:pt>
                <c:pt idx="4">
                  <c:v>0</c:v>
                </c:pt>
                <c:pt idx="5">
                  <c:v>0</c:v>
                </c:pt>
                <c:pt idx="6">
                  <c:v>0</c:v>
                </c:pt>
              </c:numCache>
            </c:numRef>
          </c:val>
          <c:extLst>
            <c:ext xmlns:c16="http://schemas.microsoft.com/office/drawing/2014/chart" uri="{C3380CC4-5D6E-409C-BE32-E72D297353CC}">
              <c16:uniqueId val="{00000006-24CD-4EC1-A7A8-4EE0DA8C1F8C}"/>
            </c:ext>
          </c:extLst>
        </c:ser>
        <c:dLbls>
          <c:dLblPos val="ctr"/>
          <c:showLegendKey val="0"/>
          <c:showVal val="1"/>
          <c:showCatName val="0"/>
          <c:showSerName val="0"/>
          <c:showPercent val="0"/>
          <c:showBubbleSize val="0"/>
        </c:dLbls>
        <c:gapWidth val="79"/>
        <c:overlap val="100"/>
        <c:axId val="-1350144592"/>
        <c:axId val="-1350144048"/>
      </c:barChart>
      <c:lineChart>
        <c:grouping val="standard"/>
        <c:varyColors val="0"/>
        <c:ser>
          <c:idx val="7"/>
          <c:order val="7"/>
          <c:tx>
            <c:strRef>
              <c:f>'Detyrimet Tot'!$B$11</c:f>
              <c:strCache>
                <c:ptCount val="1"/>
                <c:pt idx="0">
                  <c:v>Total</c:v>
                </c:pt>
              </c:strCache>
            </c:strRef>
          </c:tx>
          <c:spPr>
            <a:ln w="19050" cap="rnd">
              <a:solidFill>
                <a:schemeClr val="accent2">
                  <a:lumMod val="60000"/>
                </a:schemeClr>
              </a:solidFill>
              <a:round/>
            </a:ln>
            <a:effectLst/>
          </c:spPr>
          <c:marker>
            <c:symbol val="none"/>
          </c:marker>
          <c:dLbls>
            <c:spPr>
              <a:noFill/>
              <a:ln>
                <a:noFill/>
              </a:ln>
              <a:effectLst/>
            </c:spPr>
            <c:txPr>
              <a:bodyPr rot="0" vert="horz"/>
              <a:lstStyle/>
              <a:p>
                <a:pPr>
                  <a:defRPr b="1">
                    <a:solidFill>
                      <a:srgbClr val="C00000"/>
                    </a:solidFill>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'Detyrimet Tot'!$C$3:$K$3</c:f>
              <c:strCache>
                <c:ptCount val="4"/>
                <c:pt idx="0">
                  <c:v>2018</c:v>
                </c:pt>
                <c:pt idx="1">
                  <c:v>2019</c:v>
                </c:pt>
                <c:pt idx="2">
                  <c:v>2020</c:v>
                </c:pt>
                <c:pt idx="3">
                  <c:v>2021</c:v>
                </c:pt>
              </c:strCache>
            </c:strRef>
          </c:cat>
          <c:val>
            <c:numRef>
              <c:f>'Detyrimet Tot'!$C$11:$P$11</c:f>
              <c:numCache>
                <c:formatCode>_-* #,##0_L_e_k_-;\-* #,##0_L_e_k_-;_-* "-"??_L_e_k_-;_-@_-</c:formatCode>
                <c:ptCount val="7"/>
                <c:pt idx="0">
                  <c:v>29785.50097965368</c:v>
                </c:pt>
                <c:pt idx="1">
                  <c:v>27621.344350422631</c:v>
                </c:pt>
                <c:pt idx="2">
                  <c:v>23826.168955110003</c:v>
                </c:pt>
                <c:pt idx="3">
                  <c:v>13230.583202450001</c:v>
                </c:pt>
                <c:pt idx="4">
                  <c:v>12198.61003525</c:v>
                </c:pt>
                <c:pt idx="5">
                  <c:v>7852.0197484399987</c:v>
                </c:pt>
                <c:pt idx="6">
                  <c:v>10551.74519688</c:v>
                </c:pt>
              </c:numCache>
            </c:numRef>
          </c:val>
          <c:smooth val="0"/>
          <c:extLst>
            <c:ext xmlns:c16="http://schemas.microsoft.com/office/drawing/2014/chart" uri="{C3380CC4-5D6E-409C-BE32-E72D297353CC}">
              <c16:uniqueId val="{00000007-24CD-4EC1-A7A8-4EE0DA8C1F8C}"/>
            </c:ext>
          </c:extLst>
        </c:ser>
        <c:dLbls>
          <c:showLegendKey val="0"/>
          <c:showVal val="0"/>
          <c:showCatName val="0"/>
          <c:showSerName val="0"/>
          <c:showPercent val="0"/>
          <c:showBubbleSize val="0"/>
        </c:dLbls>
        <c:marker val="1"/>
        <c:smooth val="0"/>
        <c:axId val="-1350141872"/>
        <c:axId val="-1350142416"/>
      </c:lineChart>
      <c:catAx>
        <c:axId val="-13501445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accent1">
                <a:shade val="95000"/>
                <a:satMod val="105000"/>
              </a:schemeClr>
            </a:solidFill>
            <a:prstDash val="solid"/>
            <a:round/>
          </a:ln>
          <a:effectLst/>
        </c:spPr>
        <c:txPr>
          <a:bodyPr rot="-60000000" vert="horz"/>
          <a:lstStyle/>
          <a:p>
            <a:pPr>
              <a:defRPr b="1"/>
            </a:pPr>
            <a:endParaRPr lang="en-US"/>
          </a:p>
        </c:txPr>
        <c:crossAx val="-1350144048"/>
        <c:crosses val="autoZero"/>
        <c:auto val="1"/>
        <c:lblAlgn val="ctr"/>
        <c:lblOffset val="100"/>
        <c:noMultiLvlLbl val="0"/>
      </c:catAx>
      <c:valAx>
        <c:axId val="-1350144048"/>
        <c:scaling>
          <c:orientation val="minMax"/>
        </c:scaling>
        <c:delete val="1"/>
        <c:axPos val="l"/>
        <c:numFmt formatCode="_-* #,##0_L_e_k_-;\-* #,##0_L_e_k_-;_-* &quot;-&quot;??_L_e_k_-;_-@_-" sourceLinked="1"/>
        <c:majorTickMark val="none"/>
        <c:minorTickMark val="none"/>
        <c:tickLblPos val="nextTo"/>
        <c:crossAx val="-1350144592"/>
        <c:crosses val="autoZero"/>
        <c:crossBetween val="between"/>
      </c:valAx>
      <c:valAx>
        <c:axId val="-1350142416"/>
        <c:scaling>
          <c:orientation val="minMax"/>
        </c:scaling>
        <c:delete val="0"/>
        <c:axPos val="r"/>
        <c:numFmt formatCode="_-* #,##0_L_e_k_-;\-* #,##0_L_e_k_-;_-* &quot;-&quot;??_L_e_k_-;_-@_-" sourceLinked="1"/>
        <c:majorTickMark val="out"/>
        <c:minorTickMark val="none"/>
        <c:tickLblPos val="nextTo"/>
        <c:spPr>
          <a:noFill/>
          <a:ln w="9525" cap="flat" cmpd="sng" algn="ctr">
            <a:solidFill>
              <a:schemeClr val="accent1">
                <a:shade val="95000"/>
                <a:satMod val="105000"/>
              </a:schemeClr>
            </a:solidFill>
            <a:prstDash val="solid"/>
            <a:round/>
          </a:ln>
          <a:effectLst/>
        </c:spPr>
        <c:txPr>
          <a:bodyPr rot="-60000000" vert="horz"/>
          <a:lstStyle/>
          <a:p>
            <a:pPr>
              <a:defRPr/>
            </a:pPr>
            <a:endParaRPr lang="en-US"/>
          </a:p>
        </c:txPr>
        <c:crossAx val="-1350141872"/>
        <c:crosses val="max"/>
        <c:crossBetween val="between"/>
      </c:valAx>
      <c:catAx>
        <c:axId val="-1350141872"/>
        <c:scaling>
          <c:orientation val="minMax"/>
        </c:scaling>
        <c:delete val="1"/>
        <c:axPos val="b"/>
        <c:numFmt formatCode="General" sourceLinked="1"/>
        <c:majorTickMark val="out"/>
        <c:minorTickMark val="none"/>
        <c:tickLblPos val="nextTo"/>
        <c:crossAx val="-1350142416"/>
        <c:crosses val="autoZero"/>
        <c:auto val="1"/>
        <c:lblAlgn val="ctr"/>
        <c:lblOffset val="100"/>
        <c:noMultiLvlLbl val="0"/>
      </c:catAx>
      <c:spPr>
        <a:solidFill>
          <a:srgbClr val="DBEFF9"/>
        </a:solidFill>
        <a:ln w="9525" cap="flat" cmpd="sng" algn="ctr">
          <a:noFill/>
          <a:prstDash val="solid"/>
        </a:ln>
        <a:effectLst/>
      </c:spPr>
    </c:plotArea>
    <c:legend>
      <c:legendPos val="r"/>
      <c:layout>
        <c:manualLayout>
          <c:xMode val="edge"/>
          <c:yMode val="edge"/>
          <c:x val="0.75456800356095854"/>
          <c:y val="0.16253583686654552"/>
          <c:w val="0.23641248791269512"/>
          <c:h val="0.73082226260179017"/>
        </c:manualLayout>
      </c:layout>
      <c:overlay val="0"/>
      <c:spPr>
        <a:noFill/>
        <a:ln>
          <a:noFill/>
        </a:ln>
        <a:effectLst/>
      </c:spPr>
      <c:txPr>
        <a:bodyPr rot="0" vert="horz"/>
        <a:lstStyle/>
        <a:p>
          <a:pPr>
            <a:defRPr b="1"/>
          </a:pPr>
          <a:endParaRPr lang="en-US"/>
        </a:p>
      </c:txPr>
    </c:legend>
    <c:plotVisOnly val="1"/>
    <c:dispBlanksAs val="zero"/>
    <c:showDLblsOverMax val="0"/>
  </c:chart>
  <c:spPr>
    <a:solidFill>
      <a:srgbClr val="DBEFF9"/>
    </a:solidFill>
    <a:ln w="9525" cap="flat" cmpd="sng" algn="ctr">
      <a:solidFill>
        <a:schemeClr val="dk1"/>
      </a:solidFill>
      <a:prstDash val="solid"/>
      <a:round/>
    </a:ln>
    <a:effectLst/>
  </c:spPr>
  <c:txPr>
    <a:bodyPr/>
    <a:lstStyle/>
    <a:p>
      <a:pPr>
        <a:defRPr sz="700">
          <a:solidFill>
            <a:schemeClr val="dk1"/>
          </a:solidFill>
          <a:latin typeface="+mj-lt"/>
          <a:ea typeface="+mn-ea"/>
          <a:cs typeface="+mn-cs"/>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2054850747673741E-2"/>
          <c:y val="0.13271044194717063"/>
          <c:w val="0.90264146680373702"/>
          <c:h val="0.67624964250824493"/>
        </c:manualLayout>
      </c:layout>
      <c:lineChart>
        <c:grouping val="standard"/>
        <c:varyColors val="0"/>
        <c:ser>
          <c:idx val="0"/>
          <c:order val="0"/>
          <c:tx>
            <c:strRef>
              <c:f>'[Chart in Microsoft PowerPoint]S5+S6 TVSH Bruto dhe Neto+Rimb'!$C$3</c:f>
              <c:strCache>
                <c:ptCount val="1"/>
                <c:pt idx="0">
                  <c:v> Tvsh Bruto</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PowerPoint]S5+S6 TVSH Bruto dhe Neto+Rimb'!$B$4:$B$13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'[Chart in Microsoft PowerPoint]S5+S6 TVSH Bruto dhe Neto+Rimb'!$C$4:$C$13</c:f>
              <c:numCache>
                <c:formatCode>_(* #,##0_);_(* \(#,##0\);_(* "-"??_);_(@_)</c:formatCode>
                <c:ptCount val="10"/>
                <c:pt idx="0">
                  <c:v>27456</c:v>
                </c:pt>
                <c:pt idx="1">
                  <c:v>31409</c:v>
                </c:pt>
                <c:pt idx="2">
                  <c:v>35367</c:v>
                </c:pt>
                <c:pt idx="3">
                  <c:v>37652.949999999997</c:v>
                </c:pt>
                <c:pt idx="4">
                  <c:v>35832</c:v>
                </c:pt>
                <c:pt idx="5">
                  <c:v>33299</c:v>
                </c:pt>
                <c:pt idx="6">
                  <c:v>41154.92</c:v>
                </c:pt>
                <c:pt idx="7">
                  <c:v>42086</c:v>
                </c:pt>
                <c:pt idx="8">
                  <c:v>50437.600000000006</c:v>
                </c:pt>
                <c:pt idx="9">
                  <c:v>62099.369999999995</c:v>
                </c:pt>
              </c:numCache>
            </c:numRef>
          </c:val>
          <c:smooth val="0"/>
          <c:extLst>
            <c:ext xmlns:c16="http://schemas.microsoft.com/office/drawing/2014/chart" uri="{C3380CC4-5D6E-409C-BE32-E72D297353CC}">
              <c16:uniqueId val="{00000000-7117-47F2-804D-9F052CE23B26}"/>
            </c:ext>
          </c:extLst>
        </c:ser>
        <c:ser>
          <c:idx val="1"/>
          <c:order val="1"/>
          <c:tx>
            <c:strRef>
              <c:f>'[Chart in Microsoft PowerPoint]S5+S6 TVSH Bruto dhe Neto+Rimb'!$D$3</c:f>
              <c:strCache>
                <c:ptCount val="1"/>
                <c:pt idx="0">
                  <c:v>  Tvsh Neto</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4.2128205997205875E-2"/>
                  <c:y val="5.25838569137908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117-47F2-804D-9F052CE23B26}"/>
                </c:ext>
              </c:extLst>
            </c:dLbl>
            <c:dLbl>
              <c:idx val="1"/>
              <c:layout>
                <c:manualLayout>
                  <c:x val="-3.5853696193284337E-2"/>
                  <c:y val="5.64768003560663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117-47F2-804D-9F052CE23B26}"/>
                </c:ext>
              </c:extLst>
            </c:dLbl>
            <c:dLbl>
              <c:idx val="2"/>
              <c:layout>
                <c:manualLayout>
                  <c:x val="-4.212820599720591E-2"/>
                  <c:y val="5.25838569137909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117-47F2-804D-9F052CE23B26}"/>
                </c:ext>
              </c:extLst>
            </c:dLbl>
            <c:dLbl>
              <c:idx val="3"/>
              <c:layout>
                <c:manualLayout>
                  <c:x val="-4.0215245691132294E-2"/>
                  <c:y val="5.25838569137908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117-47F2-804D-9F052CE23B26}"/>
                </c:ext>
              </c:extLst>
            </c:dLbl>
            <c:dLbl>
              <c:idx val="4"/>
              <c:layout>
                <c:manualLayout>
                  <c:x val="-3.4476364772911279E-2"/>
                  <c:y val="5.25838569137909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117-47F2-804D-9F052CE23B26}"/>
                </c:ext>
              </c:extLst>
            </c:dLbl>
            <c:dLbl>
              <c:idx val="5"/>
              <c:layout>
                <c:manualLayout>
                  <c:x val="-3.8302285385058574E-2"/>
                  <c:y val="4.8690913471515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117-47F2-804D-9F052CE23B26}"/>
                </c:ext>
              </c:extLst>
            </c:dLbl>
            <c:dLbl>
              <c:idx val="6"/>
              <c:layout>
                <c:manualLayout>
                  <c:x val="-4.2128205997205875E-2"/>
                  <c:y val="5.25838569137908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117-47F2-804D-9F052CE23B26}"/>
                </c:ext>
              </c:extLst>
            </c:dLbl>
            <c:dLbl>
              <c:idx val="7"/>
              <c:layout>
                <c:manualLayout>
                  <c:x val="-5.6205875701568729E-2"/>
                  <c:y val="-5.20960203250456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117-47F2-804D-9F052CE23B26}"/>
                </c:ext>
              </c:extLst>
            </c:dLbl>
            <c:dLbl>
              <c:idx val="8"/>
              <c:layout>
                <c:manualLayout>
                  <c:x val="-2.5356797763203882E-2"/>
                  <c:y val="4.98661805205383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117-47F2-804D-9F052CE23B26}"/>
                </c:ext>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accent2">
                        <a:lumMod val="7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'[Chart in Microsoft PowerPoint]S5+S6 TVSH Bruto dhe Neto+Rimb'!$B$4:$B$13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'[Chart in Microsoft PowerPoint]S5+S6 TVSH Bruto dhe Neto+Rimb'!$D$4:$D$13</c:f>
              <c:numCache>
                <c:formatCode>_(* #,##0_);_(* \(#,##0\);_(* "-"??_);_(@_)</c:formatCode>
                <c:ptCount val="10"/>
                <c:pt idx="0">
                  <c:v>22059</c:v>
                </c:pt>
                <c:pt idx="1">
                  <c:v>24937</c:v>
                </c:pt>
                <c:pt idx="2">
                  <c:v>26324</c:v>
                </c:pt>
                <c:pt idx="3">
                  <c:v>27302.579999999994</c:v>
                </c:pt>
                <c:pt idx="4">
                  <c:v>21340</c:v>
                </c:pt>
                <c:pt idx="5">
                  <c:v>21426</c:v>
                </c:pt>
                <c:pt idx="6">
                  <c:v>20400.919999999998</c:v>
                </c:pt>
                <c:pt idx="7">
                  <c:v>28442</c:v>
                </c:pt>
                <c:pt idx="8">
                  <c:v>35844.400000000001</c:v>
                </c:pt>
                <c:pt idx="9">
                  <c:v>43005.67</c:v>
                </c:pt>
              </c:numCache>
            </c:numRef>
          </c:val>
          <c:smooth val="0"/>
          <c:extLst>
            <c:ext xmlns:c16="http://schemas.microsoft.com/office/drawing/2014/chart" uri="{C3380CC4-5D6E-409C-BE32-E72D297353CC}">
              <c16:uniqueId val="{0000000A-7117-47F2-804D-9F052CE23B26}"/>
            </c:ext>
          </c:extLst>
        </c:ser>
        <c:dLbls>
          <c:dLblPos val="t"/>
          <c:showLegendKey val="0"/>
          <c:showVal val="1"/>
          <c:showCatName val="0"/>
          <c:showSerName val="0"/>
          <c:showPercent val="0"/>
          <c:showBubbleSize val="0"/>
        </c:dLbls>
        <c:marker val="1"/>
        <c:smooth val="0"/>
        <c:axId val="-1365597264"/>
        <c:axId val="-1244848032"/>
        <c:extLst>
          <c:ext xmlns:c15="http://schemas.microsoft.com/office/drawing/2012/chart" uri="{02D57815-91ED-43cb-92C2-25804820EDAC}">
            <c15:filteredLineSeries>
              <c15:ser>
                <c:idx val="2"/>
                <c:order val="2"/>
                <c:tx>
                  <c:strRef>
                    <c:extLst>
                      <c:ext uri="{02D57815-91ED-43cb-92C2-25804820EDAC}">
                        <c15:formulaRef>
                          <c15:sqref>'[Chart in Microsoft PowerPoint]S5+S6 TVSH Bruto dhe Neto+Rimb'!$E$3</c15:sqref>
                        </c15:formulaRef>
                      </c:ext>
                    </c:extLst>
                    <c:strCache>
                      <c:ptCount val="1"/>
                      <c:pt idx="0">
                        <c:v>Plan TVSH Neto </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8"/>
                    <c:layout>
                      <c:manualLayout>
                        <c:x val="-2.8104550058932875E-2"/>
                        <c:y val="-3.6953842258544853E-2"/>
                      </c:manualLayout>
                    </c:layout>
                    <c:dLblPos val="r"/>
                    <c:showLegendKey val="0"/>
                    <c:showVal val="1"/>
                    <c:showCatName val="0"/>
                    <c:showSerName val="0"/>
                    <c:showPercent val="0"/>
                    <c:showBubbleSize val="0"/>
                    <c:extLst>
                      <c:ext uri="{CE6537A1-D6FC-4f65-9D91-7224C49458BB}"/>
                      <c:ext xmlns:c16="http://schemas.microsoft.com/office/drawing/2014/chart" uri="{C3380CC4-5D6E-409C-BE32-E72D297353CC}">
                        <c16:uniqueId val="{0000000B-7117-47F2-804D-9F052CE23B2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uri="{CE6537A1-D6FC-4f65-9D91-7224C49458BB}">
                      <c15:showLeaderLines val="0"/>
                    </c:ext>
                  </c:extLst>
                </c:dLbls>
                <c:cat>
                  <c:numRef>
                    <c:extLst>
                      <c:ext uri="{02D57815-91ED-43cb-92C2-25804820EDAC}">
                        <c15:formulaRef>
                          <c15:sqref>'[Chart in Microsoft PowerPoint]S5+S6 TVSH Bruto dhe Neto+Rimb'!$B$4:$B$12</c15:sqref>
                        </c15:formulaRef>
                      </c:ext>
                    </c:extLst>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extLst>
                      <c:ext uri="{02D57815-91ED-43cb-92C2-25804820EDAC}">
                        <c15:formulaRef>
                          <c15:sqref>'[Chart in Microsoft PowerPoint]S5+S6 TVSH Bruto dhe Neto+Rimb'!$E$4:$E$12</c15:sqref>
                        </c15:formulaRef>
                      </c:ext>
                    </c:extLst>
                    <c:numCache>
                      <c:formatCode>General</c:formatCode>
                      <c:ptCount val="9"/>
                    </c:numCache>
                  </c:numRef>
                </c:val>
                <c:smooth val="0"/>
                <c:extLst>
                  <c:ext xmlns:c16="http://schemas.microsoft.com/office/drawing/2014/chart" uri="{C3380CC4-5D6E-409C-BE32-E72D297353CC}">
                    <c16:uniqueId val="{0000000C-7117-47F2-804D-9F052CE23B26}"/>
                  </c:ext>
                </c:extLst>
              </c15:ser>
            </c15:filteredLineSeries>
          </c:ext>
        </c:extLst>
      </c:lineChart>
      <c:catAx>
        <c:axId val="-1365597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244848032"/>
        <c:crosses val="autoZero"/>
        <c:auto val="1"/>
        <c:lblAlgn val="ctr"/>
        <c:lblOffset val="100"/>
        <c:noMultiLvlLbl val="0"/>
      </c:catAx>
      <c:valAx>
        <c:axId val="-1244848032"/>
        <c:scaling>
          <c:orientation val="minMax"/>
        </c:scaling>
        <c:delete val="0"/>
        <c:axPos val="l"/>
        <c:numFmt formatCode="_(* #,##0_);_(* \(#,##0\);_(* &quot;-&quot;??_);_(@_)" sourceLinked="1"/>
        <c:majorTickMark val="in"/>
        <c:minorTickMark val="none"/>
        <c:tickLblPos val="nextTo"/>
        <c:spPr>
          <a:noFill/>
          <a:ln>
            <a:solidFill>
              <a:sysClr val="window" lastClr="FFFFFF">
                <a:lumMod val="75000"/>
              </a:sysClr>
            </a:solid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365597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4"/>
          <c:order val="0"/>
          <c:tx>
            <c:strRef>
              <c:f>'[Chart in Microsoft PowerPoint]S5+S6 TVSH Bruto dhe Neto+Rimb'!$G$3</c:f>
              <c:strCache>
                <c:ptCount val="1"/>
                <c:pt idx="0">
                  <c:v>Rimbursim Fakt</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PowerPoint]S5+S6 TVSH Bruto dhe Neto+Rimb'!$B$4:$B$13</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'[Chart in Microsoft PowerPoint]S5+S6 TVSH Bruto dhe Neto+Rimb'!$G$4:$G$13</c:f>
              <c:numCache>
                <c:formatCode>_(* #,##0_);_(* \(#,##0\);_(* "-"??_);_(@_)</c:formatCode>
                <c:ptCount val="10"/>
                <c:pt idx="0">
                  <c:v>5397</c:v>
                </c:pt>
                <c:pt idx="1">
                  <c:v>6472</c:v>
                </c:pt>
                <c:pt idx="2">
                  <c:v>9043</c:v>
                </c:pt>
                <c:pt idx="3">
                  <c:v>10350.370000000001</c:v>
                </c:pt>
                <c:pt idx="4">
                  <c:v>14492</c:v>
                </c:pt>
                <c:pt idx="5">
                  <c:v>11873</c:v>
                </c:pt>
                <c:pt idx="6">
                  <c:v>20754</c:v>
                </c:pt>
                <c:pt idx="7">
                  <c:v>13644</c:v>
                </c:pt>
                <c:pt idx="8">
                  <c:v>14593.2</c:v>
                </c:pt>
                <c:pt idx="9">
                  <c:v>19093.7</c:v>
                </c:pt>
              </c:numCache>
            </c:numRef>
          </c:val>
          <c:extLst>
            <c:ext xmlns:c16="http://schemas.microsoft.com/office/drawing/2014/chart" uri="{C3380CC4-5D6E-409C-BE32-E72D297353CC}">
              <c16:uniqueId val="{00000000-C7DB-4B62-8695-D24EDB97CC34}"/>
            </c:ext>
          </c:extLst>
        </c:ser>
        <c:dLbls>
          <c:showLegendKey val="0"/>
          <c:showVal val="0"/>
          <c:showCatName val="0"/>
          <c:showSerName val="0"/>
          <c:showPercent val="0"/>
          <c:showBubbleSize val="0"/>
        </c:dLbls>
        <c:gapWidth val="219"/>
        <c:overlap val="-27"/>
        <c:axId val="-1244847488"/>
        <c:axId val="-1244846944"/>
      </c:barChart>
      <c:catAx>
        <c:axId val="-1244847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244846944"/>
        <c:crosses val="autoZero"/>
        <c:auto val="1"/>
        <c:lblAlgn val="ctr"/>
        <c:lblOffset val="100"/>
        <c:noMultiLvlLbl val="0"/>
      </c:catAx>
      <c:valAx>
        <c:axId val="-1244846944"/>
        <c:scaling>
          <c:orientation val="minMax"/>
        </c:scaling>
        <c:delete val="0"/>
        <c:axPos val="l"/>
        <c:numFmt formatCode="_(* #,##0_);_(* \(#,##0\);_(* &quot;-&quot;??_);_(@_)" sourceLinked="1"/>
        <c:majorTickMark val="in"/>
        <c:minorTickMark val="none"/>
        <c:tickLblPos val="nextTo"/>
        <c:spPr>
          <a:noFill/>
          <a:ln>
            <a:solidFill>
              <a:sysClr val="window" lastClr="FFFFFF">
                <a:lumMod val="65000"/>
              </a:sysClr>
            </a:solid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244847488"/>
        <c:crosses val="autoZero"/>
        <c:crossBetween val="between"/>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790126402549845E-2"/>
          <c:y val="9.4752367480930424E-2"/>
          <c:w val="0.92074186012943671"/>
          <c:h val="0.63152041320437091"/>
        </c:manualLayout>
      </c:layout>
      <c:lineChart>
        <c:grouping val="standard"/>
        <c:varyColors val="0"/>
        <c:ser>
          <c:idx val="0"/>
          <c:order val="0"/>
          <c:tx>
            <c:strRef>
              <c:f>'[Chart in Microsoft Word]Sheet1'!$C$47</c:f>
              <c:strCache>
                <c:ptCount val="1"/>
                <c:pt idx="0">
                  <c:v>Fakt</c:v>
                </c:pt>
              </c:strCache>
            </c:strRef>
          </c:tx>
          <c:spPr>
            <a:ln w="28575" cap="rnd">
              <a:solidFill>
                <a:schemeClr val="accent1"/>
              </a:solidFill>
              <a:round/>
            </a:ln>
            <a:effectLst/>
          </c:spPr>
          <c:marker>
            <c:symbol val="none"/>
          </c:marker>
          <c:dLbls>
            <c:dLbl>
              <c:idx val="1"/>
              <c:layout>
                <c:manualLayout>
                  <c:x val="-3.4362412072033201E-2"/>
                  <c:y val="-2.53842573571769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4C1-48B9-BD2C-820A438B02EE}"/>
                </c:ext>
              </c:extLst>
            </c:dLbl>
            <c:dLbl>
              <c:idx val="7"/>
              <c:layout>
                <c:manualLayout>
                  <c:x val="-3.150028695235229E-2"/>
                  <c:y val="-9.00183153848869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4C1-48B9-BD2C-820A438B02E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'[Chart in Microsoft Word]Sheet1'!$B$48:$B$57</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'[Chart in Microsoft Word]Sheet1'!$C$48:$C$57</c:f>
              <c:numCache>
                <c:formatCode>_(* #,##0_);_(* \(#,##0\);_(* "-"??_);_(@_)</c:formatCode>
                <c:ptCount val="10"/>
                <c:pt idx="0">
                  <c:v>18315</c:v>
                </c:pt>
                <c:pt idx="1">
                  <c:v>21735</c:v>
                </c:pt>
                <c:pt idx="2">
                  <c:v>23465</c:v>
                </c:pt>
                <c:pt idx="3">
                  <c:v>24370.67</c:v>
                </c:pt>
                <c:pt idx="4">
                  <c:v>27175</c:v>
                </c:pt>
                <c:pt idx="5">
                  <c:v>19943</c:v>
                </c:pt>
                <c:pt idx="6">
                  <c:v>24798.61</c:v>
                </c:pt>
                <c:pt idx="7">
                  <c:v>33950</c:v>
                </c:pt>
                <c:pt idx="8">
                  <c:v>44934.2</c:v>
                </c:pt>
                <c:pt idx="9">
                  <c:v>43363.59</c:v>
                </c:pt>
              </c:numCache>
            </c:numRef>
          </c:val>
          <c:smooth val="0"/>
          <c:extLst>
            <c:ext xmlns:c16="http://schemas.microsoft.com/office/drawing/2014/chart" uri="{C3380CC4-5D6E-409C-BE32-E72D297353CC}">
              <c16:uniqueId val="{00000002-A4C1-48B9-BD2C-820A438B02EE}"/>
            </c:ext>
          </c:extLst>
        </c:ser>
        <c:dLbls>
          <c:dLblPos val="t"/>
          <c:showLegendKey val="0"/>
          <c:showVal val="1"/>
          <c:showCatName val="0"/>
          <c:showSerName val="0"/>
          <c:showPercent val="0"/>
          <c:showBubbleSize val="0"/>
        </c:dLbls>
        <c:smooth val="0"/>
        <c:axId val="-1244845312"/>
        <c:axId val="-1244846400"/>
      </c:lineChart>
      <c:catAx>
        <c:axId val="-124484531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244846400"/>
        <c:crosses val="autoZero"/>
        <c:auto val="1"/>
        <c:lblAlgn val="ctr"/>
        <c:lblOffset val="100"/>
        <c:noMultiLvlLbl val="0"/>
      </c:catAx>
      <c:valAx>
        <c:axId val="-1244846400"/>
        <c:scaling>
          <c:orientation val="minMax"/>
        </c:scaling>
        <c:delete val="0"/>
        <c:axPos val="l"/>
        <c:numFmt formatCode="_(* #,##0_);_(* \(#,##0\);_(* &quot;-&quot;??_);_(@_)" sourceLinked="1"/>
        <c:majorTickMark val="in"/>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244845312"/>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'[Chart in Microsoft Word]Sheet1'!$C$28</c:f>
              <c:strCache>
                <c:ptCount val="1"/>
                <c:pt idx="0">
                  <c:v>Fakt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7"/>
              <c:layout>
                <c:manualLayout>
                  <c:x val="-7.1867612293144206E-3"/>
                  <c:y val="-1.61541954126364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23E-4810-A971-4287A3E8FDCF}"/>
                </c:ext>
              </c:extLst>
            </c:dLbl>
            <c:dLbl>
              <c:idx val="8"/>
              <c:layout>
                <c:manualLayout>
                  <c:x val="-5.1367521367521367E-2"/>
                  <c:y val="-8.78535305038090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23E-4810-A971-4287A3E8FDC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w="0">
                      <a:noFill/>
                    </a:ln>
                    <a:solidFill>
                      <a:schemeClr val="tx1"/>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'[Chart in Microsoft Word]Sheet1'!$B$29:$B$38</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'[Chart in Microsoft Word]Sheet1'!$C$29:$C$38</c:f>
              <c:numCache>
                <c:formatCode>_(* #,##0_);_(* \(#,##0\);_(* "-"??_);_(@_)</c:formatCode>
                <c:ptCount val="10"/>
                <c:pt idx="0">
                  <c:v>22156</c:v>
                </c:pt>
                <c:pt idx="1">
                  <c:v>24407</c:v>
                </c:pt>
                <c:pt idx="2">
                  <c:v>24528</c:v>
                </c:pt>
                <c:pt idx="3">
                  <c:v>27922.93</c:v>
                </c:pt>
                <c:pt idx="4">
                  <c:v>37421</c:v>
                </c:pt>
                <c:pt idx="5">
                  <c:v>25767</c:v>
                </c:pt>
                <c:pt idx="6">
                  <c:v>30163.77</c:v>
                </c:pt>
                <c:pt idx="7">
                  <c:v>34088</c:v>
                </c:pt>
                <c:pt idx="8">
                  <c:v>43819.5</c:v>
                </c:pt>
                <c:pt idx="9">
                  <c:v>49825.29</c:v>
                </c:pt>
              </c:numCache>
            </c:numRef>
          </c:val>
          <c:smooth val="0"/>
          <c:extLst>
            <c:ext xmlns:c16="http://schemas.microsoft.com/office/drawing/2014/chart" uri="{C3380CC4-5D6E-409C-BE32-E72D297353CC}">
              <c16:uniqueId val="{00000002-723E-4810-A971-4287A3E8FDCF}"/>
            </c:ext>
          </c:extLst>
        </c:ser>
        <c:ser>
          <c:idx val="1"/>
          <c:order val="1"/>
          <c:tx>
            <c:strRef>
              <c:f>'[Chart in Microsoft Word]Sheet1'!$D$28</c:f>
              <c:strCache>
                <c:ptCount val="1"/>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7"/>
              <c:layout>
                <c:manualLayout>
                  <c:x val="-4.0283687943262411E-2"/>
                  <c:y val="6.68162472511213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23E-4810-A971-4287A3E8FDC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C0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'[Chart in Microsoft Word]Sheet1'!$B$29:$B$38</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'[Chart in Microsoft Word]Sheet1'!$D$29:$D$38</c:f>
              <c:numCache>
                <c:formatCode>General</c:formatCode>
                <c:ptCount val="10"/>
              </c:numCache>
            </c:numRef>
          </c:val>
          <c:smooth val="0"/>
          <c:extLst>
            <c:ext xmlns:c16="http://schemas.microsoft.com/office/drawing/2014/chart" uri="{C3380CC4-5D6E-409C-BE32-E72D297353CC}">
              <c16:uniqueId val="{00000004-723E-4810-A971-4287A3E8FDCF}"/>
            </c:ext>
          </c:extLst>
        </c:ser>
        <c:dLbls>
          <c:showLegendKey val="0"/>
          <c:showVal val="0"/>
          <c:showCatName val="0"/>
          <c:showSerName val="0"/>
          <c:showPercent val="0"/>
          <c:showBubbleSize val="0"/>
        </c:dLbls>
        <c:marker val="1"/>
        <c:smooth val="0"/>
        <c:axId val="-1244843136"/>
        <c:axId val="-1244842592"/>
      </c:lineChart>
      <c:catAx>
        <c:axId val="-1244843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44842592"/>
        <c:crosses val="autoZero"/>
        <c:auto val="1"/>
        <c:lblAlgn val="ctr"/>
        <c:lblOffset val="100"/>
        <c:noMultiLvlLbl val="0"/>
      </c:catAx>
      <c:valAx>
        <c:axId val="-1244842592"/>
        <c:scaling>
          <c:orientation val="minMax"/>
        </c:scaling>
        <c:delete val="0"/>
        <c:axPos val="l"/>
        <c:numFmt formatCode="_(* #,##0_);_(* \(#,##0\);_(* &quot;-&quot;??_);_(@_)" sourceLinked="1"/>
        <c:majorTickMark val="in"/>
        <c:minorTickMark val="none"/>
        <c:tickLblPos val="nextTo"/>
        <c:spPr>
          <a:noFill/>
          <a:ln>
            <a:solidFill>
              <a:sysClr val="window" lastClr="FFFFFF">
                <a:lumMod val="65000"/>
              </a:sys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Times New Roman" panose="02020603050405020304" pitchFamily="18" charset="0"/>
              </a:defRPr>
            </a:pPr>
            <a:endParaRPr lang="en-US"/>
          </a:p>
        </c:txPr>
        <c:crossAx val="-1244843136"/>
        <c:crosses val="autoZero"/>
        <c:crossBetween val="between"/>
      </c:valAx>
      <c:spPr>
        <a:noFill/>
        <a:ln>
          <a:gradFill flip="none" rotWithShape="1">
            <a:gsLst>
              <a:gs pos="0">
                <a:schemeClr val="accent5">
                  <a:lumMod val="5000"/>
                  <a:lumOff val="95000"/>
                </a:schemeClr>
              </a:gs>
              <a:gs pos="74000">
                <a:schemeClr val="accent5">
                  <a:lumMod val="45000"/>
                  <a:lumOff val="55000"/>
                </a:schemeClr>
              </a:gs>
              <a:gs pos="83000">
                <a:schemeClr val="accent5">
                  <a:lumMod val="45000"/>
                  <a:lumOff val="55000"/>
                </a:schemeClr>
              </a:gs>
              <a:gs pos="100000">
                <a:schemeClr val="accent5">
                  <a:lumMod val="30000"/>
                  <a:lumOff val="70000"/>
                </a:schemeClr>
              </a:gs>
            </a:gsLst>
            <a:lin ang="5400000" scaled="1"/>
            <a:tileRect/>
          </a:gradFill>
        </a:ln>
        <a:effectLst/>
      </c:spPr>
    </c:plotArea>
    <c:legend>
      <c:legendPos val="b"/>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029190795594994"/>
          <c:y val="0.16294346585435293"/>
          <c:w val="0.88559874460136923"/>
          <c:h val="0.63464733570242804"/>
        </c:manualLayout>
      </c:layout>
      <c:lineChart>
        <c:grouping val="standard"/>
        <c:varyColors val="0"/>
        <c:ser>
          <c:idx val="0"/>
          <c:order val="0"/>
          <c:tx>
            <c:strRef>
              <c:f>'[Chart in Microsoft Word]Sheet1'!$C$4</c:f>
              <c:strCache>
                <c:ptCount val="1"/>
                <c:pt idx="0">
                  <c:v>Fakt</c:v>
                </c:pt>
              </c:strCache>
            </c:strRef>
          </c:tx>
          <c:spPr>
            <a:ln w="22225" cap="rnd" cmpd="sng" algn="ctr">
              <a:solidFill>
                <a:schemeClr val="accent1"/>
              </a:solidFill>
              <a:round/>
            </a:ln>
            <a:effectLst/>
          </c:spPr>
          <c:marker>
            <c:symbol val="none"/>
          </c:marker>
          <c:dLbls>
            <c:dLbl>
              <c:idx val="7"/>
              <c:layout>
                <c:manualLayout>
                  <c:x val="-5.5277777777777877E-2"/>
                  <c:y val="5.32753718285214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8B9-44FE-8410-AED1A3F2AB2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w="6350">
                      <a:noFill/>
                    </a:ln>
                    <a:solidFill>
                      <a:schemeClr val="accent1"/>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'[Chart in Microsoft Word]Sheet1'!$B$5:$B$14</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'[Chart in Microsoft Word]Sheet1'!$C$5:$C$14</c:f>
              <c:numCache>
                <c:formatCode>_(* #,##0_);_(* \(#,##0\);_(* "-"??_);_(@_)</c:formatCode>
                <c:ptCount val="10"/>
                <c:pt idx="0">
                  <c:v>21919</c:v>
                </c:pt>
                <c:pt idx="1">
                  <c:v>24126</c:v>
                </c:pt>
                <c:pt idx="2">
                  <c:v>28261</c:v>
                </c:pt>
                <c:pt idx="3">
                  <c:v>26882.78</c:v>
                </c:pt>
                <c:pt idx="4">
                  <c:v>24643</c:v>
                </c:pt>
                <c:pt idx="5">
                  <c:v>24028</c:v>
                </c:pt>
                <c:pt idx="6">
                  <c:v>29214.573999999997</c:v>
                </c:pt>
                <c:pt idx="7">
                  <c:v>31906</c:v>
                </c:pt>
                <c:pt idx="8">
                  <c:v>28038.9</c:v>
                </c:pt>
                <c:pt idx="9">
                  <c:v>34440.32</c:v>
                </c:pt>
              </c:numCache>
            </c:numRef>
          </c:val>
          <c:smooth val="0"/>
          <c:extLst>
            <c:ext xmlns:c16="http://schemas.microsoft.com/office/drawing/2014/chart" uri="{C3380CC4-5D6E-409C-BE32-E72D297353CC}">
              <c16:uniqueId val="{00000001-18B9-44FE-8410-AED1A3F2AB26}"/>
            </c:ext>
          </c:extLst>
        </c:ser>
        <c:ser>
          <c:idx val="1"/>
          <c:order val="1"/>
          <c:tx>
            <c:strRef>
              <c:f>'[Chart in Microsoft Word]Sheet1'!$D$4</c:f>
              <c:strCache>
                <c:ptCount val="1"/>
              </c:strCache>
            </c:strRef>
          </c:tx>
          <c:spPr>
            <a:ln w="22225" cap="rnd" cmpd="sng" algn="ctr">
              <a:solidFill>
                <a:schemeClr val="accent2"/>
              </a:solidFill>
              <a:round/>
            </a:ln>
            <a:effectLst/>
          </c:spPr>
          <c:marker>
            <c:symbol val="none"/>
          </c:marker>
          <c:dLbls>
            <c:dLbl>
              <c:idx val="7"/>
              <c:layout>
                <c:manualLayout>
                  <c:x val="-5.5277777777777877E-2"/>
                  <c:y val="-4.40161125692621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8B9-44FE-8410-AED1A3F2AB2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a:solidFill>
                        <a:srgbClr val="C00000"/>
                      </a:solidFill>
                    </a:ln>
                    <a:solidFill>
                      <a:schemeClr val="dk1">
                        <a:lumMod val="65000"/>
                        <a:lumOff val="35000"/>
                      </a:schemeClr>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'[Chart in Microsoft Word]Sheet1'!$B$5:$B$14</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'[Chart in Microsoft Word]Sheet1'!$D$5:$D$14</c:f>
              <c:numCache>
                <c:formatCode>General</c:formatCode>
                <c:ptCount val="10"/>
              </c:numCache>
            </c:numRef>
          </c:val>
          <c:smooth val="0"/>
          <c:extLst>
            <c:ext xmlns:c16="http://schemas.microsoft.com/office/drawing/2014/chart" uri="{C3380CC4-5D6E-409C-BE32-E72D297353CC}">
              <c16:uniqueId val="{00000003-18B9-44FE-8410-AED1A3F2AB26}"/>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1235097616"/>
        <c:axId val="-1235100336"/>
      </c:lineChart>
      <c:catAx>
        <c:axId val="-1235097616"/>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35100336"/>
        <c:crosses val="autoZero"/>
        <c:auto val="1"/>
        <c:lblAlgn val="ctr"/>
        <c:lblOffset val="100"/>
        <c:noMultiLvlLbl val="0"/>
      </c:catAx>
      <c:valAx>
        <c:axId val="-1235100336"/>
        <c:scaling>
          <c:orientation val="minMax"/>
        </c:scaling>
        <c:delete val="0"/>
        <c:axPos val="l"/>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35097616"/>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spc="0" baseline="0">
                <a:solidFill>
                  <a:sysClr val="windowText" lastClr="000000"/>
                </a:solidFill>
                <a:latin typeface="+mn-lt"/>
                <a:ea typeface="+mn-ea"/>
                <a:cs typeface="+mn-cs"/>
              </a:defRPr>
            </a:pPr>
            <a:r>
              <a:rPr lang="en-US" sz="900" b="1">
                <a:solidFill>
                  <a:sysClr val="windowText" lastClr="000000"/>
                </a:solidFill>
              </a:rPr>
              <a:t>Borxhi Total</a:t>
            </a:r>
          </a:p>
        </c:rich>
      </c:tx>
      <c:layout>
        <c:manualLayout>
          <c:xMode val="edge"/>
          <c:yMode val="edge"/>
          <c:x val="0.40265241445489791"/>
          <c:y val="2.4345709068776627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3789853373435795"/>
          <c:y val="0.14598319762677262"/>
          <c:w val="0.81871751832637962"/>
          <c:h val="0.57359449058520762"/>
        </c:manualLayout>
      </c:layout>
      <c:barChart>
        <c:barDir val="col"/>
        <c:grouping val="percentStacked"/>
        <c:varyColors val="0"/>
        <c:ser>
          <c:idx val="0"/>
          <c:order val="0"/>
          <c:tx>
            <c:strRef>
              <c:f>'BB sipas titujve (2)'!$A$62</c:f>
              <c:strCache>
                <c:ptCount val="1"/>
                <c:pt idx="0">
                  <c:v>Maturitet nën 1 vit</c:v>
                </c:pt>
              </c:strCache>
            </c:strRef>
          </c:tx>
          <c:spPr>
            <a:solidFill>
              <a:schemeClr val="accent1">
                <a:lumMod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'BB sipas titujve (2)'!$B$55:$G$55</c:f>
              <c:numCache>
                <c:formatCode>General</c:formatCode>
                <c:ptCount val="6"/>
                <c:pt idx="0">
                  <c:v>2019</c:v>
                </c:pt>
                <c:pt idx="1">
                  <c:v>2020</c:v>
                </c:pt>
                <c:pt idx="2">
                  <c:v>2021</c:v>
                </c:pt>
                <c:pt idx="3">
                  <c:v>2022</c:v>
                </c:pt>
                <c:pt idx="4">
                  <c:v>2023</c:v>
                </c:pt>
                <c:pt idx="5" formatCode="mmm\-yy">
                  <c:v>45536</c:v>
                </c:pt>
              </c:numCache>
            </c:numRef>
          </c:cat>
          <c:val>
            <c:numRef>
              <c:f>'BB sipas titujve (2)'!$B$62:$G$62</c:f>
              <c:numCache>
                <c:formatCode>0.0%</c:formatCode>
                <c:ptCount val="6"/>
                <c:pt idx="0">
                  <c:v>0.18103236068595971</c:v>
                </c:pt>
                <c:pt idx="1">
                  <c:v>0.17055156220545351</c:v>
                </c:pt>
                <c:pt idx="2">
                  <c:v>0.15222369782158482</c:v>
                </c:pt>
                <c:pt idx="3">
                  <c:v>0.17760425801573085</c:v>
                </c:pt>
                <c:pt idx="4">
                  <c:v>0.16159735684242799</c:v>
                </c:pt>
                <c:pt idx="5">
                  <c:v>0.15514362408669552</c:v>
                </c:pt>
              </c:numCache>
            </c:numRef>
          </c:val>
          <c:extLst>
            <c:ext xmlns:c16="http://schemas.microsoft.com/office/drawing/2014/chart" uri="{C3380CC4-5D6E-409C-BE32-E72D297353CC}">
              <c16:uniqueId val="{00000000-871E-43F2-AC6C-F7132B79495D}"/>
            </c:ext>
          </c:extLst>
        </c:ser>
        <c:ser>
          <c:idx val="1"/>
          <c:order val="1"/>
          <c:tx>
            <c:strRef>
              <c:f>'BB sipas titujve (2)'!$A$63</c:f>
              <c:strCache>
                <c:ptCount val="1"/>
                <c:pt idx="0">
                  <c:v>Maturitet mbi 1 vit</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'BB sipas titujve (2)'!$B$55:$G$55</c:f>
              <c:numCache>
                <c:formatCode>General</c:formatCode>
                <c:ptCount val="6"/>
                <c:pt idx="0">
                  <c:v>2019</c:v>
                </c:pt>
                <c:pt idx="1">
                  <c:v>2020</c:v>
                </c:pt>
                <c:pt idx="2">
                  <c:v>2021</c:v>
                </c:pt>
                <c:pt idx="3">
                  <c:v>2022</c:v>
                </c:pt>
                <c:pt idx="4">
                  <c:v>2023</c:v>
                </c:pt>
                <c:pt idx="5" formatCode="mmm\-yy">
                  <c:v>45536</c:v>
                </c:pt>
              </c:numCache>
            </c:numRef>
          </c:cat>
          <c:val>
            <c:numRef>
              <c:f>'BB sipas titujve (2)'!$B$63:$G$63</c:f>
              <c:numCache>
                <c:formatCode>0.0%</c:formatCode>
                <c:ptCount val="6"/>
                <c:pt idx="0">
                  <c:v>0.81896763931404037</c:v>
                </c:pt>
                <c:pt idx="1">
                  <c:v>0.82944843779454658</c:v>
                </c:pt>
                <c:pt idx="2">
                  <c:v>0.84777630217841515</c:v>
                </c:pt>
                <c:pt idx="3">
                  <c:v>0.82239574198426924</c:v>
                </c:pt>
                <c:pt idx="4">
                  <c:v>0.83840264315757196</c:v>
                </c:pt>
                <c:pt idx="5">
                  <c:v>0.84485637591330454</c:v>
                </c:pt>
              </c:numCache>
            </c:numRef>
          </c:val>
          <c:extLst>
            <c:ext xmlns:c16="http://schemas.microsoft.com/office/drawing/2014/chart" uri="{C3380CC4-5D6E-409C-BE32-E72D297353CC}">
              <c16:uniqueId val="{00000001-871E-43F2-AC6C-F7132B79495D}"/>
            </c:ext>
          </c:extLst>
        </c:ser>
        <c:dLbls>
          <c:showLegendKey val="0"/>
          <c:showVal val="0"/>
          <c:showCatName val="0"/>
          <c:showSerName val="0"/>
          <c:showPercent val="0"/>
          <c:showBubbleSize val="0"/>
        </c:dLbls>
        <c:gapWidth val="60"/>
        <c:overlap val="100"/>
        <c:axId val="-1235101968"/>
        <c:axId val="-1235096528"/>
      </c:barChart>
      <c:catAx>
        <c:axId val="-123510196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35096528"/>
        <c:crosses val="autoZero"/>
        <c:auto val="1"/>
        <c:lblAlgn val="ctr"/>
        <c:lblOffset val="100"/>
        <c:noMultiLvlLbl val="0"/>
      </c:catAx>
      <c:valAx>
        <c:axId val="-1235096528"/>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35101968"/>
        <c:crosses val="autoZero"/>
        <c:crossBetween val="between"/>
        <c:majorUnit val="0.2"/>
      </c:valAx>
      <c:spPr>
        <a:noFill/>
        <a:ln>
          <a:noFill/>
        </a:ln>
        <a:effectLst/>
      </c:spPr>
    </c:plotArea>
    <c:legend>
      <c:legendPos val="b"/>
      <c:layout>
        <c:manualLayout>
          <c:xMode val="edge"/>
          <c:yMode val="edge"/>
          <c:x val="0.15707194064752947"/>
          <c:y val="0.83642654832479479"/>
          <c:w val="0.74895973242942349"/>
          <c:h val="0.1027091790032636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r>
              <a:rPr lang="en-US" sz="900" b="1">
                <a:solidFill>
                  <a:sysClr val="windowText" lastClr="000000"/>
                </a:solidFill>
                <a:latin typeface="Cambria" panose="02040503050406030204" pitchFamily="18" charset="0"/>
                <a:ea typeface="Cambria" panose="02040503050406030204" pitchFamily="18" charset="0"/>
              </a:rPr>
              <a:t>Borxhi </a:t>
            </a:r>
            <a:r>
              <a:rPr lang="en-US" sz="900" b="1">
                <a:solidFill>
                  <a:sysClr val="windowText" lastClr="000000"/>
                </a:solidFill>
                <a:latin typeface="+mn-lt"/>
                <a:ea typeface="Cambria" panose="02040503050406030204" pitchFamily="18" charset="0"/>
              </a:rPr>
              <a:t>Brendshëm</a:t>
            </a:r>
          </a:p>
        </c:rich>
      </c:tx>
      <c:layout>
        <c:manualLayout>
          <c:xMode val="edge"/>
          <c:yMode val="edge"/>
          <c:x val="0.32686766987960764"/>
          <c:y val="1.8259281801582473E-2"/>
        </c:manualLayout>
      </c:layout>
      <c:overlay val="0"/>
      <c:spPr>
        <a:noFill/>
        <a:ln>
          <a:noFill/>
        </a:ln>
        <a:effectLst/>
      </c:spPr>
      <c:txPr>
        <a:bodyPr rot="0" spcFirstLastPara="1" vertOverflow="ellipsis" vert="horz" wrap="square" anchor="ctr" anchorCtr="1"/>
        <a:lstStyle/>
        <a:p>
          <a:pPr>
            <a:defRPr sz="900" b="1" i="0" u="none" strike="noStrike" kern="1200" spc="0" baseline="0">
              <a:solidFill>
                <a:sysClr val="windowText" lastClr="000000"/>
              </a:solidFill>
              <a:latin typeface="Cambria" panose="02040503050406030204" pitchFamily="18" charset="0"/>
              <a:ea typeface="Cambria" panose="02040503050406030204" pitchFamily="18" charset="0"/>
              <a:cs typeface="+mn-cs"/>
            </a:defRPr>
          </a:pPr>
          <a:endParaRPr lang="en-US"/>
        </a:p>
      </c:txPr>
    </c:title>
    <c:autoTitleDeleted val="0"/>
    <c:plotArea>
      <c:layout>
        <c:manualLayout>
          <c:layoutTarget val="inner"/>
          <c:xMode val="edge"/>
          <c:yMode val="edge"/>
          <c:x val="0.12865681935743434"/>
          <c:y val="0.14607425441265978"/>
          <c:w val="0.84128736269494864"/>
          <c:h val="0.56142163605081929"/>
        </c:manualLayout>
      </c:layout>
      <c:barChart>
        <c:barDir val="col"/>
        <c:grouping val="stacked"/>
        <c:varyColors val="0"/>
        <c:ser>
          <c:idx val="0"/>
          <c:order val="0"/>
          <c:tx>
            <c:strRef>
              <c:f>'BB sipas titujve (2)'!$A$24</c:f>
              <c:strCache>
                <c:ptCount val="1"/>
                <c:pt idx="0">
                  <c:v>Deri në 1 vit</c:v>
                </c:pt>
              </c:strCache>
            </c:strRef>
          </c:tx>
          <c:spPr>
            <a:solidFill>
              <a:schemeClr val="accent1">
                <a:lumMod val="50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'BB sipas titujve (2)'!$B$23:$G$23</c:f>
              <c:strCache>
                <c:ptCount val="6"/>
                <c:pt idx="0">
                  <c:v>2019</c:v>
                </c:pt>
                <c:pt idx="1">
                  <c:v>2020</c:v>
                </c:pt>
                <c:pt idx="2">
                  <c:v>2021</c:v>
                </c:pt>
                <c:pt idx="3">
                  <c:v>2022</c:v>
                </c:pt>
                <c:pt idx="4">
                  <c:v>2023</c:v>
                </c:pt>
                <c:pt idx="5">
                  <c:v>Sht 2024</c:v>
                </c:pt>
              </c:strCache>
            </c:strRef>
          </c:cat>
          <c:val>
            <c:numRef>
              <c:f>'BB sipas titujve (2)'!$B$24:$G$24</c:f>
              <c:numCache>
                <c:formatCode>0.0%</c:formatCode>
                <c:ptCount val="6"/>
                <c:pt idx="0">
                  <c:v>0.33280782747200321</c:v>
                </c:pt>
                <c:pt idx="1">
                  <c:v>0.31775421977996743</c:v>
                </c:pt>
                <c:pt idx="2">
                  <c:v>0.2977131737423338</c:v>
                </c:pt>
                <c:pt idx="3">
                  <c:v>0.33739686993479201</c:v>
                </c:pt>
                <c:pt idx="4">
                  <c:v>0.29436647784405784</c:v>
                </c:pt>
                <c:pt idx="5">
                  <c:v>0.26757836711565114</c:v>
                </c:pt>
              </c:numCache>
            </c:numRef>
          </c:val>
          <c:extLst>
            <c:ext xmlns:c16="http://schemas.microsoft.com/office/drawing/2014/chart" uri="{C3380CC4-5D6E-409C-BE32-E72D297353CC}">
              <c16:uniqueId val="{00000000-004D-4FC2-BA7C-F27F1BDA6C10}"/>
            </c:ext>
          </c:extLst>
        </c:ser>
        <c:ser>
          <c:idx val="1"/>
          <c:order val="1"/>
          <c:tx>
            <c:strRef>
              <c:f>'BB sipas titujve (2)'!$A$25</c:f>
              <c:strCache>
                <c:ptCount val="1"/>
                <c:pt idx="0">
                  <c:v>2-5 Vite</c:v>
                </c:pt>
              </c:strCache>
            </c:strRef>
          </c:tx>
          <c:spPr>
            <a:solidFill>
              <a:srgbClr val="5E8BC2"/>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'BB sipas titujve (2)'!$B$23:$G$23</c:f>
              <c:strCache>
                <c:ptCount val="6"/>
                <c:pt idx="0">
                  <c:v>2019</c:v>
                </c:pt>
                <c:pt idx="1">
                  <c:v>2020</c:v>
                </c:pt>
                <c:pt idx="2">
                  <c:v>2021</c:v>
                </c:pt>
                <c:pt idx="3">
                  <c:v>2022</c:v>
                </c:pt>
                <c:pt idx="4">
                  <c:v>2023</c:v>
                </c:pt>
                <c:pt idx="5">
                  <c:v>Sht 2024</c:v>
                </c:pt>
              </c:strCache>
            </c:strRef>
          </c:cat>
          <c:val>
            <c:numRef>
              <c:f>'BB sipas titujve (2)'!$B$25:$G$25</c:f>
              <c:numCache>
                <c:formatCode>0.0%</c:formatCode>
                <c:ptCount val="6"/>
                <c:pt idx="0">
                  <c:v>0.37888287350673006</c:v>
                </c:pt>
                <c:pt idx="1">
                  <c:v>0.40211518530267237</c:v>
                </c:pt>
                <c:pt idx="2">
                  <c:v>0.41177209055020192</c:v>
                </c:pt>
                <c:pt idx="3">
                  <c:v>0.36277977324765381</c:v>
                </c:pt>
                <c:pt idx="4">
                  <c:v>0.38380994405352087</c:v>
                </c:pt>
                <c:pt idx="5">
                  <c:v>0.39952979256531962</c:v>
                </c:pt>
              </c:numCache>
            </c:numRef>
          </c:val>
          <c:extLst>
            <c:ext xmlns:c16="http://schemas.microsoft.com/office/drawing/2014/chart" uri="{C3380CC4-5D6E-409C-BE32-E72D297353CC}">
              <c16:uniqueId val="{00000001-004D-4FC2-BA7C-F27F1BDA6C10}"/>
            </c:ext>
          </c:extLst>
        </c:ser>
        <c:ser>
          <c:idx val="2"/>
          <c:order val="2"/>
          <c:tx>
            <c:strRef>
              <c:f>'BB sipas titujve (2)'!$A$26</c:f>
              <c:strCache>
                <c:ptCount val="1"/>
                <c:pt idx="0">
                  <c:v>Mbi 5 Vite</c:v>
                </c:pt>
              </c:strCache>
            </c:strRef>
          </c:tx>
          <c:spPr>
            <a:solidFill>
              <a:srgbClr val="BCCBE2"/>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'BB sipas titujve (2)'!$B$23:$G$23</c:f>
              <c:strCache>
                <c:ptCount val="6"/>
                <c:pt idx="0">
                  <c:v>2019</c:v>
                </c:pt>
                <c:pt idx="1">
                  <c:v>2020</c:v>
                </c:pt>
                <c:pt idx="2">
                  <c:v>2021</c:v>
                </c:pt>
                <c:pt idx="3">
                  <c:v>2022</c:v>
                </c:pt>
                <c:pt idx="4">
                  <c:v>2023</c:v>
                </c:pt>
                <c:pt idx="5">
                  <c:v>Sht 2024</c:v>
                </c:pt>
              </c:strCache>
            </c:strRef>
          </c:cat>
          <c:val>
            <c:numRef>
              <c:f>'BB sipas titujve (2)'!$B$26:$G$26</c:f>
              <c:numCache>
                <c:formatCode>0.0%</c:formatCode>
                <c:ptCount val="6"/>
                <c:pt idx="0">
                  <c:v>0.28830929902126662</c:v>
                </c:pt>
                <c:pt idx="1">
                  <c:v>0.28013059491736031</c:v>
                </c:pt>
                <c:pt idx="2">
                  <c:v>0.29051473570746428</c:v>
                </c:pt>
                <c:pt idx="3">
                  <c:v>0.29982335681755418</c:v>
                </c:pt>
                <c:pt idx="4">
                  <c:v>0.3218235781024214</c:v>
                </c:pt>
                <c:pt idx="5">
                  <c:v>0.33289184031902924</c:v>
                </c:pt>
              </c:numCache>
            </c:numRef>
          </c:val>
          <c:extLst>
            <c:ext xmlns:c16="http://schemas.microsoft.com/office/drawing/2014/chart" uri="{C3380CC4-5D6E-409C-BE32-E72D297353CC}">
              <c16:uniqueId val="{00000002-004D-4FC2-BA7C-F27F1BDA6C10}"/>
            </c:ext>
          </c:extLst>
        </c:ser>
        <c:dLbls>
          <c:showLegendKey val="0"/>
          <c:showVal val="0"/>
          <c:showCatName val="0"/>
          <c:showSerName val="0"/>
          <c:showPercent val="0"/>
          <c:showBubbleSize val="0"/>
        </c:dLbls>
        <c:gapWidth val="60"/>
        <c:overlap val="100"/>
        <c:axId val="-1235099792"/>
        <c:axId val="-1235101424"/>
        <c:extLst>
          <c:ext xmlns:c15="http://schemas.microsoft.com/office/drawing/2012/chart" uri="{02D57815-91ED-43cb-92C2-25804820EDAC}">
            <c15:filteredBarSeries>
              <c15:ser>
                <c:idx val="3"/>
                <c:order val="3"/>
                <c:tx>
                  <c:strRef>
                    <c:extLst>
                      <c:ext uri="{02D57815-91ED-43cb-92C2-25804820EDAC}">
                        <c15:formulaRef>
                          <c15:sqref>'BB sipas titujve (2)'!#REF!</c15:sqref>
                        </c15:formulaRef>
                      </c:ext>
                    </c:extLst>
                    <c:strCache>
                      <c:ptCount val="1"/>
                      <c:pt idx="0">
                        <c:v>#REF!</c:v>
                      </c:pt>
                    </c:strCache>
                  </c:strRef>
                </c:tx>
                <c:spPr>
                  <a:solidFill>
                    <a:srgbClr val="D5D5D5"/>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'BB sipas titujve (2)'!$B$23:$G$23</c15:sqref>
                        </c15:formulaRef>
                      </c:ext>
                    </c:extLst>
                    <c:strCache>
                      <c:ptCount val="6"/>
                      <c:pt idx="0">
                        <c:v>2019</c:v>
                      </c:pt>
                      <c:pt idx="1">
                        <c:v>2020</c:v>
                      </c:pt>
                      <c:pt idx="2">
                        <c:v>2021</c:v>
                      </c:pt>
                      <c:pt idx="3">
                        <c:v>2022</c:v>
                      </c:pt>
                      <c:pt idx="4">
                        <c:v>2023</c:v>
                      </c:pt>
                      <c:pt idx="5">
                        <c:v>Sht 2024</c:v>
                      </c:pt>
                    </c:strCache>
                  </c:strRef>
                </c:cat>
                <c:val>
                  <c:numRef>
                    <c:extLst>
                      <c:ext uri="{02D57815-91ED-43cb-92C2-25804820EDAC}">
                        <c15:formulaRef>
                          <c15:sqref>'BB sipas titujve (2)'!#REF!</c15:sqref>
                        </c15:formulaRef>
                      </c:ext>
                    </c:extLst>
                  </c:numRef>
                </c:val>
                <c:extLst>
                  <c:ext xmlns:c16="http://schemas.microsoft.com/office/drawing/2014/chart" uri="{C3380CC4-5D6E-409C-BE32-E72D297353CC}">
                    <c16:uniqueId val="{00000003-004D-4FC2-BA7C-F27F1BDA6C10}"/>
                  </c:ext>
                </c:extLst>
              </c15:ser>
            </c15:filteredBarSeries>
          </c:ext>
        </c:extLst>
      </c:barChart>
      <c:catAx>
        <c:axId val="-123509979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35101424"/>
        <c:crosses val="autoZero"/>
        <c:auto val="1"/>
        <c:lblAlgn val="ctr"/>
        <c:lblOffset val="100"/>
        <c:noMultiLvlLbl val="0"/>
      </c:catAx>
      <c:valAx>
        <c:axId val="-1235101424"/>
        <c:scaling>
          <c:orientation val="minMax"/>
          <c:max val="1"/>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35099792"/>
        <c:crosses val="autoZero"/>
        <c:crossBetween val="between"/>
        <c:majorUnit val="0.2"/>
      </c:valAx>
      <c:spPr>
        <a:noFill/>
        <a:ln>
          <a:noFill/>
        </a:ln>
        <a:effectLst/>
      </c:spPr>
    </c:plotArea>
    <c:legend>
      <c:legendPos val="b"/>
      <c:layout>
        <c:manualLayout>
          <c:xMode val="edge"/>
          <c:yMode val="edge"/>
          <c:x val="0.13389883799947935"/>
          <c:y val="0.85376855282012454"/>
          <c:w val="0.73018644041264225"/>
          <c:h val="8.0935818274514251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bg1">
          <a:lumMod val="7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r>
              <a:rPr lang="en-US" sz="1200" b="1" i="0">
                <a:solidFill>
                  <a:sysClr val="windowText" lastClr="000000"/>
                </a:solidFill>
              </a:rPr>
              <a:t>Huamarrja Total</a:t>
            </a:r>
          </a:p>
        </c:rich>
      </c:tx>
      <c:layout>
        <c:manualLayout>
          <c:xMode val="edge"/>
          <c:yMode val="edge"/>
          <c:x val="0.45353284811655797"/>
          <c:y val="8.7962962962962965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tx>
            <c:strRef>
              <c:f>'Huamarrja Total'!$B$4</c:f>
              <c:strCache>
                <c:ptCount val="1"/>
                <c:pt idx="0">
                  <c:v>Huamarrja e Brendshme</c:v>
                </c:pt>
              </c:strCache>
            </c:strRef>
          </c:tx>
          <c:spPr>
            <a:solidFill>
              <a:schemeClr val="accent1"/>
            </a:solidFill>
            <a:ln>
              <a:noFill/>
            </a:ln>
            <a:effectLst/>
          </c:spPr>
          <c:invertIfNegative val="0"/>
          <c:dPt>
            <c:idx val="5"/>
            <c:invertIfNegative val="0"/>
            <c:bubble3D val="0"/>
            <c:spPr>
              <a:solidFill>
                <a:schemeClr val="accent1"/>
              </a:solidFill>
              <a:ln>
                <a:noFill/>
              </a:ln>
              <a:effectLst/>
            </c:spPr>
            <c:extLst>
              <c:ext xmlns:c16="http://schemas.microsoft.com/office/drawing/2014/chart" uri="{C3380CC4-5D6E-409C-BE32-E72D297353CC}">
                <c16:uniqueId val="{00000001-1CC6-4B43-B3B6-D268B830671E}"/>
              </c:ext>
            </c:extLst>
          </c:dPt>
          <c:dLbls>
            <c:dLbl>
              <c:idx val="0"/>
              <c:layout>
                <c:manualLayout>
                  <c:x val="0"/>
                  <c:y val="0.30350609734900086"/>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CC6-4B43-B3B6-D268B830671E}"/>
                </c:ext>
              </c:extLst>
            </c:dLbl>
            <c:dLbl>
              <c:idx val="3"/>
              <c:layout>
                <c:manualLayout>
                  <c:x val="0"/>
                  <c:y val="0.3465882517626435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CC6-4B43-B3B6-D268B830671E}"/>
                </c:ext>
              </c:extLst>
            </c:dLbl>
            <c:dLbl>
              <c:idx val="4"/>
              <c:layout>
                <c:manualLayout>
                  <c:x val="-1.5065915158256169E-3"/>
                  <c:y val="0.34543779980930861"/>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CC6-4B43-B3B6-D268B830671E}"/>
                </c:ext>
              </c:extLst>
            </c:dLbl>
            <c:dLbl>
              <c:idx val="5"/>
              <c:layout>
                <c:manualLayout>
                  <c:x val="-1.5065915158256169E-3"/>
                  <c:y val="0.3601938988965024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CC6-4B43-B3B6-D268B830671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'Huamarrja Total'!$C$3:$H$3</c:f>
              <c:strCache>
                <c:ptCount val="6"/>
                <c:pt idx="0">
                  <c:v>2019</c:v>
                </c:pt>
                <c:pt idx="1">
                  <c:v>2020</c:v>
                </c:pt>
                <c:pt idx="2">
                  <c:v>2021</c:v>
                </c:pt>
                <c:pt idx="3">
                  <c:v>2022</c:v>
                </c:pt>
                <c:pt idx="4">
                  <c:v>2023</c:v>
                </c:pt>
                <c:pt idx="5">
                  <c:v>Plan 2024</c:v>
                </c:pt>
              </c:strCache>
            </c:strRef>
          </c:cat>
          <c:val>
            <c:numRef>
              <c:f>'Huamarrja Total'!$C$4:$H$4</c:f>
              <c:numCache>
                <c:formatCode>0.0</c:formatCode>
                <c:ptCount val="6"/>
                <c:pt idx="0">
                  <c:v>301.2</c:v>
                </c:pt>
                <c:pt idx="1">
                  <c:v>349.7</c:v>
                </c:pt>
                <c:pt idx="2">
                  <c:v>345.1</c:v>
                </c:pt>
                <c:pt idx="3">
                  <c:v>357.9</c:v>
                </c:pt>
                <c:pt idx="4">
                  <c:v>374.09329523152007</c:v>
                </c:pt>
                <c:pt idx="5">
                  <c:v>378.64</c:v>
                </c:pt>
              </c:numCache>
            </c:numRef>
          </c:val>
          <c:extLst>
            <c:ext xmlns:c16="http://schemas.microsoft.com/office/drawing/2014/chart" uri="{C3380CC4-5D6E-409C-BE32-E72D297353CC}">
              <c16:uniqueId val="{00000005-1CC6-4B43-B3B6-D268B830671E}"/>
            </c:ext>
          </c:extLst>
        </c:ser>
        <c:ser>
          <c:idx val="1"/>
          <c:order val="1"/>
          <c:tx>
            <c:strRef>
              <c:f>'Huamarrja Total'!$B$5</c:f>
              <c:strCache>
                <c:ptCount val="1"/>
                <c:pt idx="0">
                  <c:v>Huamarrja e Huaj</c:v>
                </c:pt>
              </c:strCache>
            </c:strRef>
          </c:tx>
          <c:spPr>
            <a:solidFill>
              <a:srgbClr val="C00000"/>
            </a:solidFill>
            <a:ln>
              <a:noFill/>
            </a:ln>
            <a:effectLst/>
          </c:spPr>
          <c:invertIfNegative val="0"/>
          <c:dPt>
            <c:idx val="5"/>
            <c:invertIfNegative val="0"/>
            <c:bubble3D val="0"/>
            <c:spPr>
              <a:solidFill>
                <a:srgbClr val="C00000"/>
              </a:solidFill>
              <a:ln>
                <a:noFill/>
              </a:ln>
              <a:effectLst/>
            </c:spPr>
            <c:extLst>
              <c:ext xmlns:c16="http://schemas.microsoft.com/office/drawing/2014/chart" uri="{C3380CC4-5D6E-409C-BE32-E72D297353CC}">
                <c16:uniqueId val="{00000007-1CC6-4B43-B3B6-D268B830671E}"/>
              </c:ext>
            </c:extLst>
          </c:dPt>
          <c:dLbls>
            <c:dLbl>
              <c:idx val="3"/>
              <c:layout>
                <c:manualLayout>
                  <c:x val="0"/>
                  <c:y val="7.245019845527954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CC6-4B43-B3B6-D268B830671E}"/>
                </c:ext>
              </c:extLst>
            </c:dLbl>
            <c:dLbl>
              <c:idx val="5"/>
              <c:layout>
                <c:manualLayout>
                  <c:x val="0"/>
                  <c:y val="9.176731576197974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CC6-4B43-B3B6-D268B830671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'Huamarrja Total'!$C$3:$H$3</c:f>
              <c:strCache>
                <c:ptCount val="6"/>
                <c:pt idx="0">
                  <c:v>2019</c:v>
                </c:pt>
                <c:pt idx="1">
                  <c:v>2020</c:v>
                </c:pt>
                <c:pt idx="2">
                  <c:v>2021</c:v>
                </c:pt>
                <c:pt idx="3">
                  <c:v>2022</c:v>
                </c:pt>
                <c:pt idx="4">
                  <c:v>2023</c:v>
                </c:pt>
                <c:pt idx="5">
                  <c:v>Plan 2024</c:v>
                </c:pt>
              </c:strCache>
            </c:strRef>
          </c:cat>
          <c:val>
            <c:numRef>
              <c:f>'Huamarrja Total'!$C$5:$H$5</c:f>
              <c:numCache>
                <c:formatCode>0.0</c:formatCode>
                <c:ptCount val="6"/>
                <c:pt idx="0">
                  <c:v>21.4</c:v>
                </c:pt>
                <c:pt idx="1">
                  <c:v>121.3</c:v>
                </c:pt>
                <c:pt idx="2">
                  <c:v>136.1</c:v>
                </c:pt>
                <c:pt idx="3">
                  <c:v>28.3</c:v>
                </c:pt>
                <c:pt idx="4">
                  <c:v>91.912691000000009</c:v>
                </c:pt>
                <c:pt idx="5">
                  <c:v>26.678466666666669</c:v>
                </c:pt>
              </c:numCache>
            </c:numRef>
          </c:val>
          <c:extLst>
            <c:ext xmlns:c16="http://schemas.microsoft.com/office/drawing/2014/chart" uri="{C3380CC4-5D6E-409C-BE32-E72D297353CC}">
              <c16:uniqueId val="{00000009-1CC6-4B43-B3B6-D268B830671E}"/>
            </c:ext>
          </c:extLst>
        </c:ser>
        <c:dLbls>
          <c:showLegendKey val="0"/>
          <c:showVal val="0"/>
          <c:showCatName val="0"/>
          <c:showSerName val="0"/>
          <c:showPercent val="0"/>
          <c:showBubbleSize val="0"/>
        </c:dLbls>
        <c:gapWidth val="100"/>
        <c:axId val="-1235095440"/>
        <c:axId val="-1247511840"/>
      </c:barChart>
      <c:lineChart>
        <c:grouping val="standard"/>
        <c:varyColors val="0"/>
        <c:ser>
          <c:idx val="2"/>
          <c:order val="2"/>
          <c:tx>
            <c:strRef>
              <c:f>'Huamarrja Total'!$B$10</c:f>
              <c:strCache>
                <c:ptCount val="1"/>
                <c:pt idx="0">
                  <c:v>Huamarrja total/PBB</c:v>
                </c:pt>
              </c:strCache>
            </c:strRef>
          </c:tx>
          <c:spPr>
            <a:ln w="28575" cap="rnd">
              <a:solidFill>
                <a:schemeClr val="accent3"/>
              </a:solidFill>
              <a:round/>
            </a:ln>
            <a:effectLst/>
          </c:spPr>
          <c:marker>
            <c:symbol val="none"/>
          </c:marker>
          <c:dPt>
            <c:idx val="5"/>
            <c:marker>
              <c:symbol val="none"/>
            </c:marker>
            <c:bubble3D val="0"/>
            <c:spPr>
              <a:ln w="28575" cap="rnd">
                <a:solidFill>
                  <a:schemeClr val="accent3"/>
                </a:solidFill>
                <a:prstDash val="solid"/>
                <a:round/>
              </a:ln>
              <a:effectLst/>
            </c:spPr>
            <c:extLst>
              <c:ext xmlns:c16="http://schemas.microsoft.com/office/drawing/2014/chart" uri="{C3380CC4-5D6E-409C-BE32-E72D297353CC}">
                <c16:uniqueId val="{0000000B-1CC6-4B43-B3B6-D268B830671E}"/>
              </c:ext>
            </c:extLst>
          </c:dPt>
          <c:dLbls>
            <c:dLbl>
              <c:idx val="0"/>
              <c:layout>
                <c:manualLayout>
                  <c:x val="-4.2523842107310798E-3"/>
                  <c:y val="-7.35394660178649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CC6-4B43-B3B6-D268B830671E}"/>
                </c:ext>
              </c:extLst>
            </c:dLbl>
            <c:dLbl>
              <c:idx val="1"/>
              <c:layout>
                <c:manualLayout>
                  <c:x val="-1.4522711807786444E-2"/>
                  <c:y val="-4.8576698110190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CC6-4B43-B3B6-D268B830671E}"/>
                </c:ext>
              </c:extLst>
            </c:dLbl>
            <c:dLbl>
              <c:idx val="2"/>
              <c:layout>
                <c:manualLayout>
                  <c:x val="-1.4091257213844943E-2"/>
                  <c:y val="-4.60625758721209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CC6-4B43-B3B6-D268B830671E}"/>
                </c:ext>
              </c:extLst>
            </c:dLbl>
            <c:dLbl>
              <c:idx val="3"/>
              <c:layout>
                <c:manualLayout>
                  <c:x val="2.6739033674574332E-4"/>
                  <c:y val="-6.765278599878650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CC6-4B43-B3B6-D268B830671E}"/>
                </c:ext>
              </c:extLst>
            </c:dLbl>
            <c:dLbl>
              <c:idx val="4"/>
              <c:layout>
                <c:manualLayout>
                  <c:x val="-8.4963457444840879E-3"/>
                  <c:y val="-5.19492558911993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CC6-4B43-B3B6-D268B830671E}"/>
                </c:ext>
              </c:extLst>
            </c:dLbl>
            <c:dLbl>
              <c:idx val="5"/>
              <c:layout>
                <c:manualLayout>
                  <c:x val="-8.8590307025575299E-3"/>
                  <c:y val="-4.85764800233305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CC6-4B43-B3B6-D268B830671E}"/>
                </c:ext>
              </c:extLst>
            </c:dLbl>
            <c:dLbl>
              <c:idx val="6"/>
              <c:layout>
                <c:manualLayout>
                  <c:x val="-2.4849844350851493E-2"/>
                  <c:y val="-5.3206109652960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CC6-4B43-B3B6-D268B830671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'Huamarrja Total'!$C$3:$H$3</c:f>
              <c:strCache>
                <c:ptCount val="6"/>
                <c:pt idx="0">
                  <c:v>2019</c:v>
                </c:pt>
                <c:pt idx="1">
                  <c:v>2020</c:v>
                </c:pt>
                <c:pt idx="2">
                  <c:v>2021</c:v>
                </c:pt>
                <c:pt idx="3">
                  <c:v>2022</c:v>
                </c:pt>
                <c:pt idx="4">
                  <c:v>2023</c:v>
                </c:pt>
                <c:pt idx="5">
                  <c:v>Plan 2024</c:v>
                </c:pt>
              </c:strCache>
            </c:strRef>
          </c:cat>
          <c:val>
            <c:numRef>
              <c:f>'Huamarrja Total'!$C$10:$H$10</c:f>
              <c:numCache>
                <c:formatCode>0.0%</c:formatCode>
                <c:ptCount val="6"/>
                <c:pt idx="0">
                  <c:v>0.18843053115017316</c:v>
                </c:pt>
                <c:pt idx="1">
                  <c:v>0.28442295329225431</c:v>
                </c:pt>
                <c:pt idx="2">
                  <c:v>0.25778473835504523</c:v>
                </c:pt>
                <c:pt idx="3">
                  <c:v>0.17964956488990469</c:v>
                </c:pt>
                <c:pt idx="4">
                  <c:v>0.19663480455987659</c:v>
                </c:pt>
                <c:pt idx="5">
                  <c:v>0.16250384831353909</c:v>
                </c:pt>
              </c:numCache>
            </c:numRef>
          </c:val>
          <c:smooth val="1"/>
          <c:extLst>
            <c:ext xmlns:c16="http://schemas.microsoft.com/office/drawing/2014/chart" uri="{C3380CC4-5D6E-409C-BE32-E72D297353CC}">
              <c16:uniqueId val="{00000012-1CC6-4B43-B3B6-D268B830671E}"/>
            </c:ext>
          </c:extLst>
        </c:ser>
        <c:dLbls>
          <c:showLegendKey val="0"/>
          <c:showVal val="0"/>
          <c:showCatName val="0"/>
          <c:showSerName val="0"/>
          <c:showPercent val="0"/>
          <c:showBubbleSize val="0"/>
        </c:dLbls>
        <c:marker val="1"/>
        <c:smooth val="0"/>
        <c:axId val="-1247511296"/>
        <c:axId val="-1247516736"/>
      </c:lineChart>
      <c:catAx>
        <c:axId val="-123509544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47511840"/>
        <c:crosses val="autoZero"/>
        <c:auto val="1"/>
        <c:lblAlgn val="ctr"/>
        <c:lblOffset val="100"/>
        <c:noMultiLvlLbl val="0"/>
      </c:catAx>
      <c:valAx>
        <c:axId val="-1247511840"/>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solidFill>
                      <a:sysClr val="windowText" lastClr="000000"/>
                    </a:solidFill>
                  </a:rPr>
                  <a:t>në miliardë Lekë</a:t>
                </a:r>
              </a:p>
            </c:rich>
          </c:tx>
          <c:layout>
            <c:manualLayout>
              <c:xMode val="edge"/>
              <c:yMode val="edge"/>
              <c:x val="1.7827661729740162E-2"/>
              <c:y val="0.24934586006480911"/>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35095440"/>
        <c:crosses val="autoZero"/>
        <c:crossBetween val="between"/>
        <c:majorUnit val="100"/>
      </c:valAx>
      <c:valAx>
        <c:axId val="-1247516736"/>
        <c:scaling>
          <c:orientation val="minMax"/>
          <c:max val="0.4"/>
        </c:scaling>
        <c:delete val="0"/>
        <c:axPos val="r"/>
        <c:numFmt formatCode="0.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47511296"/>
        <c:crosses val="max"/>
        <c:crossBetween val="between"/>
        <c:majorUnit val="0.1"/>
      </c:valAx>
      <c:catAx>
        <c:axId val="-1247511296"/>
        <c:scaling>
          <c:orientation val="minMax"/>
        </c:scaling>
        <c:delete val="1"/>
        <c:axPos val="b"/>
        <c:numFmt formatCode="General" sourceLinked="1"/>
        <c:majorTickMark val="none"/>
        <c:minorTickMark val="none"/>
        <c:tickLblPos val="nextTo"/>
        <c:crossAx val="-1247516736"/>
        <c:crosses val="autoZero"/>
        <c:auto val="1"/>
        <c:lblAlgn val="ctr"/>
        <c:lblOffset val="100"/>
        <c:noMultiLvlLbl val="0"/>
      </c:catAx>
      <c:spPr>
        <a:noFill/>
        <a:ln>
          <a:noFill/>
        </a:ln>
        <a:effectLst/>
      </c:spPr>
    </c:plotArea>
    <c:legend>
      <c:legendPos val="b"/>
      <c:layout>
        <c:manualLayout>
          <c:xMode val="edge"/>
          <c:yMode val="edge"/>
          <c:x val="0.16125099188182873"/>
          <c:y val="0.88483741615631384"/>
          <c:w val="0.70462964658487459"/>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915911853300216"/>
          <c:y val="4.1666666666666664E-2"/>
          <c:w val="0.81095654318377985"/>
          <c:h val="0.73577136191309422"/>
        </c:manualLayout>
      </c:layout>
      <c:barChart>
        <c:barDir val="col"/>
        <c:grouping val="clustered"/>
        <c:varyColors val="0"/>
        <c:ser>
          <c:idx val="0"/>
          <c:order val="0"/>
          <c:tx>
            <c:strRef>
              <c:f>Sherbimi!$A$23</c:f>
              <c:strCache>
                <c:ptCount val="1"/>
                <c:pt idx="0">
                  <c:v>Borxhi Shtetëror</c:v>
                </c:pt>
              </c:strCache>
            </c:strRef>
          </c:tx>
          <c:spPr>
            <a:solidFill>
              <a:schemeClr val="accent1">
                <a:lumMod val="75000"/>
              </a:schemeClr>
            </a:solidFill>
            <a:ln>
              <a:noFill/>
            </a:ln>
            <a:effectLst/>
          </c:spPr>
          <c:invertIfNegative val="0"/>
          <c:dLbls>
            <c:dLbl>
              <c:idx val="0"/>
              <c:layout>
                <c:manualLayout>
                  <c:x val="0"/>
                  <c:y val="0.2382110306095265"/>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996-483C-A9B9-C8AADFD4A9E3}"/>
                </c:ext>
              </c:extLst>
            </c:dLbl>
            <c:dLbl>
              <c:idx val="1"/>
              <c:layout>
                <c:manualLayout>
                  <c:x val="-3.8084351140116528E-3"/>
                  <c:y val="0.234698948821081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996-483C-A9B9-C8AADFD4A9E3}"/>
                </c:ext>
              </c:extLst>
            </c:dLbl>
            <c:dLbl>
              <c:idx val="2"/>
              <c:layout>
                <c:manualLayout>
                  <c:x val="0"/>
                  <c:y val="0.2105423594097326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996-483C-A9B9-C8AADFD4A9E3}"/>
                </c:ext>
              </c:extLst>
            </c:dLbl>
            <c:dLbl>
              <c:idx val="5"/>
              <c:layout>
                <c:manualLayout>
                  <c:x val="0"/>
                  <c:y val="0.3090535895991370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996-483C-A9B9-C8AADFD4A9E3}"/>
                </c:ext>
              </c:extLst>
            </c:dLbl>
            <c:dLbl>
              <c:idx val="6"/>
              <c:layout>
                <c:manualLayout>
                  <c:x val="-1.9042175570058264E-3"/>
                  <c:y val="0.2769059441613059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996-483C-A9B9-C8AADFD4A9E3}"/>
                </c:ext>
              </c:extLst>
            </c:dLbl>
            <c:dLbl>
              <c:idx val="7"/>
              <c:layout>
                <c:manualLayout>
                  <c:x val="-1.9042175570058264E-3"/>
                  <c:y val="0.24749171328625519"/>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996-483C-A9B9-C8AADFD4A9E3}"/>
                </c:ext>
              </c:extLst>
            </c:dLbl>
            <c:dLbl>
              <c:idx val="8"/>
              <c:layout>
                <c:manualLayout>
                  <c:x val="3.3562209288203479E-3"/>
                  <c:y val="0.2035627410134465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996-483C-A9B9-C8AADFD4A9E3}"/>
                </c:ext>
              </c:extLst>
            </c:dLbl>
            <c:numFmt formatCode="#,##0.0" sourceLinked="0"/>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Sherbimi!$B$22:$I$22</c:f>
              <c:strCache>
                <c:ptCount val="8"/>
                <c:pt idx="0">
                  <c:v>2019</c:v>
                </c:pt>
                <c:pt idx="1">
                  <c:v>2020</c:v>
                </c:pt>
                <c:pt idx="2">
                  <c:v>2021</c:v>
                </c:pt>
                <c:pt idx="3">
                  <c:v>2022</c:v>
                </c:pt>
                <c:pt idx="4">
                  <c:v>2023</c:v>
                </c:pt>
                <c:pt idx="5">
                  <c:v>Plan 2024</c:v>
                </c:pt>
                <c:pt idx="6">
                  <c:v>Plan 2025</c:v>
                </c:pt>
                <c:pt idx="7">
                  <c:v>Plan 2026</c:v>
                </c:pt>
              </c:strCache>
            </c:strRef>
          </c:cat>
          <c:val>
            <c:numRef>
              <c:f>Sherbimi!$B$23:$I$23</c:f>
              <c:numCache>
                <c:formatCode>_-* #,##0.00_L_e_k_-;\-* #,##0.00_L_e_k_-;_-* "-"??_L_e_k_-;_-@_-</c:formatCode>
                <c:ptCount val="8"/>
                <c:pt idx="0">
                  <c:v>1070.1914054458098</c:v>
                </c:pt>
                <c:pt idx="1">
                  <c:v>1175.225527028218</c:v>
                </c:pt>
                <c:pt idx="2">
                  <c:v>1327.728762697297</c:v>
                </c:pt>
                <c:pt idx="3">
                  <c:v>1326.2005369796334</c:v>
                </c:pt>
                <c:pt idx="4">
                  <c:v>1321.3895312494747</c:v>
                </c:pt>
                <c:pt idx="5">
                  <c:v>1340.5687319406686</c:v>
                </c:pt>
                <c:pt idx="6">
                  <c:v>1398.0547850079656</c:v>
                </c:pt>
                <c:pt idx="7">
                  <c:v>1447.5858180048065</c:v>
                </c:pt>
              </c:numCache>
            </c:numRef>
          </c:val>
          <c:extLst>
            <c:ext xmlns:c16="http://schemas.microsoft.com/office/drawing/2014/chart" uri="{C3380CC4-5D6E-409C-BE32-E72D297353CC}">
              <c16:uniqueId val="{00000007-3996-483C-A9B9-C8AADFD4A9E3}"/>
            </c:ext>
          </c:extLst>
        </c:ser>
        <c:ser>
          <c:idx val="1"/>
          <c:order val="1"/>
          <c:tx>
            <c:strRef>
              <c:f>Sherbimi!$A$24</c:f>
              <c:strCache>
                <c:ptCount val="1"/>
                <c:pt idx="0">
                  <c:v>Interesa</c:v>
                </c:pt>
              </c:strCache>
            </c:strRef>
          </c:tx>
          <c:spPr>
            <a:solidFill>
              <a:schemeClr val="accent1">
                <a:lumMod val="20000"/>
                <a:lumOff val="80000"/>
              </a:schemeClr>
            </a:solidFill>
            <a:ln>
              <a:noFill/>
            </a:ln>
            <a:effectLst/>
          </c:spPr>
          <c:invertIfNegative val="0"/>
          <c:dLbls>
            <c:dLbl>
              <c:idx val="0"/>
              <c:layout>
                <c:manualLayout>
                  <c:x val="0"/>
                  <c:y val="1.66389351081530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996-483C-A9B9-C8AADFD4A9E3}"/>
                </c:ext>
              </c:extLst>
            </c:dLbl>
            <c:dLbl>
              <c:idx val="8"/>
              <c:layout>
                <c:manualLayout>
                  <c:x val="0"/>
                  <c:y val="2.0481307500867633E-2"/>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9-3996-483C-A9B9-C8AADFD4A9E3}"/>
                </c:ext>
              </c:extLst>
            </c:dLbl>
            <c:dLbl>
              <c:idx val="9"/>
              <c:layout>
                <c:manualLayout>
                  <c:x val="0"/>
                  <c:y val="2.0481307500867633E-2"/>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A-3996-483C-A9B9-C8AADFD4A9E3}"/>
                </c:ext>
              </c:extLst>
            </c:dLbl>
            <c:dLbl>
              <c:idx val="10"/>
              <c:layout>
                <c:manualLayout>
                  <c:x val="-1.2437809727170277E-3"/>
                  <c:y val="2.4577569001041012E-2"/>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B-3996-483C-A9B9-C8AADFD4A9E3}"/>
                </c:ext>
              </c:extLst>
            </c:dLbl>
            <c:dLbl>
              <c:idx val="11"/>
              <c:layout>
                <c:manualLayout>
                  <c:x val="0"/>
                  <c:y val="2.0481307500867633E-2"/>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C-3996-483C-A9B9-C8AADFD4A9E3}"/>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Sherbimi!$B$22:$I$22</c:f>
              <c:strCache>
                <c:ptCount val="8"/>
                <c:pt idx="0">
                  <c:v>2019</c:v>
                </c:pt>
                <c:pt idx="1">
                  <c:v>2020</c:v>
                </c:pt>
                <c:pt idx="2">
                  <c:v>2021</c:v>
                </c:pt>
                <c:pt idx="3">
                  <c:v>2022</c:v>
                </c:pt>
                <c:pt idx="4">
                  <c:v>2023</c:v>
                </c:pt>
                <c:pt idx="5">
                  <c:v>Plan 2024</c:v>
                </c:pt>
                <c:pt idx="6">
                  <c:v>Plan 2025</c:v>
                </c:pt>
                <c:pt idx="7">
                  <c:v>Plan 2026</c:v>
                </c:pt>
              </c:strCache>
            </c:strRef>
          </c:cat>
          <c:val>
            <c:numRef>
              <c:f>Sherbimi!$B$24:$I$24</c:f>
              <c:numCache>
                <c:formatCode>_-* #,##0.00_L_e_k_-;\-* #,##0.00_L_e_k_-;_-* "-"??_L_e_k_-;_-@_-</c:formatCode>
                <c:ptCount val="8"/>
                <c:pt idx="0">
                  <c:v>35.142821032270191</c:v>
                </c:pt>
                <c:pt idx="1">
                  <c:v>34.393398750231739</c:v>
                </c:pt>
                <c:pt idx="2">
                  <c:v>35.822296277729997</c:v>
                </c:pt>
                <c:pt idx="3">
                  <c:v>39.623991341686704</c:v>
                </c:pt>
                <c:pt idx="4">
                  <c:v>51.11</c:v>
                </c:pt>
                <c:pt idx="5">
                  <c:v>54.907626507241403</c:v>
                </c:pt>
                <c:pt idx="6">
                  <c:v>62.77218529951481</c:v>
                </c:pt>
                <c:pt idx="7">
                  <c:v>64.147779344657025</c:v>
                </c:pt>
              </c:numCache>
            </c:numRef>
          </c:val>
          <c:extLst xmlns:c15="http://schemas.microsoft.com/office/drawing/2012/chart">
            <c:ext xmlns:c16="http://schemas.microsoft.com/office/drawing/2014/chart" uri="{C3380CC4-5D6E-409C-BE32-E72D297353CC}">
              <c16:uniqueId val="{0000000D-3996-483C-A9B9-C8AADFD4A9E3}"/>
            </c:ext>
          </c:extLst>
        </c:ser>
        <c:dLbls>
          <c:showLegendKey val="0"/>
          <c:showVal val="0"/>
          <c:showCatName val="0"/>
          <c:showSerName val="0"/>
          <c:showPercent val="0"/>
          <c:showBubbleSize val="0"/>
        </c:dLbls>
        <c:gapWidth val="50"/>
        <c:axId val="-1247510208"/>
        <c:axId val="-1247510752"/>
        <c:extLst/>
      </c:barChart>
      <c:lineChart>
        <c:grouping val="standard"/>
        <c:varyColors val="0"/>
        <c:ser>
          <c:idx val="2"/>
          <c:order val="2"/>
          <c:tx>
            <c:strRef>
              <c:f>Sherbimi!$A$25</c:f>
              <c:strCache>
                <c:ptCount val="1"/>
                <c:pt idx="0">
                  <c:v>Interesa/PBB</c:v>
                </c:pt>
              </c:strCache>
            </c:strRef>
          </c:tx>
          <c:spPr>
            <a:ln w="25400" cap="rnd">
              <a:solidFill>
                <a:schemeClr val="bg1">
                  <a:lumMod val="50000"/>
                </a:schemeClr>
              </a:solidFill>
              <a:round/>
            </a:ln>
            <a:effectLst/>
          </c:spPr>
          <c:marker>
            <c:symbol val="diamond"/>
            <c:size val="5"/>
            <c:spPr>
              <a:solidFill>
                <a:schemeClr val="bg1">
                  <a:lumMod val="50000"/>
                </a:schemeClr>
              </a:solidFill>
              <a:ln w="9525">
                <a:solidFill>
                  <a:schemeClr val="accent3"/>
                </a:solidFill>
              </a:ln>
              <a:effectLst/>
            </c:spPr>
          </c:marker>
          <c:dLbls>
            <c:dLbl>
              <c:idx val="0"/>
              <c:layout>
                <c:manualLayout>
                  <c:x val="-4.1554825122357239E-2"/>
                  <c:y val="-4.71851376315065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3996-483C-A9B9-C8AADFD4A9E3}"/>
                </c:ext>
              </c:extLst>
            </c:dLbl>
            <c:dLbl>
              <c:idx val="1"/>
              <c:layout>
                <c:manualLayout>
                  <c:x val="-3.7746390008345607E-2"/>
                  <c:y val="-4.71851376315065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3996-483C-A9B9-C8AADFD4A9E3}"/>
                </c:ext>
              </c:extLst>
            </c:dLbl>
            <c:dLbl>
              <c:idx val="2"/>
              <c:layout>
                <c:manualLayout>
                  <c:x val="-3.5842172451339742E-2"/>
                  <c:y val="-6.38240727396596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3996-483C-A9B9-C8AADFD4A9E3}"/>
                </c:ext>
              </c:extLst>
            </c:dLbl>
            <c:dLbl>
              <c:idx val="3"/>
              <c:layout>
                <c:manualLayout>
                  <c:x val="-3.7746390008345572E-2"/>
                  <c:y val="-4.71851376315065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3996-483C-A9B9-C8AADFD4A9E3}"/>
                </c:ext>
              </c:extLst>
            </c:dLbl>
            <c:dLbl>
              <c:idx val="4"/>
              <c:layout>
                <c:manualLayout>
                  <c:x val="-3.5842172451339742E-2"/>
                  <c:y val="-6.38240727396596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3996-483C-A9B9-C8AADFD4A9E3}"/>
                </c:ext>
              </c:extLst>
            </c:dLbl>
            <c:dLbl>
              <c:idx val="5"/>
              <c:layout>
                <c:manualLayout>
                  <c:x val="-3.2033737337328165E-2"/>
                  <c:y val="-6.38240727396596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3996-483C-A9B9-C8AADFD4A9E3}"/>
                </c:ext>
              </c:extLst>
            </c:dLbl>
            <c:dLbl>
              <c:idx val="6"/>
              <c:layout>
                <c:manualLayout>
                  <c:x val="-3.2033737337328089E-2"/>
                  <c:y val="-5.82777610369419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3996-483C-A9B9-C8AADFD4A9E3}"/>
                </c:ext>
              </c:extLst>
            </c:dLbl>
            <c:dLbl>
              <c:idx val="7"/>
              <c:layout>
                <c:manualLayout>
                  <c:x val="-3.2033737337328089E-2"/>
                  <c:y val="-7.49166961450951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3996-483C-A9B9-C8AADFD4A9E3}"/>
                </c:ext>
              </c:extLst>
            </c:dLbl>
            <c:dLbl>
              <c:idx val="8"/>
              <c:layout>
                <c:manualLayout>
                  <c:x val="-3.5842172451339742E-2"/>
                  <c:y val="-4.16388259287888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3996-483C-A9B9-C8AADFD4A9E3}"/>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Sherbimi!$B$22:$I$22</c:f>
              <c:strCache>
                <c:ptCount val="8"/>
                <c:pt idx="0">
                  <c:v>2019</c:v>
                </c:pt>
                <c:pt idx="1">
                  <c:v>2020</c:v>
                </c:pt>
                <c:pt idx="2">
                  <c:v>2021</c:v>
                </c:pt>
                <c:pt idx="3">
                  <c:v>2022</c:v>
                </c:pt>
                <c:pt idx="4">
                  <c:v>2023</c:v>
                </c:pt>
                <c:pt idx="5">
                  <c:v>Plan 2024</c:v>
                </c:pt>
                <c:pt idx="6">
                  <c:v>Plan 2025</c:v>
                </c:pt>
                <c:pt idx="7">
                  <c:v>Plan 2026</c:v>
                </c:pt>
              </c:strCache>
            </c:strRef>
          </c:cat>
          <c:val>
            <c:numRef>
              <c:f>Sherbimi!$B$25:$I$25</c:f>
              <c:numCache>
                <c:formatCode>0.00%</c:formatCode>
                <c:ptCount val="8"/>
                <c:pt idx="0">
                  <c:v>2.0526907728537352E-2</c:v>
                </c:pt>
                <c:pt idx="1">
                  <c:v>2.0769155087683736E-2</c:v>
                </c:pt>
                <c:pt idx="2">
                  <c:v>1.9190443211204358E-2</c:v>
                </c:pt>
                <c:pt idx="3">
                  <c:v>1.8431985509413176E-2</c:v>
                </c:pt>
                <c:pt idx="4">
                  <c:v>2.0081350153016049E-2</c:v>
                </c:pt>
                <c:pt idx="5">
                  <c:v>2.2014049057693767E-2</c:v>
                </c:pt>
                <c:pt idx="6">
                  <c:v>2.3952159309359858E-2</c:v>
                </c:pt>
                <c:pt idx="7">
                  <c:v>2.3270084470680415E-2</c:v>
                </c:pt>
              </c:numCache>
            </c:numRef>
          </c:val>
          <c:smooth val="1"/>
          <c:extLst>
            <c:ext xmlns:c16="http://schemas.microsoft.com/office/drawing/2014/chart" uri="{C3380CC4-5D6E-409C-BE32-E72D297353CC}">
              <c16:uniqueId val="{00000017-3996-483C-A9B9-C8AADFD4A9E3}"/>
            </c:ext>
          </c:extLst>
        </c:ser>
        <c:ser>
          <c:idx val="3"/>
          <c:order val="3"/>
          <c:tx>
            <c:strRef>
              <c:f>Sherbimi!$A$27</c:f>
              <c:strCache>
                <c:ptCount val="1"/>
                <c:pt idx="0">
                  <c:v>Interesa/Të ardhura tatimore</c:v>
                </c:pt>
              </c:strCache>
            </c:strRef>
          </c:tx>
          <c:spPr>
            <a:ln w="28575" cap="rnd">
              <a:solidFill>
                <a:srgbClr val="C00000"/>
              </a:solidFill>
              <a:round/>
            </a:ln>
            <a:effectLst/>
          </c:spPr>
          <c:marker>
            <c:symbol val="diamond"/>
            <c:size val="5"/>
            <c:spPr>
              <a:solidFill>
                <a:srgbClr val="C00000"/>
              </a:solidFill>
              <a:ln w="9525">
                <a:noFill/>
              </a:ln>
              <a:effectLst/>
            </c:spPr>
          </c:marker>
          <c:dLbls>
            <c:dLbl>
              <c:idx val="5"/>
              <c:layout>
                <c:manualLayout>
                  <c:x val="-2.2145528309882076E-2"/>
                  <c:y val="-5.94033270805485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3996-483C-A9B9-C8AADFD4A9E3}"/>
                </c:ext>
              </c:extLst>
            </c:dLbl>
            <c:dLbl>
              <c:idx val="6"/>
              <c:layout>
                <c:manualLayout>
                  <c:x val="-3.6268858016328558E-2"/>
                  <c:y val="-5.26484730174119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3996-483C-A9B9-C8AADFD4A9E3}"/>
                </c:ext>
              </c:extLst>
            </c:dLbl>
            <c:dLbl>
              <c:idx val="7"/>
              <c:layout>
                <c:manualLayout>
                  <c:x val="-3.031928215394836E-2"/>
                  <c:y val="-3.72179351125202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3996-483C-A9B9-C8AADFD4A9E3}"/>
                </c:ext>
              </c:extLst>
            </c:dLbl>
            <c:dLbl>
              <c:idx val="8"/>
              <c:layout>
                <c:manualLayout>
                  <c:x val="-3.073365336806403E-2"/>
                  <c:y val="-4.12702363951594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3996-483C-A9B9-C8AADFD4A9E3}"/>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Sherbimi!$B$22:$I$22</c:f>
              <c:strCache>
                <c:ptCount val="8"/>
                <c:pt idx="0">
                  <c:v>2019</c:v>
                </c:pt>
                <c:pt idx="1">
                  <c:v>2020</c:v>
                </c:pt>
                <c:pt idx="2">
                  <c:v>2021</c:v>
                </c:pt>
                <c:pt idx="3">
                  <c:v>2022</c:v>
                </c:pt>
                <c:pt idx="4">
                  <c:v>2023</c:v>
                </c:pt>
                <c:pt idx="5">
                  <c:v>Plan 2024</c:v>
                </c:pt>
                <c:pt idx="6">
                  <c:v>Plan 2025</c:v>
                </c:pt>
                <c:pt idx="7">
                  <c:v>Plan 2026</c:v>
                </c:pt>
              </c:strCache>
            </c:strRef>
          </c:cat>
          <c:val>
            <c:numRef>
              <c:f>Sherbimi!$B$27:$I$27</c:f>
              <c:numCache>
                <c:formatCode>0.00%</c:formatCode>
                <c:ptCount val="8"/>
                <c:pt idx="0">
                  <c:v>8.2442501164448345E-2</c:v>
                </c:pt>
                <c:pt idx="1">
                  <c:v>8.6273005356479235E-2</c:v>
                </c:pt>
                <c:pt idx="2">
                  <c:v>7.5318337880311156E-2</c:v>
                </c:pt>
                <c:pt idx="3">
                  <c:v>7.3195856485709046E-2</c:v>
                </c:pt>
                <c:pt idx="4">
                  <c:v>7.9495459022679751E-2</c:v>
                </c:pt>
                <c:pt idx="5">
                  <c:v>8.3176085506145941E-2</c:v>
                </c:pt>
                <c:pt idx="6">
                  <c:v>8.813342799457681E-2</c:v>
                </c:pt>
                <c:pt idx="7">
                  <c:v>8.5352042996074587E-2</c:v>
                </c:pt>
              </c:numCache>
            </c:numRef>
          </c:val>
          <c:smooth val="1"/>
          <c:extLst>
            <c:ext xmlns:c16="http://schemas.microsoft.com/office/drawing/2014/chart" uri="{C3380CC4-5D6E-409C-BE32-E72D297353CC}">
              <c16:uniqueId val="{0000001C-3996-483C-A9B9-C8AADFD4A9E3}"/>
            </c:ext>
          </c:extLst>
        </c:ser>
        <c:dLbls>
          <c:showLegendKey val="0"/>
          <c:showVal val="0"/>
          <c:showCatName val="0"/>
          <c:showSerName val="0"/>
          <c:showPercent val="0"/>
          <c:showBubbleSize val="0"/>
        </c:dLbls>
        <c:marker val="1"/>
        <c:smooth val="0"/>
        <c:axId val="-1247514560"/>
        <c:axId val="-1247515104"/>
      </c:lineChart>
      <c:catAx>
        <c:axId val="-124751020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47510752"/>
        <c:crosses val="autoZero"/>
        <c:auto val="1"/>
        <c:lblAlgn val="ctr"/>
        <c:lblOffset val="100"/>
        <c:noMultiLvlLbl val="0"/>
      </c:catAx>
      <c:valAx>
        <c:axId val="-1247510752"/>
        <c:scaling>
          <c:orientation val="minMax"/>
          <c:max val="1500"/>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47510208"/>
        <c:crosses val="autoZero"/>
        <c:crossBetween val="between"/>
        <c:majorUnit val="300"/>
      </c:valAx>
      <c:valAx>
        <c:axId val="-1247515104"/>
        <c:scaling>
          <c:orientation val="minMax"/>
          <c:max val="0.12000000000000001"/>
        </c:scaling>
        <c:delete val="0"/>
        <c:axPos val="r"/>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1247514560"/>
        <c:crosses val="max"/>
        <c:crossBetween val="between"/>
        <c:majorUnit val="3.0000000000000006E-2"/>
      </c:valAx>
      <c:catAx>
        <c:axId val="-1247514560"/>
        <c:scaling>
          <c:orientation val="minMax"/>
        </c:scaling>
        <c:delete val="1"/>
        <c:axPos val="b"/>
        <c:numFmt formatCode="General" sourceLinked="1"/>
        <c:majorTickMark val="none"/>
        <c:minorTickMark val="none"/>
        <c:tickLblPos val="nextTo"/>
        <c:crossAx val="-1247515104"/>
        <c:crosses val="autoZero"/>
        <c:auto val="1"/>
        <c:lblAlgn val="ctr"/>
        <c:lblOffset val="100"/>
        <c:noMultiLvlLbl val="0"/>
      </c:catAx>
      <c:spPr>
        <a:noFill/>
        <a:ln>
          <a:noFill/>
        </a:ln>
        <a:effectLst/>
      </c:spPr>
    </c:plotArea>
    <c:legend>
      <c:legendPos val="b"/>
      <c:layout>
        <c:manualLayout>
          <c:xMode val="edge"/>
          <c:yMode val="edge"/>
          <c:x val="0.11805605740691751"/>
          <c:y val="0.88763303505531022"/>
          <c:w val="0.74278107179213626"/>
          <c:h val="9.3594665059546445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0994213644416534E-2"/>
          <c:y val="5.0351331198164748E-2"/>
          <c:w val="0.90843540716496307"/>
          <c:h val="0.58869102242415294"/>
        </c:manualLayout>
      </c:layout>
      <c:barChart>
        <c:barDir val="col"/>
        <c:grouping val="percentStacked"/>
        <c:varyColors val="0"/>
        <c:ser>
          <c:idx val="0"/>
          <c:order val="0"/>
          <c:tx>
            <c:strRef>
              <c:f>'Garancite  (2)'!$A$19</c:f>
              <c:strCache>
                <c:ptCount val="1"/>
                <c:pt idx="0">
                  <c:v>Energjia</c:v>
                </c:pt>
              </c:strCache>
            </c:strRef>
          </c:tx>
          <c:spPr>
            <a:solidFill>
              <a:schemeClr val="accent1">
                <a:lumMod val="50000"/>
              </a:schemeClr>
            </a:soli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'Garancite  (2)'!$D$18:$I$18</c:f>
              <c:numCache>
                <c:formatCode>General</c:formatCode>
                <c:ptCount val="6"/>
                <c:pt idx="0">
                  <c:v>2019</c:v>
                </c:pt>
                <c:pt idx="1">
                  <c:v>2020</c:v>
                </c:pt>
                <c:pt idx="2">
                  <c:v>2021</c:v>
                </c:pt>
                <c:pt idx="3">
                  <c:v>2022</c:v>
                </c:pt>
                <c:pt idx="4">
                  <c:v>2023</c:v>
                </c:pt>
                <c:pt idx="5" formatCode="mmm\-yy">
                  <c:v>45536</c:v>
                </c:pt>
              </c:numCache>
            </c:numRef>
          </c:cat>
          <c:val>
            <c:numRef>
              <c:f>'Garancite  (2)'!$D$19:$I$19</c:f>
              <c:numCache>
                <c:formatCode>0.0%</c:formatCode>
                <c:ptCount val="6"/>
                <c:pt idx="0">
                  <c:v>0.83189498470392853</c:v>
                </c:pt>
                <c:pt idx="1">
                  <c:v>0.67205241462345777</c:v>
                </c:pt>
                <c:pt idx="2">
                  <c:v>0.71356891079508245</c:v>
                </c:pt>
                <c:pt idx="3">
                  <c:v>0.76786739589313835</c:v>
                </c:pt>
                <c:pt idx="4">
                  <c:v>0.78504018254014118</c:v>
                </c:pt>
                <c:pt idx="5">
                  <c:v>0.80030979258280399</c:v>
                </c:pt>
              </c:numCache>
            </c:numRef>
          </c:val>
          <c:extLst>
            <c:ext xmlns:c16="http://schemas.microsoft.com/office/drawing/2014/chart" uri="{C3380CC4-5D6E-409C-BE32-E72D297353CC}">
              <c16:uniqueId val="{00000000-8118-4DF3-95BC-0638F30582EF}"/>
            </c:ext>
          </c:extLst>
        </c:ser>
        <c:ser>
          <c:idx val="1"/>
          <c:order val="1"/>
          <c:tx>
            <c:strRef>
              <c:f>'Garancite  (2)'!$A$20</c:f>
              <c:strCache>
                <c:ptCount val="1"/>
                <c:pt idx="0">
                  <c:v>Media/Bujqësia/Transport/Të Tjera</c:v>
                </c:pt>
              </c:strCache>
            </c:strRef>
          </c:tx>
          <c:spPr>
            <a:solidFill>
              <a:schemeClr val="bg1">
                <a:lumMod val="85000"/>
              </a:schemeClr>
            </a:solidFill>
            <a:ln>
              <a:noFill/>
            </a:ln>
            <a:effectLst>
              <a:outerShdw blurRad="40000" dist="23000" dir="5400000" rotWithShape="0">
                <a:srgbClr val="000000">
                  <a:alpha val="35000"/>
                </a:srgbClr>
              </a:outerShdw>
            </a:effectLst>
          </c:spPr>
          <c:invertIfNegative val="0"/>
          <c:dLbls>
            <c:dLbl>
              <c:idx val="0"/>
              <c:layout>
                <c:manualLayout>
                  <c:x val="0"/>
                  <c:y val="4.179728317659352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118-4DF3-95BC-0638F30582EF}"/>
                </c:ext>
              </c:extLst>
            </c:dLbl>
            <c:dLbl>
              <c:idx val="1"/>
              <c:layout>
                <c:manualLayout>
                  <c:x val="0"/>
                  <c:y val="1.25391849529780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118-4DF3-95BC-0638F30582EF}"/>
                </c:ext>
              </c:extLst>
            </c:dLbl>
            <c:dLbl>
              <c:idx val="2"/>
              <c:layout>
                <c:manualLayout>
                  <c:x val="-1.3713412883072886E-16"/>
                  <c:y val="8.359456635318705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118-4DF3-95BC-0638F30582EF}"/>
                </c:ext>
              </c:extLst>
            </c:dLbl>
            <c:dLbl>
              <c:idx val="3"/>
              <c:layout>
                <c:manualLayout>
                  <c:x val="1.8700324502165069E-3"/>
                  <c:y val="1.25391849529780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118-4DF3-95BC-0638F30582E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'Garancite  (2)'!$D$18:$I$18</c:f>
              <c:numCache>
                <c:formatCode>General</c:formatCode>
                <c:ptCount val="6"/>
                <c:pt idx="0">
                  <c:v>2019</c:v>
                </c:pt>
                <c:pt idx="1">
                  <c:v>2020</c:v>
                </c:pt>
                <c:pt idx="2">
                  <c:v>2021</c:v>
                </c:pt>
                <c:pt idx="3">
                  <c:v>2022</c:v>
                </c:pt>
                <c:pt idx="4">
                  <c:v>2023</c:v>
                </c:pt>
                <c:pt idx="5" formatCode="mmm\-yy">
                  <c:v>45536</c:v>
                </c:pt>
              </c:numCache>
            </c:numRef>
          </c:cat>
          <c:val>
            <c:numRef>
              <c:f>'Garancite  (2)'!$D$20:$I$20</c:f>
              <c:numCache>
                <c:formatCode>0.0%</c:formatCode>
                <c:ptCount val="6"/>
                <c:pt idx="0">
                  <c:v>7.0554520729430775E-2</c:v>
                </c:pt>
                <c:pt idx="1">
                  <c:v>5.1839824072569818E-2</c:v>
                </c:pt>
                <c:pt idx="2">
                  <c:v>3.411137252337381E-2</c:v>
                </c:pt>
                <c:pt idx="3">
                  <c:v>2.4509519218759979E-2</c:v>
                </c:pt>
                <c:pt idx="4">
                  <c:v>1.8972164654601352E-2</c:v>
                </c:pt>
                <c:pt idx="5">
                  <c:v>1.2188842157530475E-2</c:v>
                </c:pt>
              </c:numCache>
            </c:numRef>
          </c:val>
          <c:extLst>
            <c:ext xmlns:c16="http://schemas.microsoft.com/office/drawing/2014/chart" uri="{C3380CC4-5D6E-409C-BE32-E72D297353CC}">
              <c16:uniqueId val="{00000005-8118-4DF3-95BC-0638F30582EF}"/>
            </c:ext>
          </c:extLst>
        </c:ser>
        <c:ser>
          <c:idx val="2"/>
          <c:order val="2"/>
          <c:tx>
            <c:strRef>
              <c:f>'Garancite  (2)'!$A$21</c:f>
              <c:strCache>
                <c:ptCount val="1"/>
                <c:pt idx="0">
                  <c:v>Ujësjellës Kanalizime</c:v>
                </c:pt>
              </c:strCache>
            </c:strRef>
          </c:tx>
          <c:spPr>
            <a:solidFill>
              <a:schemeClr val="accent1">
                <a:lumMod val="20000"/>
                <a:lumOff val="80000"/>
              </a:schemeClr>
            </a:soli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'Garancite  (2)'!$D$18:$I$18</c:f>
              <c:numCache>
                <c:formatCode>General</c:formatCode>
                <c:ptCount val="6"/>
                <c:pt idx="0">
                  <c:v>2019</c:v>
                </c:pt>
                <c:pt idx="1">
                  <c:v>2020</c:v>
                </c:pt>
                <c:pt idx="2">
                  <c:v>2021</c:v>
                </c:pt>
                <c:pt idx="3">
                  <c:v>2022</c:v>
                </c:pt>
                <c:pt idx="4">
                  <c:v>2023</c:v>
                </c:pt>
                <c:pt idx="5" formatCode="mmm\-yy">
                  <c:v>45536</c:v>
                </c:pt>
              </c:numCache>
            </c:numRef>
          </c:cat>
          <c:val>
            <c:numRef>
              <c:f>'Garancite  (2)'!$D$21:$I$21</c:f>
              <c:numCache>
                <c:formatCode>0.0%</c:formatCode>
                <c:ptCount val="6"/>
                <c:pt idx="0">
                  <c:v>9.755049456664068E-2</c:v>
                </c:pt>
                <c:pt idx="1">
                  <c:v>8.9667988460799139E-2</c:v>
                </c:pt>
                <c:pt idx="2">
                  <c:v>7.8566869605387751E-2</c:v>
                </c:pt>
                <c:pt idx="3">
                  <c:v>7.6158690681903077E-2</c:v>
                </c:pt>
                <c:pt idx="4">
                  <c:v>8.4526084122472686E-2</c:v>
                </c:pt>
                <c:pt idx="5">
                  <c:v>9.1968352985107679E-2</c:v>
                </c:pt>
              </c:numCache>
            </c:numRef>
          </c:val>
          <c:extLst>
            <c:ext xmlns:c16="http://schemas.microsoft.com/office/drawing/2014/chart" uri="{C3380CC4-5D6E-409C-BE32-E72D297353CC}">
              <c16:uniqueId val="{00000006-8118-4DF3-95BC-0638F30582EF}"/>
            </c:ext>
          </c:extLst>
        </c:ser>
        <c:ser>
          <c:idx val="3"/>
          <c:order val="3"/>
          <c:tx>
            <c:strRef>
              <c:f>'Garancite  (2)'!#REF!</c:f>
              <c:strCache>
                <c:ptCount val="1"/>
                <c:pt idx="0">
                  <c:v>#REF!</c:v>
                </c:pt>
              </c:strCache>
              <c:extLst xmlns:c15="http://schemas.microsoft.com/office/drawing/2012/chart"/>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'Garancite  (2)'!$D$18:$I$18</c:f>
              <c:numCache>
                <c:formatCode>General</c:formatCode>
                <c:ptCount val="6"/>
                <c:pt idx="0">
                  <c:v>2019</c:v>
                </c:pt>
                <c:pt idx="1">
                  <c:v>2020</c:v>
                </c:pt>
                <c:pt idx="2">
                  <c:v>2021</c:v>
                </c:pt>
                <c:pt idx="3">
                  <c:v>2022</c:v>
                </c:pt>
                <c:pt idx="4">
                  <c:v>2023</c:v>
                </c:pt>
                <c:pt idx="5" formatCode="mmm\-yy">
                  <c:v>45536</c:v>
                </c:pt>
              </c:numCache>
            </c:numRef>
          </c:cat>
          <c:val>
            <c:numRef>
              <c:f>'Garancite  (2)'!#REF!</c:f>
              <c:extLst xmlns:c15="http://schemas.microsoft.com/office/drawing/2012/chart"/>
            </c:numRef>
          </c:val>
          <c:extLst xmlns:c15="http://schemas.microsoft.com/office/drawing/2012/chart">
            <c:ext xmlns:c16="http://schemas.microsoft.com/office/drawing/2014/chart" uri="{C3380CC4-5D6E-409C-BE32-E72D297353CC}">
              <c16:uniqueId val="{00000007-8118-4DF3-95BC-0638F30582EF}"/>
            </c:ext>
          </c:extLst>
        </c:ser>
        <c:ser>
          <c:idx val="4"/>
          <c:order val="4"/>
          <c:tx>
            <c:strRef>
              <c:f>'Garancite  (2)'!#REF!</c:f>
              <c:strCache>
                <c:ptCount val="1"/>
                <c:pt idx="0">
                  <c:v>#REF!</c:v>
                </c:pt>
              </c:strCache>
              <c:extLst xmlns:c15="http://schemas.microsoft.com/office/drawing/2012/chart"/>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dLbl>
              <c:idx val="0"/>
              <c:layout>
                <c:manualLayout>
                  <c:x val="-6.8567064415364431E-17"/>
                  <c:y val="1.3348801619233333E-3"/>
                </c:manualLayout>
              </c:layout>
              <c:dLblPos val="ctr"/>
              <c:showLegendKey val="0"/>
              <c:showVal val="1"/>
              <c:showCatName val="0"/>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8-8118-4DF3-95BC-0638F30582EF}"/>
                </c:ext>
              </c:extLst>
            </c:dLbl>
            <c:dLbl>
              <c:idx val="1"/>
              <c:layout>
                <c:manualLayout>
                  <c:x val="-1.3713412883072886E-16"/>
                  <c:y val="-2.6789754728934745E-3"/>
                </c:manualLayout>
              </c:layout>
              <c:dLblPos val="ctr"/>
              <c:showLegendKey val="0"/>
              <c:showVal val="1"/>
              <c:showCatName val="0"/>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9-8118-4DF3-95BC-0638F30582EF}"/>
                </c:ext>
              </c:extLst>
            </c:dLbl>
            <c:dLbl>
              <c:idx val="2"/>
              <c:layout>
                <c:manualLayout>
                  <c:x val="0"/>
                  <c:y val="1.8923966792551227E-4"/>
                </c:manualLayout>
              </c:layout>
              <c:dLblPos val="ctr"/>
              <c:showLegendKey val="0"/>
              <c:showVal val="1"/>
              <c:showCatName val="0"/>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A-8118-4DF3-95BC-0638F30582EF}"/>
                </c:ext>
              </c:extLst>
            </c:dLbl>
            <c:dLbl>
              <c:idx val="3"/>
              <c:layout>
                <c:manualLayout>
                  <c:x val="0"/>
                  <c:y val="-0.10764549245871198"/>
                </c:manualLayout>
              </c:layout>
              <c:dLblPos val="ctr"/>
              <c:showLegendKey val="0"/>
              <c:showVal val="1"/>
              <c:showCatName val="0"/>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B-8118-4DF3-95BC-0638F30582E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inBase"/>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'Garancite  (2)'!$D$18:$I$18</c:f>
              <c:numCache>
                <c:formatCode>General</c:formatCode>
                <c:ptCount val="6"/>
                <c:pt idx="0">
                  <c:v>2019</c:v>
                </c:pt>
                <c:pt idx="1">
                  <c:v>2020</c:v>
                </c:pt>
                <c:pt idx="2">
                  <c:v>2021</c:v>
                </c:pt>
                <c:pt idx="3">
                  <c:v>2022</c:v>
                </c:pt>
                <c:pt idx="4">
                  <c:v>2023</c:v>
                </c:pt>
                <c:pt idx="5" formatCode="mmm\-yy">
                  <c:v>45536</c:v>
                </c:pt>
              </c:numCache>
            </c:numRef>
          </c:cat>
          <c:val>
            <c:numRef>
              <c:f>'Garancite  (2)'!#REF!</c:f>
              <c:extLst xmlns:c15="http://schemas.microsoft.com/office/drawing/2012/chart"/>
            </c:numRef>
          </c:val>
          <c:extLst xmlns:c15="http://schemas.microsoft.com/office/drawing/2012/chart">
            <c:ext xmlns:c16="http://schemas.microsoft.com/office/drawing/2014/chart" uri="{C3380CC4-5D6E-409C-BE32-E72D297353CC}">
              <c16:uniqueId val="{0000000C-8118-4DF3-95BC-0638F30582EF}"/>
            </c:ext>
          </c:extLst>
        </c:ser>
        <c:ser>
          <c:idx val="5"/>
          <c:order val="5"/>
          <c:tx>
            <c:strRef>
              <c:f>'Garancite  (2)'!$A$22</c:f>
              <c:strCache>
                <c:ptCount val="1"/>
                <c:pt idx="0">
                  <c:v>Garancitë gjatë Covid dhe Luftës Rusi-Ukraine </c:v>
                </c:pt>
              </c:strCache>
            </c:strRef>
          </c:tx>
          <c:spPr>
            <a:solidFill>
              <a:schemeClr val="accent2">
                <a:lumMod val="20000"/>
                <a:lumOff val="80000"/>
              </a:schemeClr>
            </a:solidFill>
            <a:ln>
              <a:noFill/>
            </a:ln>
            <a:effectLst>
              <a:outerShdw blurRad="40000" dist="23000" dir="5400000" rotWithShape="0">
                <a:srgbClr val="000000">
                  <a:alpha val="35000"/>
                </a:srgbClr>
              </a:outerShdw>
            </a:effectLst>
          </c:spPr>
          <c:invertIfNegative val="0"/>
          <c:dPt>
            <c:idx val="2"/>
            <c:invertIfNegative val="0"/>
            <c:bubble3D val="0"/>
            <c:spPr>
              <a:solidFill>
                <a:schemeClr val="accent2">
                  <a:lumMod val="20000"/>
                  <a:lumOff val="80000"/>
                </a:schemeClr>
              </a:solidFill>
              <a:ln>
                <a:noFill/>
              </a:ln>
              <a:effectLst>
                <a:outerShdw blurRad="40000" dist="23000" dir="5400000" rotWithShape="0">
                  <a:srgbClr val="000000">
                    <a:alpha val="35000"/>
                  </a:srgbClr>
                </a:outerShdw>
              </a:effectLst>
            </c:spPr>
            <c:extLst>
              <c:ext xmlns:c16="http://schemas.microsoft.com/office/drawing/2014/chart" uri="{C3380CC4-5D6E-409C-BE32-E72D297353CC}">
                <c16:uniqueId val="{0000000E-8118-4DF3-95BC-0638F30582EF}"/>
              </c:ext>
            </c:extLst>
          </c:dPt>
          <c:dLbls>
            <c:dLbl>
              <c:idx val="0"/>
              <c:delete val="1"/>
              <c:extLst>
                <c:ext xmlns:c15="http://schemas.microsoft.com/office/drawing/2012/chart" uri="{CE6537A1-D6FC-4f65-9D91-7224C49458BB}"/>
                <c:ext xmlns:c16="http://schemas.microsoft.com/office/drawing/2014/chart" uri="{C3380CC4-5D6E-409C-BE32-E72D297353CC}">
                  <c16:uniqueId val="{0000000F-8118-4DF3-95BC-0638F30582EF}"/>
                </c:ext>
              </c:extLst>
            </c:dLbl>
            <c:dLbl>
              <c:idx val="1"/>
              <c:delete val="1"/>
              <c:extLst>
                <c:ext xmlns:c15="http://schemas.microsoft.com/office/drawing/2012/chart" uri="{CE6537A1-D6FC-4f65-9D91-7224C49458BB}"/>
                <c:ext xmlns:c16="http://schemas.microsoft.com/office/drawing/2014/chart" uri="{C3380CC4-5D6E-409C-BE32-E72D297353CC}">
                  <c16:uniqueId val="{00000010-8118-4DF3-95BC-0638F30582E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'Garancite  (2)'!$D$18:$I$18</c:f>
              <c:numCache>
                <c:formatCode>General</c:formatCode>
                <c:ptCount val="6"/>
                <c:pt idx="0">
                  <c:v>2019</c:v>
                </c:pt>
                <c:pt idx="1">
                  <c:v>2020</c:v>
                </c:pt>
                <c:pt idx="2">
                  <c:v>2021</c:v>
                </c:pt>
                <c:pt idx="3">
                  <c:v>2022</c:v>
                </c:pt>
                <c:pt idx="4">
                  <c:v>2023</c:v>
                </c:pt>
                <c:pt idx="5" formatCode="mmm\-yy">
                  <c:v>45536</c:v>
                </c:pt>
              </c:numCache>
            </c:numRef>
          </c:cat>
          <c:val>
            <c:numRef>
              <c:f>'Garancite  (2)'!$D$22:$I$22</c:f>
              <c:numCache>
                <c:formatCode>0.0%</c:formatCode>
                <c:ptCount val="6"/>
                <c:pt idx="0">
                  <c:v>0</c:v>
                </c:pt>
                <c:pt idx="1">
                  <c:v>0.18643977284317337</c:v>
                </c:pt>
                <c:pt idx="2">
                  <c:v>0.17375284707615607</c:v>
                </c:pt>
                <c:pt idx="3">
                  <c:v>0.13146439420619851</c:v>
                </c:pt>
                <c:pt idx="4">
                  <c:v>0.11146156868278484</c:v>
                </c:pt>
                <c:pt idx="5">
                  <c:v>9.5336187661640717E-2</c:v>
                </c:pt>
              </c:numCache>
            </c:numRef>
          </c:val>
          <c:extLst>
            <c:ext xmlns:c16="http://schemas.microsoft.com/office/drawing/2014/chart" uri="{C3380CC4-5D6E-409C-BE32-E72D297353CC}">
              <c16:uniqueId val="{00000011-8118-4DF3-95BC-0638F30582EF}"/>
            </c:ext>
          </c:extLst>
        </c:ser>
        <c:dLbls>
          <c:showLegendKey val="0"/>
          <c:showVal val="0"/>
          <c:showCatName val="0"/>
          <c:showSerName val="0"/>
          <c:showPercent val="0"/>
          <c:showBubbleSize val="0"/>
        </c:dLbls>
        <c:gapWidth val="80"/>
        <c:overlap val="100"/>
        <c:axId val="-1240765536"/>
        <c:axId val="-1240770432"/>
        <c:extLst/>
      </c:barChart>
      <c:catAx>
        <c:axId val="-124076553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40770432"/>
        <c:crosses val="autoZero"/>
        <c:auto val="1"/>
        <c:lblAlgn val="ctr"/>
        <c:lblOffset val="100"/>
        <c:noMultiLvlLbl val="0"/>
      </c:catAx>
      <c:valAx>
        <c:axId val="-1240770432"/>
        <c:scaling>
          <c:orientation val="minMax"/>
          <c:max val="1"/>
          <c:min val="0.5"/>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40765536"/>
        <c:crosses val="autoZero"/>
        <c:crossBetween val="between"/>
        <c:majorUnit val="0.1"/>
      </c:valAx>
      <c:spPr>
        <a:noFill/>
        <a:ln>
          <a:noFill/>
        </a:ln>
        <a:effectLst/>
      </c:spPr>
    </c:plotArea>
    <c:legend>
      <c:legendPos val="b"/>
      <c:layout>
        <c:manualLayout>
          <c:xMode val="edge"/>
          <c:yMode val="edge"/>
          <c:x val="0.10781673763172242"/>
          <c:y val="0.77723188024479828"/>
          <c:w val="0.78436652473655522"/>
          <c:h val="0.19016828275438674"/>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036670842281078"/>
          <c:y val="5.9766367834827493E-2"/>
          <c:w val="0.80805446194225716"/>
          <c:h val="0.56365845467360576"/>
        </c:manualLayout>
      </c:layout>
      <c:barChart>
        <c:barDir val="col"/>
        <c:grouping val="stacked"/>
        <c:varyColors val="0"/>
        <c:ser>
          <c:idx val="0"/>
          <c:order val="0"/>
          <c:tx>
            <c:strRef>
              <c:f>'Garancite  (2)'!$A$30</c:f>
              <c:strCache>
                <c:ptCount val="1"/>
                <c:pt idx="0">
                  <c:v>Garanci të Brendshme</c:v>
                </c:pt>
              </c:strCache>
            </c:strRef>
          </c:tx>
          <c:spPr>
            <a:solidFill>
              <a:schemeClr val="accent1">
                <a:lumMod val="50000"/>
              </a:schemeClr>
            </a:soli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'Garancite  (2)'!$D$26:$I$26</c:f>
              <c:strCache>
                <c:ptCount val="6"/>
                <c:pt idx="0">
                  <c:v>2019</c:v>
                </c:pt>
                <c:pt idx="1">
                  <c:v>2020</c:v>
                </c:pt>
                <c:pt idx="2">
                  <c:v>2021</c:v>
                </c:pt>
                <c:pt idx="3">
                  <c:v>2022</c:v>
                </c:pt>
                <c:pt idx="4">
                  <c:v>2023</c:v>
                </c:pt>
                <c:pt idx="5">
                  <c:v>Shtator 2024</c:v>
                </c:pt>
              </c:strCache>
            </c:strRef>
          </c:cat>
          <c:val>
            <c:numRef>
              <c:f>'Garancite  (2)'!$B$30:$I$30</c:f>
              <c:numCache>
                <c:formatCode>0.0%</c:formatCode>
                <c:ptCount val="6"/>
                <c:pt idx="0">
                  <c:v>0.36208869617296924</c:v>
                </c:pt>
                <c:pt idx="1">
                  <c:v>0.27240236825029696</c:v>
                </c:pt>
                <c:pt idx="2">
                  <c:v>0.42579821992556333</c:v>
                </c:pt>
                <c:pt idx="3">
                  <c:v>0.38059343688307884</c:v>
                </c:pt>
                <c:pt idx="4">
                  <c:v>0.39624101559727998</c:v>
                </c:pt>
                <c:pt idx="5">
                  <c:v>0.40693668040518494</c:v>
                </c:pt>
              </c:numCache>
            </c:numRef>
          </c:val>
          <c:extLst>
            <c:ext xmlns:c16="http://schemas.microsoft.com/office/drawing/2014/chart" uri="{C3380CC4-5D6E-409C-BE32-E72D297353CC}">
              <c16:uniqueId val="{00000000-DBD8-4155-962A-A8369B9303FE}"/>
            </c:ext>
          </c:extLst>
        </c:ser>
        <c:ser>
          <c:idx val="1"/>
          <c:order val="1"/>
          <c:tx>
            <c:strRef>
              <c:f>'Garancite  (2)'!$A$31</c:f>
              <c:strCache>
                <c:ptCount val="1"/>
                <c:pt idx="0">
                  <c:v>Garanci të Huaja</c:v>
                </c:pt>
              </c:strCache>
            </c:strRef>
          </c:tx>
          <c:spPr>
            <a:solidFill>
              <a:schemeClr val="bg1">
                <a:lumMod val="85000"/>
              </a:schemeClr>
            </a:solidFill>
            <a:ln>
              <a:noFill/>
            </a:ln>
            <a:effectLst>
              <a:outerShdw blurRad="40000" dist="23000" dir="5400000" rotWithShape="0">
                <a:srgbClr val="000000">
                  <a:alpha val="35000"/>
                </a:srgbClr>
              </a:outerShdw>
            </a:effectLst>
          </c:spPr>
          <c:invertIfNegative val="0"/>
          <c:dLbls>
            <c:dLbl>
              <c:idx val="0"/>
              <c:layout>
                <c:manualLayout>
                  <c:x val="0"/>
                  <c:y val="9.02255639097743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BD8-4155-962A-A8369B9303FE}"/>
                </c:ext>
              </c:extLst>
            </c:dLbl>
            <c:dLbl>
              <c:idx val="1"/>
              <c:layout>
                <c:manualLayout>
                  <c:x val="0"/>
                  <c:y val="9.52380952380952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BD8-4155-962A-A8369B9303FE}"/>
                </c:ext>
              </c:extLst>
            </c:dLbl>
            <c:dLbl>
              <c:idx val="2"/>
              <c:layout>
                <c:manualLayout>
                  <c:x val="1.984126984126984E-3"/>
                  <c:y val="6.51629072681704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BD8-4155-962A-A8369B9303FE}"/>
                </c:ext>
              </c:extLst>
            </c:dLbl>
            <c:dLbl>
              <c:idx val="3"/>
              <c:layout>
                <c:manualLayout>
                  <c:x val="1.984126984126984E-3"/>
                  <c:y val="9.02255639097744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BD8-4155-962A-A8369B9303FE}"/>
                </c:ext>
              </c:extLst>
            </c:dLbl>
            <c:dLbl>
              <c:idx val="4"/>
              <c:layout>
                <c:manualLayout>
                  <c:x val="5.9523809523808072E-3"/>
                  <c:y val="8.02005012531327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BD8-4155-962A-A8369B9303FE}"/>
                </c:ext>
              </c:extLst>
            </c:dLbl>
            <c:dLbl>
              <c:idx val="5"/>
              <c:layout>
                <c:manualLayout>
                  <c:x val="0"/>
                  <c:y val="0.1152882205513784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BD8-4155-962A-A8369B9303F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'Garancite  (2)'!$D$26:$I$26</c:f>
              <c:strCache>
                <c:ptCount val="6"/>
                <c:pt idx="0">
                  <c:v>2019</c:v>
                </c:pt>
                <c:pt idx="1">
                  <c:v>2020</c:v>
                </c:pt>
                <c:pt idx="2">
                  <c:v>2021</c:v>
                </c:pt>
                <c:pt idx="3">
                  <c:v>2022</c:v>
                </c:pt>
                <c:pt idx="4">
                  <c:v>2023</c:v>
                </c:pt>
                <c:pt idx="5">
                  <c:v>Shtator 2024</c:v>
                </c:pt>
              </c:strCache>
            </c:strRef>
          </c:cat>
          <c:val>
            <c:numRef>
              <c:f>'Garancite  (2)'!$B$31:$I$31</c:f>
              <c:numCache>
                <c:formatCode>0.0%</c:formatCode>
                <c:ptCount val="6"/>
                <c:pt idx="0">
                  <c:v>0.63791130382703076</c:v>
                </c:pt>
                <c:pt idx="1">
                  <c:v>0.72759763174970293</c:v>
                </c:pt>
                <c:pt idx="2">
                  <c:v>0.57420178007443667</c:v>
                </c:pt>
                <c:pt idx="3">
                  <c:v>0.61940656311692111</c:v>
                </c:pt>
                <c:pt idx="4">
                  <c:v>0.60375898440272013</c:v>
                </c:pt>
                <c:pt idx="5">
                  <c:v>0.59306331959481495</c:v>
                </c:pt>
              </c:numCache>
            </c:numRef>
          </c:val>
          <c:extLst>
            <c:ext xmlns:c16="http://schemas.microsoft.com/office/drawing/2014/chart" uri="{C3380CC4-5D6E-409C-BE32-E72D297353CC}">
              <c16:uniqueId val="{00000007-DBD8-4155-962A-A8369B9303FE}"/>
            </c:ext>
          </c:extLst>
        </c:ser>
        <c:dLbls>
          <c:showLegendKey val="0"/>
          <c:showVal val="0"/>
          <c:showCatName val="0"/>
          <c:showSerName val="0"/>
          <c:showPercent val="0"/>
          <c:showBubbleSize val="0"/>
        </c:dLbls>
        <c:gapWidth val="80"/>
        <c:overlap val="100"/>
        <c:axId val="-1247512928"/>
        <c:axId val="-1247516192"/>
      </c:barChart>
      <c:lineChart>
        <c:grouping val="standard"/>
        <c:varyColors val="0"/>
        <c:ser>
          <c:idx val="2"/>
          <c:order val="2"/>
          <c:tx>
            <c:strRef>
              <c:f>'Garancite  (2)'!$A$32</c:f>
              <c:strCache>
                <c:ptCount val="1"/>
                <c:pt idx="0">
                  <c:v>Stoku garancive/stokut të borxhit të qeverisjes qendrore</c:v>
                </c:pt>
              </c:strCache>
            </c:strRef>
          </c:tx>
          <c:spPr>
            <a:ln w="31750" cap="rnd">
              <a:solidFill>
                <a:srgbClr val="C00000"/>
              </a:solidFill>
              <a:round/>
            </a:ln>
            <a:effectLst>
              <a:outerShdw blurRad="40000" dist="23000" dir="5400000" rotWithShape="0">
                <a:srgbClr val="000000">
                  <a:alpha val="35000"/>
                </a:srgbClr>
              </a:outerShdw>
            </a:effectLst>
          </c:spPr>
          <c:marker>
            <c:symbol val="circle"/>
            <c:size val="6"/>
            <c:spPr>
              <a:solidFill>
                <a:srgbClr val="C00000"/>
              </a:solidFill>
              <a:ln w="12700">
                <a:noFill/>
                <a:round/>
              </a:ln>
              <a:effectLst>
                <a:outerShdw blurRad="40000" dist="23000" dir="5400000" rotWithShape="0">
                  <a:srgbClr val="000000">
                    <a:alpha val="35000"/>
                  </a:srgbClr>
                </a:outerShdw>
              </a:effectLst>
            </c:spPr>
          </c:marker>
          <c:dLbls>
            <c:dLbl>
              <c:idx val="0"/>
              <c:layout>
                <c:manualLayout>
                  <c:x val="-1.7857142857142877E-2"/>
                  <c:y val="-4.51127819548872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BD8-4155-962A-A8369B9303FE}"/>
                </c:ext>
              </c:extLst>
            </c:dLbl>
            <c:dLbl>
              <c:idx val="1"/>
              <c:layout>
                <c:manualLayout>
                  <c:x val="-1.7857142857142856E-2"/>
                  <c:y val="-5.01253132832080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BD8-4155-962A-A8369B9303FE}"/>
                </c:ext>
              </c:extLst>
            </c:dLbl>
            <c:dLbl>
              <c:idx val="2"/>
              <c:layout>
                <c:manualLayout>
                  <c:x val="-2.9761904761904833E-2"/>
                  <c:y val="-3.50877192982456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BD8-4155-962A-A8369B9303FE}"/>
                </c:ext>
              </c:extLst>
            </c:dLbl>
            <c:dLbl>
              <c:idx val="3"/>
              <c:layout>
                <c:manualLayout>
                  <c:x val="-2.1825396825396824E-2"/>
                  <c:y val="-3.00751879699248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BD8-4155-962A-A8369B9303FE}"/>
                </c:ext>
              </c:extLst>
            </c:dLbl>
            <c:dLbl>
              <c:idx val="4"/>
              <c:layout>
                <c:manualLayout>
                  <c:x val="-1.7857142857142856E-2"/>
                  <c:y val="-3.00751879699248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DBD8-4155-962A-A8369B9303FE}"/>
                </c:ext>
              </c:extLst>
            </c:dLbl>
            <c:dLbl>
              <c:idx val="5"/>
              <c:layout>
                <c:manualLayout>
                  <c:x val="-2.9761904761904906E-2"/>
                  <c:y val="-7.51879699248120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DBD8-4155-962A-A8369B9303F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'Garancite  (2)'!$D$26:$I$26</c:f>
              <c:strCache>
                <c:ptCount val="6"/>
                <c:pt idx="0">
                  <c:v>2019</c:v>
                </c:pt>
                <c:pt idx="1">
                  <c:v>2020</c:v>
                </c:pt>
                <c:pt idx="2">
                  <c:v>2021</c:v>
                </c:pt>
                <c:pt idx="3">
                  <c:v>2022</c:v>
                </c:pt>
                <c:pt idx="4">
                  <c:v>2023</c:v>
                </c:pt>
                <c:pt idx="5">
                  <c:v>Shtator 2024</c:v>
                </c:pt>
              </c:strCache>
            </c:strRef>
          </c:cat>
          <c:val>
            <c:numRef>
              <c:f>'Garancite  (2)'!$D$32:$I$32</c:f>
              <c:numCache>
                <c:formatCode>0.00%</c:formatCode>
                <c:ptCount val="6"/>
                <c:pt idx="0">
                  <c:v>3.7635909072550759E-2</c:v>
                </c:pt>
                <c:pt idx="1">
                  <c:v>3.9878415187782082E-2</c:v>
                </c:pt>
                <c:pt idx="2">
                  <c:v>3.9704255315403857E-2</c:v>
                </c:pt>
                <c:pt idx="3">
                  <c:v>3.788458576229102E-2</c:v>
                </c:pt>
                <c:pt idx="4">
                  <c:v>3.0334100655090204E-2</c:v>
                </c:pt>
                <c:pt idx="5">
                  <c:v>2.6349938403552872E-2</c:v>
                </c:pt>
              </c:numCache>
            </c:numRef>
          </c:val>
          <c:smooth val="0"/>
          <c:extLst>
            <c:ext xmlns:c16="http://schemas.microsoft.com/office/drawing/2014/chart" uri="{C3380CC4-5D6E-409C-BE32-E72D297353CC}">
              <c16:uniqueId val="{0000000E-DBD8-4155-962A-A8369B9303FE}"/>
            </c:ext>
          </c:extLst>
        </c:ser>
        <c:dLbls>
          <c:showLegendKey val="0"/>
          <c:showVal val="0"/>
          <c:showCatName val="0"/>
          <c:showSerName val="0"/>
          <c:showPercent val="0"/>
          <c:showBubbleSize val="0"/>
        </c:dLbls>
        <c:marker val="1"/>
        <c:smooth val="0"/>
        <c:axId val="-1240768256"/>
        <c:axId val="-1247512384"/>
      </c:lineChart>
      <c:catAx>
        <c:axId val="-124751292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47516192"/>
        <c:crosses val="autoZero"/>
        <c:auto val="1"/>
        <c:lblAlgn val="ctr"/>
        <c:lblOffset val="100"/>
        <c:noMultiLvlLbl val="0"/>
      </c:catAx>
      <c:valAx>
        <c:axId val="-1247516192"/>
        <c:scaling>
          <c:orientation val="minMax"/>
          <c:max val="1"/>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47512928"/>
        <c:crosses val="autoZero"/>
        <c:crossBetween val="between"/>
        <c:majorUnit val="0.2"/>
      </c:valAx>
      <c:valAx>
        <c:axId val="-1247512384"/>
        <c:scaling>
          <c:orientation val="minMax"/>
        </c:scaling>
        <c:delete val="0"/>
        <c:axPos val="r"/>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40768256"/>
        <c:crosses val="max"/>
        <c:crossBetween val="between"/>
        <c:majorUnit val="1.0000000000000002E-2"/>
      </c:valAx>
      <c:catAx>
        <c:axId val="-1240768256"/>
        <c:scaling>
          <c:orientation val="minMax"/>
        </c:scaling>
        <c:delete val="1"/>
        <c:axPos val="b"/>
        <c:numFmt formatCode="General" sourceLinked="1"/>
        <c:majorTickMark val="none"/>
        <c:minorTickMark val="none"/>
        <c:tickLblPos val="nextTo"/>
        <c:crossAx val="-1247512384"/>
        <c:crosses val="autoZero"/>
        <c:auto val="1"/>
        <c:lblAlgn val="ctr"/>
        <c:lblOffset val="100"/>
        <c:noMultiLvlLbl val="0"/>
      </c:catAx>
      <c:spPr>
        <a:noFill/>
        <a:ln>
          <a:noFill/>
        </a:ln>
        <a:effectLst/>
      </c:spPr>
    </c:plotArea>
    <c:legend>
      <c:legendPos val="b"/>
      <c:layout>
        <c:manualLayout>
          <c:xMode val="edge"/>
          <c:yMode val="edge"/>
          <c:x val="3.3394080456924019E-2"/>
          <c:y val="0.81051023878738859"/>
          <c:w val="0.96256161376054405"/>
          <c:h val="0.14059000571138877"/>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1.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Nr_x002e__x0020_akti>
    <Data_x0020_e_x0020_Krijimit xmlns="0e656187-b300-4fb0-8bf4-3a50f872073c">2025-01-23T09:46:56Z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2025-01-22T00:00:00Z</Date_x0020_protokolli>
    <Titulli xmlns="0e656187-b300-4fb0-8bf4-3a50f872073c">Për miratimin e Programit të Reformave Ekonomike (ERP) 2025-2027</Titulli>
    <Modifikuesi xmlns="0e656187-b300-4fb0-8bf4-3a50f872073c">alma.lisaku</Modifikuesi>
    <Nr_x002e__x0020_prot_x0020_QBZ xmlns="0e656187-b300-4fb0-8bf4-3a50f872073c">125</Nr_x002e__x0020_prot_x0020_QBZ>
    <Data_x0020_e_x0020_Modifikimit xmlns="0e656187-b300-4fb0-8bf4-3a50f872073c">2025-01-28T09:33:07Z</Data_x0020_e_x0020_Modifikimit>
    <Dekretuar xmlns="0e656187-b300-4fb0-8bf4-3a50f872073c">false</Dekretuar>
    <Data xmlns="0e656187-b300-4fb0-8bf4-3a50f872073c">2025-01-22T00:00:00Z</Data>
    <Nr_x002e__x0020_protokolli_x0020_i_x0020_aktit xmlns="0e656187-b300-4fb0-8bf4-3a50f872073c">311/2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C64FEAFA6F08417ABDA929E403C22F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64FEAFA6F08417ABDA929E403C22F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CBC4BD-9219-4F9F-9478-8199B919E8CD}">
  <ds:schemaRefs>
    <ds:schemaRef ds:uri="http://www.w3.org/XML/1998/namespace"/>
    <ds:schemaRef ds:uri="http://purl.org/dc/elements/1.1/"/>
    <ds:schemaRef ds:uri="http://purl.org/dc/dcmitype/"/>
    <ds:schemaRef ds:uri="http://purl.org/dc/terms/"/>
    <ds:schemaRef ds:uri="http://schemas.microsoft.com/office/2006/metadata/properties"/>
    <ds:schemaRef ds:uri="http://schemas.microsoft.com/office/2006/documentManagement/types"/>
    <ds:schemaRef ds:uri="0e656187-b300-4fb0-8bf4-3a50f872073c"/>
    <ds:schemaRef ds:uri="http://schemas.openxmlformats.org/package/2006/metadata/core-properties"/>
  </ds:schemaRefs>
</ds:datastoreItem>
</file>

<file path=customXml/itemProps2.xml><?xml version="1.0" encoding="utf-8"?>
<ds:datastoreItem xmlns:ds="http://schemas.openxmlformats.org/officeDocument/2006/customXml" ds:itemID="{F34A678B-F1A1-4E86-B6F8-8C3F0C12B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56DB49C-1AD6-43AD-831C-AA46DB6721E9}">
  <ds:schemaRefs>
    <ds:schemaRef ds:uri="http://schemas.microsoft.com/sharepoint/v3/contenttype/forms"/>
  </ds:schemaRefs>
</ds:datastoreItem>
</file>

<file path=customXml/itemProps4.xml><?xml version="1.0" encoding="utf-8"?>
<ds:datastoreItem xmlns:ds="http://schemas.openxmlformats.org/officeDocument/2006/customXml" ds:itemID="{84B12318-3797-4DEC-AEFE-4687EE6DD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2278B2C-91D4-4F30-805F-C887CE8425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77</Pages>
  <Words>36234</Words>
  <Characters>206536</Characters>
  <Application>Microsoft Office Word</Application>
  <DocSecurity>0</DocSecurity>
  <Lines>1721</Lines>
  <Paragraphs>484</Paragraphs>
  <ScaleCrop>false</ScaleCrop>
  <HeadingPairs>
    <vt:vector size="2" baseType="variant">
      <vt:variant>
        <vt:lpstr>Title</vt:lpstr>
      </vt:variant>
      <vt:variant>
        <vt:i4>1</vt:i4>
      </vt:variant>
    </vt:vector>
  </HeadingPairs>
  <TitlesOfParts>
    <vt:vector size="1" baseType="lpstr">
      <vt:lpstr>Për miratimin e Programit të Reformave Ekonomike (ERP) 2025-2027</vt:lpstr>
    </vt:vector>
  </TitlesOfParts>
  <Company/>
  <LinksUpToDate>false</LinksUpToDate>
  <CharactersWithSpaces>242286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të Reformave Ekonomike (ERP) 2025-2027</dc:title>
  <dc:creator>Elson Caka</dc:creator>
  <cp:lastModifiedBy>Amarilda Muja</cp:lastModifiedBy>
  <cp:revision>674</cp:revision>
  <cp:lastPrinted>2025-01-21T17:53:00Z</cp:lastPrinted>
  <dcterms:created xsi:type="dcterms:W3CDTF">2025-01-23T11:06:00Z</dcterms:created>
  <dcterms:modified xsi:type="dcterms:W3CDTF">2025-01-28T09:20:00Z</dcterms:modified>
</cp:coreProperties>
</file>