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11BDD"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VENDIM</w:t>
      </w:r>
    </w:p>
    <w:p w14:paraId="4386AEEC" w14:textId="54CD30DD"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Nr.</w:t>
      </w:r>
      <w:r w:rsidR="006C770D">
        <w:rPr>
          <w:rFonts w:ascii="Garamond" w:hAnsi="Garamond" w:cs="Times New Roman"/>
          <w:b/>
          <w:bCs/>
          <w:color w:val="000000"/>
          <w:sz w:val="24"/>
          <w:szCs w:val="24"/>
        </w:rPr>
        <w:t xml:space="preserve"> </w:t>
      </w:r>
      <w:r w:rsidRPr="006C770D">
        <w:rPr>
          <w:rFonts w:ascii="Garamond" w:hAnsi="Garamond" w:cs="Times New Roman"/>
          <w:b/>
          <w:bCs/>
          <w:color w:val="000000"/>
          <w:sz w:val="24"/>
          <w:szCs w:val="24"/>
        </w:rPr>
        <w:t>296, datë 28.5.2025</w:t>
      </w:r>
    </w:p>
    <w:p w14:paraId="20F17212"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p>
    <w:p w14:paraId="69B1EA50" w14:textId="21FA5BD0"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PËR PËRCAKTIMIN E RREGULLAVE DHE TË KRITEREVE</w:t>
      </w:r>
      <w:r w:rsidR="006C770D" w:rsidRPr="006C770D">
        <w:rPr>
          <w:rFonts w:ascii="Garamond" w:hAnsi="Garamond" w:cs="Times New Roman"/>
          <w:b/>
          <w:bCs/>
          <w:color w:val="000000"/>
          <w:sz w:val="24"/>
          <w:szCs w:val="24"/>
        </w:rPr>
        <w:t xml:space="preserve"> </w:t>
      </w:r>
      <w:r w:rsidRPr="006C770D">
        <w:rPr>
          <w:rFonts w:ascii="Garamond" w:hAnsi="Garamond" w:cs="Times New Roman"/>
          <w:b/>
          <w:bCs/>
          <w:color w:val="000000"/>
          <w:sz w:val="24"/>
          <w:szCs w:val="24"/>
        </w:rPr>
        <w:t>PËR ADMINISTRIMIN E FONDIT TË VEÇANTË TË BUXHETIT TË POLICISË SË SHTETIT</w:t>
      </w:r>
    </w:p>
    <w:p w14:paraId="6976EDBB"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p>
    <w:p w14:paraId="128B03A4" w14:textId="5ED862F4"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Në mbështetje të nenit 100 të Kushtetutës dhe të pikës 2, të nenit 138, të ligjit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82/2024, “Për Policinë e Shtetit”, me propozimin e ministrit të Brendshëm, Këshilli i Ministrave</w:t>
      </w:r>
    </w:p>
    <w:p w14:paraId="7A1762D9"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p>
    <w:p w14:paraId="6E38087A"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VENDOSI:</w:t>
      </w:r>
    </w:p>
    <w:p w14:paraId="76AA3504"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AC0CEAA" w14:textId="45846F96" w:rsidR="00AA0D75" w:rsidRPr="006C770D" w:rsidRDefault="00AA0D75" w:rsidP="0004504C">
      <w:pPr>
        <w:tabs>
          <w:tab w:val="left" w:pos="1160"/>
        </w:tabs>
        <w:autoSpaceDE w:val="0"/>
        <w:autoSpaceDN w:val="0"/>
        <w:adjustRightInd w:val="0"/>
        <w:spacing w:after="0" w:line="240" w:lineRule="auto"/>
        <w:ind w:firstLine="284"/>
        <w:jc w:val="center"/>
        <w:rPr>
          <w:rFonts w:ascii="Garamond" w:hAnsi="Garamond" w:cs="Times New Roman"/>
          <w:color w:val="000000"/>
          <w:sz w:val="24"/>
          <w:szCs w:val="24"/>
        </w:rPr>
      </w:pPr>
      <w:r w:rsidRPr="006C770D">
        <w:rPr>
          <w:rFonts w:ascii="Garamond" w:hAnsi="Garamond" w:cs="Times New Roman"/>
          <w:color w:val="000000"/>
          <w:sz w:val="24"/>
          <w:szCs w:val="24"/>
        </w:rPr>
        <w:t>I. TË PËRGJITHSHME</w:t>
      </w:r>
    </w:p>
    <w:p w14:paraId="51C54578"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806F439"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1</w:t>
      </w:r>
    </w:p>
    <w:p w14:paraId="5DD3EA33"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Objekti</w:t>
      </w:r>
    </w:p>
    <w:p w14:paraId="25CC88E9"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i/>
          <w:iCs/>
          <w:color w:val="000000"/>
          <w:sz w:val="24"/>
          <w:szCs w:val="24"/>
        </w:rPr>
      </w:pPr>
    </w:p>
    <w:p w14:paraId="32AD1914" w14:textId="77777777" w:rsidR="00AA0D75" w:rsidRPr="006C770D" w:rsidRDefault="00AA0D75" w:rsidP="00A4563E">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Ky vendim ka si objekt përcaktimin e rregullave e të kritereve për administrimin e fondit të veçantë të buxhetit të Policisë së Shtetit nga drejtuesi i njësisë shpenzuese. </w:t>
      </w:r>
    </w:p>
    <w:p w14:paraId="35A7E437" w14:textId="77777777" w:rsidR="00AA0D75" w:rsidRPr="006C770D" w:rsidRDefault="00AA0D75" w:rsidP="00A4563E">
      <w:pPr>
        <w:tabs>
          <w:tab w:val="left" w:pos="1160"/>
        </w:tabs>
        <w:autoSpaceDE w:val="0"/>
        <w:autoSpaceDN w:val="0"/>
        <w:adjustRightInd w:val="0"/>
        <w:spacing w:after="0" w:line="240" w:lineRule="auto"/>
        <w:ind w:firstLine="284"/>
        <w:rPr>
          <w:rFonts w:ascii="Garamond" w:hAnsi="Garamond" w:cs="Times New Roman"/>
          <w:b/>
          <w:bCs/>
          <w:color w:val="000000"/>
          <w:sz w:val="24"/>
          <w:szCs w:val="24"/>
        </w:rPr>
      </w:pPr>
    </w:p>
    <w:p w14:paraId="04EAE48E"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2</w:t>
      </w:r>
    </w:p>
    <w:p w14:paraId="424ED581"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Fondi i veçantë</w:t>
      </w:r>
    </w:p>
    <w:p w14:paraId="65619F5C" w14:textId="77777777" w:rsidR="00AA0D75" w:rsidRPr="006C770D" w:rsidRDefault="00AA0D75" w:rsidP="00A4563E">
      <w:pPr>
        <w:tabs>
          <w:tab w:val="left" w:pos="11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D2B8308" w14:textId="528A7A6A" w:rsidR="00AA0D75" w:rsidRPr="006C770D" w:rsidRDefault="00AA0D75" w:rsidP="00A4563E">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Drejtori i </w:t>
      </w:r>
      <w:r w:rsidR="000C00FD" w:rsidRPr="006C770D">
        <w:rPr>
          <w:rFonts w:ascii="Garamond" w:hAnsi="Garamond" w:cs="Times New Roman"/>
          <w:color w:val="000000"/>
          <w:sz w:val="24"/>
          <w:szCs w:val="24"/>
        </w:rPr>
        <w:t xml:space="preserve">përgjithshëm </w:t>
      </w:r>
      <w:r w:rsidRPr="006C770D">
        <w:rPr>
          <w:rFonts w:ascii="Garamond" w:hAnsi="Garamond" w:cs="Times New Roman"/>
          <w:color w:val="000000"/>
          <w:sz w:val="24"/>
          <w:szCs w:val="24"/>
        </w:rPr>
        <w:t>i Policisë së Shtetit ndan fondin e veçantë, i cili është në maksimum sa 1% e buxhetit vjetor të Policisë së Shtetit, sipas nevojave që kanë strukturat qendrore dhe vendore të Policisë së Shtetit.</w:t>
      </w:r>
    </w:p>
    <w:p w14:paraId="394EB85A" w14:textId="77777777" w:rsidR="00AA0D75" w:rsidRPr="006C770D" w:rsidRDefault="00AA0D75" w:rsidP="00A4563E">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p>
    <w:p w14:paraId="1C0324A5"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3</w:t>
      </w:r>
    </w:p>
    <w:p w14:paraId="3FA1A083" w14:textId="77777777" w:rsidR="00AA0D75" w:rsidRPr="006C770D" w:rsidRDefault="00AA0D75" w:rsidP="00A4563E">
      <w:pPr>
        <w:tabs>
          <w:tab w:val="left" w:pos="34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Përdorimi i fondit të ve</w:t>
      </w:r>
      <w:r w:rsidRPr="006C770D">
        <w:rPr>
          <w:rFonts w:ascii="Garamond" w:hAnsi="Garamond" w:cs="Times New Roman"/>
          <w:color w:val="000000"/>
          <w:sz w:val="24"/>
          <w:szCs w:val="24"/>
        </w:rPr>
        <w:t>ç</w:t>
      </w:r>
      <w:r w:rsidRPr="006C770D">
        <w:rPr>
          <w:rFonts w:ascii="Garamond" w:hAnsi="Garamond" w:cs="Times New Roman"/>
          <w:b/>
          <w:bCs/>
          <w:color w:val="000000"/>
          <w:sz w:val="24"/>
          <w:szCs w:val="24"/>
        </w:rPr>
        <w:t>antë</w:t>
      </w:r>
    </w:p>
    <w:p w14:paraId="3697A1E0" w14:textId="77777777" w:rsidR="00AA0D75" w:rsidRPr="006C770D" w:rsidRDefault="00AA0D75" w:rsidP="00A4563E">
      <w:pPr>
        <w:tabs>
          <w:tab w:val="left" w:pos="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229D182" w14:textId="067AA87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Policia e Shtetit përdor fondin e veçantë</w:t>
      </w:r>
      <w:r w:rsidR="006202B8">
        <w:rPr>
          <w:rFonts w:ascii="Garamond" w:hAnsi="Garamond" w:cs="Times New Roman"/>
          <w:color w:val="000000"/>
          <w:sz w:val="24"/>
          <w:szCs w:val="24"/>
        </w:rPr>
        <w:t>,</w:t>
      </w:r>
      <w:r w:rsidRPr="006C770D">
        <w:rPr>
          <w:rFonts w:ascii="Garamond" w:hAnsi="Garamond" w:cs="Times New Roman"/>
          <w:color w:val="000000"/>
          <w:sz w:val="24"/>
          <w:szCs w:val="24"/>
        </w:rPr>
        <w:t xml:space="preserve"> sipas përcaktimeve të pikës 1, të nenit 138, të ligjit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82/2024, “Për Policinë e Shtetit”.</w:t>
      </w:r>
    </w:p>
    <w:p w14:paraId="37DE2643"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Pagesat jepen pas realizimit të veprimit policor konkret dhe marrjes së rezultatit ose në bazë të një planifikimi paraprak për realizimin e aktiviteteve policore ku parashikohen shpenzime operacionale.</w:t>
      </w:r>
    </w:p>
    <w:p w14:paraId="114085B0"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Ndalohet dhënia e shpërblimeve më shumë se një herë, të njëjtit burim, për të njëjtin rezultat konkret.</w:t>
      </w:r>
    </w:p>
    <w:p w14:paraId="303BCE30" w14:textId="683A0060" w:rsidR="00AA0D75" w:rsidRPr="006C770D" w:rsidRDefault="00AA0D75" w:rsidP="0004504C">
      <w:pPr>
        <w:tabs>
          <w:tab w:val="left" w:pos="1480"/>
        </w:tabs>
        <w:autoSpaceDE w:val="0"/>
        <w:autoSpaceDN w:val="0"/>
        <w:adjustRightInd w:val="0"/>
        <w:spacing w:after="0" w:line="240" w:lineRule="auto"/>
        <w:ind w:firstLine="284"/>
        <w:jc w:val="center"/>
        <w:rPr>
          <w:rFonts w:ascii="Garamond" w:hAnsi="Garamond" w:cs="Times New Roman"/>
          <w:color w:val="000000"/>
          <w:sz w:val="24"/>
          <w:szCs w:val="24"/>
        </w:rPr>
      </w:pPr>
      <w:r w:rsidRPr="006C770D">
        <w:rPr>
          <w:rFonts w:ascii="Garamond" w:hAnsi="Garamond" w:cs="Times New Roman"/>
          <w:color w:val="000000"/>
          <w:sz w:val="24"/>
          <w:szCs w:val="24"/>
        </w:rPr>
        <w:t>II. RREGULLAT DHE KRITERET E ADMINISTRIMIT TË FONDIT</w:t>
      </w:r>
      <w:r w:rsidR="006C770D" w:rsidRPr="006C770D">
        <w:rPr>
          <w:rFonts w:ascii="Garamond" w:hAnsi="Garamond" w:cs="Times New Roman"/>
          <w:color w:val="000000"/>
          <w:sz w:val="24"/>
          <w:szCs w:val="24"/>
        </w:rPr>
        <w:t xml:space="preserve"> </w:t>
      </w:r>
      <w:r w:rsidRPr="006C770D">
        <w:rPr>
          <w:rFonts w:ascii="Garamond" w:hAnsi="Garamond" w:cs="Times New Roman"/>
          <w:color w:val="000000"/>
          <w:sz w:val="24"/>
          <w:szCs w:val="24"/>
        </w:rPr>
        <w:t>TË VEÇANTË</w:t>
      </w:r>
    </w:p>
    <w:p w14:paraId="0161CA34" w14:textId="77777777" w:rsidR="00AA0D75" w:rsidRPr="006C770D" w:rsidRDefault="00AA0D75" w:rsidP="0004504C">
      <w:pPr>
        <w:tabs>
          <w:tab w:val="left" w:pos="4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F96DA4D" w14:textId="77777777" w:rsidR="00AA0D75" w:rsidRPr="006C770D" w:rsidRDefault="00AA0D75" w:rsidP="00A4563E">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4</w:t>
      </w:r>
    </w:p>
    <w:p w14:paraId="7941724B" w14:textId="77777777" w:rsidR="00AA0D75" w:rsidRPr="006C770D" w:rsidRDefault="00AA0D75" w:rsidP="00A4563E">
      <w:pPr>
        <w:tabs>
          <w:tab w:val="left" w:pos="46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Detyrat dhe përgjegjësitë e autoriteteve</w:t>
      </w:r>
    </w:p>
    <w:p w14:paraId="5ECAA709" w14:textId="77777777" w:rsidR="00AA0D75" w:rsidRPr="006C770D" w:rsidRDefault="00AA0D75" w:rsidP="00A4563E">
      <w:pPr>
        <w:tabs>
          <w:tab w:val="left" w:pos="4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F76E933" w14:textId="5E80DA24"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1. Shefi i Komisariatit të Policisë autorizon përdorimin deri në 100 000 (njëqind mijë) lekë ose vlerën ekuivalente në valutë.</w:t>
      </w:r>
    </w:p>
    <w:p w14:paraId="4FBCD4AD" w14:textId="1F0AD746"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2. Zëvendësdrejtori për Hetimin e Krimeve/për Sigurinë Publike</w:t>
      </w:r>
      <w:r w:rsidR="00D8799A">
        <w:rPr>
          <w:rFonts w:ascii="Garamond" w:hAnsi="Garamond" w:cs="Times New Roman"/>
          <w:color w:val="000000"/>
          <w:sz w:val="24"/>
          <w:szCs w:val="24"/>
        </w:rPr>
        <w:t>,</w:t>
      </w:r>
      <w:r w:rsidRPr="006C770D">
        <w:rPr>
          <w:rFonts w:ascii="Garamond" w:hAnsi="Garamond" w:cs="Times New Roman"/>
          <w:color w:val="000000"/>
          <w:sz w:val="24"/>
          <w:szCs w:val="24"/>
        </w:rPr>
        <w:t xml:space="preserve"> në Drejtorinë Vendore të Policisë, autorizon përdorimin deri në 200 000 (dyqind mijë) lekë ose vlerën ekuivalente në valutë.</w:t>
      </w:r>
    </w:p>
    <w:p w14:paraId="6A396A2B" w14:textId="203A6E46"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3. Drejtori i strukturës vendore të policisë/drejtuesi i sektorit për hetimin e krimeve në drejtorinë qendrore dhe drejtuesi i sektorit dhe zëvendësdrejtor në Drejtorinë e Antiterrorit autorizojnë përdorimin deri në 500 000 (pesëqind mijë) lekë ose vlerën ekuivalente në valutë.</w:t>
      </w:r>
    </w:p>
    <w:p w14:paraId="2F708FD7" w14:textId="7A8D6FE6"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lastRenderedPageBreak/>
        <w:t>4. Drejtori i Strukturës Qendrore për Hetimin e Krimeve</w:t>
      </w:r>
      <w:r w:rsidR="00D8799A">
        <w:rPr>
          <w:rFonts w:ascii="Garamond" w:hAnsi="Garamond" w:cs="Times New Roman"/>
          <w:color w:val="000000"/>
          <w:sz w:val="24"/>
          <w:szCs w:val="24"/>
        </w:rPr>
        <w:t>,</w:t>
      </w:r>
      <w:r w:rsidRPr="006C770D">
        <w:rPr>
          <w:rFonts w:ascii="Garamond" w:hAnsi="Garamond" w:cs="Times New Roman"/>
          <w:color w:val="000000"/>
          <w:sz w:val="24"/>
          <w:szCs w:val="24"/>
        </w:rPr>
        <w:t xml:space="preserve"> në Drejtorinë e Përgjithshme të Policisë së Shtetit, autorizon përdorimin deri në 1 000 000 (një milion) lekë ose vlerën ekuivalente në valutë.</w:t>
      </w:r>
    </w:p>
    <w:p w14:paraId="34A4EE1D" w14:textId="09293974"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5. Drejtori i Departamentit të Policisë Kriminale, drejtori i Departamentit për Sigurinë Publike dhe drejtori i Drejtorisë së Antiterrorit autorizojnë përdorimin e deri në 5 000 000 (pesë milionë) lekë ose vlerën ekuivalente në valutë.</w:t>
      </w:r>
    </w:p>
    <w:p w14:paraId="27886D3B" w14:textId="4B211A61"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6. Drejtori i </w:t>
      </w:r>
      <w:r w:rsidR="000C00FD" w:rsidRPr="006C770D">
        <w:rPr>
          <w:rFonts w:ascii="Garamond" w:hAnsi="Garamond" w:cs="Times New Roman"/>
          <w:color w:val="000000"/>
          <w:sz w:val="24"/>
          <w:szCs w:val="24"/>
        </w:rPr>
        <w:t xml:space="preserve">përgjithshëm </w:t>
      </w:r>
      <w:r w:rsidRPr="006C770D">
        <w:rPr>
          <w:rFonts w:ascii="Garamond" w:hAnsi="Garamond" w:cs="Times New Roman"/>
          <w:color w:val="000000"/>
          <w:sz w:val="24"/>
          <w:szCs w:val="24"/>
        </w:rPr>
        <w:t>i Policisë së Shtetit autorizon përdorimin e mbi</w:t>
      </w:r>
      <w:r w:rsidR="006C770D" w:rsidRPr="006C770D">
        <w:rPr>
          <w:rFonts w:ascii="Garamond" w:hAnsi="Garamond" w:cs="Times New Roman"/>
          <w:color w:val="000000"/>
          <w:sz w:val="24"/>
          <w:szCs w:val="24"/>
        </w:rPr>
        <w:t xml:space="preserve"> </w:t>
      </w:r>
      <w:r w:rsidRPr="006C770D">
        <w:rPr>
          <w:rFonts w:ascii="Garamond" w:hAnsi="Garamond" w:cs="Times New Roman"/>
          <w:color w:val="000000"/>
          <w:sz w:val="24"/>
          <w:szCs w:val="24"/>
        </w:rPr>
        <w:t>5 000 000 (pesë milionë) lekë ose vlerën ekuivalente në valutë.</w:t>
      </w:r>
    </w:p>
    <w:p w14:paraId="3EF21B52" w14:textId="1EACC534"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7. Nuk mund të autorizohet përdorimi i fondit të veçantë përtej fondit limit të përcaktuar në buxhetin për strukturën policore përkatëse. Në rastet kur nevojat janë përtej fondit limit të përcaktuar, kërkohet miratim nga eprori që ka kompetencë dhënien e autorizimit të përdorimit ose shtesë buxheti në fondin e veçantë.</w:t>
      </w:r>
    </w:p>
    <w:p w14:paraId="690EDE78" w14:textId="1F4921EB"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8. Në rastet kur strukturë autorizuese sipas këtij neni nuk është drejtuesi i njësisë shpenzuese, në çdo rast kërkohet miratimi i këtij të fundit.</w:t>
      </w:r>
    </w:p>
    <w:p w14:paraId="26D3A5B3" w14:textId="4940D1A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9. Kur gjatë përdorimit të fondit të veçantë, dinamika kërkon fonde të tjera, përtej atyre të miratuara, autorizohen fonde shtesë, me kusht që shuma e të gjitha rasteve të miratuara për përdorim të fondit të veçantë të mos kapërcejë kompetencën e autoritetit policor që jep autorizimin e përdorimit.</w:t>
      </w:r>
    </w:p>
    <w:p w14:paraId="20887A34" w14:textId="77777777"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p>
    <w:p w14:paraId="2EC4DCE1"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5</w:t>
      </w:r>
    </w:p>
    <w:p w14:paraId="515A8239"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Procedura e planifikimit të fondit të veçantë</w:t>
      </w:r>
    </w:p>
    <w:p w14:paraId="1842A06C"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p>
    <w:p w14:paraId="4F110F4C"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Planifikimi i fondit të veçantë kryhet, si më poshtë vijon:</w:t>
      </w:r>
    </w:p>
    <w:p w14:paraId="6B2F8967" w14:textId="65B835D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1. Brenda tremujorit të parë të vitit, drejtoritë qendrore për hetimin e krimeve, drejtoritë vendore të policisë dhe komisariatet e policisë, si dhe Drejtoria e Antiterrorit dërgojnë në sektorin e arkivit kriminal, në Drejtorinë e Inteligjencës dhe Arkivit Kriminal, në Departamentin e Policisë Kriminale, në Drejtorinë e Përgjithshme të Policisë së Shtetit, kërkesat për t’u buxhetuar me fond të veçantë për vitin pasardhës, duke i ndarë në tremujorë.</w:t>
      </w:r>
    </w:p>
    <w:p w14:paraId="209C1547" w14:textId="336EA849"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2. Brenda afatit të përgatitjes së projektbuxhetit të Policisë së Shtetit (PBA) për vitin pasardhës, sektori i arkivit kriminal, në Drejtorinë e Inteligjencës dhe Arkivit Kriminal, në Departamentin e Policisë Kriminale, në Drejtorinë e Përgjithshme të Policisë së Shtetit, bazuar në kërkesat e strukturave, përgatit të ndarë në tremujorë parashikimin e buxhetimit me fond të veçantë për vitin pasardhës dhe e dërgon në Drejtorinë e Financave, në Drejtorinë e Përgjithshme të Policisë së Shtetit, për procedurë.</w:t>
      </w:r>
    </w:p>
    <w:p w14:paraId="6CDC45F7" w14:textId="625516C1"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3. Pas miratimit të fondit të veçantë, Drejtoria e Financave, në Drejtorinë e Përgjithshme të Policisë së Shtetit, në fillim të vitit buxhetor dërgon planin e përdorimit sipas përkatësisë.</w:t>
      </w:r>
    </w:p>
    <w:p w14:paraId="7A43D6EB" w14:textId="1E06E989"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4. Pjesë e buxhetimit në fondin e veçantë është edhe shuma prej 10 000 000 (dhjetë milionë) lekësh, që mbahet gjendje në mënyrë të vazhdueshme në sektorin e financave për aparatin e Drejtorisë së Përgjithshme të Policisë së Shtetit.</w:t>
      </w:r>
    </w:p>
    <w:p w14:paraId="5FF292AA" w14:textId="6E6FE81A"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5. Llogaria e fondit të veçantë në strukturat vendore të policisë mbahet nga sektori/seksioni i financave, ndërsa, në nivel qendror, nga sektori i financave për aparatin e Drejtorisë së Përgjithshme të Policisë së Shtetit.</w:t>
      </w:r>
    </w:p>
    <w:p w14:paraId="05637CEF" w14:textId="62E8584C"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6. Në rastin e situatave të rënduara kriminale dhe/ose për realizimin e operacioneve të veçanta policore të paplanifikuara, kur mjetet financiare në dispozicion janë shpenzuar apo nuk mjaftojnë, </w:t>
      </w:r>
      <w:r w:rsidR="000C00FD" w:rsidRPr="006C770D">
        <w:rPr>
          <w:rFonts w:ascii="Garamond" w:hAnsi="Garamond" w:cs="Times New Roman"/>
          <w:color w:val="000000"/>
          <w:sz w:val="24"/>
          <w:szCs w:val="24"/>
        </w:rPr>
        <w:t xml:space="preserve">drejtori i përgjithshëm </w:t>
      </w:r>
      <w:r w:rsidRPr="006C770D">
        <w:rPr>
          <w:rFonts w:ascii="Garamond" w:hAnsi="Garamond" w:cs="Times New Roman"/>
          <w:color w:val="000000"/>
          <w:sz w:val="24"/>
          <w:szCs w:val="24"/>
        </w:rPr>
        <w:t>i Policisë së Shtetit i propozon ministrit të Brendshëm buxhet shtesë për fondin e veçantë, pa tejkaluar, në çdo rast, kufirin prej 1% të buxhetit vjetor të Policisë së Shtetit.</w:t>
      </w:r>
    </w:p>
    <w:p w14:paraId="54BC9073" w14:textId="77777777"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p>
    <w:p w14:paraId="60FE6B62" w14:textId="77777777" w:rsidR="00AA0D75" w:rsidRPr="006C770D" w:rsidRDefault="00AA0D75" w:rsidP="00A4563E">
      <w:pPr>
        <w:tabs>
          <w:tab w:val="left" w:pos="660"/>
        </w:tabs>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6</w:t>
      </w:r>
    </w:p>
    <w:p w14:paraId="1B6A861D" w14:textId="77777777" w:rsidR="00AA0D75" w:rsidRPr="006C770D" w:rsidRDefault="00AA0D75" w:rsidP="00A4563E">
      <w:pPr>
        <w:tabs>
          <w:tab w:val="left" w:pos="66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Dokumentet që përpilohen për përdorimin e fondit të veçantë</w:t>
      </w:r>
    </w:p>
    <w:p w14:paraId="60A7D582" w14:textId="77777777" w:rsidR="00AA0D75" w:rsidRPr="006C770D" w:rsidRDefault="00AA0D75" w:rsidP="00A4563E">
      <w:pPr>
        <w:tabs>
          <w:tab w:val="left" w:pos="660"/>
        </w:tabs>
        <w:autoSpaceDE w:val="0"/>
        <w:autoSpaceDN w:val="0"/>
        <w:adjustRightInd w:val="0"/>
        <w:spacing w:after="0" w:line="240" w:lineRule="auto"/>
        <w:ind w:firstLine="284"/>
        <w:jc w:val="center"/>
        <w:rPr>
          <w:rFonts w:ascii="Garamond" w:hAnsi="Garamond" w:cs="Times New Roman"/>
          <w:color w:val="000000"/>
          <w:sz w:val="24"/>
          <w:szCs w:val="24"/>
        </w:rPr>
      </w:pPr>
    </w:p>
    <w:p w14:paraId="21B6C74D" w14:textId="77777777" w:rsidR="00AA0D75" w:rsidRPr="006C770D" w:rsidRDefault="00AA0D75" w:rsidP="00A4563E">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Dokumentet që përpilohen për përdorimin e fondit të veçantë janë:</w:t>
      </w:r>
    </w:p>
    <w:p w14:paraId="71A63012" w14:textId="02455EEF"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lastRenderedPageBreak/>
        <w:t>1. Vendimi për përdorimin e fondit të veçantë:</w:t>
      </w:r>
    </w:p>
    <w:p w14:paraId="00E42865" w14:textId="51B12C30"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 që përpilohet nga specialisti i policisë për krimet/hetimin e krimeve, në drejtoritë qendrore apo drejtoritë vendore e komisariatet e policisë, i cili do të realizojë veprimin konkret policor. Vendimi miratohet nga eprori në linjë vertikale sipas hierarkisë, por, në çdo rast, duke respektuar funksionin që ka të drejtë të autorizojë përdorimin e shumës konkrete të fondit të veçantë;</w:t>
      </w:r>
    </w:p>
    <w:p w14:paraId="4BEE64FC" w14:textId="31177AC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b) për shpërblimin e informatorit që përmban numrin kodik të informatorit, arsyen e shpërblimit, dosjen ku administrohet e dhëna/informata, rezultatin e arritur, shumën e parave;</w:t>
      </w:r>
    </w:p>
    <w:p w14:paraId="13A4FD87" w14:textId="315CA0E9"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c) për shpërblimin e burimit konfidencial, burimit të veçantë dhe personit që i përgjigjet thirrjes së policisë për informacion/ndihmë, që përmban gjenealitetet e plota dhe adresën, dosjen ku administrohet informacioni, arsyen e shpërblimit, rezultatin e arritur, shumën e parave;</w:t>
      </w:r>
    </w:p>
    <w:p w14:paraId="3B9EEB27" w14:textId="308EA63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Vendimi për shpërblim përpilohet në një kopje të vetme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1, bashkëlidhur këtij vendimi, i cili protokollohet dhe administrohet në seksionin/sektorin e arkivit kriminal.</w:t>
      </w:r>
    </w:p>
    <w:p w14:paraId="2BF454A8" w14:textId="2983638B"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2. Vendimi për pagesat që kryhen nga fondi i veçantë,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2 bashkëlidhur këtij vendimi, që duhet të përmbajë:</w:t>
      </w:r>
    </w:p>
    <w:p w14:paraId="29752FF5" w14:textId="54CE67D8"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 situatën kriminale dhe rezultatin që synohet të arrihet;</w:t>
      </w:r>
    </w:p>
    <w:p w14:paraId="0FBDA0A0" w14:textId="061D2F44"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b) qëllimin e shpenzimeve;</w:t>
      </w:r>
    </w:p>
    <w:p w14:paraId="78C7CCB3" w14:textId="4201AF9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c) numrin dhe datën e procedimit penal, si dhe numrin e datën e autorizimit të prokurorit, për rastet e përcaktuara në Kodin e Procedurës Penale, kur ka procedim penal të regjistruar;</w:t>
      </w:r>
    </w:p>
    <w:p w14:paraId="2404E02C" w14:textId="0230571B" w:rsidR="00AA0D75" w:rsidRPr="006C770D" w:rsidRDefault="006C770D"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 </w:t>
      </w:r>
      <w:r w:rsidR="00AA0D75" w:rsidRPr="006C770D">
        <w:rPr>
          <w:rFonts w:ascii="Garamond" w:hAnsi="Garamond" w:cs="Times New Roman"/>
          <w:color w:val="000000"/>
          <w:sz w:val="24"/>
          <w:szCs w:val="24"/>
        </w:rPr>
        <w:t xml:space="preserve">ç) sasinë e parave që do të shpenzohen për ushqim, fjetje, transport, karburant, ndërlidhje, qiramarrje mjedisi/ambienti/automjeti, si dhe shpenzime të tjera në funksion të realizimit të detyrave funksionale të punonjësit, me qëllim arritjen e rezultatit që synohet. </w:t>
      </w:r>
    </w:p>
    <w:p w14:paraId="6A18B63F" w14:textId="43B66256"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d) dosjen apo fashikullin ku administrohet praktika shkresore për zhvillimin e operacionit të veçantë policor.</w:t>
      </w:r>
    </w:p>
    <w:p w14:paraId="51148CEA"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Shpenzimet e kryera sipas shkronjës “ç” justifikohen me dokumentet përkatëse, që i bashkëlidhen dëftesës së pagimit. Në pamundësi për t’i siguruar këto dokumente, drejtuesi i operacionit të veçantë policor vërteton shpenzimet e kryera në relacionin shpjegues.</w:t>
      </w:r>
    </w:p>
    <w:p w14:paraId="1C6EDAC8"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Vendimi për pagesë përpilohet në një kopje të vetme, i cili protokollohet dhe administrohet në seksionin/sektorin e arkivit kriminal.</w:t>
      </w:r>
    </w:p>
    <w:p w14:paraId="1FADE92C" w14:textId="6B8C245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3. Urdhërpagimi, që shërben për të realizuar tërheqjen e shumës së parave,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3, bashkëlidhur këtij vendimi,:</w:t>
      </w:r>
    </w:p>
    <w:p w14:paraId="6B85BD02" w14:textId="02191B1B"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 përpilohet në dy kopje, nga të cilat njëra qëndron në sektorin/seksionin e financave dhe tjetra i bashkëlidhet vendimit për pagesë;</w:t>
      </w:r>
    </w:p>
    <w:p w14:paraId="04B0ED17" w14:textId="41DB84C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b) plotësohet nga specialisti për krimet/hetimin e krimeve, firmoset nga eprorët sipas shkallës hierarkike dhe urdhërdhënësi, merr numrin e protokollit të vendimit për pagesë dhe vuloset në sekretari/protokollin e strukturës policore përkatëse;</w:t>
      </w:r>
    </w:p>
    <w:p w14:paraId="12844C79" w14:textId="2AA281BD"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c) nënshkruhet edhe nga shefi i sektorit/seksionit të financave, përpara se të kryhen veprimet me arkën.</w:t>
      </w:r>
    </w:p>
    <w:p w14:paraId="72076B36" w14:textId="7A5BD215"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4. Dëftesa e pagimit, që është dokumenti që shërben për pasqyrimin e veprimit të marrjes së parave nga personi, i cili trajtohet financiarisht nga fondi i veçantë,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4, bashkëlidhur këtij vendimi, si më poshtë vijon:</w:t>
      </w:r>
    </w:p>
    <w:p w14:paraId="670F4AB1" w14:textId="443AEF2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 Dëftesa e pagimit të shpenzimeve për kryerjen e operacioneve të veçanta policore nënshkruhet nga specialisti i policisë për hetimin e krimeve që ka përgjegjësinë për realizimin e veprimit policor dhe eprori i drejtpërdrejtë.</w:t>
      </w:r>
    </w:p>
    <w:p w14:paraId="50B166EE" w14:textId="064834E6"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b) Në mungesë të eprorit të drejtpërdrejtë, dëftesa e pagimit nënshkruhet nga një epror në shkallë më të lartë hierarkike, brenda strukturës ku bën pjesë specialisti i policisë që kryen veprimin policor.</w:t>
      </w:r>
    </w:p>
    <w:p w14:paraId="40C69140" w14:textId="05C6EAA6"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c) Dëftesa e pagimit për shpërblim të burimeve të informacionit nënshkruhet nga personi konkret që trajtohet nga fondi i veçantë, specialisti i policisë i ngarkuar për të kryer veprimin, eprori i drejtpërdrejtë apo punonjësi i autorizuar që asiston veprimin.</w:t>
      </w:r>
    </w:p>
    <w:p w14:paraId="1CBF2775" w14:textId="3D071C15"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ç) Përjashtimisht, në rastet kur personi, që trajtohet nga fondi i veçantë, është informator i regjistruar, ky i fundit vendos në dëftesën e pagimit</w:t>
      </w:r>
      <w:r w:rsidR="006C770D" w:rsidRPr="006C770D">
        <w:rPr>
          <w:rFonts w:ascii="Garamond" w:hAnsi="Garamond" w:cs="Times New Roman"/>
          <w:color w:val="000000"/>
          <w:sz w:val="24"/>
          <w:szCs w:val="24"/>
        </w:rPr>
        <w:t xml:space="preserve"> </w:t>
      </w:r>
      <w:r w:rsidRPr="006C770D">
        <w:rPr>
          <w:rFonts w:ascii="Garamond" w:hAnsi="Garamond" w:cs="Times New Roman"/>
          <w:color w:val="000000"/>
          <w:sz w:val="24"/>
          <w:szCs w:val="24"/>
        </w:rPr>
        <w:t>numrin kodik dhe firmos.</w:t>
      </w:r>
    </w:p>
    <w:p w14:paraId="6C5979DC" w14:textId="4B5DA190"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lastRenderedPageBreak/>
        <w:t>d) Në rastet e shpërblimit të burimeve të informacionit deri në shumën 30 000 (tridhjetë mijë) lekë, dëftesa e pagimit nënshkruhet nga personi konkret që trajtohet nga fondi i veçantë dhe specialisti i policisë i ngarkuar për të kryer veprimin.</w:t>
      </w:r>
    </w:p>
    <w:p w14:paraId="3FA4DC44"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dh) Në rastet vijuese të shpërblimit të të njëjtit burim të informacionit, dëftesa e pagimit nënshkruhet nga personi konkret që trajtohet nga fondi i veçantë, specialisti i policisë i ngarkuar për të kryer veprimin dhe punonjësi i autorizuar prej urdhërdhënësit për përdorimin e fondit të veçantë.</w:t>
      </w:r>
    </w:p>
    <w:p w14:paraId="32A2F38C" w14:textId="347E6D60"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e) Dëftesa e pagimit plotësohet në një kopje dhe i bashkëlidhet vendimit për pagesë.</w:t>
      </w:r>
    </w:p>
    <w:p w14:paraId="55813362" w14:textId="2F9768CA"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5. Relacioni shpjegues, që është dokumenti që përpilohet nga specialisti i policisë për të vërtetuar shpenzimet e kryera,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6, bashkëlidhur këtij vendimi. Relacioni përpilohet nga specialisti i policisë për të vërtetuar shpenzimet e kryera, firmoset sipas shkallës hierarkike dhe miratohet nga drejtuesi i operacionit të veçantë policor. Relacioni shpjegues plotësohet në një kopje dhe i bashkëlidhet vendimit për pagesë.</w:t>
      </w:r>
    </w:p>
    <w:p w14:paraId="1E4FDC6C" w14:textId="5E9BDC48"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6. Dëftesa përfundimtare,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5, që i bashkëlidhet këtij vendimi, që është dokumenti që vërteton shpenzimin e shumës së parave sipas qëllimit të përcaktuar. Dëftesa firmoset nga specialisti që ka bërë pagesën, sipas shkallës hierarkike dhe nga urdhërdhënësi. Dëftesa përfundimtare përpilohet në një kopje dhe dorëzohet në seksionin/sektorin e financave nga specialisti i policisë për hetimin e krimeve, që ka realizuar tërheqjen e parave.</w:t>
      </w:r>
    </w:p>
    <w:p w14:paraId="250705A5" w14:textId="0A3BF7A4"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7. Mandatpagesa, që është dokumenti që plotësohet nga përfaqësuesi i seksionit/sektorit të financave, pas marrjes së dëftesës përfundimtare. Ky dokument plotësohet në tri kopje, ku dy kopje qëndrojnë në seksionin/sektorin e financave dhe një kopje e merr specialisti që ka bërë tërheqjen e parave, e cila i bashkëlidhet vendimit për shpërblim/pagesë.</w:t>
      </w:r>
    </w:p>
    <w:p w14:paraId="035F11CE" w14:textId="1C5E9A4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8. Autorizimi për asistuesin, sipas lidhjes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7, bashkëlidhur këtij vendimi, që përpilohet në të gjitha rastet kur shpërblehen burime të informacionit policor, me mbi 30 000 (tridhjetë mijë) lekë, me të cilin punonjësi i policisë që kryen veprimin asistohet nga një punonjës i autorizuar nga urdhërdhënësi për përdorimin e fondit të veçantë. Autorizimi për punonjësin e policisë, që asiston veprimin, përpilohet në një kopje, e cila i bashkëlidhet vendimit për shpërblim.</w:t>
      </w:r>
    </w:p>
    <w:p w14:paraId="713AB56B" w14:textId="7777777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p>
    <w:p w14:paraId="744EC2CD"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7</w:t>
      </w:r>
    </w:p>
    <w:p w14:paraId="0C943946" w14:textId="77777777" w:rsidR="00AA0D75" w:rsidRPr="006C770D" w:rsidRDefault="00AA0D75" w:rsidP="00A4563E">
      <w:pPr>
        <w:tabs>
          <w:tab w:val="left" w:pos="300"/>
        </w:tabs>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Autoriteti urdhërdhënës për kryerjen e veprimit financiar</w:t>
      </w:r>
    </w:p>
    <w:p w14:paraId="2D65DD37" w14:textId="77777777" w:rsidR="00AA0D75" w:rsidRPr="006C770D" w:rsidRDefault="00AA0D75" w:rsidP="00A4563E">
      <w:pPr>
        <w:tabs>
          <w:tab w:val="left" w:pos="4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7E455F5" w14:textId="77777777"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Autoritetet urdhërdhënëse për kryerjen e veprimit financiar janë, si më poshtë vijon:</w:t>
      </w:r>
    </w:p>
    <w:p w14:paraId="346BA19D" w14:textId="321A1F3D"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1. Drejtuesi i strukturës vendore të policisë, si nëpunësi autorizues në njësinë shpenzuese.</w:t>
      </w:r>
    </w:p>
    <w:p w14:paraId="2023C24E" w14:textId="26530011"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2. Drejtori i </w:t>
      </w:r>
      <w:r w:rsidR="000C00FD" w:rsidRPr="006C770D">
        <w:rPr>
          <w:rFonts w:ascii="Garamond" w:hAnsi="Garamond" w:cs="Times New Roman"/>
          <w:color w:val="000000"/>
          <w:sz w:val="24"/>
          <w:szCs w:val="24"/>
        </w:rPr>
        <w:t xml:space="preserve">përgjithshëm </w:t>
      </w:r>
      <w:r w:rsidRPr="006C770D">
        <w:rPr>
          <w:rFonts w:ascii="Garamond" w:hAnsi="Garamond" w:cs="Times New Roman"/>
          <w:color w:val="000000"/>
          <w:sz w:val="24"/>
          <w:szCs w:val="24"/>
        </w:rPr>
        <w:t>i Policisë së Shtetit, si nëpunësi autorizues i programit Policia e Shtetit;</w:t>
      </w:r>
    </w:p>
    <w:p w14:paraId="16E1DBA4" w14:textId="15DFC055"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3. Autoriteti urdhërdhënës për rastet e shpërblimit të burimit të veçantë dhe personit që i përgjigjet thirrjes së policisë për informacion/ndihmë, në çdo rast është </w:t>
      </w:r>
      <w:r w:rsidR="00051282" w:rsidRPr="006C770D">
        <w:rPr>
          <w:rFonts w:ascii="Garamond" w:hAnsi="Garamond" w:cs="Times New Roman"/>
          <w:color w:val="000000"/>
          <w:sz w:val="24"/>
          <w:szCs w:val="24"/>
        </w:rPr>
        <w:t xml:space="preserve">drejtori i përgjithshëm </w:t>
      </w:r>
      <w:r w:rsidRPr="006C770D">
        <w:rPr>
          <w:rFonts w:ascii="Garamond" w:hAnsi="Garamond" w:cs="Times New Roman"/>
          <w:color w:val="000000"/>
          <w:sz w:val="24"/>
          <w:szCs w:val="24"/>
        </w:rPr>
        <w:t>i Policisë së Shtetit.</w:t>
      </w:r>
    </w:p>
    <w:p w14:paraId="71B3E9FB" w14:textId="77777777" w:rsidR="00AA0D75" w:rsidRPr="006C770D" w:rsidRDefault="00AA0D75" w:rsidP="00A4563E">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p>
    <w:p w14:paraId="1E24465C"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8</w:t>
      </w:r>
    </w:p>
    <w:p w14:paraId="70ABFAC8"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Administrimi i dokumentacionit për fondin e veçantë</w:t>
      </w:r>
    </w:p>
    <w:p w14:paraId="10C0AFD0"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p>
    <w:p w14:paraId="4B257A6E" w14:textId="4F17006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1. Procedura e administrimit të dokumentacionit për përdorimin e fondit të veçantë është, si më poshtë vijon:</w:t>
      </w:r>
    </w:p>
    <w:p w14:paraId="01B0CC7C" w14:textId="2365ED78"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a) Vendimi për pagesë, një kopje e urdhërpagimit, dëftesa e pagimit dhe mandatpagesa dorëzohen në sektorin/seksionin e arkivit kriminal nga specialisti përkatës për hetimin e krimeve.</w:t>
      </w:r>
    </w:p>
    <w:p w14:paraId="76A15C94" w14:textId="62AD7B02"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b) Praktikës i bashkëlidhen dhe autorizimi për asistuesin, relacioni për vërtetimin e shpenzimeve në operacionet e veçanta policore, dokumentacioni i justifikimit të shpenzimeve në operacionet e veçanta policore, dokumenti i konvertimit të lekëve në valutë të huaj.</w:t>
      </w:r>
    </w:p>
    <w:p w14:paraId="27698810" w14:textId="3999DEE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c) Specialisti/shefi i sektorit/seksionit të arkivit kriminal bën regjistrimin e tyre si një praktikë e vetme në regjistrin model-7, sipas numrit kronologjik dhe këto dokumente mbahen të ndara sipas viteve.</w:t>
      </w:r>
    </w:p>
    <w:p w14:paraId="1695A6C1" w14:textId="1536283A"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lastRenderedPageBreak/>
        <w:t>ç) Dokumentet e krijuara mbyllen në zarfe dhe ruhen në arkivin kriminal, sipas afateve të përcaktuara në aktin normativ përkatës.</w:t>
      </w:r>
    </w:p>
    <w:p w14:paraId="062B04E5" w14:textId="1DB1FBA8"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d) Veprimet për evidentimin e përdorimit të fondit të veçantë kryhen në arkivin kriminal në nivel qendror dhe vendor, pjesë e strukturës së autorizuesit të veprimit, apo kartotekën ku evidentojnë veprimtarinë gjurmuese policore </w:t>
      </w:r>
      <w:r w:rsidRPr="006C770D">
        <w:rPr>
          <w:rFonts w:ascii="Garamond" w:hAnsi="Garamond" w:cs="Times New Roman"/>
          <w:i/>
          <w:iCs/>
          <w:color w:val="000000"/>
          <w:sz w:val="24"/>
          <w:szCs w:val="24"/>
        </w:rPr>
        <w:t>(Antiterrori).</w:t>
      </w:r>
    </w:p>
    <w:p w14:paraId="3B67834F" w14:textId="5F08B4AA"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dh)</w:t>
      </w:r>
      <w:r w:rsidR="00051282">
        <w:rPr>
          <w:rFonts w:ascii="Garamond" w:hAnsi="Garamond" w:cs="Times New Roman"/>
          <w:color w:val="000000"/>
          <w:sz w:val="24"/>
          <w:szCs w:val="24"/>
        </w:rPr>
        <w:t xml:space="preserve"> </w:t>
      </w:r>
      <w:r w:rsidRPr="006C770D">
        <w:rPr>
          <w:rFonts w:ascii="Garamond" w:hAnsi="Garamond" w:cs="Times New Roman"/>
          <w:color w:val="000000"/>
          <w:sz w:val="24"/>
          <w:szCs w:val="24"/>
        </w:rPr>
        <w:t>Në strukturat policore, që nuk janë njësi shpenzuese, veprimet do të evidentohen dhe do të administrohen në sektorin/seksionin e arkivit kriminal, në drejtorinë vendore të policisë</w:t>
      </w:r>
      <w:r w:rsidR="00BA0110">
        <w:rPr>
          <w:rFonts w:ascii="Garamond" w:hAnsi="Garamond" w:cs="Times New Roman"/>
          <w:color w:val="000000"/>
          <w:sz w:val="24"/>
          <w:szCs w:val="24"/>
        </w:rPr>
        <w:t>,</w:t>
      </w:r>
      <w:r w:rsidRPr="006C770D">
        <w:rPr>
          <w:rFonts w:ascii="Garamond" w:hAnsi="Garamond" w:cs="Times New Roman"/>
          <w:color w:val="000000"/>
          <w:sz w:val="24"/>
          <w:szCs w:val="24"/>
        </w:rPr>
        <w:t xml:space="preserve"> sipas juridiksionit.</w:t>
      </w:r>
    </w:p>
    <w:p w14:paraId="0D25376F" w14:textId="1748F0B3"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e) Një kopje e urdhërpagimit, dëftesës përfundimtare dhe një kopje e mandatpagesës qëndrojnë në seksionin/sektorin e financës dhe iu nënshtrohen rregullave financiare.</w:t>
      </w:r>
    </w:p>
    <w:p w14:paraId="67CC469C" w14:textId="068F7327"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ë) Punonjësi i policisë, nga koha që ka tërhequr paratë në strukturat e financës, duhet të mbyllë praktikën në këto afate:</w:t>
      </w:r>
    </w:p>
    <w:p w14:paraId="617215B3" w14:textId="0DC72D36"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i. brenda 20 (njëzet) ditëve në rastet e dhënies së shpërblimeve;</w:t>
      </w:r>
    </w:p>
    <w:p w14:paraId="70B75C06" w14:textId="78641E00"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ii. brenda 3 (tre) muajve, në rastet e përdorimit të fondit të veçantë për shpenzime gjatë kryerjes së operacioneve të veçanta policore.</w:t>
      </w:r>
    </w:p>
    <w:p w14:paraId="455256E1" w14:textId="5A528A1C" w:rsidR="00AA0D75" w:rsidRPr="006C770D" w:rsidRDefault="00AA0D75" w:rsidP="00A4563E">
      <w:pPr>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 xml:space="preserve">f) Në rastet e mosmbylljes së veprimeve me financën dhe arkivin kriminal brenda afatit tremujor, për shkak të shtrirjes në kohë të operacionit të veçantë policor, përtej këtij afati, vonesa motivohet në relacionin shpjegues dhe në </w:t>
      </w:r>
      <w:r w:rsidR="006C770D" w:rsidRPr="006C770D">
        <w:rPr>
          <w:rFonts w:ascii="Garamond" w:hAnsi="Garamond" w:cs="Times New Roman"/>
          <w:color w:val="000000"/>
          <w:sz w:val="24"/>
          <w:szCs w:val="24"/>
        </w:rPr>
        <w:t>dëftesën</w:t>
      </w:r>
      <w:r w:rsidRPr="006C770D">
        <w:rPr>
          <w:rFonts w:ascii="Garamond" w:hAnsi="Garamond" w:cs="Times New Roman"/>
          <w:color w:val="000000"/>
          <w:sz w:val="24"/>
          <w:szCs w:val="24"/>
        </w:rPr>
        <w:t xml:space="preserve"> përfundimtare. Në çdo rast, veprimet duhet të mbyllen brenda një muaji nga përfundimi i operacionit të veçantë policor.</w:t>
      </w:r>
    </w:p>
    <w:p w14:paraId="02DBC398" w14:textId="25D6A0F6" w:rsidR="00AA0D75" w:rsidRPr="006C770D" w:rsidRDefault="00AA0D75" w:rsidP="00A4563E">
      <w:pPr>
        <w:autoSpaceDE w:val="0"/>
        <w:autoSpaceDN w:val="0"/>
        <w:adjustRightInd w:val="0"/>
        <w:spacing w:after="0" w:line="240" w:lineRule="auto"/>
        <w:ind w:firstLine="284"/>
        <w:jc w:val="both"/>
        <w:rPr>
          <w:rFonts w:ascii="Garamond" w:hAnsi="Garamond" w:cs="Times New Roman"/>
          <w:b/>
          <w:bCs/>
          <w:color w:val="000000"/>
          <w:sz w:val="24"/>
          <w:szCs w:val="24"/>
        </w:rPr>
      </w:pPr>
      <w:r w:rsidRPr="006C770D">
        <w:rPr>
          <w:rFonts w:ascii="Garamond" w:hAnsi="Garamond" w:cs="Times New Roman"/>
          <w:color w:val="000000"/>
          <w:sz w:val="24"/>
          <w:szCs w:val="24"/>
        </w:rPr>
        <w:t>g) Kur burimet e informacionit policor nuk pranojnë të marrin shpërblimin apo paratë e tërhequra për kryerjen e operacionit të veçantë policor nuk përdoren, ato kthehen menjëherë në financë. Në këtë rast, specialisti i policisë përpilon një relacion shpjegues, të cilin bashkë me mandatarkëtimin e shumës së lekëve ia bashkëlidh vendimit të shpërblimit. Relacioni nënshkruhet edhe nga eprori i drejtpërdrejtë i punonjësit të policisë.</w:t>
      </w:r>
    </w:p>
    <w:p w14:paraId="34149D93" w14:textId="2B892F83" w:rsidR="00AA0D75" w:rsidRPr="006C770D" w:rsidRDefault="00AA0D75" w:rsidP="00A4563E">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2. Dokumentet e përpiluara dhe praktika e krijuar për përdorimin e fondit të veçantë klasifikohen “Tepër sekret” dhe trajtohen sipas ligjit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10/2023, “Për informacionin e klasifikuar”.</w:t>
      </w:r>
    </w:p>
    <w:p w14:paraId="61B92FC8" w14:textId="77777777" w:rsidR="00AA0D75" w:rsidRPr="006C770D" w:rsidRDefault="00AA0D75" w:rsidP="0004504C">
      <w:pPr>
        <w:autoSpaceDE w:val="0"/>
        <w:autoSpaceDN w:val="0"/>
        <w:adjustRightInd w:val="0"/>
        <w:spacing w:after="0" w:line="240" w:lineRule="auto"/>
        <w:ind w:firstLine="284"/>
        <w:jc w:val="center"/>
        <w:rPr>
          <w:rFonts w:ascii="Garamond" w:hAnsi="Garamond" w:cs="Times New Roman"/>
          <w:color w:val="000000"/>
          <w:sz w:val="24"/>
          <w:szCs w:val="24"/>
        </w:rPr>
      </w:pPr>
      <w:r w:rsidRPr="006C770D">
        <w:rPr>
          <w:rFonts w:ascii="Garamond" w:hAnsi="Garamond" w:cs="Times New Roman"/>
          <w:color w:val="000000"/>
          <w:sz w:val="24"/>
          <w:szCs w:val="24"/>
        </w:rPr>
        <w:t>III. DISPOZITA TË FU</w:t>
      </w:r>
      <w:bookmarkStart w:id="0" w:name="_GoBack"/>
      <w:bookmarkEnd w:id="0"/>
      <w:r w:rsidRPr="006C770D">
        <w:rPr>
          <w:rFonts w:ascii="Garamond" w:hAnsi="Garamond" w:cs="Times New Roman"/>
          <w:color w:val="000000"/>
          <w:sz w:val="24"/>
          <w:szCs w:val="24"/>
        </w:rPr>
        <w:t>NDIT</w:t>
      </w:r>
    </w:p>
    <w:p w14:paraId="186AFC6D" w14:textId="77777777" w:rsidR="00AA0D75" w:rsidRPr="006C770D" w:rsidRDefault="00AA0D75" w:rsidP="0004504C">
      <w:pPr>
        <w:autoSpaceDE w:val="0"/>
        <w:autoSpaceDN w:val="0"/>
        <w:adjustRightInd w:val="0"/>
        <w:spacing w:after="0" w:line="240" w:lineRule="auto"/>
        <w:ind w:firstLine="284"/>
        <w:jc w:val="center"/>
        <w:rPr>
          <w:rFonts w:ascii="Garamond" w:hAnsi="Garamond" w:cs="Times New Roman"/>
          <w:b/>
          <w:bCs/>
          <w:color w:val="000000"/>
          <w:sz w:val="24"/>
          <w:szCs w:val="24"/>
        </w:rPr>
      </w:pPr>
    </w:p>
    <w:p w14:paraId="5B62A33C"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Cs/>
          <w:color w:val="000000"/>
          <w:sz w:val="24"/>
          <w:szCs w:val="24"/>
        </w:rPr>
      </w:pPr>
      <w:r w:rsidRPr="006C770D">
        <w:rPr>
          <w:rFonts w:ascii="Garamond" w:hAnsi="Garamond" w:cs="Times New Roman"/>
          <w:bCs/>
          <w:color w:val="000000"/>
          <w:sz w:val="24"/>
          <w:szCs w:val="24"/>
        </w:rPr>
        <w:t>Neni 9</w:t>
      </w:r>
    </w:p>
    <w:p w14:paraId="721D1321"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r w:rsidRPr="006C770D">
        <w:rPr>
          <w:rFonts w:ascii="Garamond" w:hAnsi="Garamond" w:cs="Times New Roman"/>
          <w:b/>
          <w:bCs/>
          <w:color w:val="000000"/>
          <w:sz w:val="24"/>
          <w:szCs w:val="24"/>
        </w:rPr>
        <w:t xml:space="preserve">Dispozita të fundit </w:t>
      </w:r>
    </w:p>
    <w:p w14:paraId="6073CD20" w14:textId="77777777"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p>
    <w:p w14:paraId="55913371" w14:textId="48F0782D"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1. Udhëzimi nr.</w:t>
      </w:r>
      <w:r w:rsidR="006C770D">
        <w:rPr>
          <w:rFonts w:ascii="Garamond" w:hAnsi="Garamond" w:cs="Times New Roman"/>
          <w:color w:val="000000"/>
          <w:sz w:val="24"/>
          <w:szCs w:val="24"/>
        </w:rPr>
        <w:t xml:space="preserve"> </w:t>
      </w:r>
      <w:r w:rsidRPr="006C770D">
        <w:rPr>
          <w:rFonts w:ascii="Garamond" w:hAnsi="Garamond" w:cs="Times New Roman"/>
          <w:color w:val="000000"/>
          <w:sz w:val="24"/>
          <w:szCs w:val="24"/>
        </w:rPr>
        <w:t xml:space="preserve">683, datë 25.11.2019, i ministrit të Brendshëm, “Për përcaktimin e rregullave dhe të kritereve për përdorimin e fondit të veçantë”, shfuqizohet. </w:t>
      </w:r>
    </w:p>
    <w:p w14:paraId="531024B1" w14:textId="31E55639" w:rsidR="00AA0D75" w:rsidRPr="006C770D" w:rsidRDefault="00AA0D75" w:rsidP="00A4563E">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r w:rsidRPr="006C770D">
        <w:rPr>
          <w:rFonts w:ascii="Garamond" w:hAnsi="Garamond" w:cs="Times New Roman"/>
          <w:color w:val="000000"/>
          <w:sz w:val="24"/>
          <w:szCs w:val="24"/>
        </w:rPr>
        <w:t>2. Ngarkohen Ministria e Brendshme dhe Drejtoria e Përgjithshme e Policisë së Shtetit për zbatimin e këtij vendimi.</w:t>
      </w:r>
    </w:p>
    <w:p w14:paraId="515B9E2B" w14:textId="0EE73466" w:rsidR="00AA0D75" w:rsidRPr="006C770D" w:rsidRDefault="00AA0D75" w:rsidP="00A4563E">
      <w:pPr>
        <w:autoSpaceDE w:val="0"/>
        <w:autoSpaceDN w:val="0"/>
        <w:adjustRightInd w:val="0"/>
        <w:spacing w:after="0" w:line="240" w:lineRule="auto"/>
        <w:ind w:firstLine="284"/>
        <w:rPr>
          <w:rFonts w:ascii="Garamond" w:hAnsi="Garamond" w:cs="Times New Roman"/>
          <w:color w:val="000000"/>
          <w:sz w:val="24"/>
          <w:szCs w:val="24"/>
        </w:rPr>
      </w:pPr>
      <w:r w:rsidRPr="006C770D">
        <w:rPr>
          <w:rFonts w:ascii="Garamond" w:hAnsi="Garamond" w:cs="Times New Roman"/>
          <w:color w:val="000000"/>
          <w:sz w:val="24"/>
          <w:szCs w:val="24"/>
        </w:rPr>
        <w:t xml:space="preserve">Ky vendim hyn në fuqi pas botimit në Fletoren Zyrtare. </w:t>
      </w:r>
    </w:p>
    <w:p w14:paraId="42CFBAFA" w14:textId="77777777" w:rsidR="00AA0D75" w:rsidRPr="006C770D" w:rsidRDefault="00AA0D75" w:rsidP="00A4563E">
      <w:pPr>
        <w:autoSpaceDE w:val="0"/>
        <w:autoSpaceDN w:val="0"/>
        <w:adjustRightInd w:val="0"/>
        <w:spacing w:after="0" w:line="240" w:lineRule="auto"/>
        <w:ind w:firstLine="284"/>
        <w:jc w:val="center"/>
        <w:rPr>
          <w:rFonts w:ascii="Garamond" w:hAnsi="Garamond" w:cs="Times New Roman"/>
          <w:color w:val="000000"/>
          <w:sz w:val="24"/>
          <w:szCs w:val="24"/>
        </w:rPr>
      </w:pPr>
    </w:p>
    <w:p w14:paraId="30C759DA" w14:textId="66F149AD" w:rsidR="00AA0D75" w:rsidRPr="006C770D" w:rsidRDefault="00AA0D75" w:rsidP="00A4563E">
      <w:pPr>
        <w:autoSpaceDE w:val="0"/>
        <w:autoSpaceDN w:val="0"/>
        <w:adjustRightInd w:val="0"/>
        <w:spacing w:after="0" w:line="240" w:lineRule="auto"/>
        <w:ind w:firstLine="284"/>
        <w:jc w:val="right"/>
        <w:rPr>
          <w:rFonts w:ascii="Garamond" w:hAnsi="Garamond" w:cs="Times New Roman"/>
          <w:bCs/>
          <w:color w:val="000000"/>
          <w:sz w:val="24"/>
          <w:szCs w:val="24"/>
        </w:rPr>
      </w:pPr>
      <w:r w:rsidRPr="006C770D">
        <w:rPr>
          <w:rFonts w:ascii="Garamond" w:hAnsi="Garamond" w:cs="Times New Roman"/>
          <w:bCs/>
          <w:color w:val="000000"/>
          <w:sz w:val="24"/>
          <w:szCs w:val="24"/>
        </w:rPr>
        <w:t>ZËVENDËSKRYEMINISTËR</w:t>
      </w:r>
    </w:p>
    <w:p w14:paraId="1A701563" w14:textId="1A143660" w:rsidR="00AA0D75" w:rsidRPr="006C770D" w:rsidRDefault="00A4563E" w:rsidP="00A4563E">
      <w:pPr>
        <w:autoSpaceDE w:val="0"/>
        <w:autoSpaceDN w:val="0"/>
        <w:adjustRightInd w:val="0"/>
        <w:spacing w:after="0" w:line="240" w:lineRule="auto"/>
        <w:ind w:firstLine="284"/>
        <w:jc w:val="right"/>
        <w:rPr>
          <w:rFonts w:ascii="Garamond" w:hAnsi="Garamond" w:cs="Times New Roman"/>
          <w:b/>
          <w:bCs/>
          <w:color w:val="000000"/>
          <w:sz w:val="24"/>
          <w:szCs w:val="24"/>
        </w:rPr>
      </w:pPr>
      <w:r w:rsidRPr="006C770D">
        <w:rPr>
          <w:rFonts w:ascii="Garamond" w:hAnsi="Garamond" w:cs="Times New Roman"/>
          <w:b/>
          <w:bCs/>
          <w:color w:val="000000"/>
          <w:sz w:val="24"/>
          <w:szCs w:val="24"/>
        </w:rPr>
        <w:t>Belinda Balluku</w:t>
      </w:r>
    </w:p>
    <w:p w14:paraId="58F135AE" w14:textId="1F045647" w:rsidR="00AA0D75" w:rsidRPr="006C770D" w:rsidRDefault="00AA0D75" w:rsidP="00A4563E">
      <w:pPr>
        <w:autoSpaceDE w:val="0"/>
        <w:autoSpaceDN w:val="0"/>
        <w:adjustRightInd w:val="0"/>
        <w:spacing w:after="0" w:line="240" w:lineRule="auto"/>
        <w:ind w:firstLine="284"/>
        <w:jc w:val="center"/>
        <w:rPr>
          <w:rFonts w:ascii="Garamond" w:hAnsi="Garamond" w:cs="Times New Roman"/>
          <w:b/>
          <w:bCs/>
          <w:color w:val="000000"/>
          <w:sz w:val="24"/>
          <w:szCs w:val="24"/>
        </w:rPr>
      </w:pPr>
    </w:p>
    <w:p w14:paraId="046EAA8D" w14:textId="3E725C5A" w:rsidR="00AA6315" w:rsidRPr="006C770D" w:rsidRDefault="00AA6315" w:rsidP="00AA6315">
      <w:pPr>
        <w:autoSpaceDE w:val="0"/>
        <w:autoSpaceDN w:val="0"/>
        <w:adjustRightInd w:val="0"/>
        <w:spacing w:after="0" w:line="240" w:lineRule="auto"/>
        <w:jc w:val="center"/>
        <w:rPr>
          <w:rFonts w:ascii="Garamond" w:hAnsi="Garamond" w:cs="Times New Roman"/>
          <w:b/>
          <w:bCs/>
          <w:color w:val="000000"/>
          <w:sz w:val="24"/>
          <w:szCs w:val="24"/>
        </w:rPr>
      </w:pPr>
      <w:r w:rsidRPr="006C770D">
        <w:rPr>
          <w:rFonts w:ascii="Garamond" w:hAnsi="Garamond" w:cs="Times New Roman"/>
          <w:b/>
          <w:bCs/>
          <w:noProof/>
          <w:color w:val="000000"/>
          <w:sz w:val="24"/>
          <w:szCs w:val="24"/>
        </w:rPr>
        <w:lastRenderedPageBreak/>
        <w:drawing>
          <wp:inline distT="0" distB="0" distL="0" distR="0" wp14:anchorId="762E4CAA" wp14:editId="16A87184">
            <wp:extent cx="5731510" cy="81038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dhjet 1-7 final per km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103870"/>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64DB7F36" wp14:editId="400A10E8">
            <wp:extent cx="5731510" cy="810704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dhjet 1-7 final per km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24CC6FB8" wp14:editId="2F8BCF56">
            <wp:extent cx="5731510" cy="8109585"/>
            <wp:effectExtent l="0" t="0" r="254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dhjet 1-7 final per km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8109585"/>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1E49050E" wp14:editId="408C4445">
            <wp:extent cx="5731510" cy="810958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dhjet 1-7 final per km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109585"/>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2C90FE0A" wp14:editId="5C5C2697">
            <wp:extent cx="5731510" cy="810958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dhjet 1-7 final per km_Page_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109585"/>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4F86E12D" wp14:editId="22AE1968">
            <wp:extent cx="5731510" cy="810514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dhjet 1-7 final per km_Page_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105140"/>
                    </a:xfrm>
                    <a:prstGeom prst="rect">
                      <a:avLst/>
                    </a:prstGeom>
                  </pic:spPr>
                </pic:pic>
              </a:graphicData>
            </a:graphic>
          </wp:inline>
        </w:drawing>
      </w:r>
      <w:r w:rsidRPr="006C770D">
        <w:rPr>
          <w:rFonts w:ascii="Garamond" w:hAnsi="Garamond" w:cs="Times New Roman"/>
          <w:b/>
          <w:bCs/>
          <w:noProof/>
          <w:color w:val="000000"/>
          <w:sz w:val="24"/>
          <w:szCs w:val="24"/>
        </w:rPr>
        <w:lastRenderedPageBreak/>
        <w:drawing>
          <wp:inline distT="0" distB="0" distL="0" distR="0" wp14:anchorId="444DB100" wp14:editId="12C40B5B">
            <wp:extent cx="5731510" cy="8110855"/>
            <wp:effectExtent l="0" t="0" r="254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dhjet 1-7 final per km_Page_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719B183B" w14:textId="2AB231ED" w:rsidR="00DB26C2" w:rsidRPr="006C770D" w:rsidRDefault="00DB26C2" w:rsidP="00A4563E">
      <w:pPr>
        <w:spacing w:after="0" w:line="240" w:lineRule="auto"/>
        <w:ind w:firstLine="284"/>
        <w:rPr>
          <w:rFonts w:ascii="Garamond" w:hAnsi="Garamond"/>
          <w:sz w:val="24"/>
          <w:szCs w:val="24"/>
        </w:rPr>
      </w:pPr>
    </w:p>
    <w:sectPr w:rsidR="00DB26C2" w:rsidRPr="006C770D" w:rsidSect="00DD02BA">
      <w:headerReference w:type="default" r:id="rId20"/>
      <w:footerReference w:type="default" r:id="rId2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66BF5" w14:textId="77777777" w:rsidR="0004504C" w:rsidRDefault="0004504C" w:rsidP="00531D1D">
      <w:pPr>
        <w:spacing w:after="0" w:line="240" w:lineRule="auto"/>
      </w:pPr>
      <w:r>
        <w:separator/>
      </w:r>
    </w:p>
  </w:endnote>
  <w:endnote w:type="continuationSeparator" w:id="0">
    <w:p w14:paraId="086F44F4" w14:textId="77777777" w:rsidR="0004504C" w:rsidRDefault="0004504C" w:rsidP="00531D1D">
      <w:pPr>
        <w:spacing w:after="0" w:line="240" w:lineRule="auto"/>
      </w:pPr>
      <w:r>
        <w:continuationSeparator/>
      </w:r>
    </w:p>
  </w:endnote>
  <w:endnote w:type="continuationNotice" w:id="1">
    <w:p w14:paraId="4F73C7FB" w14:textId="77777777" w:rsidR="0004504C" w:rsidRDefault="000450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Italic">
    <w:altName w:val="Garamon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433892617"/>
      <w:docPartObj>
        <w:docPartGallery w:val="Page Numbers (Bottom of Page)"/>
        <w:docPartUnique/>
      </w:docPartObj>
    </w:sdtPr>
    <w:sdtEndPr>
      <w:rPr>
        <w:noProof/>
      </w:rPr>
    </w:sdtEndPr>
    <w:sdtContent>
      <w:p w14:paraId="505743D7" w14:textId="77777777" w:rsidR="0004504C" w:rsidRPr="00AE4AE7" w:rsidRDefault="0004504C">
        <w:pPr>
          <w:pStyle w:val="Footer"/>
          <w:jc w:val="right"/>
          <w:rPr>
            <w:rFonts w:ascii="Times New Roman" w:hAnsi="Times New Roman" w:cs="Times New Roman"/>
            <w:sz w:val="24"/>
          </w:rPr>
        </w:pPr>
        <w:r w:rsidRPr="00AE4AE7">
          <w:rPr>
            <w:rFonts w:ascii="Times New Roman" w:hAnsi="Times New Roman" w:cs="Times New Roman"/>
            <w:sz w:val="24"/>
          </w:rPr>
          <w:fldChar w:fldCharType="begin"/>
        </w:r>
        <w:r w:rsidRPr="00AE4AE7">
          <w:rPr>
            <w:rFonts w:ascii="Times New Roman" w:hAnsi="Times New Roman" w:cs="Times New Roman"/>
            <w:sz w:val="24"/>
          </w:rPr>
          <w:instrText xml:space="preserve"> PAGE   \* MERGEFORMAT </w:instrText>
        </w:r>
        <w:r w:rsidRPr="00AE4AE7">
          <w:rPr>
            <w:rFonts w:ascii="Times New Roman" w:hAnsi="Times New Roman" w:cs="Times New Roman"/>
            <w:sz w:val="24"/>
          </w:rPr>
          <w:fldChar w:fldCharType="separate"/>
        </w:r>
        <w:r>
          <w:rPr>
            <w:rFonts w:ascii="Times New Roman" w:hAnsi="Times New Roman" w:cs="Times New Roman"/>
            <w:noProof/>
            <w:sz w:val="24"/>
          </w:rPr>
          <w:t>2</w:t>
        </w:r>
        <w:r w:rsidRPr="00AE4AE7">
          <w:rPr>
            <w:rFonts w:ascii="Times New Roman" w:hAnsi="Times New Roman" w:cs="Times New Roman"/>
            <w:noProof/>
            <w:sz w:val="24"/>
          </w:rPr>
          <w:fldChar w:fldCharType="end"/>
        </w:r>
      </w:p>
    </w:sdtContent>
  </w:sdt>
  <w:p w14:paraId="505743D8" w14:textId="77777777" w:rsidR="0004504C" w:rsidRDefault="00045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0F212" w14:textId="77777777" w:rsidR="0004504C" w:rsidRDefault="0004504C" w:rsidP="00531D1D">
      <w:pPr>
        <w:spacing w:after="0" w:line="240" w:lineRule="auto"/>
      </w:pPr>
      <w:r>
        <w:separator/>
      </w:r>
    </w:p>
  </w:footnote>
  <w:footnote w:type="continuationSeparator" w:id="0">
    <w:p w14:paraId="519289C9" w14:textId="77777777" w:rsidR="0004504C" w:rsidRDefault="0004504C" w:rsidP="00531D1D">
      <w:pPr>
        <w:spacing w:after="0" w:line="240" w:lineRule="auto"/>
      </w:pPr>
      <w:r>
        <w:continuationSeparator/>
      </w:r>
    </w:p>
  </w:footnote>
  <w:footnote w:type="continuationNotice" w:id="1">
    <w:p w14:paraId="4F30B70C" w14:textId="77777777" w:rsidR="0004504C" w:rsidRDefault="000450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19EFD" w14:textId="77777777" w:rsidR="0004504C" w:rsidRDefault="00045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42B3"/>
    <w:multiLevelType w:val="hybridMultilevel"/>
    <w:tmpl w:val="D47AC880"/>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15:restartNumberingAfterBreak="0">
    <w:nsid w:val="019E2F9E"/>
    <w:multiLevelType w:val="hybridMultilevel"/>
    <w:tmpl w:val="2E7E2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938EB"/>
    <w:multiLevelType w:val="hybridMultilevel"/>
    <w:tmpl w:val="B002C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102DE"/>
    <w:multiLevelType w:val="hybridMultilevel"/>
    <w:tmpl w:val="2C843680"/>
    <w:lvl w:ilvl="0" w:tplc="0409001B">
      <w:start w:val="1"/>
      <w:numFmt w:val="lowerRoman"/>
      <w:lvlText w:val="%1."/>
      <w:lvlJc w:val="righ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4" w15:restartNumberingAfterBreak="0">
    <w:nsid w:val="06231794"/>
    <w:multiLevelType w:val="hybridMultilevel"/>
    <w:tmpl w:val="4C30526C"/>
    <w:lvl w:ilvl="0" w:tplc="78F035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CB4EFD"/>
    <w:multiLevelType w:val="hybridMultilevel"/>
    <w:tmpl w:val="3028E3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6EE0FB6"/>
    <w:multiLevelType w:val="hybridMultilevel"/>
    <w:tmpl w:val="604A7422"/>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0A267F47"/>
    <w:multiLevelType w:val="hybridMultilevel"/>
    <w:tmpl w:val="2EFA9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596C74"/>
    <w:multiLevelType w:val="hybridMultilevel"/>
    <w:tmpl w:val="F5B6EDB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12BD1E02"/>
    <w:multiLevelType w:val="hybridMultilevel"/>
    <w:tmpl w:val="CD664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DC200C"/>
    <w:multiLevelType w:val="hybridMultilevel"/>
    <w:tmpl w:val="26F6F7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F602BC"/>
    <w:multiLevelType w:val="hybridMultilevel"/>
    <w:tmpl w:val="604A7422"/>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8425158"/>
    <w:multiLevelType w:val="hybridMultilevel"/>
    <w:tmpl w:val="4C30526C"/>
    <w:lvl w:ilvl="0" w:tplc="78F035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BF67B9"/>
    <w:multiLevelType w:val="multilevel"/>
    <w:tmpl w:val="BD389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1374C9"/>
    <w:multiLevelType w:val="hybridMultilevel"/>
    <w:tmpl w:val="263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81316"/>
    <w:multiLevelType w:val="hybridMultilevel"/>
    <w:tmpl w:val="B3D6962A"/>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1BEA1467"/>
    <w:multiLevelType w:val="hybridMultilevel"/>
    <w:tmpl w:val="F1CA91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BA351B"/>
    <w:multiLevelType w:val="hybridMultilevel"/>
    <w:tmpl w:val="21B8D4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1D4391"/>
    <w:multiLevelType w:val="hybridMultilevel"/>
    <w:tmpl w:val="91223E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C215EA"/>
    <w:multiLevelType w:val="hybridMultilevel"/>
    <w:tmpl w:val="B17A2176"/>
    <w:lvl w:ilvl="0" w:tplc="04090017">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15:restartNumberingAfterBreak="0">
    <w:nsid w:val="263B69BA"/>
    <w:multiLevelType w:val="hybridMultilevel"/>
    <w:tmpl w:val="10C6B7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7E373F9"/>
    <w:multiLevelType w:val="hybridMultilevel"/>
    <w:tmpl w:val="E720560A"/>
    <w:lvl w:ilvl="0" w:tplc="04090017">
      <w:start w:val="1"/>
      <w:numFmt w:val="lowerLetter"/>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22" w15:restartNumberingAfterBreak="0">
    <w:nsid w:val="29DA5C9D"/>
    <w:multiLevelType w:val="multilevel"/>
    <w:tmpl w:val="918E91B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AA12311"/>
    <w:multiLevelType w:val="hybridMultilevel"/>
    <w:tmpl w:val="01FA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E55E73"/>
    <w:multiLevelType w:val="hybridMultilevel"/>
    <w:tmpl w:val="9CF86F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F3665FF"/>
    <w:multiLevelType w:val="hybridMultilevel"/>
    <w:tmpl w:val="6E6CC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480909"/>
    <w:multiLevelType w:val="hybridMultilevel"/>
    <w:tmpl w:val="AC1649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411D76"/>
    <w:multiLevelType w:val="hybridMultilevel"/>
    <w:tmpl w:val="9E1657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251894"/>
    <w:multiLevelType w:val="hybridMultilevel"/>
    <w:tmpl w:val="33406B5C"/>
    <w:lvl w:ilvl="0" w:tplc="3EC0C4DA">
      <w:start w:val="3"/>
      <w:numFmt w:val="decimal"/>
      <w:lvlText w:val="%1."/>
      <w:lvlJc w:val="left"/>
      <w:pPr>
        <w:ind w:left="1185" w:hanging="1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F439E4"/>
    <w:multiLevelType w:val="hybridMultilevel"/>
    <w:tmpl w:val="24147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0B2D24"/>
    <w:multiLevelType w:val="multilevel"/>
    <w:tmpl w:val="E67EFC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AAA3AB0"/>
    <w:multiLevelType w:val="hybridMultilevel"/>
    <w:tmpl w:val="880A8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AF1245"/>
    <w:multiLevelType w:val="hybridMultilevel"/>
    <w:tmpl w:val="D082B7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1B6EFF"/>
    <w:multiLevelType w:val="hybridMultilevel"/>
    <w:tmpl w:val="7592C432"/>
    <w:lvl w:ilvl="0" w:tplc="0409000F">
      <w:start w:val="1"/>
      <w:numFmt w:val="decimal"/>
      <w:lvlText w:val="%1."/>
      <w:lvlJc w:val="left"/>
      <w:pPr>
        <w:ind w:left="720" w:hanging="360"/>
      </w:pPr>
    </w:lvl>
    <w:lvl w:ilvl="1" w:tplc="0409000F">
      <w:start w:val="1"/>
      <w:numFmt w:val="decimal"/>
      <w:lvlText w:val="%2."/>
      <w:lvlJc w:val="left"/>
      <w:pPr>
        <w:ind w:left="1185" w:hanging="1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4E01D4"/>
    <w:multiLevelType w:val="hybridMultilevel"/>
    <w:tmpl w:val="8006F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082201"/>
    <w:multiLevelType w:val="hybridMultilevel"/>
    <w:tmpl w:val="A29A7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DE3E2F"/>
    <w:multiLevelType w:val="hybridMultilevel"/>
    <w:tmpl w:val="9454D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1B7620"/>
    <w:multiLevelType w:val="hybridMultilevel"/>
    <w:tmpl w:val="FEE2E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49302EE"/>
    <w:multiLevelType w:val="hybridMultilevel"/>
    <w:tmpl w:val="EDB6DE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723FD2"/>
    <w:multiLevelType w:val="hybridMultilevel"/>
    <w:tmpl w:val="6CAA49B2"/>
    <w:lvl w:ilvl="0" w:tplc="8A28C2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7026490"/>
    <w:multiLevelType w:val="hybridMultilevel"/>
    <w:tmpl w:val="81AE5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9FA2E98"/>
    <w:multiLevelType w:val="hybridMultilevel"/>
    <w:tmpl w:val="61D22796"/>
    <w:lvl w:ilvl="0" w:tplc="0409001B">
      <w:start w:val="1"/>
      <w:numFmt w:val="lowerRoman"/>
      <w:lvlText w:val="%1."/>
      <w:lvlJc w:val="right"/>
      <w:pPr>
        <w:ind w:left="1563" w:hanging="360"/>
      </w:p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42" w15:restartNumberingAfterBreak="0">
    <w:nsid w:val="4A515672"/>
    <w:multiLevelType w:val="hybridMultilevel"/>
    <w:tmpl w:val="10C6B7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BF0742E"/>
    <w:multiLevelType w:val="hybridMultilevel"/>
    <w:tmpl w:val="0B702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C85231"/>
    <w:multiLevelType w:val="hybridMultilevel"/>
    <w:tmpl w:val="ED6C07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41F6C41"/>
    <w:multiLevelType w:val="hybridMultilevel"/>
    <w:tmpl w:val="B6B014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4615F7C"/>
    <w:multiLevelType w:val="hybridMultilevel"/>
    <w:tmpl w:val="BE3C9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6040EA7"/>
    <w:multiLevelType w:val="hybridMultilevel"/>
    <w:tmpl w:val="B7E8E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80B60C1"/>
    <w:multiLevelType w:val="hybridMultilevel"/>
    <w:tmpl w:val="4CD4B5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5D76D9"/>
    <w:multiLevelType w:val="hybridMultilevel"/>
    <w:tmpl w:val="D286D784"/>
    <w:lvl w:ilvl="0" w:tplc="5F325A66">
      <w:start w:val="1"/>
      <w:numFmt w:val="lowerLetter"/>
      <w:lvlText w:val="%1)"/>
      <w:lvlJc w:val="right"/>
      <w:pPr>
        <w:ind w:left="2007" w:hanging="360"/>
      </w:pPr>
      <w:rPr>
        <w:rFonts w:ascii="Times New Roman" w:eastAsia="Times New Roman" w:hAnsi="Times New Roman" w:cs="Times New Roman"/>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50" w15:restartNumberingAfterBreak="0">
    <w:nsid w:val="5A943AE4"/>
    <w:multiLevelType w:val="hybridMultilevel"/>
    <w:tmpl w:val="9F1677D8"/>
    <w:lvl w:ilvl="0" w:tplc="28849CCA">
      <w:start w:val="1"/>
      <w:numFmt w:val="lowerLetter"/>
      <w:lvlText w:val="%1)"/>
      <w:lvlJc w:val="left"/>
      <w:pPr>
        <w:ind w:left="927" w:hanging="360"/>
      </w:pPr>
      <w:rPr>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5AFC2E92"/>
    <w:multiLevelType w:val="multilevel"/>
    <w:tmpl w:val="9D2C25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E151E3F"/>
    <w:multiLevelType w:val="hybridMultilevel"/>
    <w:tmpl w:val="1E0C36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60804877"/>
    <w:multiLevelType w:val="hybridMultilevel"/>
    <w:tmpl w:val="C16240CC"/>
    <w:lvl w:ilvl="0" w:tplc="AFB8B5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DE5077"/>
    <w:multiLevelType w:val="hybridMultilevel"/>
    <w:tmpl w:val="41EED1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A2262FC"/>
    <w:multiLevelType w:val="hybridMultilevel"/>
    <w:tmpl w:val="6F605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A992E66"/>
    <w:multiLevelType w:val="hybridMultilevel"/>
    <w:tmpl w:val="EA9E56A2"/>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7" w15:restartNumberingAfterBreak="0">
    <w:nsid w:val="6D8562F5"/>
    <w:multiLevelType w:val="hybridMultilevel"/>
    <w:tmpl w:val="4FBA25E2"/>
    <w:lvl w:ilvl="0" w:tplc="8A28C2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6A0085"/>
    <w:multiLevelType w:val="hybridMultilevel"/>
    <w:tmpl w:val="1B4C9D9A"/>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9" w15:restartNumberingAfterBreak="0">
    <w:nsid w:val="703D1F5E"/>
    <w:multiLevelType w:val="multilevel"/>
    <w:tmpl w:val="15BC3D38"/>
    <w:lvl w:ilvl="0">
      <w:start w:val="1"/>
      <w:numFmt w:val="decimal"/>
      <w:lvlText w:val="%1."/>
      <w:lvlJc w:val="left"/>
      <w:pPr>
        <w:ind w:left="720" w:hanging="360"/>
      </w:pPr>
    </w:lvl>
    <w:lvl w:ilvl="1">
      <w:start w:val="1"/>
      <w:numFmt w:val="decimal"/>
      <w:isLgl/>
      <w:lvlText w:val="%1.%2."/>
      <w:lvlJc w:val="left"/>
      <w:pPr>
        <w:ind w:left="1522" w:hanging="600"/>
      </w:pPr>
      <w:rPr>
        <w:rFonts w:hint="default"/>
      </w:rPr>
    </w:lvl>
    <w:lvl w:ilvl="2">
      <w:start w:val="1"/>
      <w:numFmt w:val="decimal"/>
      <w:isLgl/>
      <w:lvlText w:val="%1.%2.%3."/>
      <w:lvlJc w:val="left"/>
      <w:pPr>
        <w:ind w:left="2204" w:hanging="720"/>
      </w:pPr>
      <w:rPr>
        <w:rFonts w:hint="default"/>
      </w:rPr>
    </w:lvl>
    <w:lvl w:ilvl="3">
      <w:start w:val="1"/>
      <w:numFmt w:val="decimal"/>
      <w:isLgl/>
      <w:lvlText w:val="%1.%2.%3.%4."/>
      <w:lvlJc w:val="left"/>
      <w:pPr>
        <w:ind w:left="2766"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4250" w:hanging="1080"/>
      </w:pPr>
      <w:rPr>
        <w:rFonts w:hint="default"/>
      </w:rPr>
    </w:lvl>
    <w:lvl w:ilvl="6">
      <w:start w:val="1"/>
      <w:numFmt w:val="decimal"/>
      <w:isLgl/>
      <w:lvlText w:val="%1.%2.%3.%4.%5.%6.%7."/>
      <w:lvlJc w:val="left"/>
      <w:pPr>
        <w:ind w:left="5172" w:hanging="1440"/>
      </w:pPr>
      <w:rPr>
        <w:rFonts w:hint="default"/>
      </w:rPr>
    </w:lvl>
    <w:lvl w:ilvl="7">
      <w:start w:val="1"/>
      <w:numFmt w:val="decimal"/>
      <w:isLgl/>
      <w:lvlText w:val="%1.%2.%3.%4.%5.%6.%7.%8."/>
      <w:lvlJc w:val="left"/>
      <w:pPr>
        <w:ind w:left="5734" w:hanging="1440"/>
      </w:pPr>
      <w:rPr>
        <w:rFonts w:hint="default"/>
      </w:rPr>
    </w:lvl>
    <w:lvl w:ilvl="8">
      <w:start w:val="1"/>
      <w:numFmt w:val="decimal"/>
      <w:isLgl/>
      <w:lvlText w:val="%1.%2.%3.%4.%5.%6.%7.%8.%9."/>
      <w:lvlJc w:val="left"/>
      <w:pPr>
        <w:ind w:left="6656" w:hanging="1800"/>
      </w:pPr>
      <w:rPr>
        <w:rFonts w:hint="default"/>
      </w:rPr>
    </w:lvl>
  </w:abstractNum>
  <w:abstractNum w:abstractNumId="60" w15:restartNumberingAfterBreak="0">
    <w:nsid w:val="718C4523"/>
    <w:multiLevelType w:val="hybridMultilevel"/>
    <w:tmpl w:val="8FFE71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2EF05C9"/>
    <w:multiLevelType w:val="hybridMultilevel"/>
    <w:tmpl w:val="0B9A6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AB0701"/>
    <w:multiLevelType w:val="hybridMultilevel"/>
    <w:tmpl w:val="CDBAE112"/>
    <w:lvl w:ilvl="0" w:tplc="0409001B">
      <w:start w:val="1"/>
      <w:numFmt w:val="lowerRoman"/>
      <w:lvlText w:val="%1."/>
      <w:lvlJc w:val="righ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3" w15:restartNumberingAfterBreak="0">
    <w:nsid w:val="779F72E6"/>
    <w:multiLevelType w:val="multilevel"/>
    <w:tmpl w:val="A5F2C814"/>
    <w:lvl w:ilvl="0">
      <w:start w:val="1"/>
      <w:numFmt w:val="decimal"/>
      <w:lvlText w:val="%1."/>
      <w:lvlJc w:val="left"/>
      <w:pPr>
        <w:ind w:left="360" w:hanging="360"/>
      </w:p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64" w15:restartNumberingAfterBreak="0">
    <w:nsid w:val="78DA1914"/>
    <w:multiLevelType w:val="hybridMultilevel"/>
    <w:tmpl w:val="78C82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697426"/>
    <w:multiLevelType w:val="hybridMultilevel"/>
    <w:tmpl w:val="398AD1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536012"/>
    <w:multiLevelType w:val="hybridMultilevel"/>
    <w:tmpl w:val="BE9A9F38"/>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7" w15:restartNumberingAfterBreak="0">
    <w:nsid w:val="7EBC505C"/>
    <w:multiLevelType w:val="multilevel"/>
    <w:tmpl w:val="6330A4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FD5613C"/>
    <w:multiLevelType w:val="hybridMultilevel"/>
    <w:tmpl w:val="133C4A46"/>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66"/>
  </w:num>
  <w:num w:numId="2">
    <w:abstractNumId w:val="30"/>
  </w:num>
  <w:num w:numId="3">
    <w:abstractNumId w:val="22"/>
  </w:num>
  <w:num w:numId="4">
    <w:abstractNumId w:val="56"/>
  </w:num>
  <w:num w:numId="5">
    <w:abstractNumId w:val="63"/>
  </w:num>
  <w:num w:numId="6">
    <w:abstractNumId w:val="54"/>
  </w:num>
  <w:num w:numId="7">
    <w:abstractNumId w:val="24"/>
  </w:num>
  <w:num w:numId="8">
    <w:abstractNumId w:val="0"/>
  </w:num>
  <w:num w:numId="9">
    <w:abstractNumId w:val="6"/>
  </w:num>
  <w:num w:numId="10">
    <w:abstractNumId w:val="67"/>
  </w:num>
  <w:num w:numId="11">
    <w:abstractNumId w:val="58"/>
  </w:num>
  <w:num w:numId="12">
    <w:abstractNumId w:val="40"/>
  </w:num>
  <w:num w:numId="13">
    <w:abstractNumId w:val="43"/>
  </w:num>
  <w:num w:numId="14">
    <w:abstractNumId w:val="12"/>
  </w:num>
  <w:num w:numId="15">
    <w:abstractNumId w:val="59"/>
  </w:num>
  <w:num w:numId="16">
    <w:abstractNumId w:val="31"/>
  </w:num>
  <w:num w:numId="17">
    <w:abstractNumId w:val="29"/>
  </w:num>
  <w:num w:numId="18">
    <w:abstractNumId w:val="35"/>
  </w:num>
  <w:num w:numId="19">
    <w:abstractNumId w:val="16"/>
  </w:num>
  <w:num w:numId="20">
    <w:abstractNumId w:val="64"/>
  </w:num>
  <w:num w:numId="21">
    <w:abstractNumId w:val="13"/>
  </w:num>
  <w:num w:numId="22">
    <w:abstractNumId w:val="68"/>
  </w:num>
  <w:num w:numId="23">
    <w:abstractNumId w:val="51"/>
  </w:num>
  <w:num w:numId="24">
    <w:abstractNumId w:val="20"/>
  </w:num>
  <w:num w:numId="25">
    <w:abstractNumId w:val="2"/>
  </w:num>
  <w:num w:numId="26">
    <w:abstractNumId w:val="7"/>
  </w:num>
  <w:num w:numId="27">
    <w:abstractNumId w:val="61"/>
  </w:num>
  <w:num w:numId="28">
    <w:abstractNumId w:val="65"/>
  </w:num>
  <w:num w:numId="29">
    <w:abstractNumId w:val="26"/>
  </w:num>
  <w:num w:numId="30">
    <w:abstractNumId w:val="33"/>
  </w:num>
  <w:num w:numId="31">
    <w:abstractNumId w:val="60"/>
  </w:num>
  <w:num w:numId="32">
    <w:abstractNumId w:val="14"/>
  </w:num>
  <w:num w:numId="33">
    <w:abstractNumId w:val="34"/>
  </w:num>
  <w:num w:numId="34">
    <w:abstractNumId w:val="47"/>
  </w:num>
  <w:num w:numId="35">
    <w:abstractNumId w:val="4"/>
  </w:num>
  <w:num w:numId="36">
    <w:abstractNumId w:val="11"/>
  </w:num>
  <w:num w:numId="37">
    <w:abstractNumId w:val="42"/>
  </w:num>
  <w:num w:numId="38">
    <w:abstractNumId w:val="9"/>
  </w:num>
  <w:num w:numId="39">
    <w:abstractNumId w:val="32"/>
  </w:num>
  <w:num w:numId="40">
    <w:abstractNumId w:val="48"/>
  </w:num>
  <w:num w:numId="41">
    <w:abstractNumId w:val="3"/>
  </w:num>
  <w:num w:numId="42">
    <w:abstractNumId w:val="19"/>
  </w:num>
  <w:num w:numId="43">
    <w:abstractNumId w:val="10"/>
  </w:num>
  <w:num w:numId="44">
    <w:abstractNumId w:val="52"/>
  </w:num>
  <w:num w:numId="45">
    <w:abstractNumId w:val="5"/>
  </w:num>
  <w:num w:numId="46">
    <w:abstractNumId w:val="38"/>
  </w:num>
  <w:num w:numId="47">
    <w:abstractNumId w:val="21"/>
  </w:num>
  <w:num w:numId="48">
    <w:abstractNumId w:val="36"/>
  </w:num>
  <w:num w:numId="49">
    <w:abstractNumId w:val="27"/>
  </w:num>
  <w:num w:numId="50">
    <w:abstractNumId w:val="25"/>
  </w:num>
  <w:num w:numId="51">
    <w:abstractNumId w:val="28"/>
  </w:num>
  <w:num w:numId="52">
    <w:abstractNumId w:val="18"/>
  </w:num>
  <w:num w:numId="53">
    <w:abstractNumId w:val="1"/>
  </w:num>
  <w:num w:numId="54">
    <w:abstractNumId w:val="15"/>
  </w:num>
  <w:num w:numId="55">
    <w:abstractNumId w:val="23"/>
  </w:num>
  <w:num w:numId="56">
    <w:abstractNumId w:val="17"/>
  </w:num>
  <w:num w:numId="57">
    <w:abstractNumId w:val="49"/>
  </w:num>
  <w:num w:numId="58">
    <w:abstractNumId w:val="37"/>
  </w:num>
  <w:num w:numId="59">
    <w:abstractNumId w:val="45"/>
  </w:num>
  <w:num w:numId="60">
    <w:abstractNumId w:val="44"/>
  </w:num>
  <w:num w:numId="61">
    <w:abstractNumId w:val="8"/>
  </w:num>
  <w:num w:numId="62">
    <w:abstractNumId w:val="55"/>
  </w:num>
  <w:num w:numId="63">
    <w:abstractNumId w:val="39"/>
  </w:num>
  <w:num w:numId="64">
    <w:abstractNumId w:val="46"/>
  </w:num>
  <w:num w:numId="65">
    <w:abstractNumId w:val="57"/>
  </w:num>
  <w:num w:numId="66">
    <w:abstractNumId w:val="50"/>
  </w:num>
  <w:num w:numId="67">
    <w:abstractNumId w:val="41"/>
  </w:num>
  <w:num w:numId="68">
    <w:abstractNumId w:val="62"/>
  </w:num>
  <w:num w:numId="69">
    <w:abstractNumId w:val="5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revisionView w:inkAnnotations="0"/>
  <w:defaultTabStop w:val="72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176"/>
    <w:rsid w:val="00001DE3"/>
    <w:rsid w:val="000114B7"/>
    <w:rsid w:val="000126A1"/>
    <w:rsid w:val="00013C79"/>
    <w:rsid w:val="00014095"/>
    <w:rsid w:val="00015853"/>
    <w:rsid w:val="00020C30"/>
    <w:rsid w:val="0002111D"/>
    <w:rsid w:val="00021BC7"/>
    <w:rsid w:val="00023427"/>
    <w:rsid w:val="00023489"/>
    <w:rsid w:val="0002434A"/>
    <w:rsid w:val="00027A3D"/>
    <w:rsid w:val="00037862"/>
    <w:rsid w:val="00040210"/>
    <w:rsid w:val="0004504C"/>
    <w:rsid w:val="00046A89"/>
    <w:rsid w:val="00051282"/>
    <w:rsid w:val="0005245A"/>
    <w:rsid w:val="00054330"/>
    <w:rsid w:val="0006230E"/>
    <w:rsid w:val="00062349"/>
    <w:rsid w:val="00064216"/>
    <w:rsid w:val="000740AB"/>
    <w:rsid w:val="000748B2"/>
    <w:rsid w:val="00077258"/>
    <w:rsid w:val="0008566C"/>
    <w:rsid w:val="00091388"/>
    <w:rsid w:val="00093DF5"/>
    <w:rsid w:val="000951C1"/>
    <w:rsid w:val="00096380"/>
    <w:rsid w:val="000A03A8"/>
    <w:rsid w:val="000A3611"/>
    <w:rsid w:val="000A3CA8"/>
    <w:rsid w:val="000A509E"/>
    <w:rsid w:val="000A5A6C"/>
    <w:rsid w:val="000A6EEC"/>
    <w:rsid w:val="000B1559"/>
    <w:rsid w:val="000B2AB9"/>
    <w:rsid w:val="000B3CFF"/>
    <w:rsid w:val="000B5CAD"/>
    <w:rsid w:val="000B6B6D"/>
    <w:rsid w:val="000C00FD"/>
    <w:rsid w:val="000C1132"/>
    <w:rsid w:val="000E09FF"/>
    <w:rsid w:val="000E2A87"/>
    <w:rsid w:val="000E3EB7"/>
    <w:rsid w:val="000E47FF"/>
    <w:rsid w:val="000E6A32"/>
    <w:rsid w:val="000E6BA4"/>
    <w:rsid w:val="000F185F"/>
    <w:rsid w:val="000F30B9"/>
    <w:rsid w:val="001004A7"/>
    <w:rsid w:val="00104330"/>
    <w:rsid w:val="00110E69"/>
    <w:rsid w:val="00110F01"/>
    <w:rsid w:val="00123862"/>
    <w:rsid w:val="001248B7"/>
    <w:rsid w:val="00125E99"/>
    <w:rsid w:val="00126475"/>
    <w:rsid w:val="00127B96"/>
    <w:rsid w:val="001314E1"/>
    <w:rsid w:val="0013507E"/>
    <w:rsid w:val="00135883"/>
    <w:rsid w:val="00136762"/>
    <w:rsid w:val="00143B41"/>
    <w:rsid w:val="00156C55"/>
    <w:rsid w:val="0016074C"/>
    <w:rsid w:val="0016318D"/>
    <w:rsid w:val="001636C8"/>
    <w:rsid w:val="00163981"/>
    <w:rsid w:val="001732EA"/>
    <w:rsid w:val="0017517C"/>
    <w:rsid w:val="001761DC"/>
    <w:rsid w:val="00176D4D"/>
    <w:rsid w:val="00177641"/>
    <w:rsid w:val="00187946"/>
    <w:rsid w:val="001920ED"/>
    <w:rsid w:val="001A157C"/>
    <w:rsid w:val="001A2047"/>
    <w:rsid w:val="001A25B5"/>
    <w:rsid w:val="001A2A3C"/>
    <w:rsid w:val="001A2D12"/>
    <w:rsid w:val="001A7568"/>
    <w:rsid w:val="001A7842"/>
    <w:rsid w:val="001B07C8"/>
    <w:rsid w:val="001B0E87"/>
    <w:rsid w:val="001B4AE2"/>
    <w:rsid w:val="001B661F"/>
    <w:rsid w:val="001C0064"/>
    <w:rsid w:val="001C11EB"/>
    <w:rsid w:val="001C2C3C"/>
    <w:rsid w:val="001C45C0"/>
    <w:rsid w:val="001C6492"/>
    <w:rsid w:val="001C6F8A"/>
    <w:rsid w:val="001D0143"/>
    <w:rsid w:val="001E0091"/>
    <w:rsid w:val="001E4496"/>
    <w:rsid w:val="001F0549"/>
    <w:rsid w:val="001F1A34"/>
    <w:rsid w:val="001F366D"/>
    <w:rsid w:val="00200FB4"/>
    <w:rsid w:val="00202929"/>
    <w:rsid w:val="002053E7"/>
    <w:rsid w:val="002261BC"/>
    <w:rsid w:val="00226D26"/>
    <w:rsid w:val="002306A6"/>
    <w:rsid w:val="00231076"/>
    <w:rsid w:val="00231460"/>
    <w:rsid w:val="002319AE"/>
    <w:rsid w:val="0023314B"/>
    <w:rsid w:val="002472ED"/>
    <w:rsid w:val="002507B5"/>
    <w:rsid w:val="0025772F"/>
    <w:rsid w:val="002608BF"/>
    <w:rsid w:val="0028018F"/>
    <w:rsid w:val="00284F13"/>
    <w:rsid w:val="00286BDD"/>
    <w:rsid w:val="00290673"/>
    <w:rsid w:val="002917C0"/>
    <w:rsid w:val="002A23BC"/>
    <w:rsid w:val="002A2626"/>
    <w:rsid w:val="002A3182"/>
    <w:rsid w:val="002A368D"/>
    <w:rsid w:val="002B2061"/>
    <w:rsid w:val="002B2255"/>
    <w:rsid w:val="002B2912"/>
    <w:rsid w:val="002B7611"/>
    <w:rsid w:val="002C242F"/>
    <w:rsid w:val="002C71E7"/>
    <w:rsid w:val="002D6B9C"/>
    <w:rsid w:val="002D6DC9"/>
    <w:rsid w:val="002E2A19"/>
    <w:rsid w:val="002E367C"/>
    <w:rsid w:val="002E495C"/>
    <w:rsid w:val="002E766E"/>
    <w:rsid w:val="002E7746"/>
    <w:rsid w:val="002F2077"/>
    <w:rsid w:val="002F2732"/>
    <w:rsid w:val="002F290A"/>
    <w:rsid w:val="002F74DB"/>
    <w:rsid w:val="00300145"/>
    <w:rsid w:val="00312804"/>
    <w:rsid w:val="00312BC4"/>
    <w:rsid w:val="0032098D"/>
    <w:rsid w:val="0033677A"/>
    <w:rsid w:val="00341A26"/>
    <w:rsid w:val="003427A5"/>
    <w:rsid w:val="00346327"/>
    <w:rsid w:val="003479DD"/>
    <w:rsid w:val="00356E23"/>
    <w:rsid w:val="00361347"/>
    <w:rsid w:val="003621DD"/>
    <w:rsid w:val="00363F24"/>
    <w:rsid w:val="00366CEA"/>
    <w:rsid w:val="00370C59"/>
    <w:rsid w:val="003722D5"/>
    <w:rsid w:val="00373E53"/>
    <w:rsid w:val="00374BD6"/>
    <w:rsid w:val="00374EAF"/>
    <w:rsid w:val="00380518"/>
    <w:rsid w:val="00382E4E"/>
    <w:rsid w:val="00383F6A"/>
    <w:rsid w:val="00384524"/>
    <w:rsid w:val="0038637F"/>
    <w:rsid w:val="003922CB"/>
    <w:rsid w:val="003956DE"/>
    <w:rsid w:val="003A13BF"/>
    <w:rsid w:val="003A4BDE"/>
    <w:rsid w:val="003A52A3"/>
    <w:rsid w:val="003A67EE"/>
    <w:rsid w:val="003B0373"/>
    <w:rsid w:val="003B0717"/>
    <w:rsid w:val="003B32D2"/>
    <w:rsid w:val="003B3FAD"/>
    <w:rsid w:val="003B56F1"/>
    <w:rsid w:val="003C0E7C"/>
    <w:rsid w:val="003C1312"/>
    <w:rsid w:val="003C1B64"/>
    <w:rsid w:val="003C1F86"/>
    <w:rsid w:val="003C3A64"/>
    <w:rsid w:val="003C7682"/>
    <w:rsid w:val="003E4823"/>
    <w:rsid w:val="003F137E"/>
    <w:rsid w:val="00407B80"/>
    <w:rsid w:val="00407C17"/>
    <w:rsid w:val="004118BA"/>
    <w:rsid w:val="0041607B"/>
    <w:rsid w:val="0041649B"/>
    <w:rsid w:val="00416FF5"/>
    <w:rsid w:val="00431C45"/>
    <w:rsid w:val="00432EE7"/>
    <w:rsid w:val="0043663E"/>
    <w:rsid w:val="00441848"/>
    <w:rsid w:val="00442017"/>
    <w:rsid w:val="0044384F"/>
    <w:rsid w:val="0044531B"/>
    <w:rsid w:val="00446BBF"/>
    <w:rsid w:val="00452801"/>
    <w:rsid w:val="00452A91"/>
    <w:rsid w:val="00455CF9"/>
    <w:rsid w:val="00462E85"/>
    <w:rsid w:val="00463177"/>
    <w:rsid w:val="0046334B"/>
    <w:rsid w:val="00463CDF"/>
    <w:rsid w:val="004679D5"/>
    <w:rsid w:val="0047115D"/>
    <w:rsid w:val="00474DA5"/>
    <w:rsid w:val="00481462"/>
    <w:rsid w:val="00482F04"/>
    <w:rsid w:val="00490FDF"/>
    <w:rsid w:val="004948DC"/>
    <w:rsid w:val="004A2A9C"/>
    <w:rsid w:val="004A31D1"/>
    <w:rsid w:val="004A59D8"/>
    <w:rsid w:val="004B5538"/>
    <w:rsid w:val="004B60BE"/>
    <w:rsid w:val="004C50AC"/>
    <w:rsid w:val="004C656B"/>
    <w:rsid w:val="004D083E"/>
    <w:rsid w:val="004D7A9F"/>
    <w:rsid w:val="004E0AFC"/>
    <w:rsid w:val="004E3C7F"/>
    <w:rsid w:val="004E5466"/>
    <w:rsid w:val="004F27A5"/>
    <w:rsid w:val="0050787A"/>
    <w:rsid w:val="005134B6"/>
    <w:rsid w:val="00515204"/>
    <w:rsid w:val="005152AB"/>
    <w:rsid w:val="00517C9B"/>
    <w:rsid w:val="005202EE"/>
    <w:rsid w:val="00524081"/>
    <w:rsid w:val="00530FE9"/>
    <w:rsid w:val="00531D1D"/>
    <w:rsid w:val="005358CC"/>
    <w:rsid w:val="0053633D"/>
    <w:rsid w:val="0053796A"/>
    <w:rsid w:val="00542A14"/>
    <w:rsid w:val="0054304F"/>
    <w:rsid w:val="005464B6"/>
    <w:rsid w:val="00550534"/>
    <w:rsid w:val="0055222B"/>
    <w:rsid w:val="0055547A"/>
    <w:rsid w:val="0056205B"/>
    <w:rsid w:val="00562E74"/>
    <w:rsid w:val="0056420A"/>
    <w:rsid w:val="00564394"/>
    <w:rsid w:val="00564A09"/>
    <w:rsid w:val="00565E9F"/>
    <w:rsid w:val="00582FE4"/>
    <w:rsid w:val="00583106"/>
    <w:rsid w:val="00585F6F"/>
    <w:rsid w:val="005874AE"/>
    <w:rsid w:val="00593962"/>
    <w:rsid w:val="00596332"/>
    <w:rsid w:val="00597689"/>
    <w:rsid w:val="005A14D6"/>
    <w:rsid w:val="005A2B0C"/>
    <w:rsid w:val="005A3B99"/>
    <w:rsid w:val="005A4D7F"/>
    <w:rsid w:val="005A6775"/>
    <w:rsid w:val="005A7B72"/>
    <w:rsid w:val="005B4DB6"/>
    <w:rsid w:val="005B71C1"/>
    <w:rsid w:val="005B75E8"/>
    <w:rsid w:val="005B7F3E"/>
    <w:rsid w:val="005C123B"/>
    <w:rsid w:val="005C459F"/>
    <w:rsid w:val="005C56F3"/>
    <w:rsid w:val="005C5B72"/>
    <w:rsid w:val="005D31CD"/>
    <w:rsid w:val="005D3B13"/>
    <w:rsid w:val="005D7295"/>
    <w:rsid w:val="005D7DD9"/>
    <w:rsid w:val="005E5861"/>
    <w:rsid w:val="005E6B8F"/>
    <w:rsid w:val="005F168D"/>
    <w:rsid w:val="005F3E5B"/>
    <w:rsid w:val="006053FF"/>
    <w:rsid w:val="006140F8"/>
    <w:rsid w:val="006163BD"/>
    <w:rsid w:val="006166E4"/>
    <w:rsid w:val="00617DD1"/>
    <w:rsid w:val="006202B8"/>
    <w:rsid w:val="00620CA1"/>
    <w:rsid w:val="006318DB"/>
    <w:rsid w:val="0064454D"/>
    <w:rsid w:val="006506CB"/>
    <w:rsid w:val="00652440"/>
    <w:rsid w:val="00652D1C"/>
    <w:rsid w:val="00652EBA"/>
    <w:rsid w:val="00653191"/>
    <w:rsid w:val="006576DE"/>
    <w:rsid w:val="00660F7E"/>
    <w:rsid w:val="00663EE8"/>
    <w:rsid w:val="006647E2"/>
    <w:rsid w:val="00667638"/>
    <w:rsid w:val="00670332"/>
    <w:rsid w:val="00673532"/>
    <w:rsid w:val="006755A4"/>
    <w:rsid w:val="006757B5"/>
    <w:rsid w:val="00675C6B"/>
    <w:rsid w:val="006779B9"/>
    <w:rsid w:val="006821FB"/>
    <w:rsid w:val="00684C38"/>
    <w:rsid w:val="00691BC3"/>
    <w:rsid w:val="00696636"/>
    <w:rsid w:val="006971CD"/>
    <w:rsid w:val="006A3632"/>
    <w:rsid w:val="006C0DEA"/>
    <w:rsid w:val="006C0E4E"/>
    <w:rsid w:val="006C2442"/>
    <w:rsid w:val="006C3E76"/>
    <w:rsid w:val="006C6928"/>
    <w:rsid w:val="006C770D"/>
    <w:rsid w:val="006E04E4"/>
    <w:rsid w:val="006E36DF"/>
    <w:rsid w:val="006F3A3E"/>
    <w:rsid w:val="00702742"/>
    <w:rsid w:val="00707284"/>
    <w:rsid w:val="00713229"/>
    <w:rsid w:val="007269A8"/>
    <w:rsid w:val="00726C45"/>
    <w:rsid w:val="00727959"/>
    <w:rsid w:val="00736099"/>
    <w:rsid w:val="00741859"/>
    <w:rsid w:val="00744E19"/>
    <w:rsid w:val="00746737"/>
    <w:rsid w:val="00746D0C"/>
    <w:rsid w:val="00746D39"/>
    <w:rsid w:val="00750AD7"/>
    <w:rsid w:val="007525C1"/>
    <w:rsid w:val="00753D55"/>
    <w:rsid w:val="00754FC6"/>
    <w:rsid w:val="00756086"/>
    <w:rsid w:val="00771D6D"/>
    <w:rsid w:val="007729D5"/>
    <w:rsid w:val="00775ED7"/>
    <w:rsid w:val="00782259"/>
    <w:rsid w:val="00785883"/>
    <w:rsid w:val="00793622"/>
    <w:rsid w:val="007974B8"/>
    <w:rsid w:val="007A5C41"/>
    <w:rsid w:val="007A60D0"/>
    <w:rsid w:val="007B54A8"/>
    <w:rsid w:val="007B7E36"/>
    <w:rsid w:val="007C0205"/>
    <w:rsid w:val="007C060E"/>
    <w:rsid w:val="007C072D"/>
    <w:rsid w:val="007C2270"/>
    <w:rsid w:val="007C3448"/>
    <w:rsid w:val="007C73DA"/>
    <w:rsid w:val="007D3099"/>
    <w:rsid w:val="007D50CB"/>
    <w:rsid w:val="007F7B12"/>
    <w:rsid w:val="008013B8"/>
    <w:rsid w:val="00802257"/>
    <w:rsid w:val="00802A2D"/>
    <w:rsid w:val="00803EA4"/>
    <w:rsid w:val="00804424"/>
    <w:rsid w:val="00806FC6"/>
    <w:rsid w:val="008076AE"/>
    <w:rsid w:val="00810367"/>
    <w:rsid w:val="00810ED9"/>
    <w:rsid w:val="00811BDC"/>
    <w:rsid w:val="00812F71"/>
    <w:rsid w:val="00816839"/>
    <w:rsid w:val="0082207D"/>
    <w:rsid w:val="00831913"/>
    <w:rsid w:val="0083642E"/>
    <w:rsid w:val="008444CC"/>
    <w:rsid w:val="00844B39"/>
    <w:rsid w:val="00844DC7"/>
    <w:rsid w:val="0086417D"/>
    <w:rsid w:val="00865F72"/>
    <w:rsid w:val="00867903"/>
    <w:rsid w:val="008724DD"/>
    <w:rsid w:val="0087357A"/>
    <w:rsid w:val="0087380E"/>
    <w:rsid w:val="00874740"/>
    <w:rsid w:val="00876E92"/>
    <w:rsid w:val="00880790"/>
    <w:rsid w:val="00881C6B"/>
    <w:rsid w:val="0088442D"/>
    <w:rsid w:val="00892059"/>
    <w:rsid w:val="008A369A"/>
    <w:rsid w:val="008A5AAF"/>
    <w:rsid w:val="008B10EF"/>
    <w:rsid w:val="008B394B"/>
    <w:rsid w:val="008B6FD4"/>
    <w:rsid w:val="008C0EAD"/>
    <w:rsid w:val="008C404E"/>
    <w:rsid w:val="008D47E0"/>
    <w:rsid w:val="008D5935"/>
    <w:rsid w:val="008D76BF"/>
    <w:rsid w:val="008E008B"/>
    <w:rsid w:val="008E2AAA"/>
    <w:rsid w:val="008F1EA1"/>
    <w:rsid w:val="008F569F"/>
    <w:rsid w:val="008F72FF"/>
    <w:rsid w:val="00903DCC"/>
    <w:rsid w:val="0090471F"/>
    <w:rsid w:val="00904FCB"/>
    <w:rsid w:val="00914051"/>
    <w:rsid w:val="00924873"/>
    <w:rsid w:val="00924CAB"/>
    <w:rsid w:val="0092779F"/>
    <w:rsid w:val="00932CA9"/>
    <w:rsid w:val="0093528C"/>
    <w:rsid w:val="00935DBB"/>
    <w:rsid w:val="00936C0C"/>
    <w:rsid w:val="00940147"/>
    <w:rsid w:val="00940AE5"/>
    <w:rsid w:val="009460F6"/>
    <w:rsid w:val="0094647A"/>
    <w:rsid w:val="009607DB"/>
    <w:rsid w:val="009616AB"/>
    <w:rsid w:val="00962E8D"/>
    <w:rsid w:val="009635B5"/>
    <w:rsid w:val="00964F0C"/>
    <w:rsid w:val="009657E8"/>
    <w:rsid w:val="009707FE"/>
    <w:rsid w:val="0097270C"/>
    <w:rsid w:val="009759F4"/>
    <w:rsid w:val="00997998"/>
    <w:rsid w:val="009A1761"/>
    <w:rsid w:val="009A64CE"/>
    <w:rsid w:val="009B33CB"/>
    <w:rsid w:val="009C416B"/>
    <w:rsid w:val="009C5902"/>
    <w:rsid w:val="009C6ACC"/>
    <w:rsid w:val="009D1C75"/>
    <w:rsid w:val="009D1EBE"/>
    <w:rsid w:val="009D4725"/>
    <w:rsid w:val="009D704E"/>
    <w:rsid w:val="009D7E59"/>
    <w:rsid w:val="009E1E37"/>
    <w:rsid w:val="009E31DD"/>
    <w:rsid w:val="009E4C14"/>
    <w:rsid w:val="009E5767"/>
    <w:rsid w:val="009E5CF2"/>
    <w:rsid w:val="009F04D1"/>
    <w:rsid w:val="00A101E8"/>
    <w:rsid w:val="00A12DEA"/>
    <w:rsid w:val="00A13F01"/>
    <w:rsid w:val="00A21ED1"/>
    <w:rsid w:val="00A238FF"/>
    <w:rsid w:val="00A263A7"/>
    <w:rsid w:val="00A32BDD"/>
    <w:rsid w:val="00A4563E"/>
    <w:rsid w:val="00A46AE4"/>
    <w:rsid w:val="00A53B75"/>
    <w:rsid w:val="00A54D19"/>
    <w:rsid w:val="00A55237"/>
    <w:rsid w:val="00A55AB6"/>
    <w:rsid w:val="00A64CC2"/>
    <w:rsid w:val="00A70D21"/>
    <w:rsid w:val="00A71CCB"/>
    <w:rsid w:val="00A74CC4"/>
    <w:rsid w:val="00A83F91"/>
    <w:rsid w:val="00A84E60"/>
    <w:rsid w:val="00A85691"/>
    <w:rsid w:val="00A87BC9"/>
    <w:rsid w:val="00A9091D"/>
    <w:rsid w:val="00A91EF8"/>
    <w:rsid w:val="00A95948"/>
    <w:rsid w:val="00AA0D75"/>
    <w:rsid w:val="00AA20B6"/>
    <w:rsid w:val="00AA4075"/>
    <w:rsid w:val="00AA520C"/>
    <w:rsid w:val="00AA6315"/>
    <w:rsid w:val="00AA77DC"/>
    <w:rsid w:val="00AB242F"/>
    <w:rsid w:val="00AB5BFC"/>
    <w:rsid w:val="00AB63E0"/>
    <w:rsid w:val="00AC1D56"/>
    <w:rsid w:val="00AC39C1"/>
    <w:rsid w:val="00AC4462"/>
    <w:rsid w:val="00AD26B4"/>
    <w:rsid w:val="00AD2D5D"/>
    <w:rsid w:val="00AD654B"/>
    <w:rsid w:val="00AD677A"/>
    <w:rsid w:val="00AE4AE7"/>
    <w:rsid w:val="00AE4B31"/>
    <w:rsid w:val="00AE522C"/>
    <w:rsid w:val="00B00DC9"/>
    <w:rsid w:val="00B02E95"/>
    <w:rsid w:val="00B05995"/>
    <w:rsid w:val="00B1327F"/>
    <w:rsid w:val="00B16B85"/>
    <w:rsid w:val="00B206D8"/>
    <w:rsid w:val="00B35685"/>
    <w:rsid w:val="00B377E6"/>
    <w:rsid w:val="00B43B51"/>
    <w:rsid w:val="00B449B4"/>
    <w:rsid w:val="00B5141E"/>
    <w:rsid w:val="00B537C5"/>
    <w:rsid w:val="00B54963"/>
    <w:rsid w:val="00B54B2D"/>
    <w:rsid w:val="00B633CC"/>
    <w:rsid w:val="00B63411"/>
    <w:rsid w:val="00B70181"/>
    <w:rsid w:val="00B708DB"/>
    <w:rsid w:val="00B71485"/>
    <w:rsid w:val="00B73C4B"/>
    <w:rsid w:val="00B76DD4"/>
    <w:rsid w:val="00B832CA"/>
    <w:rsid w:val="00B83D5B"/>
    <w:rsid w:val="00B862AE"/>
    <w:rsid w:val="00B945CD"/>
    <w:rsid w:val="00BA0110"/>
    <w:rsid w:val="00BA0B81"/>
    <w:rsid w:val="00BA37B4"/>
    <w:rsid w:val="00BA3B91"/>
    <w:rsid w:val="00BA4C35"/>
    <w:rsid w:val="00BA64F1"/>
    <w:rsid w:val="00BA75BE"/>
    <w:rsid w:val="00BB2090"/>
    <w:rsid w:val="00BB2499"/>
    <w:rsid w:val="00BB4A45"/>
    <w:rsid w:val="00BB5F37"/>
    <w:rsid w:val="00BB6996"/>
    <w:rsid w:val="00BB78A7"/>
    <w:rsid w:val="00BC5733"/>
    <w:rsid w:val="00BC5EBE"/>
    <w:rsid w:val="00BC66A3"/>
    <w:rsid w:val="00BD0DE7"/>
    <w:rsid w:val="00BD0FB1"/>
    <w:rsid w:val="00BD6FD3"/>
    <w:rsid w:val="00BD7B34"/>
    <w:rsid w:val="00BE47B8"/>
    <w:rsid w:val="00BE7537"/>
    <w:rsid w:val="00BF3831"/>
    <w:rsid w:val="00BF6160"/>
    <w:rsid w:val="00C0074C"/>
    <w:rsid w:val="00C016C1"/>
    <w:rsid w:val="00C01EBC"/>
    <w:rsid w:val="00C032AD"/>
    <w:rsid w:val="00C04D6C"/>
    <w:rsid w:val="00C04F12"/>
    <w:rsid w:val="00C1377D"/>
    <w:rsid w:val="00C14658"/>
    <w:rsid w:val="00C22DC1"/>
    <w:rsid w:val="00C27A32"/>
    <w:rsid w:val="00C32EFD"/>
    <w:rsid w:val="00C36D0C"/>
    <w:rsid w:val="00C40EE3"/>
    <w:rsid w:val="00C41673"/>
    <w:rsid w:val="00C4685E"/>
    <w:rsid w:val="00C5072D"/>
    <w:rsid w:val="00C53440"/>
    <w:rsid w:val="00C57034"/>
    <w:rsid w:val="00C5722B"/>
    <w:rsid w:val="00C602A0"/>
    <w:rsid w:val="00C65E54"/>
    <w:rsid w:val="00C71FC8"/>
    <w:rsid w:val="00C7204E"/>
    <w:rsid w:val="00C75EDD"/>
    <w:rsid w:val="00C82716"/>
    <w:rsid w:val="00C82912"/>
    <w:rsid w:val="00C91EAA"/>
    <w:rsid w:val="00C93173"/>
    <w:rsid w:val="00C96466"/>
    <w:rsid w:val="00CA5056"/>
    <w:rsid w:val="00CC0460"/>
    <w:rsid w:val="00CC26CF"/>
    <w:rsid w:val="00CC2CDB"/>
    <w:rsid w:val="00CC6794"/>
    <w:rsid w:val="00CC694C"/>
    <w:rsid w:val="00CD13E2"/>
    <w:rsid w:val="00CD6864"/>
    <w:rsid w:val="00CE2BD4"/>
    <w:rsid w:val="00CE5543"/>
    <w:rsid w:val="00CE611A"/>
    <w:rsid w:val="00CF2BA7"/>
    <w:rsid w:val="00CF2D2E"/>
    <w:rsid w:val="00CF3299"/>
    <w:rsid w:val="00CF4326"/>
    <w:rsid w:val="00CF500E"/>
    <w:rsid w:val="00D0107F"/>
    <w:rsid w:val="00D02B0F"/>
    <w:rsid w:val="00D10B8B"/>
    <w:rsid w:val="00D17F17"/>
    <w:rsid w:val="00D37DE5"/>
    <w:rsid w:val="00D46B64"/>
    <w:rsid w:val="00D533FB"/>
    <w:rsid w:val="00D54A1D"/>
    <w:rsid w:val="00D61149"/>
    <w:rsid w:val="00D64B0F"/>
    <w:rsid w:val="00D66A03"/>
    <w:rsid w:val="00D6710C"/>
    <w:rsid w:val="00D73054"/>
    <w:rsid w:val="00D73749"/>
    <w:rsid w:val="00D7490D"/>
    <w:rsid w:val="00D803AB"/>
    <w:rsid w:val="00D80B76"/>
    <w:rsid w:val="00D81020"/>
    <w:rsid w:val="00D846F8"/>
    <w:rsid w:val="00D84E1B"/>
    <w:rsid w:val="00D8799A"/>
    <w:rsid w:val="00D96963"/>
    <w:rsid w:val="00DB0689"/>
    <w:rsid w:val="00DB08A4"/>
    <w:rsid w:val="00DB26C2"/>
    <w:rsid w:val="00DB6B0C"/>
    <w:rsid w:val="00DC3E31"/>
    <w:rsid w:val="00DC4E9A"/>
    <w:rsid w:val="00DC6F49"/>
    <w:rsid w:val="00DD02BA"/>
    <w:rsid w:val="00DD1A64"/>
    <w:rsid w:val="00DD3620"/>
    <w:rsid w:val="00DD5400"/>
    <w:rsid w:val="00DE14B9"/>
    <w:rsid w:val="00DE3360"/>
    <w:rsid w:val="00DE4033"/>
    <w:rsid w:val="00DE4A6E"/>
    <w:rsid w:val="00DF7AED"/>
    <w:rsid w:val="00E00C59"/>
    <w:rsid w:val="00E00CC8"/>
    <w:rsid w:val="00E00DEF"/>
    <w:rsid w:val="00E01957"/>
    <w:rsid w:val="00E03BF7"/>
    <w:rsid w:val="00E04745"/>
    <w:rsid w:val="00E06932"/>
    <w:rsid w:val="00E153A1"/>
    <w:rsid w:val="00E16BE4"/>
    <w:rsid w:val="00E303FA"/>
    <w:rsid w:val="00E336BC"/>
    <w:rsid w:val="00E33BDF"/>
    <w:rsid w:val="00E41758"/>
    <w:rsid w:val="00E42B0D"/>
    <w:rsid w:val="00E4433E"/>
    <w:rsid w:val="00E468F5"/>
    <w:rsid w:val="00E51D4A"/>
    <w:rsid w:val="00E5690D"/>
    <w:rsid w:val="00E62FB9"/>
    <w:rsid w:val="00E73F6A"/>
    <w:rsid w:val="00E761D9"/>
    <w:rsid w:val="00E839B6"/>
    <w:rsid w:val="00E85828"/>
    <w:rsid w:val="00E87D52"/>
    <w:rsid w:val="00E94858"/>
    <w:rsid w:val="00E9632E"/>
    <w:rsid w:val="00EB0D5D"/>
    <w:rsid w:val="00EB3D43"/>
    <w:rsid w:val="00EC3544"/>
    <w:rsid w:val="00EC44C9"/>
    <w:rsid w:val="00EC5D9E"/>
    <w:rsid w:val="00EC6561"/>
    <w:rsid w:val="00ED562C"/>
    <w:rsid w:val="00ED59A4"/>
    <w:rsid w:val="00EE01C7"/>
    <w:rsid w:val="00EF0BF4"/>
    <w:rsid w:val="00EF68FA"/>
    <w:rsid w:val="00EF6B67"/>
    <w:rsid w:val="00F00176"/>
    <w:rsid w:val="00F024EC"/>
    <w:rsid w:val="00F036B3"/>
    <w:rsid w:val="00F06D16"/>
    <w:rsid w:val="00F07747"/>
    <w:rsid w:val="00F116E9"/>
    <w:rsid w:val="00F13CC3"/>
    <w:rsid w:val="00F37193"/>
    <w:rsid w:val="00F42268"/>
    <w:rsid w:val="00F42DD6"/>
    <w:rsid w:val="00F44298"/>
    <w:rsid w:val="00F4479B"/>
    <w:rsid w:val="00F45701"/>
    <w:rsid w:val="00F46226"/>
    <w:rsid w:val="00F46345"/>
    <w:rsid w:val="00F51681"/>
    <w:rsid w:val="00F52CD9"/>
    <w:rsid w:val="00F54563"/>
    <w:rsid w:val="00F55249"/>
    <w:rsid w:val="00F578F4"/>
    <w:rsid w:val="00F66A03"/>
    <w:rsid w:val="00F677EB"/>
    <w:rsid w:val="00F8303E"/>
    <w:rsid w:val="00F84A9E"/>
    <w:rsid w:val="00F92294"/>
    <w:rsid w:val="00F95FFF"/>
    <w:rsid w:val="00F964B6"/>
    <w:rsid w:val="00F966F1"/>
    <w:rsid w:val="00FB2CFB"/>
    <w:rsid w:val="00FB33A7"/>
    <w:rsid w:val="00FB35A8"/>
    <w:rsid w:val="00FC38B3"/>
    <w:rsid w:val="00FC5D57"/>
    <w:rsid w:val="00FC66F4"/>
    <w:rsid w:val="00FC713F"/>
    <w:rsid w:val="00FD240C"/>
    <w:rsid w:val="00FD2B13"/>
    <w:rsid w:val="00FD2C5C"/>
    <w:rsid w:val="00FD3F98"/>
    <w:rsid w:val="00FD5163"/>
    <w:rsid w:val="00FD5334"/>
    <w:rsid w:val="00FE0DEF"/>
    <w:rsid w:val="00FE5A72"/>
    <w:rsid w:val="00FF0013"/>
    <w:rsid w:val="00FF2206"/>
    <w:rsid w:val="00FF3462"/>
    <w:rsid w:val="00FF4EBE"/>
    <w:rsid w:val="00FF55F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431F"/>
  <w15:docId w15:val="{C3643E2B-8A69-4F08-BF9E-35AD6D64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017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semiHidden/>
    <w:unhideWhenUsed/>
    <w:rsid w:val="00675C6B"/>
    <w:rPr>
      <w:sz w:val="16"/>
      <w:szCs w:val="16"/>
    </w:rPr>
  </w:style>
  <w:style w:type="paragraph" w:styleId="CommentText">
    <w:name w:val="annotation text"/>
    <w:basedOn w:val="Normal"/>
    <w:link w:val="CommentTextChar"/>
    <w:uiPriority w:val="99"/>
    <w:unhideWhenUsed/>
    <w:rsid w:val="00675C6B"/>
    <w:pPr>
      <w:spacing w:line="240" w:lineRule="auto"/>
    </w:pPr>
    <w:rPr>
      <w:sz w:val="20"/>
      <w:szCs w:val="20"/>
    </w:rPr>
  </w:style>
  <w:style w:type="character" w:customStyle="1" w:styleId="CommentTextChar">
    <w:name w:val="Comment Text Char"/>
    <w:basedOn w:val="DefaultParagraphFont"/>
    <w:link w:val="CommentText"/>
    <w:uiPriority w:val="99"/>
    <w:rsid w:val="00675C6B"/>
    <w:rPr>
      <w:sz w:val="20"/>
      <w:szCs w:val="20"/>
    </w:rPr>
  </w:style>
  <w:style w:type="paragraph" w:styleId="CommentSubject">
    <w:name w:val="annotation subject"/>
    <w:basedOn w:val="CommentText"/>
    <w:next w:val="CommentText"/>
    <w:link w:val="CommentSubjectChar"/>
    <w:uiPriority w:val="99"/>
    <w:semiHidden/>
    <w:unhideWhenUsed/>
    <w:rsid w:val="00675C6B"/>
    <w:rPr>
      <w:b/>
      <w:bCs/>
    </w:rPr>
  </w:style>
  <w:style w:type="character" w:customStyle="1" w:styleId="CommentSubjectChar">
    <w:name w:val="Comment Subject Char"/>
    <w:basedOn w:val="CommentTextChar"/>
    <w:link w:val="CommentSubject"/>
    <w:uiPriority w:val="99"/>
    <w:semiHidden/>
    <w:rsid w:val="00675C6B"/>
    <w:rPr>
      <w:b/>
      <w:bCs/>
      <w:sz w:val="20"/>
      <w:szCs w:val="20"/>
    </w:rPr>
  </w:style>
  <w:style w:type="paragraph" w:styleId="BalloonText">
    <w:name w:val="Balloon Text"/>
    <w:basedOn w:val="Normal"/>
    <w:link w:val="BalloonTextChar"/>
    <w:uiPriority w:val="99"/>
    <w:semiHidden/>
    <w:unhideWhenUsed/>
    <w:rsid w:val="00675C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C6B"/>
    <w:rPr>
      <w:rFonts w:ascii="Segoe UI" w:hAnsi="Segoe UI" w:cs="Segoe UI"/>
      <w:sz w:val="18"/>
      <w:szCs w:val="18"/>
    </w:rPr>
  </w:style>
  <w:style w:type="paragraph" w:styleId="ListParagraph">
    <w:name w:val="List Paragraph"/>
    <w:basedOn w:val="Normal"/>
    <w:uiPriority w:val="99"/>
    <w:qFormat/>
    <w:rsid w:val="003C3A64"/>
    <w:pPr>
      <w:ind w:left="720"/>
      <w:contextualSpacing/>
    </w:pPr>
  </w:style>
  <w:style w:type="paragraph" w:customStyle="1" w:styleId="Default">
    <w:name w:val="Default"/>
    <w:rsid w:val="009D1EB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021BC7"/>
    <w:rPr>
      <w:rFonts w:ascii="Garamond" w:hAnsi="Garamond" w:hint="default"/>
      <w:b w:val="0"/>
      <w:bCs w:val="0"/>
      <w:i w:val="0"/>
      <w:iCs w:val="0"/>
      <w:color w:val="000000"/>
      <w:sz w:val="24"/>
      <w:szCs w:val="24"/>
    </w:rPr>
  </w:style>
  <w:style w:type="character" w:customStyle="1" w:styleId="fontstyle21">
    <w:name w:val="fontstyle21"/>
    <w:basedOn w:val="DefaultParagraphFont"/>
    <w:rsid w:val="00021BC7"/>
    <w:rPr>
      <w:rFonts w:ascii="Garamond-Italic" w:hAnsi="Garamond-Italic" w:hint="default"/>
      <w:b w:val="0"/>
      <w:bCs w:val="0"/>
      <w:i/>
      <w:iCs/>
      <w:color w:val="000000"/>
      <w:sz w:val="24"/>
      <w:szCs w:val="24"/>
    </w:rPr>
  </w:style>
  <w:style w:type="table" w:styleId="TableGrid">
    <w:name w:val="Table Grid"/>
    <w:basedOn w:val="TableNormal"/>
    <w:uiPriority w:val="39"/>
    <w:rsid w:val="00407C17"/>
    <w:pPr>
      <w:spacing w:after="0" w:line="240" w:lineRule="auto"/>
    </w:pPr>
    <w:rPr>
      <w:rFonts w:eastAsiaTheme="minorHAns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5141E"/>
    <w:pPr>
      <w:spacing w:after="0" w:line="240" w:lineRule="auto"/>
    </w:pPr>
  </w:style>
  <w:style w:type="paragraph" w:styleId="NoSpacing">
    <w:name w:val="No Spacing"/>
    <w:link w:val="NoSpacingChar"/>
    <w:uiPriority w:val="1"/>
    <w:qFormat/>
    <w:rsid w:val="007A60D0"/>
    <w:pPr>
      <w:spacing w:after="200" w:line="276" w:lineRule="auto"/>
    </w:pPr>
    <w:rPr>
      <w:rFonts w:ascii="Calibri" w:eastAsia="Calibri" w:hAnsi="Calibri" w:cs="Calibri"/>
      <w:color w:val="000000"/>
      <w:u w:color="000000"/>
      <w:lang w:val="en-US"/>
    </w:rPr>
  </w:style>
  <w:style w:type="character" w:customStyle="1" w:styleId="Bodytext5">
    <w:name w:val="Body text (5)_"/>
    <w:basedOn w:val="DefaultParagraphFont"/>
    <w:link w:val="Bodytext50"/>
    <w:rsid w:val="00416FF5"/>
    <w:rPr>
      <w:rFonts w:ascii="Times New Roman" w:eastAsia="Times New Roman" w:hAnsi="Times New Roman" w:cs="Times New Roman"/>
      <w:b/>
      <w:bCs/>
      <w:shd w:val="clear" w:color="auto" w:fill="FFFFFF"/>
    </w:rPr>
  </w:style>
  <w:style w:type="paragraph" w:customStyle="1" w:styleId="Bodytext50">
    <w:name w:val="Body text (5)"/>
    <w:basedOn w:val="Normal"/>
    <w:link w:val="Bodytext5"/>
    <w:uiPriority w:val="99"/>
    <w:rsid w:val="00416FF5"/>
    <w:pPr>
      <w:widowControl w:val="0"/>
      <w:shd w:val="clear" w:color="auto" w:fill="FFFFFF"/>
      <w:spacing w:after="0" w:line="0" w:lineRule="atLeast"/>
      <w:jc w:val="center"/>
    </w:pPr>
    <w:rPr>
      <w:rFonts w:ascii="Times New Roman" w:eastAsia="Times New Roman" w:hAnsi="Times New Roman" w:cs="Times New Roman"/>
      <w:b/>
      <w:bCs/>
    </w:rPr>
  </w:style>
  <w:style w:type="character" w:customStyle="1" w:styleId="NoSpacingChar">
    <w:name w:val="No Spacing Char"/>
    <w:link w:val="NoSpacing"/>
    <w:uiPriority w:val="1"/>
    <w:qFormat/>
    <w:rsid w:val="0056205B"/>
    <w:rPr>
      <w:rFonts w:ascii="Calibri" w:eastAsia="Calibri" w:hAnsi="Calibri" w:cs="Calibri"/>
      <w:color w:val="000000"/>
      <w:u w:color="000000"/>
      <w:lang w:val="en-US"/>
    </w:rPr>
  </w:style>
  <w:style w:type="character" w:customStyle="1" w:styleId="Bodytext2">
    <w:name w:val="Body text (2)_"/>
    <w:basedOn w:val="DefaultParagraphFont"/>
    <w:link w:val="Bodytext20"/>
    <w:rsid w:val="0056205B"/>
    <w:rPr>
      <w:rFonts w:ascii="Times New Roman" w:eastAsia="Times New Roman" w:hAnsi="Times New Roman" w:cs="Times New Roman"/>
      <w:shd w:val="clear" w:color="auto" w:fill="FFFFFF"/>
    </w:rPr>
  </w:style>
  <w:style w:type="character" w:customStyle="1" w:styleId="Bodytext2Bold">
    <w:name w:val="Body text (2) + Bold"/>
    <w:basedOn w:val="Bodytext2"/>
    <w:rsid w:val="0056205B"/>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Bodytext2Italic">
    <w:name w:val="Body text (2) + Italic"/>
    <w:basedOn w:val="Bodytext2"/>
    <w:rsid w:val="0056205B"/>
    <w:rPr>
      <w:rFonts w:ascii="Times New Roman" w:eastAsia="Times New Roman" w:hAnsi="Times New Roman" w:cs="Times New Roman"/>
      <w:i/>
      <w:iCs/>
      <w:color w:val="000000"/>
      <w:spacing w:val="0"/>
      <w:w w:val="100"/>
      <w:position w:val="0"/>
      <w:shd w:val="clear" w:color="auto" w:fill="FFFFFF"/>
      <w:lang w:val="en-US" w:eastAsia="en-US" w:bidi="en-US"/>
    </w:rPr>
  </w:style>
  <w:style w:type="paragraph" w:customStyle="1" w:styleId="Bodytext20">
    <w:name w:val="Body text (2)"/>
    <w:basedOn w:val="Normal"/>
    <w:link w:val="Bodytext2"/>
    <w:uiPriority w:val="99"/>
    <w:rsid w:val="0056205B"/>
    <w:pPr>
      <w:widowControl w:val="0"/>
      <w:shd w:val="clear" w:color="auto" w:fill="FFFFFF"/>
      <w:spacing w:after="0" w:line="0" w:lineRule="atLeast"/>
    </w:pPr>
    <w:rPr>
      <w:rFonts w:ascii="Times New Roman" w:eastAsia="Times New Roman" w:hAnsi="Times New Roman" w:cs="Times New Roman"/>
    </w:rPr>
  </w:style>
  <w:style w:type="character" w:customStyle="1" w:styleId="Heading4">
    <w:name w:val="Heading #4_"/>
    <w:basedOn w:val="DefaultParagraphFont"/>
    <w:link w:val="Heading40"/>
    <w:rsid w:val="003C1F86"/>
    <w:rPr>
      <w:rFonts w:ascii="Times New Roman" w:eastAsia="Times New Roman" w:hAnsi="Times New Roman" w:cs="Times New Roman"/>
      <w:b/>
      <w:bCs/>
      <w:shd w:val="clear" w:color="auto" w:fill="FFFFFF"/>
    </w:rPr>
  </w:style>
  <w:style w:type="character" w:customStyle="1" w:styleId="Heading4NotBold">
    <w:name w:val="Heading #4 + Not Bold"/>
    <w:basedOn w:val="Heading4"/>
    <w:rsid w:val="003C1F86"/>
    <w:rPr>
      <w:rFonts w:ascii="Times New Roman" w:eastAsia="Times New Roman" w:hAnsi="Times New Roman" w:cs="Times New Roman"/>
      <w:b/>
      <w:bCs/>
      <w:color w:val="000000"/>
      <w:spacing w:val="0"/>
      <w:w w:val="100"/>
      <w:position w:val="0"/>
      <w:shd w:val="clear" w:color="auto" w:fill="FFFFFF"/>
      <w:lang w:val="en-US" w:eastAsia="en-US" w:bidi="en-US"/>
    </w:rPr>
  </w:style>
  <w:style w:type="paragraph" w:customStyle="1" w:styleId="Heading40">
    <w:name w:val="Heading #4"/>
    <w:basedOn w:val="Normal"/>
    <w:link w:val="Heading4"/>
    <w:rsid w:val="003C1F86"/>
    <w:pPr>
      <w:widowControl w:val="0"/>
      <w:shd w:val="clear" w:color="auto" w:fill="FFFFFF"/>
      <w:spacing w:after="0" w:line="526" w:lineRule="exact"/>
      <w:jc w:val="both"/>
      <w:outlineLvl w:val="3"/>
    </w:pPr>
    <w:rPr>
      <w:rFonts w:ascii="Times New Roman" w:eastAsia="Times New Roman" w:hAnsi="Times New Roman" w:cs="Times New Roman"/>
      <w:b/>
      <w:bCs/>
    </w:rPr>
  </w:style>
  <w:style w:type="paragraph" w:styleId="Header">
    <w:name w:val="header"/>
    <w:basedOn w:val="Normal"/>
    <w:link w:val="HeaderChar"/>
    <w:uiPriority w:val="99"/>
    <w:unhideWhenUsed/>
    <w:rsid w:val="00531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1D"/>
  </w:style>
  <w:style w:type="paragraph" w:styleId="Footer">
    <w:name w:val="footer"/>
    <w:basedOn w:val="Normal"/>
    <w:link w:val="FooterChar"/>
    <w:uiPriority w:val="99"/>
    <w:unhideWhenUsed/>
    <w:rsid w:val="00531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179813">
      <w:bodyDiv w:val="1"/>
      <w:marLeft w:val="0"/>
      <w:marRight w:val="0"/>
      <w:marTop w:val="0"/>
      <w:marBottom w:val="0"/>
      <w:divBdr>
        <w:top w:val="none" w:sz="0" w:space="0" w:color="auto"/>
        <w:left w:val="none" w:sz="0" w:space="0" w:color="auto"/>
        <w:bottom w:val="none" w:sz="0" w:space="0" w:color="auto"/>
        <w:right w:val="none" w:sz="0" w:space="0" w:color="auto"/>
      </w:divBdr>
    </w:div>
    <w:div w:id="14333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32F4329DED84615836EC602DB4BC1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Nr_x002e__x0020_akti>
    <Data_x0020_e_x0020_Krijimit xmlns="0e656187-b300-4fb0-8bf4-3a50f872073c">2025-05-30T07:49:48Z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Për përcaktimin e rregullave dhe të kritereve  për administrimin e fondit të veçantë të buxhetit të Policisë së Shtetit</Titulli>
    <Modifikuesi xmlns="0e656187-b300-4fb0-8bf4-3a50f872073c">alma.lisaku</Modifikuesi>
    <Nr_x002e__x0020_prot_x0020_QBZ xmlns="0e656187-b300-4fb0-8bf4-3a50f872073c">855</Nr_x002e__x0020_prot_x0020_QBZ>
    <Data_x0020_e_x0020_Modifikimit xmlns="0e656187-b300-4fb0-8bf4-3a50f872073c">2025-05-30T09:03:06Z</Data_x0020_e_x0020_Modifikimit>
    <Dekretuar xmlns="0e656187-b300-4fb0-8bf4-3a50f872073c">false</Dekretuar>
    <Data xmlns="0e656187-b300-4fb0-8bf4-3a50f872073c">2025-05-28T00:00:00Z</Data>
    <Nr_x002e__x0020_protokolli_x0020_i_x0020_aktit xmlns="0e656187-b300-4fb0-8bf4-3a50f872073c">2513/2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32F4329DED84615836EC602DB4BC1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B677E-403A-4546-969D-2171BE7C7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1A2A26-45D7-44C5-A5EA-2636B1AF9F75}">
  <ds:schemaRefs>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FF7AFD4-4B90-4389-926E-17120A6A82CF}">
  <ds:schemaRefs>
    <ds:schemaRef ds:uri="http://schemas.microsoft.com/sharepoint/v3/contenttype/forms"/>
  </ds:schemaRefs>
</ds:datastoreItem>
</file>

<file path=customXml/itemProps4.xml><?xml version="1.0" encoding="utf-8"?>
<ds:datastoreItem xmlns:ds="http://schemas.openxmlformats.org/officeDocument/2006/customXml" ds:itemID="{55067E3B-13E9-4F8A-B242-45498767E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27076F6-9671-485F-94C5-793985924A1F}">
  <ds:schemaRefs>
    <ds:schemaRef ds:uri="http://schemas.microsoft.com/sharepoint/v3/contenttype/forms"/>
  </ds:schemaRefs>
</ds:datastoreItem>
</file>

<file path=customXml/itemProps6.xml><?xml version="1.0" encoding="utf-8"?>
<ds:datastoreItem xmlns:ds="http://schemas.openxmlformats.org/officeDocument/2006/customXml" ds:itemID="{19AB6A4B-A0DC-4703-8C71-BE806349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2355</Words>
  <Characters>13424</Characters>
  <Application>Microsoft Office Word</Application>
  <DocSecurity>0</DocSecurity>
  <Lines>111</Lines>
  <Paragraphs>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përcaktimin e rregullave dhe të kritereve për administrimin e fondit të veçantë të buxhetit të Policisë së Shtetit</vt:lpstr>
      <vt:lpstr/>
    </vt:vector>
  </TitlesOfParts>
  <Company>Ministria e Arsimit dhe Shkencës</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të kritereve për administrimin e fondit të veçantë të buxhetit të Policisë së Shtetit</dc:title>
  <dc:creator>GIMI</dc:creator>
  <cp:lastModifiedBy>Amarilda Muja</cp:lastModifiedBy>
  <cp:revision>16</cp:revision>
  <cp:lastPrinted>2025-05-27T18:47:00Z</cp:lastPrinted>
  <dcterms:created xsi:type="dcterms:W3CDTF">2025-05-30T06:40:00Z</dcterms:created>
  <dcterms:modified xsi:type="dcterms:W3CDTF">2025-05-30T08:18:00Z</dcterms:modified>
</cp:coreProperties>
</file>