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AA6" w:rsidRPr="007B4AA6" w:rsidRDefault="007B4AA6" w:rsidP="007B4AA6">
      <w:pPr>
        <w:spacing w:after="0" w:line="240" w:lineRule="auto"/>
        <w:ind w:left="0" w:right="0" w:firstLine="284"/>
        <w:jc w:val="center"/>
        <w:rPr>
          <w:rFonts w:ascii="Garamond" w:hAnsi="Garamond"/>
          <w:b/>
          <w:bCs/>
          <w:color w:val="auto"/>
          <w:szCs w:val="24"/>
        </w:rPr>
      </w:pPr>
      <w:r w:rsidRPr="007B4AA6">
        <w:rPr>
          <w:rFonts w:ascii="Garamond" w:hAnsi="Garamond"/>
          <w:b/>
          <w:bCs/>
          <w:szCs w:val="24"/>
        </w:rPr>
        <w:t>VENDIM</w:t>
      </w:r>
    </w:p>
    <w:p w:rsidR="007B4AA6" w:rsidRPr="007B4AA6" w:rsidRDefault="007B4AA6" w:rsidP="007B4AA6">
      <w:pPr>
        <w:spacing w:after="0" w:line="240" w:lineRule="auto"/>
        <w:ind w:left="0" w:right="0" w:firstLine="284"/>
        <w:jc w:val="center"/>
        <w:rPr>
          <w:rFonts w:ascii="Garamond" w:hAnsi="Garamond"/>
          <w:b/>
          <w:bCs/>
          <w:color w:val="auto"/>
          <w:szCs w:val="24"/>
        </w:rPr>
      </w:pPr>
      <w:r w:rsidRPr="007B4AA6">
        <w:rPr>
          <w:rFonts w:ascii="Garamond" w:hAnsi="Garamond"/>
          <w:b/>
          <w:bCs/>
          <w:color w:val="auto"/>
          <w:szCs w:val="24"/>
        </w:rPr>
        <w:t xml:space="preserve"> Nr.</w:t>
      </w:r>
      <w:r w:rsidRPr="007B4AA6">
        <w:rPr>
          <w:rFonts w:ascii="Garamond" w:hAnsi="Garamond"/>
          <w:b/>
          <w:bCs/>
          <w:color w:val="auto"/>
          <w:szCs w:val="24"/>
        </w:rPr>
        <w:t>462</w:t>
      </w:r>
      <w:r w:rsidRPr="007B4AA6">
        <w:rPr>
          <w:rFonts w:ascii="Garamond" w:hAnsi="Garamond"/>
          <w:b/>
          <w:bCs/>
          <w:color w:val="auto"/>
          <w:szCs w:val="24"/>
        </w:rPr>
        <w:t xml:space="preserve">, datë </w:t>
      </w:r>
      <w:r w:rsidRPr="007B4AA6">
        <w:rPr>
          <w:rFonts w:ascii="Garamond" w:hAnsi="Garamond"/>
          <w:b/>
          <w:bCs/>
          <w:color w:val="auto"/>
          <w:szCs w:val="24"/>
        </w:rPr>
        <w:t>31.7.2025</w:t>
      </w:r>
    </w:p>
    <w:p w:rsidR="007B4AA6" w:rsidRPr="007B4AA6" w:rsidRDefault="007B4AA6" w:rsidP="007B4AA6">
      <w:pPr>
        <w:spacing w:after="0" w:line="240" w:lineRule="auto"/>
        <w:ind w:left="0" w:right="0" w:firstLine="284"/>
        <w:jc w:val="center"/>
        <w:rPr>
          <w:rFonts w:ascii="Garamond" w:hAnsi="Garamond"/>
          <w:color w:val="auto"/>
          <w:szCs w:val="24"/>
        </w:rPr>
      </w:pPr>
    </w:p>
    <w:p w:rsidR="007B4AA6" w:rsidRPr="007B4AA6" w:rsidRDefault="007B4AA6" w:rsidP="007B4AA6">
      <w:pPr>
        <w:pStyle w:val="Heading1"/>
        <w:spacing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PËR DISA SHTESA DHE NDRYSHIME NË VENDIMIN NR.389, DATË 13.5.2020, TË KËSHILLIT TË MINISTRAVE, “PËR MIRATIMIN E LISTËS DHE TË TARIFAVE TË SHËRBIMEVE KADASTRALE”, TË NDRYSHUAR</w:t>
      </w:r>
    </w:p>
    <w:p w:rsidR="007B4AA6" w:rsidRPr="007B4AA6" w:rsidRDefault="007B4AA6" w:rsidP="007B4AA6">
      <w:pPr>
        <w:spacing w:after="0" w:line="240" w:lineRule="auto"/>
        <w:ind w:left="0" w:right="0" w:firstLine="284"/>
        <w:rPr>
          <w:rFonts w:ascii="Garamond" w:hAnsi="Garamond"/>
          <w:color w:val="auto"/>
          <w:szCs w:val="24"/>
        </w:rPr>
      </w:pPr>
      <w:r w:rsidRPr="007B4AA6">
        <w:rPr>
          <w:rFonts w:ascii="Garamond" w:hAnsi="Garamond"/>
          <w:color w:val="auto"/>
          <w:szCs w:val="24"/>
        </w:rPr>
        <w:t xml:space="preserve"> </w:t>
      </w:r>
    </w:p>
    <w:p w:rsidR="007B4AA6" w:rsidRPr="007B4AA6" w:rsidRDefault="007B4AA6" w:rsidP="007B4AA6">
      <w:pPr>
        <w:spacing w:after="0" w:line="240" w:lineRule="auto"/>
        <w:ind w:left="0" w:right="0" w:firstLine="284"/>
        <w:rPr>
          <w:rFonts w:ascii="Garamond" w:hAnsi="Garamond"/>
          <w:color w:val="auto"/>
          <w:szCs w:val="24"/>
        </w:rPr>
      </w:pPr>
      <w:r w:rsidRPr="007B4AA6">
        <w:rPr>
          <w:rFonts w:ascii="Garamond" w:hAnsi="Garamond"/>
          <w:color w:val="auto"/>
          <w:szCs w:val="24"/>
        </w:rPr>
        <w:t xml:space="preserve">Në mbështetje të nenit 100 të Kushtetutës dhe të pikës 2, të nenit 63, të ligjit nr.111/2018, “Për kadastrën”, me propozimin e ministrit të Financave, Këshilli i Ministrave </w:t>
      </w:r>
    </w:p>
    <w:p w:rsidR="007B4AA6" w:rsidRPr="007B4AA6" w:rsidRDefault="007B4AA6" w:rsidP="007B4AA6">
      <w:pPr>
        <w:spacing w:after="0" w:line="240" w:lineRule="auto"/>
        <w:ind w:left="0" w:right="0" w:firstLine="284"/>
        <w:rPr>
          <w:rFonts w:ascii="Garamond" w:hAnsi="Garamond"/>
          <w:color w:val="auto"/>
          <w:szCs w:val="24"/>
        </w:rPr>
      </w:pPr>
    </w:p>
    <w:p w:rsidR="007B4AA6" w:rsidRPr="007B4AA6" w:rsidRDefault="007B4AA6" w:rsidP="007B4AA6">
      <w:pPr>
        <w:spacing w:after="0" w:line="240" w:lineRule="auto"/>
        <w:ind w:left="0" w:right="0" w:firstLine="284"/>
        <w:jc w:val="center"/>
        <w:rPr>
          <w:rFonts w:ascii="Garamond" w:hAnsi="Garamond"/>
          <w:bCs/>
          <w:color w:val="auto"/>
          <w:szCs w:val="24"/>
        </w:rPr>
      </w:pPr>
      <w:r w:rsidRPr="007B4AA6">
        <w:rPr>
          <w:rFonts w:ascii="Garamond" w:hAnsi="Garamond"/>
          <w:bCs/>
          <w:color w:val="auto"/>
          <w:szCs w:val="24"/>
        </w:rPr>
        <w:t>VENDOSI:</w:t>
      </w:r>
    </w:p>
    <w:p w:rsidR="007B4AA6" w:rsidRPr="007B4AA6" w:rsidRDefault="007B4AA6" w:rsidP="007B4AA6">
      <w:pPr>
        <w:spacing w:after="0" w:line="240" w:lineRule="auto"/>
        <w:ind w:left="0" w:right="0" w:firstLine="284"/>
        <w:jc w:val="center"/>
        <w:rPr>
          <w:rFonts w:ascii="Garamond" w:hAnsi="Garamond"/>
          <w:b/>
          <w:bCs/>
          <w:color w:val="auto"/>
          <w:szCs w:val="24"/>
        </w:rPr>
      </w:pPr>
    </w:p>
    <w:p w:rsidR="007B4AA6" w:rsidRPr="007B4AA6" w:rsidRDefault="007B4AA6" w:rsidP="007B4AA6">
      <w:pPr>
        <w:pStyle w:val="ListParagraph"/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I. Në vendimin nr.389, datë 13.5.2020, të Këshillit të Ministrave, “Për miratimin e listës dhe të tarifave të shërbimeve kadastrale”, të ndryshuar, bëhen këto shtesa dhe ndryshime:</w:t>
      </w:r>
    </w:p>
    <w:p w:rsidR="007B4AA6" w:rsidRPr="007B4AA6" w:rsidRDefault="007B4AA6" w:rsidP="007B4AA6">
      <w:pPr>
        <w:pStyle w:val="ListParagraph"/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1. Në kreun I bëhen shtesat dhe ndryshimet e mëposhtme:</w:t>
      </w:r>
    </w:p>
    <w:p w:rsidR="007B4AA6" w:rsidRPr="007B4AA6" w:rsidRDefault="007B4AA6" w:rsidP="007B4AA6">
      <w:pPr>
        <w:pStyle w:val="ListParagraph"/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a)</w:t>
      </w:r>
      <w:r w:rsidRPr="007B4AA6">
        <w:rPr>
          <w:rFonts w:ascii="Garamond" w:hAnsi="Garamond"/>
          <w:szCs w:val="24"/>
        </w:rPr>
        <w:t xml:space="preserve"> </w:t>
      </w:r>
      <w:r w:rsidRPr="007B4AA6">
        <w:rPr>
          <w:rFonts w:ascii="Garamond" w:hAnsi="Garamond"/>
          <w:szCs w:val="24"/>
        </w:rPr>
        <w:t>Pas pikës 7 shtohet pika 7/1, me këtë përmbajtje:</w:t>
      </w:r>
    </w:p>
    <w:p w:rsidR="007B4AA6" w:rsidRPr="007B4AA6" w:rsidRDefault="007B4AA6" w:rsidP="007B4AA6">
      <w:pPr>
        <w:pStyle w:val="ListParagraph"/>
        <w:tabs>
          <w:tab w:val="left" w:pos="620"/>
        </w:tabs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 xml:space="preserve"> “7/1. Për rastet e regjistrimit në regjistrin kadastral të pasurive të paluajtshme të institucioneve shtetërore dhe organeve të vetëqeverisjes vendore, që kanë në përgjegjësi administrimi/pronësi pasuri të paluajtshme, Agjencia Shtetërore e Kadastrës aplikon tarifë të reduktuar, në masën 100 (njëqind) lekë.”.</w:t>
      </w:r>
    </w:p>
    <w:p w:rsidR="007B4AA6" w:rsidRPr="007B4AA6" w:rsidRDefault="007B4AA6" w:rsidP="007B4AA6">
      <w:pPr>
        <w:pStyle w:val="ListParagraph"/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b)</w:t>
      </w:r>
      <w:r w:rsidRPr="007B4AA6">
        <w:rPr>
          <w:rFonts w:ascii="Garamond" w:hAnsi="Garamond"/>
          <w:szCs w:val="24"/>
        </w:rPr>
        <w:t xml:space="preserve"> </w:t>
      </w:r>
      <w:r w:rsidRPr="007B4AA6">
        <w:rPr>
          <w:rFonts w:ascii="Garamond" w:hAnsi="Garamond"/>
          <w:szCs w:val="24"/>
        </w:rPr>
        <w:t>Pas shkronjës “ë”, të pikës 9, shtohen shkronjat “f”, “g”, “gj”, “h”, “i” dhe “j”, me këtë përmbajtje:</w:t>
      </w:r>
    </w:p>
    <w:p w:rsidR="007B4AA6" w:rsidRPr="007B4AA6" w:rsidRDefault="007B4AA6" w:rsidP="007B4AA6">
      <w:pPr>
        <w:pStyle w:val="ListParagraph"/>
        <w:tabs>
          <w:tab w:val="left" w:pos="540"/>
        </w:tabs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“f) Agjencia e Zhvillimit të Territorit”;</w:t>
      </w:r>
    </w:p>
    <w:p w:rsidR="007B4AA6" w:rsidRPr="007B4AA6" w:rsidRDefault="007B4AA6" w:rsidP="007B4AA6">
      <w:pPr>
        <w:pStyle w:val="ListParagraph"/>
        <w:tabs>
          <w:tab w:val="left" w:pos="540"/>
        </w:tabs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g) Agjencia Shqiptare e Zhvillimit të Investimeve;</w:t>
      </w:r>
    </w:p>
    <w:p w:rsidR="007B4AA6" w:rsidRPr="007B4AA6" w:rsidRDefault="007B4AA6" w:rsidP="007B4AA6">
      <w:pPr>
        <w:pStyle w:val="ListParagraph"/>
        <w:tabs>
          <w:tab w:val="left" w:pos="540"/>
        </w:tabs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gj) Agjencia për Zhvillim Bujqësor dhe Rural”;</w:t>
      </w:r>
    </w:p>
    <w:p w:rsidR="007B4AA6" w:rsidRPr="007B4AA6" w:rsidRDefault="007B4AA6" w:rsidP="007B4AA6">
      <w:pPr>
        <w:pStyle w:val="ListParagraph"/>
        <w:tabs>
          <w:tab w:val="left" w:pos="540"/>
        </w:tabs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h) Korporata e Investimeve Shqiptare dhe SPV-të e krijuara me kapital të Korporatës apo me kapital të përbashkët me kontributet e një partneri publik;</w:t>
      </w:r>
    </w:p>
    <w:p w:rsidR="007B4AA6" w:rsidRPr="007B4AA6" w:rsidRDefault="007B4AA6" w:rsidP="007B4AA6">
      <w:pPr>
        <w:pStyle w:val="ListParagraph"/>
        <w:tabs>
          <w:tab w:val="left" w:pos="540"/>
        </w:tabs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i) Drejtoria e Përgjithshme e Tatimeve dhe drejtoritë rajonale të ngarkuara për administrimin e tatimeve, taksave dhe kontributeve në nivel kombëtar;</w:t>
      </w:r>
    </w:p>
    <w:p w:rsidR="007B4AA6" w:rsidRPr="007B4AA6" w:rsidRDefault="007B4AA6" w:rsidP="007B4AA6">
      <w:pPr>
        <w:pStyle w:val="ListParagraph"/>
        <w:tabs>
          <w:tab w:val="left" w:pos="540"/>
        </w:tabs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j) Institucionet shtetërore dhe organet e vetëqeverisjes vendore që kanë në përgjegjësi administrimi/pronësi pasuri të paluajtshme.”.</w:t>
      </w:r>
    </w:p>
    <w:p w:rsidR="007B4AA6" w:rsidRPr="007B4AA6" w:rsidRDefault="007B4AA6" w:rsidP="007B4AA6">
      <w:pPr>
        <w:tabs>
          <w:tab w:val="left" w:pos="540"/>
        </w:tabs>
        <w:spacing w:after="0" w:line="240" w:lineRule="auto"/>
        <w:ind w:left="0" w:right="0" w:firstLine="284"/>
        <w:rPr>
          <w:rFonts w:ascii="Garamond" w:hAnsi="Garamond"/>
          <w:color w:val="auto"/>
          <w:szCs w:val="24"/>
        </w:rPr>
      </w:pPr>
      <w:r w:rsidRPr="007B4AA6">
        <w:rPr>
          <w:rFonts w:ascii="Garamond" w:hAnsi="Garamond"/>
          <w:color w:val="auto"/>
          <w:szCs w:val="24"/>
        </w:rPr>
        <w:t>c) Numërtimi i pikave 9.1 dhe 9.2 zëvendësohet me numërtimin 9/1 dhe 9/2;</w:t>
      </w:r>
    </w:p>
    <w:p w:rsidR="007B4AA6" w:rsidRPr="007B4AA6" w:rsidRDefault="007B4AA6" w:rsidP="007B4AA6">
      <w:pPr>
        <w:tabs>
          <w:tab w:val="left" w:pos="540"/>
        </w:tabs>
        <w:spacing w:after="0" w:line="240" w:lineRule="auto"/>
        <w:ind w:left="0" w:right="0" w:firstLine="284"/>
        <w:rPr>
          <w:rFonts w:ascii="Garamond" w:hAnsi="Garamond"/>
          <w:color w:val="auto"/>
          <w:szCs w:val="24"/>
        </w:rPr>
      </w:pPr>
      <w:r w:rsidRPr="007B4AA6">
        <w:rPr>
          <w:rFonts w:ascii="Garamond" w:hAnsi="Garamond"/>
          <w:color w:val="auto"/>
          <w:szCs w:val="24"/>
        </w:rPr>
        <w:t>ç) Pas pikës 9/1 shtohen pikat 9/1/a dhe 9/1/b, me këtë përmbajtje:</w:t>
      </w:r>
    </w:p>
    <w:p w:rsidR="007B4AA6" w:rsidRPr="007B4AA6" w:rsidRDefault="007B4AA6" w:rsidP="007B4AA6">
      <w:pPr>
        <w:tabs>
          <w:tab w:val="left" w:pos="540"/>
        </w:tabs>
        <w:spacing w:after="0" w:line="240" w:lineRule="auto"/>
        <w:ind w:left="0" w:right="0" w:firstLine="284"/>
        <w:rPr>
          <w:rFonts w:ascii="Garamond" w:hAnsi="Garamond"/>
          <w:color w:val="auto"/>
          <w:szCs w:val="24"/>
        </w:rPr>
      </w:pPr>
      <w:r w:rsidRPr="007B4AA6">
        <w:rPr>
          <w:rFonts w:ascii="Garamond" w:hAnsi="Garamond"/>
          <w:color w:val="auto"/>
          <w:szCs w:val="24"/>
        </w:rPr>
        <w:t xml:space="preserve"> “9/1/a. Për Agjencinë për Zhvillim Bujqësor dhe Rural, shërbimet kadastrale, për të cilat nuk parapaguhet, janë edhe ato me numrat rendorë 66 dhe 66/1, sipas aneksit nr.1, bashkëlidhur këtij vendimi.</w:t>
      </w:r>
    </w:p>
    <w:p w:rsidR="007B4AA6" w:rsidRPr="007B4AA6" w:rsidRDefault="007B4AA6" w:rsidP="007B4AA6">
      <w:pPr>
        <w:tabs>
          <w:tab w:val="left" w:pos="540"/>
        </w:tabs>
        <w:spacing w:after="0" w:line="240" w:lineRule="auto"/>
        <w:ind w:left="0" w:right="0" w:firstLine="284"/>
        <w:rPr>
          <w:rFonts w:ascii="Garamond" w:hAnsi="Garamond"/>
          <w:color w:val="auto"/>
          <w:szCs w:val="24"/>
        </w:rPr>
      </w:pPr>
      <w:r w:rsidRPr="007B4AA6">
        <w:rPr>
          <w:rFonts w:ascii="Garamond" w:hAnsi="Garamond"/>
          <w:color w:val="auto"/>
          <w:szCs w:val="24"/>
        </w:rPr>
        <w:t xml:space="preserve"> </w:t>
      </w:r>
      <w:r w:rsidRPr="007B4AA6">
        <w:rPr>
          <w:rFonts w:ascii="Garamond" w:hAnsi="Garamond"/>
          <w:color w:val="auto"/>
          <w:szCs w:val="24"/>
        </w:rPr>
        <w:t>9/1/b. Për Drejtorinë e Përgjithshme të Tatimeve dhe drejtoritë rajonale të ngarkuara për administrimin e tatimeve, taksave dhe kontributeve në nivel kombëtar, shërbimet kadastrale, për të cilat nuk parapaguhet, janë edhe ato me numrat rendorë 22 dhe 23, sipas aneksit nr.1, bashkëlidhur këtij vendimi.”.</w:t>
      </w:r>
    </w:p>
    <w:p w:rsidR="007B4AA6" w:rsidRPr="007B4AA6" w:rsidRDefault="007B4AA6" w:rsidP="007B4AA6">
      <w:pPr>
        <w:tabs>
          <w:tab w:val="left" w:pos="360"/>
        </w:tabs>
        <w:spacing w:after="0" w:line="240" w:lineRule="auto"/>
        <w:ind w:left="0" w:right="0" w:firstLine="284"/>
        <w:rPr>
          <w:rFonts w:ascii="Garamond" w:hAnsi="Garamond"/>
          <w:color w:val="auto"/>
          <w:szCs w:val="24"/>
        </w:rPr>
      </w:pPr>
      <w:r w:rsidRPr="007B4AA6">
        <w:rPr>
          <w:rFonts w:ascii="Garamond" w:hAnsi="Garamond"/>
          <w:color w:val="auto"/>
          <w:szCs w:val="24"/>
        </w:rPr>
        <w:t>d) Pika 9.2 ndryshohet, si më poshtë vijon:</w:t>
      </w:r>
    </w:p>
    <w:p w:rsidR="007B4AA6" w:rsidRPr="007B4AA6" w:rsidRDefault="007B4AA6" w:rsidP="007B4AA6">
      <w:pPr>
        <w:pStyle w:val="ListParagraph"/>
        <w:tabs>
          <w:tab w:val="left" w:pos="720"/>
        </w:tabs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“9/2. Ato duhet t’i shlyejnë drejtorisë vendore të ASHK-së çdo muaj shumën e tarifave të shërbimeve kadastrale të ofruara në favor të muajit paraardhës. Përjashtimisht, institucionet e përcaktuara në shkronjën “j”, të pikës 9, të kreut I, të këtij vendimi, shlyejnë shumën e tarifave çdo 6 (gjashtë) muaj. Në rast mosshlyerjeje të detyrimit të plotë brenda dy javëve nga përfundimi i afatit, drejtoria vendore e ASHK-së ndërpret ofrimin e shërbimeve ndaj institucionit deri në pagimin e tij.”.</w:t>
      </w:r>
    </w:p>
    <w:p w:rsidR="007B4AA6" w:rsidRPr="007B4AA6" w:rsidRDefault="007B4AA6" w:rsidP="007B4AA6">
      <w:pPr>
        <w:pStyle w:val="ListParagraph"/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2. Në kreun II bëhen shtesa dhe ndryshimi i mëposhtëm:</w:t>
      </w:r>
    </w:p>
    <w:p w:rsidR="007B4AA6" w:rsidRPr="007B4AA6" w:rsidRDefault="007B4AA6" w:rsidP="007B4AA6">
      <w:pPr>
        <w:pStyle w:val="ListParagraph"/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a) Pas pikës 11 shtohet pika 11/1, me këtë përmbajtje:</w:t>
      </w:r>
    </w:p>
    <w:p w:rsidR="007B4AA6" w:rsidRPr="007B4AA6" w:rsidRDefault="007B4AA6" w:rsidP="007B4AA6">
      <w:pPr>
        <w:pStyle w:val="ListParagraph"/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 xml:space="preserve"> “11/1 Aktet e fitimit, njohjes apo ndryshimit të së drejtës së pronësisë, të parashikuara në nenin 24, të ligjit nr.111/2018, “Për kadastrën”, duhet të pasqyrohen në seksionin përkatës së </w:t>
      </w:r>
      <w:r w:rsidRPr="007B4AA6">
        <w:rPr>
          <w:rFonts w:ascii="Garamond" w:hAnsi="Garamond"/>
          <w:szCs w:val="24"/>
        </w:rPr>
        <w:lastRenderedPageBreak/>
        <w:t>kartelës së pasurisë (B</w:t>
      </w:r>
      <w:proofErr w:type="gramStart"/>
      <w:r w:rsidRPr="007B4AA6">
        <w:rPr>
          <w:rFonts w:ascii="Garamond" w:hAnsi="Garamond"/>
          <w:szCs w:val="24"/>
        </w:rPr>
        <w:t>1:Të</w:t>
      </w:r>
      <w:proofErr w:type="gramEnd"/>
      <w:r w:rsidRPr="007B4AA6">
        <w:rPr>
          <w:rFonts w:ascii="Garamond" w:hAnsi="Garamond"/>
          <w:szCs w:val="24"/>
        </w:rPr>
        <w:t xml:space="preserve"> dhënat e regjistrimit paraprak), nëpërmjet shërbimit sipas aneksit 2, që i bashkëlidhet këtij vendimi dhe është pjesë përbërëse e tij. Ky shërbim nuk i nënshtrohet tarifimit sipas dispozitave të këtij vendimi. Tarifa për këtë shërbim përfshihet në tarifën e regjistrimit përfundimtar të aktit.”.</w:t>
      </w:r>
    </w:p>
    <w:p w:rsidR="007B4AA6" w:rsidRPr="007B4AA6" w:rsidRDefault="007B4AA6" w:rsidP="007B4AA6">
      <w:pPr>
        <w:pStyle w:val="ListParagraph"/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b)</w:t>
      </w:r>
      <w:r w:rsidRPr="007B4AA6">
        <w:rPr>
          <w:rFonts w:ascii="Garamond" w:hAnsi="Garamond"/>
          <w:szCs w:val="24"/>
        </w:rPr>
        <w:t xml:space="preserve"> </w:t>
      </w:r>
      <w:r w:rsidRPr="007B4AA6">
        <w:rPr>
          <w:rFonts w:ascii="Garamond" w:hAnsi="Garamond"/>
          <w:szCs w:val="24"/>
        </w:rPr>
        <w:t>Në pikën 12 bëhen këto ndryshime:</w:t>
      </w:r>
    </w:p>
    <w:p w:rsidR="007B4AA6" w:rsidRPr="007B4AA6" w:rsidRDefault="007B4AA6" w:rsidP="007B4AA6">
      <w:pPr>
        <w:pStyle w:val="ListParagraph"/>
        <w:tabs>
          <w:tab w:val="left" w:pos="620"/>
        </w:tabs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i.</w:t>
      </w:r>
      <w:r w:rsidRPr="007B4AA6">
        <w:rPr>
          <w:rFonts w:ascii="Garamond" w:hAnsi="Garamond"/>
          <w:szCs w:val="24"/>
        </w:rPr>
        <w:t xml:space="preserve"> </w:t>
      </w:r>
      <w:r w:rsidRPr="007B4AA6">
        <w:rPr>
          <w:rFonts w:ascii="Garamond" w:hAnsi="Garamond"/>
          <w:szCs w:val="24"/>
        </w:rPr>
        <w:t>Fjalët “... administrata tatimore ...” zëvendësohen me “... njësitë tatimore të qeverisjes vendore ...”;</w:t>
      </w:r>
    </w:p>
    <w:p w:rsidR="007B4AA6" w:rsidRPr="007B4AA6" w:rsidRDefault="007B4AA6" w:rsidP="007B4AA6">
      <w:pPr>
        <w:pStyle w:val="ListParagraph"/>
        <w:tabs>
          <w:tab w:val="left" w:pos="620"/>
        </w:tabs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ii.</w:t>
      </w:r>
      <w:r w:rsidRPr="007B4AA6">
        <w:rPr>
          <w:rFonts w:ascii="Garamond" w:hAnsi="Garamond"/>
          <w:szCs w:val="24"/>
        </w:rPr>
        <w:t xml:space="preserve"> </w:t>
      </w:r>
      <w:r w:rsidRPr="007B4AA6">
        <w:rPr>
          <w:rFonts w:ascii="Garamond" w:hAnsi="Garamond"/>
          <w:szCs w:val="24"/>
        </w:rPr>
        <w:t>Fjalët “... administratës tatimore ...” zëvendësohen me “... njësive tatimore të qeverisjes vendore ...”.”.</w:t>
      </w:r>
    </w:p>
    <w:p w:rsidR="007B4AA6" w:rsidRPr="007B4AA6" w:rsidRDefault="007B4AA6" w:rsidP="007B4AA6">
      <w:pPr>
        <w:pStyle w:val="ListParagraph"/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3.</w:t>
      </w:r>
      <w:r w:rsidRPr="007B4AA6">
        <w:rPr>
          <w:rFonts w:ascii="Garamond" w:hAnsi="Garamond"/>
          <w:szCs w:val="24"/>
        </w:rPr>
        <w:t xml:space="preserve"> </w:t>
      </w:r>
      <w:r w:rsidRPr="007B4AA6">
        <w:rPr>
          <w:rFonts w:ascii="Garamond" w:hAnsi="Garamond"/>
          <w:szCs w:val="24"/>
        </w:rPr>
        <w:t>Në aneksin 1, bashkëlidhur vendimit në fuqi, bëhen këto ndryshime dhe shtesa:</w:t>
      </w:r>
    </w:p>
    <w:p w:rsidR="007B4AA6" w:rsidRPr="007B4AA6" w:rsidRDefault="007B4AA6" w:rsidP="007B4AA6">
      <w:pPr>
        <w:pStyle w:val="ListParagraph"/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a)</w:t>
      </w:r>
      <w:r w:rsidRPr="007B4AA6">
        <w:rPr>
          <w:rFonts w:ascii="Garamond" w:hAnsi="Garamond"/>
          <w:szCs w:val="24"/>
        </w:rPr>
        <w:t xml:space="preserve"> </w:t>
      </w:r>
      <w:r w:rsidRPr="007B4AA6">
        <w:rPr>
          <w:rFonts w:ascii="Garamond" w:hAnsi="Garamond"/>
          <w:szCs w:val="24"/>
        </w:rPr>
        <w:t>Të dhënat mbi shërbimin nr.59 zëvendësohen me të dhënat e shërbimit nr.59, sipas tabelës në aneksin 1/2, bashkëlidhur këtij vendimi;</w:t>
      </w:r>
    </w:p>
    <w:p w:rsidR="007B4AA6" w:rsidRPr="007B4AA6" w:rsidRDefault="007B4AA6" w:rsidP="007B4AA6">
      <w:pPr>
        <w:pStyle w:val="ListParagraph"/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b)</w:t>
      </w:r>
      <w:r w:rsidRPr="007B4AA6">
        <w:rPr>
          <w:rFonts w:ascii="Garamond" w:hAnsi="Garamond"/>
          <w:szCs w:val="24"/>
        </w:rPr>
        <w:t xml:space="preserve"> </w:t>
      </w:r>
      <w:r w:rsidRPr="007B4AA6">
        <w:rPr>
          <w:rFonts w:ascii="Garamond" w:hAnsi="Garamond"/>
          <w:szCs w:val="24"/>
        </w:rPr>
        <w:t>Shtohet shërbimi me nr.67, sipas tabelës në aneksin 1/2, bashkëlidhur këtij vendimi;</w:t>
      </w:r>
    </w:p>
    <w:p w:rsidR="007B4AA6" w:rsidRPr="007B4AA6" w:rsidRDefault="007B4AA6" w:rsidP="007B4AA6">
      <w:pPr>
        <w:pStyle w:val="ListParagraph"/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>c)</w:t>
      </w:r>
      <w:r w:rsidRPr="007B4AA6">
        <w:rPr>
          <w:rFonts w:ascii="Garamond" w:hAnsi="Garamond"/>
          <w:szCs w:val="24"/>
        </w:rPr>
        <w:t xml:space="preserve"> </w:t>
      </w:r>
      <w:r w:rsidRPr="007B4AA6">
        <w:rPr>
          <w:rFonts w:ascii="Garamond" w:hAnsi="Garamond"/>
          <w:szCs w:val="24"/>
        </w:rPr>
        <w:t xml:space="preserve">Të dhënat e shërbimeve me nr.5, nr.6, nr.7, nr.8, nr.9, nr.10, nr.11, nr.13, nr.17, nr.17/1, nr.17/2, nr.19, nr.21, nr.23, nr.25, nr.26, nr.27, nr.32, nr.35, nr.42, nr.43, nr.48, nr.49, nr.51, nr.52, nr.53, nr.54, nr.60, nr.62 zëvendësohen me të dhënat sipas shërbimeve në tabelën e aneksit 1/4, bashkëlidhur këtij vendimi. </w:t>
      </w:r>
    </w:p>
    <w:p w:rsidR="007B4AA6" w:rsidRPr="007B4AA6" w:rsidRDefault="007B4AA6" w:rsidP="007B4AA6">
      <w:pPr>
        <w:pStyle w:val="ListParagraph"/>
        <w:tabs>
          <w:tab w:val="left" w:pos="900"/>
        </w:tabs>
        <w:spacing w:after="0" w:line="240" w:lineRule="auto"/>
        <w:ind w:left="0" w:right="0" w:firstLine="284"/>
        <w:rPr>
          <w:rFonts w:ascii="Garamond" w:hAnsi="Garamond"/>
          <w:szCs w:val="24"/>
        </w:rPr>
      </w:pPr>
      <w:r w:rsidRPr="007B4AA6">
        <w:rPr>
          <w:rFonts w:ascii="Garamond" w:hAnsi="Garamond"/>
          <w:szCs w:val="24"/>
        </w:rPr>
        <w:t xml:space="preserve">4. </w:t>
      </w:r>
      <w:r w:rsidRPr="007B4AA6">
        <w:rPr>
          <w:rFonts w:ascii="Garamond" w:hAnsi="Garamond"/>
          <w:szCs w:val="24"/>
        </w:rPr>
        <w:t xml:space="preserve"> </w:t>
      </w:r>
      <w:r w:rsidRPr="007B4AA6">
        <w:rPr>
          <w:rFonts w:ascii="Garamond" w:hAnsi="Garamond"/>
          <w:szCs w:val="24"/>
        </w:rPr>
        <w:t>Pas aneksit 1, bashkëlidhur vendimit në fuqi, shtohet aneksi 2, sipas aneksit me të njëjtin numër, bashkëlidhur këtij vendimi.</w:t>
      </w:r>
    </w:p>
    <w:p w:rsidR="007B4AA6" w:rsidRPr="007B4AA6" w:rsidRDefault="007B4AA6" w:rsidP="007B4AA6">
      <w:pPr>
        <w:spacing w:after="0" w:line="240" w:lineRule="auto"/>
        <w:ind w:left="0" w:right="0" w:firstLine="284"/>
        <w:rPr>
          <w:rFonts w:ascii="Garamond" w:hAnsi="Garamond"/>
          <w:color w:val="auto"/>
          <w:szCs w:val="24"/>
        </w:rPr>
      </w:pPr>
      <w:r w:rsidRPr="007B4AA6">
        <w:rPr>
          <w:rFonts w:ascii="Garamond" w:hAnsi="Garamond"/>
          <w:color w:val="auto"/>
          <w:szCs w:val="24"/>
        </w:rPr>
        <w:t>III.Institucionet publike dhe shoqëritë aksionare me kapital shtetëror në likuidim, me përjashtim të rasteve të regjistrimit të pasurive në regjistrin kadastral, për shërbimet e tjera kadastrale tarifohen sa 1/10 e vlerës së përcaktuar në aneksin 1, që i bashkëlidhet vendimit nr.389, datë 13.5.2020, të Këshillit të Ministrave, të ndryshuar, dhe është pjesë përbërëse e tij. Ato detyrohen të parashikojnë në projektbuxhetin e tyre shpenzimet e nevojshme për shlyerjen e tarifave të shërbimeve kadastrale. Për shërbimet kadastrale që ofrohen në funksion të shpronësimeve për interes publik, organi qendror, vendor apo subjekti privat, përfitues i shpronësimit, detyrohet të parashikojë shumën e tarifave të shërbimeve kadastrale, si pjesë të shpenzimeve procedurale të tij. Këto tarifa do të jenë të aplikueshme për një periudhë njëvjeçare nga data e hyrjes në fuqi të këtij vendimi. Pas kalimit të këtij afati, institucionet publike do të paguajnë tarifat standarde për shërbime kadastrale sipas këtij vendimi.</w:t>
      </w:r>
    </w:p>
    <w:p w:rsidR="007B4AA6" w:rsidRPr="007B4AA6" w:rsidRDefault="007B4AA6" w:rsidP="007B4AA6">
      <w:pPr>
        <w:spacing w:after="0" w:line="240" w:lineRule="auto"/>
        <w:ind w:left="0" w:right="0" w:firstLine="284"/>
        <w:rPr>
          <w:rFonts w:ascii="Garamond" w:hAnsi="Garamond"/>
          <w:color w:val="auto"/>
          <w:szCs w:val="24"/>
        </w:rPr>
      </w:pPr>
      <w:r w:rsidRPr="007B4AA6">
        <w:rPr>
          <w:rFonts w:ascii="Garamond" w:hAnsi="Garamond"/>
          <w:color w:val="auto"/>
          <w:szCs w:val="24"/>
        </w:rPr>
        <w:t xml:space="preserve">IV. Ngarkohet Agjencia Shtetërore e Kadastrës për </w:t>
      </w:r>
      <w:r w:rsidRPr="007B4AA6">
        <w:rPr>
          <w:rFonts w:ascii="Garamond" w:hAnsi="Garamond"/>
          <w:color w:val="auto"/>
          <w:szCs w:val="24"/>
        </w:rPr>
        <w:t xml:space="preserve">Zbatimin </w:t>
      </w:r>
      <w:r w:rsidRPr="007B4AA6">
        <w:rPr>
          <w:rFonts w:ascii="Garamond" w:hAnsi="Garamond"/>
          <w:color w:val="auto"/>
          <w:szCs w:val="24"/>
        </w:rPr>
        <w:t>e këtij vendimi.</w:t>
      </w:r>
    </w:p>
    <w:p w:rsidR="007B4AA6" w:rsidRPr="007B4AA6" w:rsidRDefault="007B4AA6" w:rsidP="007B4AA6">
      <w:pPr>
        <w:pStyle w:val="Paragrafi"/>
        <w:rPr>
          <w:szCs w:val="24"/>
        </w:rPr>
      </w:pPr>
      <w:r w:rsidRPr="007B4AA6">
        <w:rPr>
          <w:szCs w:val="24"/>
        </w:rPr>
        <w:t>Ky vendim hyn në fuqi pas botimit në Fletoren zyrtare.</w:t>
      </w:r>
    </w:p>
    <w:p w:rsidR="007B4AA6" w:rsidRDefault="007B4AA6" w:rsidP="007B4AA6">
      <w:pPr>
        <w:spacing w:after="0" w:line="240" w:lineRule="auto"/>
        <w:ind w:left="0" w:right="0" w:firstLine="284"/>
        <w:jc w:val="center"/>
        <w:rPr>
          <w:rFonts w:ascii="Garamond" w:hAnsi="Garamond"/>
          <w:b/>
          <w:bCs/>
          <w:color w:val="auto"/>
          <w:szCs w:val="24"/>
        </w:rPr>
      </w:pPr>
    </w:p>
    <w:p w:rsidR="007B4AA6" w:rsidRPr="007B4AA6" w:rsidRDefault="007B4AA6" w:rsidP="007B4AA6">
      <w:pPr>
        <w:spacing w:after="0" w:line="240" w:lineRule="auto"/>
        <w:ind w:left="0" w:right="0" w:firstLine="284"/>
        <w:jc w:val="right"/>
        <w:rPr>
          <w:rFonts w:ascii="Garamond" w:hAnsi="Garamond"/>
          <w:bCs/>
          <w:color w:val="auto"/>
          <w:szCs w:val="24"/>
        </w:rPr>
      </w:pPr>
      <w:r w:rsidRPr="007B4AA6">
        <w:rPr>
          <w:rFonts w:ascii="Garamond" w:hAnsi="Garamond"/>
          <w:bCs/>
          <w:color w:val="auto"/>
          <w:szCs w:val="24"/>
        </w:rPr>
        <w:t>ZËVENDËSKRYEMINIST</w:t>
      </w:r>
      <w:r w:rsidRPr="007B4AA6">
        <w:rPr>
          <w:rFonts w:ascii="Garamond" w:hAnsi="Garamond"/>
          <w:bCs/>
          <w:color w:val="auto"/>
          <w:szCs w:val="24"/>
        </w:rPr>
        <w:t>Ë</w:t>
      </w:r>
      <w:r w:rsidRPr="007B4AA6">
        <w:rPr>
          <w:rFonts w:ascii="Garamond" w:hAnsi="Garamond"/>
          <w:bCs/>
          <w:color w:val="auto"/>
          <w:szCs w:val="24"/>
        </w:rPr>
        <w:t>R</w:t>
      </w:r>
    </w:p>
    <w:p w:rsidR="007B4AA6" w:rsidRPr="007B4AA6" w:rsidRDefault="007B4AA6" w:rsidP="007B4AA6">
      <w:pPr>
        <w:spacing w:after="0" w:line="240" w:lineRule="auto"/>
        <w:ind w:left="0" w:right="0" w:firstLine="284"/>
        <w:jc w:val="right"/>
        <w:rPr>
          <w:rFonts w:ascii="Garamond" w:hAnsi="Garamond"/>
          <w:b/>
          <w:bCs/>
          <w:color w:val="auto"/>
          <w:szCs w:val="24"/>
        </w:rPr>
      </w:pPr>
      <w:r w:rsidRPr="007B4AA6">
        <w:rPr>
          <w:rFonts w:ascii="Garamond" w:hAnsi="Garamond"/>
          <w:b/>
          <w:bCs/>
          <w:color w:val="auto"/>
          <w:szCs w:val="24"/>
        </w:rPr>
        <w:t>Belinda Balluku</w:t>
      </w:r>
    </w:p>
    <w:p w:rsidR="007B4AA6" w:rsidRPr="007B4AA6" w:rsidRDefault="007B4AA6" w:rsidP="007B4AA6">
      <w:pPr>
        <w:spacing w:after="0" w:line="240" w:lineRule="auto"/>
        <w:ind w:left="0" w:right="0" w:firstLine="284"/>
        <w:jc w:val="center"/>
        <w:rPr>
          <w:rFonts w:ascii="Garamond" w:hAnsi="Garamond"/>
          <w:b/>
          <w:bCs/>
          <w:color w:val="auto"/>
          <w:szCs w:val="24"/>
        </w:rPr>
      </w:pPr>
    </w:p>
    <w:p w:rsidR="00145D76" w:rsidRPr="00145D76" w:rsidRDefault="00145D76" w:rsidP="00145D76">
      <w:pPr>
        <w:pStyle w:val="Header"/>
        <w:rPr>
          <w:rFonts w:ascii="Garamond" w:hAnsi="Garamond"/>
          <w:b/>
        </w:rPr>
      </w:pPr>
      <w:r w:rsidRPr="00145D76">
        <w:rPr>
          <w:rFonts w:ascii="Garamond" w:hAnsi="Garamond"/>
          <w:b/>
        </w:rPr>
        <w:t>LISTA E SHERBIMEVE TE OFRUARA NGA AGJENCIA SHTETERORE E KADASTRES</w:t>
      </w:r>
    </w:p>
    <w:p w:rsidR="00145D76" w:rsidRDefault="00145D76" w:rsidP="00145D76">
      <w:pPr>
        <w:pStyle w:val="Header"/>
        <w:jc w:val="right"/>
        <w:rPr>
          <w:rFonts w:ascii="Garamond" w:hAnsi="Garamond"/>
          <w:b/>
          <w:i/>
        </w:rPr>
      </w:pPr>
      <w:r w:rsidRPr="00145D76">
        <w:rPr>
          <w:rFonts w:ascii="Garamond" w:hAnsi="Garamond"/>
          <w:b/>
          <w:i/>
        </w:rPr>
        <w:t xml:space="preserve">ANEKSI </w:t>
      </w:r>
      <w:r>
        <w:rPr>
          <w:rFonts w:ascii="Garamond" w:hAnsi="Garamond"/>
          <w:b/>
          <w:i/>
        </w:rPr>
        <w:t>½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811"/>
        <w:gridCol w:w="2081"/>
        <w:gridCol w:w="2081"/>
      </w:tblGrid>
      <w:tr w:rsidR="00145D76" w:rsidRPr="00ED0FEE" w:rsidTr="00ED0FEE">
        <w:trPr>
          <w:trHeight w:val="850"/>
          <w:jc w:val="center"/>
        </w:trPr>
        <w:tc>
          <w:tcPr>
            <w:tcW w:w="846" w:type="dxa"/>
          </w:tcPr>
          <w:p w:rsidR="00145D76" w:rsidRPr="00ED0FEE" w:rsidRDefault="00145D76" w:rsidP="00ED0FEE">
            <w:pPr>
              <w:pStyle w:val="Header"/>
              <w:ind w:left="0" w:right="0" w:firstLine="0"/>
              <w:jc w:val="left"/>
              <w:rPr>
                <w:rFonts w:ascii="Garamond" w:hAnsi="Garamond"/>
                <w:b/>
                <w:i/>
                <w:sz w:val="20"/>
              </w:rPr>
            </w:pPr>
            <w:r w:rsidRPr="00ED0FEE">
              <w:rPr>
                <w:rFonts w:ascii="Garamond" w:hAnsi="Garamond"/>
                <w:b/>
                <w:sz w:val="20"/>
                <w:szCs w:val="24"/>
              </w:rPr>
              <w:t>Nr.</w:t>
            </w:r>
          </w:p>
        </w:tc>
        <w:tc>
          <w:tcPr>
            <w:tcW w:w="3811" w:type="dxa"/>
          </w:tcPr>
          <w:p w:rsidR="00145D76" w:rsidRPr="00ED0FEE" w:rsidRDefault="00145D76" w:rsidP="00ED0FEE">
            <w:pPr>
              <w:pStyle w:val="Header"/>
              <w:ind w:left="0" w:right="0" w:firstLine="0"/>
              <w:jc w:val="center"/>
              <w:rPr>
                <w:rFonts w:ascii="Garamond" w:hAnsi="Garamond"/>
                <w:b/>
                <w:i/>
                <w:sz w:val="20"/>
              </w:rPr>
            </w:pPr>
            <w:r w:rsidRPr="00ED0FEE">
              <w:rPr>
                <w:rFonts w:ascii="Garamond" w:hAnsi="Garamond"/>
                <w:b/>
                <w:sz w:val="20"/>
                <w:szCs w:val="24"/>
              </w:rPr>
              <w:t>Lloji i shërbimit</w:t>
            </w:r>
          </w:p>
        </w:tc>
        <w:tc>
          <w:tcPr>
            <w:tcW w:w="2081" w:type="dxa"/>
          </w:tcPr>
          <w:p w:rsidR="00145D76" w:rsidRPr="00ED0FEE" w:rsidRDefault="00145D76" w:rsidP="00ED0FEE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sz w:val="20"/>
                <w:szCs w:val="24"/>
              </w:rPr>
            </w:pPr>
            <w:r w:rsidRPr="00ED0FEE">
              <w:rPr>
                <w:rFonts w:ascii="Garamond" w:hAnsi="Garamond"/>
                <w:b/>
                <w:sz w:val="20"/>
                <w:szCs w:val="24"/>
              </w:rPr>
              <w:t>Tarifa</w:t>
            </w:r>
          </w:p>
          <w:p w:rsidR="00145D76" w:rsidRPr="00ED0FEE" w:rsidRDefault="00145D76" w:rsidP="00ED0FEE">
            <w:pPr>
              <w:pStyle w:val="Header"/>
              <w:ind w:left="0" w:right="0" w:firstLine="0"/>
              <w:jc w:val="center"/>
              <w:rPr>
                <w:rFonts w:ascii="Garamond" w:hAnsi="Garamond"/>
                <w:b/>
                <w:i/>
                <w:sz w:val="20"/>
              </w:rPr>
            </w:pPr>
            <w:proofErr w:type="gramStart"/>
            <w:r w:rsidRPr="00ED0FEE">
              <w:rPr>
                <w:rFonts w:ascii="Garamond" w:hAnsi="Garamond"/>
                <w:b/>
                <w:sz w:val="20"/>
                <w:szCs w:val="24"/>
              </w:rPr>
              <w:t>( Lekë</w:t>
            </w:r>
            <w:proofErr w:type="gramEnd"/>
            <w:r w:rsidRPr="00ED0FEE">
              <w:rPr>
                <w:rFonts w:ascii="Garamond" w:hAnsi="Garamond"/>
                <w:b/>
                <w:sz w:val="20"/>
                <w:szCs w:val="24"/>
              </w:rPr>
              <w:t>)</w:t>
            </w:r>
          </w:p>
        </w:tc>
        <w:tc>
          <w:tcPr>
            <w:tcW w:w="2081" w:type="dxa"/>
          </w:tcPr>
          <w:p w:rsidR="00145D76" w:rsidRPr="00ED0FEE" w:rsidRDefault="00ED0FEE" w:rsidP="00ED0FEE">
            <w:pPr>
              <w:pStyle w:val="Header"/>
              <w:ind w:left="0" w:right="0" w:firstLine="0"/>
              <w:jc w:val="center"/>
              <w:rPr>
                <w:rFonts w:ascii="Garamond" w:hAnsi="Garamond"/>
                <w:b/>
                <w:i/>
                <w:sz w:val="20"/>
              </w:rPr>
            </w:pPr>
            <w:r w:rsidRPr="00ED0FEE">
              <w:rPr>
                <w:rFonts w:ascii="Garamond" w:hAnsi="Garamond"/>
                <w:b/>
                <w:sz w:val="20"/>
                <w:szCs w:val="24"/>
              </w:rPr>
              <w:t>Aplikimi ose jo i kamatvonesës (10 % e tarifës/ditë vonesë, por jo më shumë se 300 000 lekë</w:t>
            </w:r>
          </w:p>
        </w:tc>
      </w:tr>
      <w:tr w:rsidR="00145D76" w:rsidRPr="00ED0FEE" w:rsidTr="00ED0FEE">
        <w:trPr>
          <w:trHeight w:val="850"/>
          <w:jc w:val="center"/>
        </w:trPr>
        <w:tc>
          <w:tcPr>
            <w:tcW w:w="846" w:type="dxa"/>
          </w:tcPr>
          <w:p w:rsidR="00145D76" w:rsidRPr="00ED0FEE" w:rsidRDefault="00ED0FEE" w:rsidP="00ED0FEE">
            <w:pPr>
              <w:pStyle w:val="Header"/>
              <w:ind w:left="0" w:right="0" w:firstLine="0"/>
              <w:jc w:val="left"/>
              <w:rPr>
                <w:rFonts w:ascii="Garamond" w:hAnsi="Garamond"/>
                <w:b/>
                <w:i/>
                <w:sz w:val="20"/>
              </w:rPr>
            </w:pPr>
            <w:r w:rsidRPr="00ED0FEE">
              <w:rPr>
                <w:rFonts w:ascii="Garamond" w:hAnsi="Garamond"/>
                <w:sz w:val="20"/>
                <w:szCs w:val="24"/>
              </w:rPr>
              <w:t>59</w:t>
            </w:r>
          </w:p>
        </w:tc>
        <w:tc>
          <w:tcPr>
            <w:tcW w:w="3811" w:type="dxa"/>
          </w:tcPr>
          <w:p w:rsidR="00145D76" w:rsidRPr="00ED0FEE" w:rsidRDefault="00ED0FEE" w:rsidP="00ED0FEE">
            <w:pPr>
              <w:pStyle w:val="Header"/>
              <w:ind w:left="0" w:right="0" w:firstLine="0"/>
              <w:rPr>
                <w:rFonts w:ascii="Garamond" w:hAnsi="Garamond"/>
                <w:b/>
                <w:i/>
                <w:sz w:val="20"/>
              </w:rPr>
            </w:pPr>
            <w:r w:rsidRPr="00ED0FEE">
              <w:rPr>
                <w:rFonts w:ascii="Garamond" w:hAnsi="Garamond"/>
                <w:sz w:val="20"/>
                <w:szCs w:val="24"/>
              </w:rPr>
              <w:t>Kopje të vërtetuara të dokumentave tekniko-ligjor në të cilat bazohet regjistri i pasurive të paluajtshme</w:t>
            </w:r>
            <w:r w:rsidRPr="00ED0FEE">
              <w:rPr>
                <w:rFonts w:ascii="Garamond" w:hAnsi="Garamond"/>
                <w:sz w:val="20"/>
                <w:szCs w:val="24"/>
              </w:rPr>
              <w:t xml:space="preserve"> </w:t>
            </w:r>
            <w:proofErr w:type="gramStart"/>
            <w:r w:rsidRPr="00ED0FEE">
              <w:rPr>
                <w:rFonts w:ascii="Garamond" w:hAnsi="Garamond"/>
                <w:sz w:val="20"/>
                <w:szCs w:val="24"/>
              </w:rPr>
              <w:t>( të</w:t>
            </w:r>
            <w:proofErr w:type="gramEnd"/>
            <w:r w:rsidRPr="00ED0FEE">
              <w:rPr>
                <w:rFonts w:ascii="Garamond" w:hAnsi="Garamond"/>
                <w:sz w:val="20"/>
                <w:szCs w:val="24"/>
              </w:rPr>
              <w:t xml:space="preserve"> një dokumenti specifik / reference regjistrimi)</w:t>
            </w:r>
          </w:p>
        </w:tc>
        <w:tc>
          <w:tcPr>
            <w:tcW w:w="2081" w:type="dxa"/>
          </w:tcPr>
          <w:p w:rsidR="00ED0FEE" w:rsidRPr="00ED0FEE" w:rsidRDefault="00ED0FEE" w:rsidP="00ED0FEE">
            <w:pPr>
              <w:pStyle w:val="Header"/>
              <w:ind w:left="0" w:right="0" w:firstLine="0"/>
              <w:jc w:val="center"/>
              <w:rPr>
                <w:rFonts w:ascii="Garamond" w:hAnsi="Garamond"/>
                <w:sz w:val="20"/>
                <w:szCs w:val="24"/>
              </w:rPr>
            </w:pPr>
            <w:r w:rsidRPr="00ED0FEE">
              <w:rPr>
                <w:rFonts w:ascii="Garamond" w:hAnsi="Garamond"/>
                <w:sz w:val="20"/>
                <w:szCs w:val="24"/>
              </w:rPr>
              <w:t xml:space="preserve">1000 lekë-faqe/ </w:t>
            </w:r>
          </w:p>
          <w:p w:rsidR="00145D76" w:rsidRPr="00ED0FEE" w:rsidRDefault="00ED0FEE" w:rsidP="00ED0FEE">
            <w:pPr>
              <w:pStyle w:val="Header"/>
              <w:ind w:left="0" w:right="0" w:firstLine="0"/>
              <w:jc w:val="center"/>
              <w:rPr>
                <w:rFonts w:ascii="Garamond" w:hAnsi="Garamond"/>
                <w:b/>
                <w:i/>
                <w:sz w:val="20"/>
              </w:rPr>
            </w:pPr>
            <w:r w:rsidRPr="00ED0FEE">
              <w:rPr>
                <w:rFonts w:ascii="Garamond" w:hAnsi="Garamond"/>
                <w:sz w:val="20"/>
                <w:szCs w:val="24"/>
              </w:rPr>
              <w:t>4000 lekë</w:t>
            </w:r>
          </w:p>
        </w:tc>
        <w:tc>
          <w:tcPr>
            <w:tcW w:w="2081" w:type="dxa"/>
          </w:tcPr>
          <w:p w:rsidR="00145D76" w:rsidRPr="00ED0FEE" w:rsidRDefault="00ED0FEE" w:rsidP="00ED0FEE">
            <w:pPr>
              <w:pStyle w:val="Header"/>
              <w:ind w:left="0" w:right="0" w:firstLine="0"/>
              <w:jc w:val="center"/>
              <w:rPr>
                <w:rFonts w:ascii="Garamond" w:hAnsi="Garamond"/>
                <w:b/>
                <w:i/>
                <w:sz w:val="20"/>
              </w:rPr>
            </w:pPr>
            <w:r w:rsidRPr="00ED0FEE">
              <w:rPr>
                <w:rFonts w:ascii="Garamond" w:hAnsi="Garamond"/>
                <w:sz w:val="20"/>
                <w:szCs w:val="24"/>
              </w:rPr>
              <w:t>JO</w:t>
            </w:r>
          </w:p>
        </w:tc>
      </w:tr>
      <w:tr w:rsidR="00ED0FEE" w:rsidRPr="00ED0FEE" w:rsidTr="00ED0FEE">
        <w:trPr>
          <w:trHeight w:val="850"/>
          <w:jc w:val="center"/>
        </w:trPr>
        <w:tc>
          <w:tcPr>
            <w:tcW w:w="846" w:type="dxa"/>
          </w:tcPr>
          <w:p w:rsidR="00ED0FEE" w:rsidRPr="00ED0FEE" w:rsidRDefault="00ED0FEE" w:rsidP="00ED0FEE">
            <w:pPr>
              <w:pStyle w:val="Header"/>
              <w:ind w:left="0" w:right="0" w:firstLine="0"/>
              <w:jc w:val="left"/>
              <w:rPr>
                <w:rFonts w:ascii="Garamond" w:hAnsi="Garamond"/>
                <w:b/>
                <w:i/>
                <w:sz w:val="20"/>
              </w:rPr>
            </w:pPr>
            <w:r w:rsidRPr="00ED0FEE">
              <w:rPr>
                <w:rFonts w:ascii="Garamond" w:hAnsi="Garamond"/>
                <w:sz w:val="20"/>
                <w:szCs w:val="24"/>
              </w:rPr>
              <w:t>67</w:t>
            </w:r>
          </w:p>
        </w:tc>
        <w:tc>
          <w:tcPr>
            <w:tcW w:w="3811" w:type="dxa"/>
          </w:tcPr>
          <w:p w:rsidR="00ED0FEE" w:rsidRPr="00ED0FEE" w:rsidRDefault="00ED0FEE" w:rsidP="00ED0FEE">
            <w:pPr>
              <w:tabs>
                <w:tab w:val="left" w:pos="2145"/>
              </w:tabs>
              <w:spacing w:after="0" w:line="240" w:lineRule="auto"/>
              <w:ind w:left="0" w:right="0" w:firstLine="0"/>
              <w:rPr>
                <w:rFonts w:ascii="Garamond" w:hAnsi="Garamond"/>
                <w:sz w:val="20"/>
                <w:szCs w:val="24"/>
              </w:rPr>
            </w:pPr>
            <w:r w:rsidRPr="00ED0FEE">
              <w:rPr>
                <w:rFonts w:ascii="Garamond" w:hAnsi="Garamond"/>
                <w:sz w:val="20"/>
                <w:szCs w:val="24"/>
              </w:rPr>
              <w:t>Lëshim vërtetimi që subjektet nuk kanë kryer asnjë transaksion për tjetërsimin e pronësisë, të paktën në 5 vitet e fundit,</w:t>
            </w:r>
          </w:p>
        </w:tc>
        <w:tc>
          <w:tcPr>
            <w:tcW w:w="2081" w:type="dxa"/>
          </w:tcPr>
          <w:p w:rsidR="00ED0FEE" w:rsidRPr="00ED0FEE" w:rsidRDefault="00ED0FEE" w:rsidP="00ED0FEE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sz w:val="20"/>
                <w:szCs w:val="24"/>
              </w:rPr>
            </w:pPr>
            <w:r w:rsidRPr="00ED0FEE">
              <w:rPr>
                <w:rFonts w:ascii="Garamond" w:hAnsi="Garamond"/>
                <w:sz w:val="20"/>
                <w:szCs w:val="24"/>
              </w:rPr>
              <w:t>1000 lekë /drejtori;</w:t>
            </w:r>
          </w:p>
          <w:p w:rsidR="00ED0FEE" w:rsidRPr="00ED0FEE" w:rsidRDefault="00ED0FEE" w:rsidP="00ED0FEE">
            <w:pPr>
              <w:pStyle w:val="Header"/>
              <w:ind w:left="0" w:right="0" w:firstLine="0"/>
              <w:jc w:val="center"/>
              <w:rPr>
                <w:rFonts w:ascii="Garamond" w:hAnsi="Garamond"/>
                <w:b/>
                <w:i/>
                <w:sz w:val="20"/>
              </w:rPr>
            </w:pPr>
            <w:r w:rsidRPr="00ED0FEE">
              <w:rPr>
                <w:rFonts w:ascii="Garamond" w:hAnsi="Garamond"/>
                <w:sz w:val="20"/>
                <w:szCs w:val="24"/>
              </w:rPr>
              <w:t>3000 lekë /për të gjithë territorin</w:t>
            </w:r>
          </w:p>
        </w:tc>
        <w:tc>
          <w:tcPr>
            <w:tcW w:w="2081" w:type="dxa"/>
          </w:tcPr>
          <w:p w:rsidR="00ED0FEE" w:rsidRPr="00ED0FEE" w:rsidRDefault="00ED0FEE" w:rsidP="00ED0FEE">
            <w:pPr>
              <w:pStyle w:val="Header"/>
              <w:ind w:left="0" w:right="0" w:firstLine="0"/>
              <w:jc w:val="center"/>
              <w:rPr>
                <w:rFonts w:ascii="Garamond" w:hAnsi="Garamond"/>
                <w:b/>
                <w:i/>
                <w:sz w:val="20"/>
              </w:rPr>
            </w:pPr>
            <w:r w:rsidRPr="00ED0FEE">
              <w:rPr>
                <w:rFonts w:ascii="Garamond" w:hAnsi="Garamond"/>
                <w:sz w:val="20"/>
                <w:szCs w:val="24"/>
              </w:rPr>
              <w:t>JO</w:t>
            </w:r>
          </w:p>
        </w:tc>
      </w:tr>
    </w:tbl>
    <w:p w:rsidR="00145D76" w:rsidRDefault="00145D76" w:rsidP="00145D76">
      <w:pPr>
        <w:pStyle w:val="Header"/>
        <w:jc w:val="right"/>
        <w:rPr>
          <w:rFonts w:ascii="Garamond" w:hAnsi="Garamond"/>
          <w:b/>
          <w:i/>
        </w:rPr>
      </w:pPr>
    </w:p>
    <w:p w:rsidR="00145D76" w:rsidRDefault="00145D76" w:rsidP="00145D76">
      <w:pPr>
        <w:pStyle w:val="Header"/>
        <w:rPr>
          <w:b/>
          <w:i/>
        </w:rPr>
      </w:pPr>
      <w:r w:rsidRPr="00251328">
        <w:rPr>
          <w:b/>
          <w:szCs w:val="24"/>
        </w:rPr>
        <w:lastRenderedPageBreak/>
        <w:t xml:space="preserve">LISTA E SHËRBIMEVE </w:t>
      </w:r>
      <w:r>
        <w:rPr>
          <w:b/>
          <w:szCs w:val="24"/>
        </w:rPr>
        <w:t>T</w:t>
      </w:r>
      <w:r w:rsidRPr="00251328">
        <w:rPr>
          <w:b/>
          <w:szCs w:val="24"/>
        </w:rPr>
        <w:t>Ë</w:t>
      </w:r>
      <w:r>
        <w:rPr>
          <w:b/>
          <w:szCs w:val="24"/>
        </w:rPr>
        <w:t xml:space="preserve"> DEKLARIMEVE </w:t>
      </w:r>
      <w:r w:rsidRPr="00251328">
        <w:rPr>
          <w:b/>
          <w:szCs w:val="24"/>
        </w:rPr>
        <w:t>PARAPRAKE TË OFRUARA NGA AGJENCIA SHTETERORE E KADASTRËS</w:t>
      </w:r>
    </w:p>
    <w:p w:rsidR="00145D76" w:rsidRPr="0094388E" w:rsidRDefault="00145D76" w:rsidP="00145D76">
      <w:pPr>
        <w:pStyle w:val="Header"/>
        <w:rPr>
          <w:b/>
          <w:i/>
        </w:rPr>
      </w:pPr>
    </w:p>
    <w:p w:rsidR="00145D76" w:rsidRDefault="00145D76" w:rsidP="00145D76">
      <w:pPr>
        <w:jc w:val="right"/>
        <w:rPr>
          <w:b/>
          <w:i/>
        </w:rPr>
      </w:pPr>
      <w:r>
        <w:rPr>
          <w:b/>
          <w:i/>
        </w:rPr>
        <w:t>A</w:t>
      </w:r>
      <w:r w:rsidRPr="0094388E">
        <w:rPr>
          <w:b/>
          <w:i/>
        </w:rPr>
        <w:t xml:space="preserve">NEKSI </w:t>
      </w:r>
      <w:r>
        <w:rPr>
          <w:b/>
          <w:i/>
        </w:rPr>
        <w:t>2</w:t>
      </w:r>
    </w:p>
    <w:p w:rsidR="00145D76" w:rsidRPr="007B4AA6" w:rsidRDefault="00145D76" w:rsidP="00145D76">
      <w:pPr>
        <w:spacing w:after="0" w:line="240" w:lineRule="auto"/>
        <w:ind w:left="0" w:right="0" w:firstLine="284"/>
        <w:jc w:val="left"/>
        <w:rPr>
          <w:rFonts w:ascii="Garamond" w:hAnsi="Garamond"/>
          <w:b/>
          <w:bCs/>
          <w:color w:val="auto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6"/>
        <w:gridCol w:w="3948"/>
        <w:gridCol w:w="2184"/>
        <w:gridCol w:w="2191"/>
      </w:tblGrid>
      <w:tr w:rsidR="00ED0FEE" w:rsidTr="00ED0FEE">
        <w:trPr>
          <w:trHeight w:val="1020"/>
        </w:trPr>
        <w:tc>
          <w:tcPr>
            <w:tcW w:w="506" w:type="dxa"/>
          </w:tcPr>
          <w:p w:rsidR="00ED0FEE" w:rsidRDefault="00ED0FEE" w:rsidP="007B4AA6">
            <w:pPr>
              <w:spacing w:after="0" w:line="240" w:lineRule="auto"/>
              <w:ind w:left="0" w:right="0" w:firstLine="0"/>
              <w:rPr>
                <w:rFonts w:ascii="Garamond" w:hAnsi="Garamond"/>
                <w:szCs w:val="24"/>
              </w:rPr>
            </w:pPr>
            <w:r w:rsidRPr="00145D76">
              <w:rPr>
                <w:rFonts w:ascii="Garamond" w:hAnsi="Garamond"/>
                <w:b/>
                <w:sz w:val="20"/>
                <w:szCs w:val="20"/>
              </w:rPr>
              <w:t>Nr.</w:t>
            </w:r>
          </w:p>
        </w:tc>
        <w:tc>
          <w:tcPr>
            <w:tcW w:w="3948" w:type="dxa"/>
          </w:tcPr>
          <w:p w:rsidR="00ED0FEE" w:rsidRDefault="00ED0FEE" w:rsidP="00ED0FEE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szCs w:val="24"/>
              </w:rPr>
            </w:pPr>
            <w:r w:rsidRPr="00145D76">
              <w:rPr>
                <w:rFonts w:ascii="Garamond" w:hAnsi="Garamond"/>
                <w:b/>
                <w:sz w:val="20"/>
                <w:szCs w:val="20"/>
              </w:rPr>
              <w:t>Lloji i shërbimit</w:t>
            </w:r>
          </w:p>
        </w:tc>
        <w:tc>
          <w:tcPr>
            <w:tcW w:w="2184" w:type="dxa"/>
          </w:tcPr>
          <w:p w:rsidR="00ED0FEE" w:rsidRPr="00145D76" w:rsidRDefault="00ED0FEE" w:rsidP="00ED0FEE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145D76">
              <w:rPr>
                <w:rFonts w:ascii="Garamond" w:hAnsi="Garamond"/>
                <w:b/>
                <w:sz w:val="20"/>
                <w:szCs w:val="20"/>
              </w:rPr>
              <w:t>Tarifa</w:t>
            </w:r>
          </w:p>
          <w:p w:rsidR="00ED0FEE" w:rsidRDefault="00ED0FEE" w:rsidP="00ED0FEE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szCs w:val="24"/>
              </w:rPr>
            </w:pPr>
            <w:proofErr w:type="gramStart"/>
            <w:r w:rsidRPr="00145D76">
              <w:rPr>
                <w:rFonts w:ascii="Garamond" w:hAnsi="Garamond"/>
                <w:b/>
                <w:sz w:val="20"/>
                <w:szCs w:val="20"/>
              </w:rPr>
              <w:t>( Lekë</w:t>
            </w:r>
            <w:proofErr w:type="gramEnd"/>
            <w:r w:rsidRPr="00145D76">
              <w:rPr>
                <w:rFonts w:ascii="Garamond" w:hAnsi="Garamond"/>
                <w:b/>
                <w:sz w:val="20"/>
                <w:szCs w:val="20"/>
              </w:rPr>
              <w:t>)</w:t>
            </w:r>
          </w:p>
        </w:tc>
        <w:tc>
          <w:tcPr>
            <w:tcW w:w="2191" w:type="dxa"/>
          </w:tcPr>
          <w:p w:rsidR="00ED0FEE" w:rsidRDefault="00ED0FEE" w:rsidP="00ED0FEE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szCs w:val="24"/>
              </w:rPr>
            </w:pPr>
            <w:r w:rsidRPr="00145D76">
              <w:rPr>
                <w:rFonts w:ascii="Garamond" w:hAnsi="Garamond"/>
                <w:b/>
                <w:sz w:val="20"/>
                <w:szCs w:val="20"/>
              </w:rPr>
              <w:t>Aplikimi ose jo i kamatvonesës (10 % e tarifës/ditë vonesë, por jo më shumë se 300 000 lekë</w:t>
            </w:r>
          </w:p>
        </w:tc>
      </w:tr>
      <w:tr w:rsidR="00ED0FEE" w:rsidTr="00ED0FEE">
        <w:trPr>
          <w:trHeight w:val="1020"/>
        </w:trPr>
        <w:tc>
          <w:tcPr>
            <w:tcW w:w="506" w:type="dxa"/>
          </w:tcPr>
          <w:p w:rsidR="00ED0FEE" w:rsidRDefault="00ED0FEE" w:rsidP="007B4AA6">
            <w:pPr>
              <w:spacing w:after="0" w:line="240" w:lineRule="auto"/>
              <w:ind w:left="0" w:right="0" w:firstLine="0"/>
              <w:rPr>
                <w:rFonts w:ascii="Garamond" w:hAnsi="Garamond"/>
                <w:szCs w:val="24"/>
              </w:rPr>
            </w:pPr>
            <w:r w:rsidRPr="00145D76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3948" w:type="dxa"/>
          </w:tcPr>
          <w:p w:rsidR="00ED0FEE" w:rsidRDefault="00ED0FEE" w:rsidP="007B4AA6">
            <w:pPr>
              <w:spacing w:after="0" w:line="240" w:lineRule="auto"/>
              <w:ind w:left="0" w:right="0" w:firstLine="0"/>
              <w:rPr>
                <w:rFonts w:ascii="Garamond" w:hAnsi="Garamond"/>
                <w:szCs w:val="24"/>
              </w:rPr>
            </w:pPr>
            <w:r w:rsidRPr="00145D76">
              <w:rPr>
                <w:rFonts w:ascii="Garamond" w:hAnsi="Garamond"/>
                <w:sz w:val="20"/>
                <w:szCs w:val="20"/>
              </w:rPr>
              <w:t>Regjistrimi paraprak i akteve të fitimit /njohjes/ndryshimit të pronësisë në regjistrin kadastral</w:t>
            </w:r>
          </w:p>
        </w:tc>
        <w:tc>
          <w:tcPr>
            <w:tcW w:w="2184" w:type="dxa"/>
          </w:tcPr>
          <w:p w:rsidR="00ED0FEE" w:rsidRPr="00145D76" w:rsidRDefault="00ED0FEE" w:rsidP="00ED0FEE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145D76">
              <w:rPr>
                <w:rFonts w:ascii="Garamond" w:hAnsi="Garamond"/>
                <w:sz w:val="20"/>
                <w:szCs w:val="20"/>
              </w:rPr>
              <w:t>0</w:t>
            </w:r>
          </w:p>
          <w:p w:rsidR="00ED0FEE" w:rsidRDefault="00ED0FEE" w:rsidP="00ED0FEE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szCs w:val="24"/>
              </w:rPr>
            </w:pPr>
            <w:r w:rsidRPr="00145D76">
              <w:rPr>
                <w:rFonts w:ascii="Garamond" w:hAnsi="Garamond"/>
                <w:sz w:val="20"/>
                <w:szCs w:val="20"/>
              </w:rPr>
              <w:t>(</w:t>
            </w:r>
            <w:r w:rsidRPr="00145D76">
              <w:rPr>
                <w:rFonts w:ascii="Garamond" w:hAnsi="Garamond"/>
                <w:i/>
                <w:iCs/>
                <w:sz w:val="20"/>
                <w:szCs w:val="20"/>
              </w:rPr>
              <w:t>Tarifa për këtë shërbim</w:t>
            </w:r>
            <w:r w:rsidRPr="00145D76">
              <w:rPr>
                <w:rFonts w:ascii="Garamond" w:hAnsi="Garamond"/>
                <w:sz w:val="20"/>
                <w:szCs w:val="20"/>
              </w:rPr>
              <w:t xml:space="preserve"> p</w:t>
            </w:r>
            <w:r w:rsidRPr="00145D76">
              <w:rPr>
                <w:rFonts w:ascii="Garamond" w:hAnsi="Garamond"/>
                <w:i/>
                <w:iCs/>
                <w:sz w:val="20"/>
                <w:szCs w:val="20"/>
              </w:rPr>
              <w:t>ërfshihet në tarifën e regjistrimit përfundimtar të aktit</w:t>
            </w:r>
            <w:r w:rsidRPr="00145D76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2191" w:type="dxa"/>
          </w:tcPr>
          <w:p w:rsidR="00ED0FEE" w:rsidRDefault="00ED0FEE" w:rsidP="00ED0FEE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sz w:val="20"/>
                <w:szCs w:val="20"/>
              </w:rPr>
            </w:pPr>
          </w:p>
          <w:p w:rsidR="00ED0FEE" w:rsidRDefault="00ED0FEE" w:rsidP="00ED0FEE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sz w:val="20"/>
                <w:szCs w:val="20"/>
              </w:rPr>
            </w:pPr>
          </w:p>
          <w:p w:rsidR="00ED0FEE" w:rsidRDefault="00ED0FEE" w:rsidP="00ED0FEE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szCs w:val="24"/>
              </w:rPr>
            </w:pPr>
            <w:r w:rsidRPr="00145D76">
              <w:rPr>
                <w:rFonts w:ascii="Garamond" w:hAnsi="Garamond"/>
                <w:sz w:val="20"/>
                <w:szCs w:val="20"/>
              </w:rPr>
              <w:t>-</w:t>
            </w:r>
          </w:p>
        </w:tc>
      </w:tr>
    </w:tbl>
    <w:p w:rsidR="00F91E82" w:rsidRDefault="00F91E82" w:rsidP="007B4AA6">
      <w:pPr>
        <w:spacing w:after="0" w:line="240" w:lineRule="auto"/>
        <w:ind w:left="0" w:right="0" w:firstLine="284"/>
        <w:rPr>
          <w:rFonts w:ascii="Garamond" w:hAnsi="Garamond"/>
          <w:szCs w:val="24"/>
        </w:rPr>
      </w:pPr>
    </w:p>
    <w:p w:rsidR="0094333C" w:rsidRDefault="0094333C" w:rsidP="007B4AA6">
      <w:pPr>
        <w:spacing w:after="0" w:line="240" w:lineRule="auto"/>
        <w:ind w:left="0" w:right="0" w:firstLine="284"/>
        <w:rPr>
          <w:rFonts w:ascii="Garamond" w:hAnsi="Garamond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40"/>
        <w:gridCol w:w="4512"/>
        <w:gridCol w:w="1008"/>
        <w:gridCol w:w="1269"/>
      </w:tblGrid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left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bookmarkStart w:id="0" w:name="RANGE!A1:D32"/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ANEKSI 1</w:t>
            </w:r>
            <w:bookmarkEnd w:id="0"/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left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ANEKSI 1/4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lef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lef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 </w:t>
            </w:r>
          </w:p>
        </w:tc>
      </w:tr>
      <w:tr w:rsidR="00110486" w:rsidRPr="0094333C" w:rsidTr="0094333C">
        <w:trPr>
          <w:trHeight w:val="20"/>
        </w:trPr>
        <w:tc>
          <w:tcPr>
            <w:tcW w:w="6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LISTA E SHERBIMEVE TE OFRUARA NGA AGJENCIA SHTETERORE E KADASTRES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lef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lef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 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8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 xml:space="preserve">Nr. </w:t>
            </w:r>
          </w:p>
        </w:tc>
        <w:tc>
          <w:tcPr>
            <w:tcW w:w="4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Lloji i shërbimit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left"/>
              <w:rPr>
                <w:rFonts w:ascii="Garamond" w:hAnsi="Garamond" w:cs="Calibri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b/>
                <w:bCs/>
                <w:color w:val="auto"/>
                <w:sz w:val="14"/>
                <w:szCs w:val="20"/>
              </w:rPr>
              <w:t>Tarifa (Lekë)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left"/>
              <w:rPr>
                <w:rFonts w:ascii="Garamond" w:hAnsi="Garamond" w:cs="Calibri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b/>
                <w:bCs/>
                <w:color w:val="auto"/>
                <w:sz w:val="14"/>
                <w:szCs w:val="20"/>
              </w:rPr>
              <w:t>Aplikimi, ose jo, i kamatëvonesës (10% e tarifës/ditë vonesë, por jo më shumë se 300 000 lekë)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5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 xml:space="preserve">Regjistrimi i kontratës së shitjes 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5000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6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Regjistrimi i kontratës së dhurimit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5000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7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 i kontratës së shkëmbimit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5000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8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Regjistrimi i heqjes dorë nga pronësia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5000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9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 i aktit të trashëgimisë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2000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10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 i pjestimit të pasurisë së paluajtshme me vendim gjykate/ apo marrëveshje noteriale.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5000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11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Regjistrimi i titujve "në përdorim"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5000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13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Regjistrimi i kontratës së qerasë/nënqerasë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5000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17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Regjistrimi i kontratës se hipotekës për garantimin e kredisë se dhënë nga banka apo institucion tjetër kredidhënës, për kredi me vlere deri në 1.</w:t>
            </w:r>
            <w:bookmarkStart w:id="1" w:name="_GoBack"/>
            <w:bookmarkEnd w:id="1"/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000.000 lekë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8000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17/1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Regjistrimi i kontratës se hipotekës për garantimin e kredisë se dhënë nga banka apo institucion tjetër kredidhënës, për kredi me vlere 1 000.000 - 10 000 000 lekë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17000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17/2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Regjistrimi i kontratës se hipotekës për garantimin e kredisë se dhënë nga banka apo institucion tjetër kredidhënës, për kredi me vlere mbi 10 000 000 lekë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30000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19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 i kontratave të tjera të hipotekës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2000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21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 i hipotekës ligjore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2000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JO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23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Fshirje e hipotekës (kontraktore, gjyqësore, apo ligjore)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2000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JO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25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Regjistrimi i përkohshëm i karabinasë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8000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26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Regjistrimi përfundimtar i ndërtimeve të reja.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8000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27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Regjistrimi i Aktit të Bashkëpronësisë për objektet në bashkëpronësi të detyrueshme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10000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32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Regjistrimi i marrëveshjeve dhe akteve lidhur me kufijtë e pasurive të paluajtshme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3000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35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 xml:space="preserve">Regjistrim i akteve noteriale që lidhen ndërmjet zhvilluesit të pronës dhe pronarëve </w:t>
            </w:r>
            <w:proofErr w:type="gramStart"/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të  truallit</w:t>
            </w:r>
            <w:proofErr w:type="gramEnd"/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 xml:space="preserve"> apo me subjekte të treta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sz w:val="14"/>
                <w:szCs w:val="20"/>
              </w:rPr>
              <w:t>4000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PO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42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Saktësim i kufijve të pasurisë tokë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3000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JO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43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Saktësim i kufijve të pasurisë ndërtesë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3000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JO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48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Kalim i regjistrimit nga regjistrat hipotekore në sistemin e regjistrimit të pasurive të paluajtshme, para ose pas përfundimit të regjistrimit fillestar.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2000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JO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49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Lëshim kopje të fragmentit të hartës kadastrale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1500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JO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51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Lëshim kopje kartele të pasurisë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1500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JO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52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Lëshim vërtetimesh (negativ/pozitiv)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500 leke drejtori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JO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53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Lëshim certifikate pronësie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3000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JO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54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Lëshim vërtetim pronësie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2000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JO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60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Konsultim i kartelës së pasurisë së paluajtshme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1000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JO</w:t>
            </w:r>
          </w:p>
        </w:tc>
      </w:tr>
      <w:tr w:rsidR="00110486" w:rsidRPr="0094333C" w:rsidTr="0094333C">
        <w:trPr>
          <w:trHeight w:val="20"/>
        </w:trPr>
        <w:tc>
          <w:tcPr>
            <w:tcW w:w="2040" w:type="dxa"/>
            <w:tcBorders>
              <w:top w:val="single" w:sz="4" w:space="0" w:color="4F81BD"/>
              <w:left w:val="single" w:sz="8" w:space="0" w:color="auto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b/>
                <w:bCs/>
                <w:color w:val="auto"/>
                <w:sz w:val="14"/>
                <w:szCs w:val="20"/>
              </w:rPr>
              <w:t>62</w:t>
            </w:r>
          </w:p>
        </w:tc>
        <w:tc>
          <w:tcPr>
            <w:tcW w:w="451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vAlign w:val="center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/>
                <w:color w:val="auto"/>
                <w:sz w:val="14"/>
                <w:szCs w:val="20"/>
              </w:rPr>
              <w:t>Verifikimi online i gjendjes juridike të pronësisë dhe të dhënave të tjera të pasurisë së paluajtshme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right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1000</w:t>
            </w:r>
          </w:p>
        </w:tc>
        <w:tc>
          <w:tcPr>
            <w:tcW w:w="0" w:type="auto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4F81BD"/>
            </w:tcBorders>
            <w:shd w:val="clear" w:color="000000" w:fill="FFFFFF"/>
            <w:noWrap/>
            <w:vAlign w:val="bottom"/>
            <w:hideMark/>
          </w:tcPr>
          <w:p w:rsidR="00110486" w:rsidRPr="00110486" w:rsidRDefault="00110486" w:rsidP="00110486">
            <w:pPr>
              <w:spacing w:after="0" w:line="240" w:lineRule="auto"/>
              <w:ind w:left="0" w:right="0" w:firstLine="0"/>
              <w:jc w:val="center"/>
              <w:rPr>
                <w:rFonts w:ascii="Garamond" w:hAnsi="Garamond" w:cs="Calibri"/>
                <w:color w:val="auto"/>
                <w:sz w:val="14"/>
                <w:szCs w:val="20"/>
              </w:rPr>
            </w:pPr>
            <w:r w:rsidRPr="00110486">
              <w:rPr>
                <w:rFonts w:ascii="Garamond" w:hAnsi="Garamond" w:cs="Calibri"/>
                <w:color w:val="auto"/>
                <w:sz w:val="14"/>
                <w:szCs w:val="20"/>
              </w:rPr>
              <w:t>JO</w:t>
            </w:r>
          </w:p>
        </w:tc>
      </w:tr>
    </w:tbl>
    <w:p w:rsidR="00110486" w:rsidRPr="007B4AA6" w:rsidRDefault="00110486" w:rsidP="007B4AA6">
      <w:pPr>
        <w:spacing w:after="0" w:line="240" w:lineRule="auto"/>
        <w:ind w:left="0" w:right="0" w:firstLine="284"/>
        <w:rPr>
          <w:rFonts w:ascii="Garamond" w:hAnsi="Garamond"/>
          <w:szCs w:val="24"/>
        </w:rPr>
      </w:pPr>
    </w:p>
    <w:sectPr w:rsidR="00110486" w:rsidRPr="007B4AA6" w:rsidSect="00DC70BA">
      <w:footerReference w:type="default" r:id="rId7"/>
      <w:pgSz w:w="11899" w:h="16841" w:code="9"/>
      <w:pgMar w:top="1440" w:right="1440" w:bottom="1440" w:left="16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09AA" w:rsidRDefault="004809AA" w:rsidP="00DC70BA">
      <w:pPr>
        <w:spacing w:after="0" w:line="240" w:lineRule="auto"/>
      </w:pPr>
      <w:r>
        <w:separator/>
      </w:r>
    </w:p>
  </w:endnote>
  <w:endnote w:type="continuationSeparator" w:id="0">
    <w:p w:rsidR="004809AA" w:rsidRDefault="004809AA" w:rsidP="00DC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70BA" w:rsidRDefault="00DC70BA" w:rsidP="007B4AA6">
    <w:pPr>
      <w:pStyle w:val="Footer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09AA" w:rsidRDefault="004809AA" w:rsidP="00DC70BA">
      <w:pPr>
        <w:spacing w:after="0" w:line="240" w:lineRule="auto"/>
      </w:pPr>
      <w:r>
        <w:separator/>
      </w:r>
    </w:p>
  </w:footnote>
  <w:footnote w:type="continuationSeparator" w:id="0">
    <w:p w:rsidR="004809AA" w:rsidRDefault="004809AA" w:rsidP="00DC7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53A00"/>
    <w:multiLevelType w:val="hybridMultilevel"/>
    <w:tmpl w:val="C2749670"/>
    <w:lvl w:ilvl="0" w:tplc="AE3CC4B4">
      <w:start w:val="1"/>
      <w:numFmt w:val="decimal"/>
      <w:lvlText w:val="%1."/>
      <w:lvlJc w:val="left"/>
      <w:pPr>
        <w:ind w:left="9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D22A04">
      <w:start w:val="1"/>
      <w:numFmt w:val="lowerLetter"/>
      <w:lvlText w:val="%2"/>
      <w:lvlJc w:val="left"/>
      <w:pPr>
        <w:ind w:left="10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F06A16">
      <w:start w:val="1"/>
      <w:numFmt w:val="lowerRoman"/>
      <w:lvlText w:val="%3"/>
      <w:lvlJc w:val="left"/>
      <w:pPr>
        <w:ind w:left="11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F8C570">
      <w:start w:val="1"/>
      <w:numFmt w:val="decimal"/>
      <w:lvlText w:val="%4"/>
      <w:lvlJc w:val="left"/>
      <w:pPr>
        <w:ind w:left="12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328ED0">
      <w:start w:val="1"/>
      <w:numFmt w:val="lowerLetter"/>
      <w:lvlText w:val="%5"/>
      <w:lvlJc w:val="left"/>
      <w:pPr>
        <w:ind w:left="12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6CE60E">
      <w:start w:val="1"/>
      <w:numFmt w:val="lowerRoman"/>
      <w:lvlText w:val="%6"/>
      <w:lvlJc w:val="left"/>
      <w:pPr>
        <w:ind w:left="13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58A516">
      <w:start w:val="1"/>
      <w:numFmt w:val="decimal"/>
      <w:lvlText w:val="%7"/>
      <w:lvlJc w:val="left"/>
      <w:pPr>
        <w:ind w:left="14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92BBCA">
      <w:start w:val="1"/>
      <w:numFmt w:val="lowerLetter"/>
      <w:lvlText w:val="%8"/>
      <w:lvlJc w:val="left"/>
      <w:pPr>
        <w:ind w:left="14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F848EC">
      <w:start w:val="1"/>
      <w:numFmt w:val="lowerRoman"/>
      <w:lvlText w:val="%9"/>
      <w:lvlJc w:val="left"/>
      <w:pPr>
        <w:ind w:left="15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BA69FE"/>
    <w:multiLevelType w:val="hybridMultilevel"/>
    <w:tmpl w:val="5EDC8F42"/>
    <w:lvl w:ilvl="0" w:tplc="C422C80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87708DB"/>
    <w:multiLevelType w:val="hybridMultilevel"/>
    <w:tmpl w:val="2490F334"/>
    <w:lvl w:ilvl="0" w:tplc="0409000F">
      <w:start w:val="1"/>
      <w:numFmt w:val="decimal"/>
      <w:lvlText w:val="%1."/>
      <w:lvlJc w:val="left"/>
      <w:pPr>
        <w:ind w:left="710" w:hanging="360"/>
      </w:p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" w15:restartNumberingAfterBreak="0">
    <w:nsid w:val="323E2488"/>
    <w:multiLevelType w:val="hybridMultilevel"/>
    <w:tmpl w:val="5644D842"/>
    <w:lvl w:ilvl="0" w:tplc="C84A63E2">
      <w:start w:val="2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54120686"/>
    <w:multiLevelType w:val="hybridMultilevel"/>
    <w:tmpl w:val="6A24755C"/>
    <w:lvl w:ilvl="0" w:tplc="A5E2782A">
      <w:start w:val="1"/>
      <w:numFmt w:val="lowerRoman"/>
      <w:lvlText w:val="%1."/>
      <w:lvlJc w:val="left"/>
      <w:pPr>
        <w:ind w:left="9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5E911F9D"/>
    <w:multiLevelType w:val="hybridMultilevel"/>
    <w:tmpl w:val="43F22984"/>
    <w:lvl w:ilvl="0" w:tplc="FFF27D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3719D7"/>
    <w:multiLevelType w:val="hybridMultilevel"/>
    <w:tmpl w:val="20443696"/>
    <w:lvl w:ilvl="0" w:tplc="0522599C">
      <w:start w:val="1"/>
      <w:numFmt w:val="lowerLetter"/>
      <w:lvlText w:val="%1)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7" w15:restartNumberingAfterBreak="0">
    <w:nsid w:val="6E3A719A"/>
    <w:multiLevelType w:val="hybridMultilevel"/>
    <w:tmpl w:val="EE46A9D4"/>
    <w:lvl w:ilvl="0" w:tplc="D27441D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003861"/>
    <w:multiLevelType w:val="hybridMultilevel"/>
    <w:tmpl w:val="61EAC0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A75F0B"/>
    <w:multiLevelType w:val="hybridMultilevel"/>
    <w:tmpl w:val="A814A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74331"/>
    <w:multiLevelType w:val="hybridMultilevel"/>
    <w:tmpl w:val="366ADDA6"/>
    <w:lvl w:ilvl="0" w:tplc="DDE09F0C">
      <w:start w:val="1"/>
      <w:numFmt w:val="decimal"/>
      <w:lvlText w:val="%1."/>
      <w:lvlJc w:val="left"/>
      <w:pPr>
        <w:ind w:left="36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0" w:hanging="360"/>
      </w:pPr>
    </w:lvl>
    <w:lvl w:ilvl="2" w:tplc="0409001B" w:tentative="1">
      <w:start w:val="1"/>
      <w:numFmt w:val="lowerRoman"/>
      <w:lvlText w:val="%3."/>
      <w:lvlJc w:val="right"/>
      <w:pPr>
        <w:ind w:left="1790" w:hanging="180"/>
      </w:pPr>
    </w:lvl>
    <w:lvl w:ilvl="3" w:tplc="0409000F" w:tentative="1">
      <w:start w:val="1"/>
      <w:numFmt w:val="decimal"/>
      <w:lvlText w:val="%4."/>
      <w:lvlJc w:val="left"/>
      <w:pPr>
        <w:ind w:left="2510" w:hanging="360"/>
      </w:pPr>
    </w:lvl>
    <w:lvl w:ilvl="4" w:tplc="04090019" w:tentative="1">
      <w:start w:val="1"/>
      <w:numFmt w:val="lowerLetter"/>
      <w:lvlText w:val="%5."/>
      <w:lvlJc w:val="left"/>
      <w:pPr>
        <w:ind w:left="3230" w:hanging="360"/>
      </w:pPr>
    </w:lvl>
    <w:lvl w:ilvl="5" w:tplc="0409001B" w:tentative="1">
      <w:start w:val="1"/>
      <w:numFmt w:val="lowerRoman"/>
      <w:lvlText w:val="%6."/>
      <w:lvlJc w:val="right"/>
      <w:pPr>
        <w:ind w:left="3950" w:hanging="180"/>
      </w:pPr>
    </w:lvl>
    <w:lvl w:ilvl="6" w:tplc="0409000F" w:tentative="1">
      <w:start w:val="1"/>
      <w:numFmt w:val="decimal"/>
      <w:lvlText w:val="%7."/>
      <w:lvlJc w:val="left"/>
      <w:pPr>
        <w:ind w:left="4670" w:hanging="360"/>
      </w:pPr>
    </w:lvl>
    <w:lvl w:ilvl="7" w:tplc="04090019" w:tentative="1">
      <w:start w:val="1"/>
      <w:numFmt w:val="lowerLetter"/>
      <w:lvlText w:val="%8."/>
      <w:lvlJc w:val="left"/>
      <w:pPr>
        <w:ind w:left="5390" w:hanging="360"/>
      </w:pPr>
    </w:lvl>
    <w:lvl w:ilvl="8" w:tplc="0409001B" w:tentative="1">
      <w:start w:val="1"/>
      <w:numFmt w:val="lowerRoman"/>
      <w:lvlText w:val="%9."/>
      <w:lvlJc w:val="right"/>
      <w:pPr>
        <w:ind w:left="611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9"/>
  </w:num>
  <w:num w:numId="5">
    <w:abstractNumId w:val="8"/>
  </w:num>
  <w:num w:numId="6">
    <w:abstractNumId w:val="2"/>
  </w:num>
  <w:num w:numId="7">
    <w:abstractNumId w:val="10"/>
  </w:num>
  <w:num w:numId="8">
    <w:abstractNumId w:val="6"/>
  </w:num>
  <w:num w:numId="9">
    <w:abstractNumId w:val="3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38D"/>
    <w:rsid w:val="000036D1"/>
    <w:rsid w:val="00004DEF"/>
    <w:rsid w:val="00012A11"/>
    <w:rsid w:val="000251A4"/>
    <w:rsid w:val="0005412D"/>
    <w:rsid w:val="00063F3A"/>
    <w:rsid w:val="00064151"/>
    <w:rsid w:val="00064BC8"/>
    <w:rsid w:val="00074395"/>
    <w:rsid w:val="0007625D"/>
    <w:rsid w:val="00077944"/>
    <w:rsid w:val="000822DE"/>
    <w:rsid w:val="00082370"/>
    <w:rsid w:val="000848CF"/>
    <w:rsid w:val="00086D5C"/>
    <w:rsid w:val="00087054"/>
    <w:rsid w:val="000908F9"/>
    <w:rsid w:val="00092B9B"/>
    <w:rsid w:val="000B7588"/>
    <w:rsid w:val="000C0411"/>
    <w:rsid w:val="000C11D2"/>
    <w:rsid w:val="000D26A3"/>
    <w:rsid w:val="000D2E91"/>
    <w:rsid w:val="000D575E"/>
    <w:rsid w:val="000D7246"/>
    <w:rsid w:val="000E1346"/>
    <w:rsid w:val="000E4208"/>
    <w:rsid w:val="000E4FE7"/>
    <w:rsid w:val="000E67D2"/>
    <w:rsid w:val="000F02A5"/>
    <w:rsid w:val="00110486"/>
    <w:rsid w:val="0012343C"/>
    <w:rsid w:val="00124C20"/>
    <w:rsid w:val="00144264"/>
    <w:rsid w:val="001451ED"/>
    <w:rsid w:val="00145D76"/>
    <w:rsid w:val="001503F9"/>
    <w:rsid w:val="001510C7"/>
    <w:rsid w:val="001544DC"/>
    <w:rsid w:val="00155B86"/>
    <w:rsid w:val="0017024F"/>
    <w:rsid w:val="00196B9E"/>
    <w:rsid w:val="001A16A3"/>
    <w:rsid w:val="001B6B38"/>
    <w:rsid w:val="001C24F7"/>
    <w:rsid w:val="001C3881"/>
    <w:rsid w:val="001C441E"/>
    <w:rsid w:val="001C5F27"/>
    <w:rsid w:val="001C71BB"/>
    <w:rsid w:val="001D02FC"/>
    <w:rsid w:val="001D158C"/>
    <w:rsid w:val="001D332A"/>
    <w:rsid w:val="001D391D"/>
    <w:rsid w:val="001E0A3D"/>
    <w:rsid w:val="001E7686"/>
    <w:rsid w:val="001F2DA7"/>
    <w:rsid w:val="00202A6C"/>
    <w:rsid w:val="00205B97"/>
    <w:rsid w:val="002168A3"/>
    <w:rsid w:val="0022205E"/>
    <w:rsid w:val="00240D43"/>
    <w:rsid w:val="00242769"/>
    <w:rsid w:val="00242C8C"/>
    <w:rsid w:val="00243224"/>
    <w:rsid w:val="002609FE"/>
    <w:rsid w:val="00264A8E"/>
    <w:rsid w:val="002673C9"/>
    <w:rsid w:val="002722BE"/>
    <w:rsid w:val="002851FC"/>
    <w:rsid w:val="00285C3C"/>
    <w:rsid w:val="00293DA5"/>
    <w:rsid w:val="00296CF0"/>
    <w:rsid w:val="002A4311"/>
    <w:rsid w:val="002A5FCB"/>
    <w:rsid w:val="002A7DCE"/>
    <w:rsid w:val="002B407D"/>
    <w:rsid w:val="002B6B35"/>
    <w:rsid w:val="002B6DAD"/>
    <w:rsid w:val="002C00DF"/>
    <w:rsid w:val="002D11E2"/>
    <w:rsid w:val="002D2791"/>
    <w:rsid w:val="002D3D03"/>
    <w:rsid w:val="002E6B7F"/>
    <w:rsid w:val="002E7C1B"/>
    <w:rsid w:val="002F5DCE"/>
    <w:rsid w:val="003146CB"/>
    <w:rsid w:val="00314E47"/>
    <w:rsid w:val="00327F88"/>
    <w:rsid w:val="003301BF"/>
    <w:rsid w:val="0033055B"/>
    <w:rsid w:val="0033132A"/>
    <w:rsid w:val="00334478"/>
    <w:rsid w:val="00337684"/>
    <w:rsid w:val="0035418F"/>
    <w:rsid w:val="00355B3F"/>
    <w:rsid w:val="00371B7A"/>
    <w:rsid w:val="00375CFA"/>
    <w:rsid w:val="00380D2C"/>
    <w:rsid w:val="003823BA"/>
    <w:rsid w:val="0038712A"/>
    <w:rsid w:val="003A6588"/>
    <w:rsid w:val="003A6864"/>
    <w:rsid w:val="003B0FB9"/>
    <w:rsid w:val="003B1345"/>
    <w:rsid w:val="003B60F3"/>
    <w:rsid w:val="003C0F6E"/>
    <w:rsid w:val="003C544C"/>
    <w:rsid w:val="003C60C8"/>
    <w:rsid w:val="003D1713"/>
    <w:rsid w:val="003E0AF9"/>
    <w:rsid w:val="00400664"/>
    <w:rsid w:val="00434476"/>
    <w:rsid w:val="00447E91"/>
    <w:rsid w:val="0045183B"/>
    <w:rsid w:val="004621C6"/>
    <w:rsid w:val="00463182"/>
    <w:rsid w:val="00465A9C"/>
    <w:rsid w:val="00466CA0"/>
    <w:rsid w:val="00470391"/>
    <w:rsid w:val="00475012"/>
    <w:rsid w:val="004809AA"/>
    <w:rsid w:val="004830DC"/>
    <w:rsid w:val="00490597"/>
    <w:rsid w:val="00494E78"/>
    <w:rsid w:val="00496788"/>
    <w:rsid w:val="004A03A6"/>
    <w:rsid w:val="004A25A0"/>
    <w:rsid w:val="004A28FF"/>
    <w:rsid w:val="004C0BFF"/>
    <w:rsid w:val="004C0E4C"/>
    <w:rsid w:val="004C62C5"/>
    <w:rsid w:val="004C6AFF"/>
    <w:rsid w:val="004C7278"/>
    <w:rsid w:val="004D5E45"/>
    <w:rsid w:val="004D7CF8"/>
    <w:rsid w:val="004D7DF4"/>
    <w:rsid w:val="004E3F9B"/>
    <w:rsid w:val="004F1844"/>
    <w:rsid w:val="004F1DDE"/>
    <w:rsid w:val="00505286"/>
    <w:rsid w:val="005144B1"/>
    <w:rsid w:val="005174BB"/>
    <w:rsid w:val="0052106D"/>
    <w:rsid w:val="00533726"/>
    <w:rsid w:val="00535313"/>
    <w:rsid w:val="0055112D"/>
    <w:rsid w:val="00561DAF"/>
    <w:rsid w:val="00571758"/>
    <w:rsid w:val="005801D7"/>
    <w:rsid w:val="0059287D"/>
    <w:rsid w:val="00596F7A"/>
    <w:rsid w:val="005A3DA7"/>
    <w:rsid w:val="005A4BA6"/>
    <w:rsid w:val="005B6CEB"/>
    <w:rsid w:val="005C1EF0"/>
    <w:rsid w:val="005C3A8A"/>
    <w:rsid w:val="005D1DE2"/>
    <w:rsid w:val="005F1BFD"/>
    <w:rsid w:val="005F5831"/>
    <w:rsid w:val="00602F59"/>
    <w:rsid w:val="006126E0"/>
    <w:rsid w:val="006176D7"/>
    <w:rsid w:val="00622497"/>
    <w:rsid w:val="006273DE"/>
    <w:rsid w:val="0063658F"/>
    <w:rsid w:val="006439B5"/>
    <w:rsid w:val="00650D86"/>
    <w:rsid w:val="006534EC"/>
    <w:rsid w:val="00662370"/>
    <w:rsid w:val="006626A2"/>
    <w:rsid w:val="006635A8"/>
    <w:rsid w:val="0067147A"/>
    <w:rsid w:val="00680DE8"/>
    <w:rsid w:val="00681140"/>
    <w:rsid w:val="0068390B"/>
    <w:rsid w:val="00686707"/>
    <w:rsid w:val="00690719"/>
    <w:rsid w:val="006910CF"/>
    <w:rsid w:val="00691C92"/>
    <w:rsid w:val="006A3008"/>
    <w:rsid w:val="006A5626"/>
    <w:rsid w:val="006A5CE3"/>
    <w:rsid w:val="006B4D0D"/>
    <w:rsid w:val="006C084A"/>
    <w:rsid w:val="006C7476"/>
    <w:rsid w:val="006D4D0C"/>
    <w:rsid w:val="006E6CB6"/>
    <w:rsid w:val="00703A68"/>
    <w:rsid w:val="00721E0E"/>
    <w:rsid w:val="0072414A"/>
    <w:rsid w:val="00731E00"/>
    <w:rsid w:val="00732866"/>
    <w:rsid w:val="007411D5"/>
    <w:rsid w:val="00741CD1"/>
    <w:rsid w:val="00746ADA"/>
    <w:rsid w:val="00751C7A"/>
    <w:rsid w:val="00751EDA"/>
    <w:rsid w:val="00755792"/>
    <w:rsid w:val="007608F5"/>
    <w:rsid w:val="007615BD"/>
    <w:rsid w:val="0076349C"/>
    <w:rsid w:val="00776BA3"/>
    <w:rsid w:val="0078796A"/>
    <w:rsid w:val="00787B62"/>
    <w:rsid w:val="0079249C"/>
    <w:rsid w:val="007970E2"/>
    <w:rsid w:val="007A07D1"/>
    <w:rsid w:val="007A5708"/>
    <w:rsid w:val="007A61D1"/>
    <w:rsid w:val="007B4AA6"/>
    <w:rsid w:val="007B7828"/>
    <w:rsid w:val="007C5AD2"/>
    <w:rsid w:val="007D7BEF"/>
    <w:rsid w:val="007E63A8"/>
    <w:rsid w:val="007E775F"/>
    <w:rsid w:val="007F0ED8"/>
    <w:rsid w:val="008030EB"/>
    <w:rsid w:val="00811466"/>
    <w:rsid w:val="008144CB"/>
    <w:rsid w:val="00835FCB"/>
    <w:rsid w:val="0084007D"/>
    <w:rsid w:val="0084040D"/>
    <w:rsid w:val="0084408C"/>
    <w:rsid w:val="008651B6"/>
    <w:rsid w:val="00866ADB"/>
    <w:rsid w:val="00867AC6"/>
    <w:rsid w:val="00870609"/>
    <w:rsid w:val="00875C8C"/>
    <w:rsid w:val="008A2899"/>
    <w:rsid w:val="008A49C4"/>
    <w:rsid w:val="008B0F04"/>
    <w:rsid w:val="008B1AD7"/>
    <w:rsid w:val="008B2B7A"/>
    <w:rsid w:val="008C000C"/>
    <w:rsid w:val="008C3BFC"/>
    <w:rsid w:val="008D0C08"/>
    <w:rsid w:val="008D3DDC"/>
    <w:rsid w:val="008D6B68"/>
    <w:rsid w:val="008E3F51"/>
    <w:rsid w:val="008F771A"/>
    <w:rsid w:val="00910A00"/>
    <w:rsid w:val="00936305"/>
    <w:rsid w:val="0094333C"/>
    <w:rsid w:val="00945961"/>
    <w:rsid w:val="0095569B"/>
    <w:rsid w:val="0096496E"/>
    <w:rsid w:val="00965D90"/>
    <w:rsid w:val="00967312"/>
    <w:rsid w:val="00971F74"/>
    <w:rsid w:val="00981FC3"/>
    <w:rsid w:val="009831F7"/>
    <w:rsid w:val="009A4934"/>
    <w:rsid w:val="009C462B"/>
    <w:rsid w:val="009C5320"/>
    <w:rsid w:val="009D1009"/>
    <w:rsid w:val="009D2BEE"/>
    <w:rsid w:val="009D3039"/>
    <w:rsid w:val="009D79BE"/>
    <w:rsid w:val="009D7EF9"/>
    <w:rsid w:val="009E63A7"/>
    <w:rsid w:val="009F18EC"/>
    <w:rsid w:val="00A029C7"/>
    <w:rsid w:val="00A161A5"/>
    <w:rsid w:val="00A21DCD"/>
    <w:rsid w:val="00A23684"/>
    <w:rsid w:val="00A260D2"/>
    <w:rsid w:val="00A34567"/>
    <w:rsid w:val="00A479D5"/>
    <w:rsid w:val="00A536F1"/>
    <w:rsid w:val="00A53D1A"/>
    <w:rsid w:val="00A55000"/>
    <w:rsid w:val="00A62A4E"/>
    <w:rsid w:val="00A91524"/>
    <w:rsid w:val="00A93D2C"/>
    <w:rsid w:val="00AA0DF8"/>
    <w:rsid w:val="00AA741E"/>
    <w:rsid w:val="00AA7515"/>
    <w:rsid w:val="00AB152C"/>
    <w:rsid w:val="00AB552A"/>
    <w:rsid w:val="00AC33B0"/>
    <w:rsid w:val="00AC3EBF"/>
    <w:rsid w:val="00AC5F70"/>
    <w:rsid w:val="00AC638D"/>
    <w:rsid w:val="00AD045F"/>
    <w:rsid w:val="00AF067E"/>
    <w:rsid w:val="00AF315E"/>
    <w:rsid w:val="00B01AA6"/>
    <w:rsid w:val="00B06BD1"/>
    <w:rsid w:val="00B1146A"/>
    <w:rsid w:val="00B17DEB"/>
    <w:rsid w:val="00B40925"/>
    <w:rsid w:val="00B40D5F"/>
    <w:rsid w:val="00B516D5"/>
    <w:rsid w:val="00B6046F"/>
    <w:rsid w:val="00B62D16"/>
    <w:rsid w:val="00B65157"/>
    <w:rsid w:val="00B80077"/>
    <w:rsid w:val="00B840AD"/>
    <w:rsid w:val="00B92FFA"/>
    <w:rsid w:val="00B93260"/>
    <w:rsid w:val="00BA3FFC"/>
    <w:rsid w:val="00BB19AB"/>
    <w:rsid w:val="00BC1343"/>
    <w:rsid w:val="00BD61C2"/>
    <w:rsid w:val="00BD7981"/>
    <w:rsid w:val="00BE0D71"/>
    <w:rsid w:val="00BE4391"/>
    <w:rsid w:val="00BF0BA2"/>
    <w:rsid w:val="00BF4DF2"/>
    <w:rsid w:val="00BF6282"/>
    <w:rsid w:val="00C02BFA"/>
    <w:rsid w:val="00C1109F"/>
    <w:rsid w:val="00C1356D"/>
    <w:rsid w:val="00C15C7F"/>
    <w:rsid w:val="00C163B8"/>
    <w:rsid w:val="00C2201A"/>
    <w:rsid w:val="00C26DBB"/>
    <w:rsid w:val="00C3117C"/>
    <w:rsid w:val="00C46D61"/>
    <w:rsid w:val="00C52607"/>
    <w:rsid w:val="00C53D3E"/>
    <w:rsid w:val="00C62BB1"/>
    <w:rsid w:val="00C64BE1"/>
    <w:rsid w:val="00C655A5"/>
    <w:rsid w:val="00C90DED"/>
    <w:rsid w:val="00C92193"/>
    <w:rsid w:val="00C94C2F"/>
    <w:rsid w:val="00CC0818"/>
    <w:rsid w:val="00CC451E"/>
    <w:rsid w:val="00CD3AAB"/>
    <w:rsid w:val="00CD4E14"/>
    <w:rsid w:val="00D02FBE"/>
    <w:rsid w:val="00D054B4"/>
    <w:rsid w:val="00D1281E"/>
    <w:rsid w:val="00D13AF2"/>
    <w:rsid w:val="00D26F8C"/>
    <w:rsid w:val="00D36176"/>
    <w:rsid w:val="00D41817"/>
    <w:rsid w:val="00D45AB7"/>
    <w:rsid w:val="00D47BFD"/>
    <w:rsid w:val="00D50D1B"/>
    <w:rsid w:val="00D52E2E"/>
    <w:rsid w:val="00D642DA"/>
    <w:rsid w:val="00D843D7"/>
    <w:rsid w:val="00D84D74"/>
    <w:rsid w:val="00D90B64"/>
    <w:rsid w:val="00D9128C"/>
    <w:rsid w:val="00D924CE"/>
    <w:rsid w:val="00D936C1"/>
    <w:rsid w:val="00DA0FA5"/>
    <w:rsid w:val="00DA5F0C"/>
    <w:rsid w:val="00DB4BDD"/>
    <w:rsid w:val="00DB65AF"/>
    <w:rsid w:val="00DC70BA"/>
    <w:rsid w:val="00DD5562"/>
    <w:rsid w:val="00DE1A3F"/>
    <w:rsid w:val="00DE3E61"/>
    <w:rsid w:val="00DE6FDC"/>
    <w:rsid w:val="00DF50F1"/>
    <w:rsid w:val="00E02CB4"/>
    <w:rsid w:val="00E14DE1"/>
    <w:rsid w:val="00E225A0"/>
    <w:rsid w:val="00E330D4"/>
    <w:rsid w:val="00E348A5"/>
    <w:rsid w:val="00E42518"/>
    <w:rsid w:val="00E43274"/>
    <w:rsid w:val="00E444D0"/>
    <w:rsid w:val="00E523D0"/>
    <w:rsid w:val="00E54B29"/>
    <w:rsid w:val="00E65FED"/>
    <w:rsid w:val="00E67A5D"/>
    <w:rsid w:val="00E7046B"/>
    <w:rsid w:val="00E84072"/>
    <w:rsid w:val="00E90845"/>
    <w:rsid w:val="00EA2B1A"/>
    <w:rsid w:val="00EA65A2"/>
    <w:rsid w:val="00EB10C3"/>
    <w:rsid w:val="00EB3132"/>
    <w:rsid w:val="00EC1529"/>
    <w:rsid w:val="00ED0FEE"/>
    <w:rsid w:val="00ED1BE2"/>
    <w:rsid w:val="00ED7BF9"/>
    <w:rsid w:val="00EE02C8"/>
    <w:rsid w:val="00EE19F7"/>
    <w:rsid w:val="00EE2660"/>
    <w:rsid w:val="00EF095D"/>
    <w:rsid w:val="00EF0C06"/>
    <w:rsid w:val="00EF249A"/>
    <w:rsid w:val="00F225C7"/>
    <w:rsid w:val="00F35023"/>
    <w:rsid w:val="00F44713"/>
    <w:rsid w:val="00F46643"/>
    <w:rsid w:val="00F46CF9"/>
    <w:rsid w:val="00F57DC0"/>
    <w:rsid w:val="00F61417"/>
    <w:rsid w:val="00F62A0B"/>
    <w:rsid w:val="00F71383"/>
    <w:rsid w:val="00F72660"/>
    <w:rsid w:val="00F73B21"/>
    <w:rsid w:val="00F7713A"/>
    <w:rsid w:val="00F81E17"/>
    <w:rsid w:val="00F82374"/>
    <w:rsid w:val="00F91E82"/>
    <w:rsid w:val="00FA2633"/>
    <w:rsid w:val="00FB2A56"/>
    <w:rsid w:val="00FB2B74"/>
    <w:rsid w:val="00FB44E0"/>
    <w:rsid w:val="00FB52A9"/>
    <w:rsid w:val="00FC538D"/>
    <w:rsid w:val="00FF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D568A"/>
  <w15:docId w15:val="{39209821-1E91-48D8-8504-7BB9B2577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3" w:line="253" w:lineRule="auto"/>
      <w:ind w:left="10" w:right="5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6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D41817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  <w:lang w:val="sq-AL" w:eastAsia="sq-AL"/>
    </w:rPr>
  </w:style>
  <w:style w:type="paragraph" w:styleId="ListParagraph">
    <w:name w:val="List Paragraph"/>
    <w:aliases w:val="List Paragraph (numbered (a)),Normal 1,List Paragraph 1,Akapit z listą BS,Bullets,List Paragraph ("/>
    <w:basedOn w:val="Normal"/>
    <w:link w:val="ListParagraphChar"/>
    <w:uiPriority w:val="99"/>
    <w:qFormat/>
    <w:rsid w:val="00DD55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0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67E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Paragrafi">
    <w:name w:val="Paragrafi"/>
    <w:link w:val="ParagrafiChar"/>
    <w:rsid w:val="00C02BF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02BFA"/>
    <w:rPr>
      <w:rFonts w:ascii="Garamond" w:eastAsia="MS Mincho" w:hAnsi="Garamond" w:cs="CG Times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02F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2F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2FBE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2F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2FBE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ListParagraphChar">
    <w:name w:val="List Paragraph Char"/>
    <w:aliases w:val="List Paragraph (numbered (a)) Char,Normal 1 Char,List Paragraph 1 Char,Akapit z listą BS Char,Bullets Char"/>
    <w:link w:val="ListParagraph"/>
    <w:uiPriority w:val="34"/>
    <w:locked/>
    <w:rsid w:val="00CC0818"/>
    <w:rPr>
      <w:rFonts w:ascii="Times New Roman" w:eastAsia="Times New Roman" w:hAnsi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DC7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0BA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DC7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70BA"/>
    <w:rPr>
      <w:rFonts w:ascii="Times New Roman" w:eastAsia="Times New Roman" w:hAnsi="Times New Roman" w:cs="Times New Roman"/>
      <w:color w:val="000000"/>
      <w:sz w:val="24"/>
    </w:rPr>
  </w:style>
  <w:style w:type="table" w:styleId="TableGrid">
    <w:name w:val="Table Grid"/>
    <w:basedOn w:val="TableNormal"/>
    <w:uiPriority w:val="39"/>
    <w:rsid w:val="0014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1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Edlira Bejko</dc:creator>
  <cp:keywords/>
  <cp:lastModifiedBy>Nevila Samarxhi</cp:lastModifiedBy>
  <cp:revision>16</cp:revision>
  <cp:lastPrinted>2025-07-30T19:27:00Z</cp:lastPrinted>
  <dcterms:created xsi:type="dcterms:W3CDTF">2025-07-29T19:57:00Z</dcterms:created>
  <dcterms:modified xsi:type="dcterms:W3CDTF">2025-08-04T08:28:00Z</dcterms:modified>
</cp:coreProperties>
</file>