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552E2" w14:textId="77777777" w:rsidR="000B0177" w:rsidRPr="00301343" w:rsidRDefault="000B0177" w:rsidP="000B017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1343">
        <w:rPr>
          <w:rFonts w:ascii="Garamond" w:hAnsi="Garamond"/>
          <w:b/>
          <w:sz w:val="24"/>
        </w:rPr>
        <w:t>VENDIM</w:t>
      </w:r>
    </w:p>
    <w:p w14:paraId="1B098384" w14:textId="60310633" w:rsidR="000B0177" w:rsidRPr="00301343" w:rsidRDefault="000B0177" w:rsidP="000B017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1343">
        <w:rPr>
          <w:rFonts w:ascii="Garamond" w:hAnsi="Garamond"/>
          <w:b/>
          <w:sz w:val="24"/>
        </w:rPr>
        <w:t>Nr. 5</w:t>
      </w:r>
      <w:r>
        <w:rPr>
          <w:rFonts w:ascii="Garamond" w:hAnsi="Garamond"/>
          <w:b/>
          <w:sz w:val="24"/>
        </w:rPr>
        <w:t>08</w:t>
      </w:r>
      <w:r w:rsidRPr="00301343">
        <w:rPr>
          <w:rFonts w:ascii="Garamond" w:hAnsi="Garamond"/>
          <w:b/>
          <w:sz w:val="24"/>
        </w:rPr>
        <w:t>, datë 25.9.2025</w:t>
      </w:r>
    </w:p>
    <w:p w14:paraId="303D4C07" w14:textId="77777777" w:rsid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E68C97" w14:textId="2B0CA556" w:rsidR="000B0177" w:rsidRPr="000B0177" w:rsidRDefault="000B0177" w:rsidP="000B01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B0177">
        <w:rPr>
          <w:rFonts w:ascii="Garamond" w:hAnsi="Garamond"/>
          <w:b/>
          <w:sz w:val="24"/>
          <w:szCs w:val="24"/>
        </w:rPr>
        <w:t>PËR PËRCAKTIMIN E FUSHËS SË PËRGJEGJËSISË SHTETËRORE TË MINISTRISË SË INFRASTRUKTURËS DHE ENERGJISË</w:t>
      </w:r>
    </w:p>
    <w:p w14:paraId="70AC55A5" w14:textId="77777777" w:rsidR="000B0177" w:rsidRPr="000B0177" w:rsidRDefault="000B0177" w:rsidP="000B01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E5E7E26" w14:textId="65418A3A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Në mbështetje të nenit 100 të Kushtetutës dhe të pikës 2, të nenit 5, të ligjit nr.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90/2012, “Për organizimin dhe funksionimin e administratës shtetërore”, me propozimin e Kryeministrit, Këshilli i Ministrave</w:t>
      </w:r>
    </w:p>
    <w:p w14:paraId="2A1A3E2A" w14:textId="77777777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CF9A3D" w14:textId="4E80DFDB" w:rsidR="000B0177" w:rsidRPr="000B0177" w:rsidRDefault="000B0177" w:rsidP="000B01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765CECD9" w14:textId="77777777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F7471A" w14:textId="5FF60882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1. Miratimin e misionit dhe të fushës së përgjegjësisë shtetërore të Ministrisë së Infrastrukturës dhe Energjisë, sipas përcaktimeve të këtij vendimi.</w:t>
      </w:r>
    </w:p>
    <w:p w14:paraId="06F8C316" w14:textId="4B812778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2.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Ministria e Infrastrukturës dhe Energjisë ka si mision hartimin e zbatimin e politikës së përgjithshme shtetërore në sektorin e planifikimit dhe të zhvillimit urban, në sektorin e infrastrukturës e të transportit, ujësjellës-kanalizime</w:t>
      </w:r>
      <w:r w:rsidR="002A2034">
        <w:rPr>
          <w:rFonts w:ascii="Garamond" w:hAnsi="Garamond"/>
          <w:sz w:val="24"/>
          <w:szCs w:val="24"/>
        </w:rPr>
        <w:t>ve,</w:t>
      </w:r>
      <w:r w:rsidRPr="000B0177">
        <w:rPr>
          <w:rFonts w:ascii="Garamond" w:hAnsi="Garamond"/>
          <w:sz w:val="24"/>
          <w:szCs w:val="24"/>
        </w:rPr>
        <w:t xml:space="preserve"> në sektorin e telekomunikacionit dhe të shërbimit postar, në sektorin e energjisë, të shfrytëzimit të burimeve natyrore, si dhe në sektorin e industrisë minerare.</w:t>
      </w:r>
    </w:p>
    <w:p w14:paraId="1060E934" w14:textId="7CBCD4D0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Ministria e Infrastrukturës dhe Energjisë është përgjegjëse për hartimin dhe ndjekjen e zbatimit të masave për eliminimin e pasojave dhe rindërtimin e objekteve të dëmtuara e të shkatërruara nga fatkeqësia natyrore, tërmeti i datës 26.11.2019.</w:t>
      </w:r>
    </w:p>
    <w:p w14:paraId="3C7EF1C2" w14:textId="3FE17289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3. Ministria e Infrastrukturës dhe Energjisë e ushtron veprimtarinë e saj, në përputhje me legjislacionin përkatës, në këto fusha:</w:t>
      </w:r>
    </w:p>
    <w:p w14:paraId="39C2E0C9" w14:textId="42BA2FA0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a)</w:t>
      </w:r>
      <w:r w:rsidR="002A2034">
        <w:rPr>
          <w:rFonts w:ascii="Garamond" w:hAnsi="Garamond"/>
          <w:sz w:val="24"/>
          <w:szCs w:val="24"/>
        </w:rPr>
        <w:t xml:space="preserve"> </w:t>
      </w:r>
      <w:r w:rsidR="002A2034" w:rsidRPr="000B0177">
        <w:rPr>
          <w:rFonts w:ascii="Garamond" w:hAnsi="Garamond"/>
          <w:sz w:val="24"/>
          <w:szCs w:val="24"/>
        </w:rPr>
        <w:t xml:space="preserve">infrastruktura </w:t>
      </w:r>
      <w:r w:rsidRPr="000B0177">
        <w:rPr>
          <w:rFonts w:ascii="Garamond" w:hAnsi="Garamond"/>
          <w:sz w:val="24"/>
          <w:szCs w:val="24"/>
        </w:rPr>
        <w:t xml:space="preserve">rrugore, hekurudhore, </w:t>
      </w:r>
      <w:proofErr w:type="spellStart"/>
      <w:r w:rsidRPr="000B0177">
        <w:rPr>
          <w:rFonts w:ascii="Garamond" w:hAnsi="Garamond"/>
          <w:sz w:val="24"/>
          <w:szCs w:val="24"/>
        </w:rPr>
        <w:t>aeroportuale</w:t>
      </w:r>
      <w:proofErr w:type="spellEnd"/>
      <w:r w:rsidRPr="000B0177">
        <w:rPr>
          <w:rFonts w:ascii="Garamond" w:hAnsi="Garamond"/>
          <w:sz w:val="24"/>
          <w:szCs w:val="24"/>
        </w:rPr>
        <w:t xml:space="preserve">, </w:t>
      </w:r>
      <w:proofErr w:type="spellStart"/>
      <w:r w:rsidRPr="000B0177">
        <w:rPr>
          <w:rFonts w:ascii="Garamond" w:hAnsi="Garamond"/>
          <w:sz w:val="24"/>
          <w:szCs w:val="24"/>
        </w:rPr>
        <w:t>portuale</w:t>
      </w:r>
      <w:proofErr w:type="spellEnd"/>
      <w:r w:rsidRPr="000B0177">
        <w:rPr>
          <w:rFonts w:ascii="Garamond" w:hAnsi="Garamond"/>
          <w:sz w:val="24"/>
          <w:szCs w:val="24"/>
        </w:rPr>
        <w:t>;</w:t>
      </w:r>
    </w:p>
    <w:p w14:paraId="043662C1" w14:textId="59F715B1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b)</w:t>
      </w:r>
      <w:r w:rsidR="002A2034">
        <w:rPr>
          <w:rFonts w:ascii="Garamond" w:hAnsi="Garamond"/>
          <w:sz w:val="24"/>
          <w:szCs w:val="24"/>
        </w:rPr>
        <w:t xml:space="preserve"> </w:t>
      </w:r>
      <w:r w:rsidR="002A2034" w:rsidRPr="000B0177">
        <w:rPr>
          <w:rFonts w:ascii="Garamond" w:hAnsi="Garamond"/>
          <w:sz w:val="24"/>
          <w:szCs w:val="24"/>
        </w:rPr>
        <w:t xml:space="preserve">transporti </w:t>
      </w:r>
      <w:r w:rsidRPr="000B0177">
        <w:rPr>
          <w:rFonts w:ascii="Garamond" w:hAnsi="Garamond"/>
          <w:sz w:val="24"/>
          <w:szCs w:val="24"/>
        </w:rPr>
        <w:t>rrugor, hekurudhor, ajror, detar;</w:t>
      </w:r>
    </w:p>
    <w:p w14:paraId="35773086" w14:textId="0C95EBEC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c)</w:t>
      </w:r>
      <w:r w:rsidR="002A2034">
        <w:rPr>
          <w:rFonts w:ascii="Garamond" w:hAnsi="Garamond"/>
          <w:sz w:val="24"/>
          <w:szCs w:val="24"/>
        </w:rPr>
        <w:t xml:space="preserve"> </w:t>
      </w:r>
      <w:r w:rsidR="002A2034" w:rsidRPr="000B0177">
        <w:rPr>
          <w:rFonts w:ascii="Garamond" w:hAnsi="Garamond"/>
          <w:sz w:val="24"/>
          <w:szCs w:val="24"/>
        </w:rPr>
        <w:t>ujësjellës</w:t>
      </w:r>
      <w:r w:rsidRPr="000B0177">
        <w:rPr>
          <w:rFonts w:ascii="Garamond" w:hAnsi="Garamond"/>
          <w:sz w:val="24"/>
          <w:szCs w:val="24"/>
        </w:rPr>
        <w:t>–kanalizime</w:t>
      </w:r>
      <w:r w:rsidR="002A2034">
        <w:rPr>
          <w:rFonts w:ascii="Garamond" w:hAnsi="Garamond"/>
          <w:sz w:val="24"/>
          <w:szCs w:val="24"/>
        </w:rPr>
        <w:t>t</w:t>
      </w:r>
      <w:r w:rsidRPr="000B0177">
        <w:rPr>
          <w:rFonts w:ascii="Garamond" w:hAnsi="Garamond"/>
          <w:sz w:val="24"/>
          <w:szCs w:val="24"/>
        </w:rPr>
        <w:t>;</w:t>
      </w:r>
    </w:p>
    <w:p w14:paraId="388D572D" w14:textId="1B4A60A9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 xml:space="preserve">ç) </w:t>
      </w:r>
      <w:r w:rsidR="002A2034" w:rsidRPr="000B0177">
        <w:rPr>
          <w:rFonts w:ascii="Garamond" w:hAnsi="Garamond"/>
          <w:sz w:val="24"/>
          <w:szCs w:val="24"/>
        </w:rPr>
        <w:t xml:space="preserve">planifikimi </w:t>
      </w:r>
      <w:r w:rsidRPr="000B0177">
        <w:rPr>
          <w:rFonts w:ascii="Garamond" w:hAnsi="Garamond"/>
          <w:sz w:val="24"/>
          <w:szCs w:val="24"/>
        </w:rPr>
        <w:t>dhe zhvillimi i qëndrueshëm urban;</w:t>
      </w:r>
    </w:p>
    <w:p w14:paraId="215632AA" w14:textId="02BB9F80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d)</w:t>
      </w:r>
      <w:r w:rsidR="002A2034">
        <w:rPr>
          <w:rFonts w:ascii="Garamond" w:hAnsi="Garamond"/>
          <w:sz w:val="24"/>
          <w:szCs w:val="24"/>
        </w:rPr>
        <w:t xml:space="preserve"> </w:t>
      </w:r>
      <w:r w:rsidR="002A2034" w:rsidRPr="000B0177">
        <w:rPr>
          <w:rFonts w:ascii="Garamond" w:hAnsi="Garamond"/>
          <w:sz w:val="24"/>
          <w:szCs w:val="24"/>
        </w:rPr>
        <w:t xml:space="preserve">standardet </w:t>
      </w:r>
      <w:r w:rsidRPr="000B0177">
        <w:rPr>
          <w:rFonts w:ascii="Garamond" w:hAnsi="Garamond"/>
          <w:sz w:val="24"/>
          <w:szCs w:val="24"/>
        </w:rPr>
        <w:t>urbane në ndërtim;</w:t>
      </w:r>
    </w:p>
    <w:p w14:paraId="02E26B05" w14:textId="34B8388D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 xml:space="preserve">dh) </w:t>
      </w:r>
      <w:r w:rsidR="002A2034" w:rsidRPr="000B0177">
        <w:rPr>
          <w:rFonts w:ascii="Garamond" w:hAnsi="Garamond"/>
          <w:sz w:val="24"/>
          <w:szCs w:val="24"/>
        </w:rPr>
        <w:t xml:space="preserve">komunikimet </w:t>
      </w:r>
      <w:r w:rsidRPr="000B0177">
        <w:rPr>
          <w:rFonts w:ascii="Garamond" w:hAnsi="Garamond"/>
          <w:sz w:val="24"/>
          <w:szCs w:val="24"/>
        </w:rPr>
        <w:t>elektronike, digjitale dhe postare, sipas legjislacionit në fuqi në Republikën e Shqipërisë;</w:t>
      </w:r>
    </w:p>
    <w:p w14:paraId="43304854" w14:textId="55A8EC22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e)</w:t>
      </w:r>
      <w:r w:rsidR="002A2034">
        <w:rPr>
          <w:rFonts w:ascii="Garamond" w:hAnsi="Garamond"/>
          <w:sz w:val="24"/>
          <w:szCs w:val="24"/>
        </w:rPr>
        <w:t xml:space="preserve"> </w:t>
      </w:r>
      <w:r w:rsidR="002A2034" w:rsidRPr="000B0177">
        <w:rPr>
          <w:rFonts w:ascii="Garamond" w:hAnsi="Garamond"/>
          <w:sz w:val="24"/>
          <w:szCs w:val="24"/>
        </w:rPr>
        <w:t>energjia</w:t>
      </w:r>
      <w:r w:rsidRPr="000B0177">
        <w:rPr>
          <w:rFonts w:ascii="Garamond" w:hAnsi="Garamond"/>
          <w:sz w:val="24"/>
          <w:szCs w:val="24"/>
        </w:rPr>
        <w:t>;</w:t>
      </w:r>
      <w:r w:rsidR="002A2034">
        <w:rPr>
          <w:rFonts w:ascii="Garamond" w:hAnsi="Garamond"/>
          <w:sz w:val="24"/>
          <w:szCs w:val="24"/>
        </w:rPr>
        <w:t xml:space="preserve"> </w:t>
      </w:r>
    </w:p>
    <w:p w14:paraId="2E538A1F" w14:textId="2AB50DAF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ë)</w:t>
      </w:r>
      <w:r w:rsidR="002A2034">
        <w:rPr>
          <w:rFonts w:ascii="Garamond" w:hAnsi="Garamond"/>
          <w:sz w:val="24"/>
          <w:szCs w:val="24"/>
        </w:rPr>
        <w:t xml:space="preserve"> </w:t>
      </w:r>
      <w:proofErr w:type="spellStart"/>
      <w:r w:rsidR="002A2034" w:rsidRPr="000B0177">
        <w:rPr>
          <w:rFonts w:ascii="Garamond" w:hAnsi="Garamond"/>
          <w:sz w:val="24"/>
          <w:szCs w:val="24"/>
        </w:rPr>
        <w:t>eficienca</w:t>
      </w:r>
      <w:proofErr w:type="spellEnd"/>
      <w:r w:rsidR="002A2034" w:rsidRPr="000B0177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 xml:space="preserve">e energjisë; </w:t>
      </w:r>
    </w:p>
    <w:p w14:paraId="55E69C4E" w14:textId="1C6D5C0E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 xml:space="preserve">f) </w:t>
      </w:r>
      <w:r w:rsidR="002A2034" w:rsidRPr="000B0177">
        <w:rPr>
          <w:rFonts w:ascii="Garamond" w:hAnsi="Garamond"/>
          <w:sz w:val="24"/>
          <w:szCs w:val="24"/>
        </w:rPr>
        <w:t xml:space="preserve">zbutja </w:t>
      </w:r>
      <w:r w:rsidRPr="000B0177">
        <w:rPr>
          <w:rFonts w:ascii="Garamond" w:hAnsi="Garamond"/>
          <w:sz w:val="24"/>
          <w:szCs w:val="24"/>
        </w:rPr>
        <w:t>e efekteve klimatike të ardhura si pasojë e veprimtarisë së fushave të përgjegjësisë së Ministrisë së Infrastrukturës dhe Energjisë;</w:t>
      </w:r>
    </w:p>
    <w:p w14:paraId="0B073C66" w14:textId="28C188A0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g)</w:t>
      </w:r>
      <w:r w:rsidR="002A2034">
        <w:rPr>
          <w:rFonts w:ascii="Garamond" w:hAnsi="Garamond"/>
          <w:sz w:val="24"/>
          <w:szCs w:val="24"/>
        </w:rPr>
        <w:t xml:space="preserve"> </w:t>
      </w:r>
      <w:r w:rsidR="002A2034" w:rsidRPr="000B0177">
        <w:rPr>
          <w:rFonts w:ascii="Garamond" w:hAnsi="Garamond"/>
          <w:sz w:val="24"/>
          <w:szCs w:val="24"/>
        </w:rPr>
        <w:t xml:space="preserve">hidrokarburet </w:t>
      </w:r>
      <w:r w:rsidRPr="000B0177">
        <w:rPr>
          <w:rFonts w:ascii="Garamond" w:hAnsi="Garamond"/>
          <w:sz w:val="24"/>
          <w:szCs w:val="24"/>
        </w:rPr>
        <w:t>dhe industria hidrokarbure;</w:t>
      </w:r>
    </w:p>
    <w:p w14:paraId="2FA4C349" w14:textId="442FB338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gj)</w:t>
      </w:r>
      <w:r w:rsidR="002A2034">
        <w:rPr>
          <w:rFonts w:ascii="Garamond" w:hAnsi="Garamond"/>
          <w:sz w:val="24"/>
          <w:szCs w:val="24"/>
        </w:rPr>
        <w:t xml:space="preserve"> </w:t>
      </w:r>
      <w:r w:rsidR="002A2034" w:rsidRPr="000B0177">
        <w:rPr>
          <w:rFonts w:ascii="Garamond" w:hAnsi="Garamond"/>
          <w:sz w:val="24"/>
          <w:szCs w:val="24"/>
        </w:rPr>
        <w:t>minierat</w:t>
      </w:r>
      <w:r w:rsidRPr="000B0177">
        <w:rPr>
          <w:rFonts w:ascii="Garamond" w:hAnsi="Garamond"/>
          <w:sz w:val="24"/>
          <w:szCs w:val="24"/>
        </w:rPr>
        <w:t>, gjeologjia dhe industria minerare.</w:t>
      </w:r>
    </w:p>
    <w:p w14:paraId="04797350" w14:textId="38E55223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 xml:space="preserve">4. Për përmbushjen e misionit të saj, Ministria e Infrastrukturës dhe Energjisë, ndër të tjera: </w:t>
      </w:r>
    </w:p>
    <w:p w14:paraId="178FD9E7" w14:textId="65E1F605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a)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drejton</w:t>
      </w:r>
      <w:r w:rsidR="002A2034">
        <w:rPr>
          <w:rFonts w:ascii="Garamond" w:hAnsi="Garamond"/>
          <w:sz w:val="24"/>
          <w:szCs w:val="24"/>
        </w:rPr>
        <w:t>,</w:t>
      </w:r>
      <w:r w:rsidRPr="000B0177">
        <w:rPr>
          <w:rFonts w:ascii="Garamond" w:hAnsi="Garamond"/>
          <w:sz w:val="24"/>
          <w:szCs w:val="24"/>
        </w:rPr>
        <w:t xml:space="preserve"> menaxhon, mbikëqyr e vendos standarde teknike të infrastrukturës së rrjeteve rrugore e hekurudhore, të porteve, aeroporteve, ujësjellës-kanalizimeve dhe të digave të mëdha të hidrocentraleve. Përcakton dhe vendos standarde për të gjitha llojet e mjeteve të transportit dhe organizon drejtimin e kontrollit shtetëror të sigurisë teknike në sferën e shfrytëzimit; </w:t>
      </w:r>
    </w:p>
    <w:p w14:paraId="04A72F77" w14:textId="53D10048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b) monitoron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realizimin e standardeve të përcaktuara në funksion të zhvillimit të infrastrukturës në transport, ujësjellës-kanalizimeve, si dhe të punimeve të ndërtimit për zbatimin e rregullave për kontrollin e disiplinimin e tyre në aspektin financiar e teknik;</w:t>
      </w:r>
    </w:p>
    <w:p w14:paraId="1CD492B8" w14:textId="4334D25C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 xml:space="preserve">c) harton dhe zbaton monitorimin e trafikut rrugor, detar, ajror e hekurudhor përmes sistemeve inteligjente të vendosura në agjencitë, ndërmarrjet dhe drejtoritë e varësisë për të garantuar sigurinë e çdo sektori të sipërpërmendur, në linjë me parimet ndërkombëtare. Siguron kushte lehtësuese të </w:t>
      </w:r>
      <w:proofErr w:type="spellStart"/>
      <w:r w:rsidRPr="000B0177">
        <w:rPr>
          <w:rFonts w:ascii="Garamond" w:hAnsi="Garamond"/>
          <w:sz w:val="24"/>
          <w:szCs w:val="24"/>
        </w:rPr>
        <w:t>të</w:t>
      </w:r>
      <w:proofErr w:type="spellEnd"/>
      <w:r w:rsidRPr="000B0177">
        <w:rPr>
          <w:rFonts w:ascii="Garamond" w:hAnsi="Garamond"/>
          <w:sz w:val="24"/>
          <w:szCs w:val="24"/>
        </w:rPr>
        <w:t xml:space="preserve"> gjithë përdoruesve dhe operatorëve vendës e të huaj nëpërmjet sistemeve inteligjente, të përshtatshme për t’u përfshirë në sistemet evropiane të informacionit;</w:t>
      </w:r>
    </w:p>
    <w:p w14:paraId="220D4FF2" w14:textId="12C36BEA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lastRenderedPageBreak/>
        <w:t>ç)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harton, zbaton dhe mbikëqyr politikat, stra</w:t>
      </w:r>
      <w:bookmarkStart w:id="0" w:name="_GoBack"/>
      <w:r w:rsidRPr="000B0177">
        <w:rPr>
          <w:rFonts w:ascii="Garamond" w:hAnsi="Garamond"/>
          <w:sz w:val="24"/>
          <w:szCs w:val="24"/>
        </w:rPr>
        <w:t>te</w:t>
      </w:r>
      <w:bookmarkEnd w:id="0"/>
      <w:r w:rsidRPr="000B0177">
        <w:rPr>
          <w:rFonts w:ascii="Garamond" w:hAnsi="Garamond"/>
          <w:sz w:val="24"/>
          <w:szCs w:val="24"/>
        </w:rPr>
        <w:t xml:space="preserve">gjitë e standardet në sektorin e energjisë, burimeve energjetike dhe </w:t>
      </w:r>
      <w:proofErr w:type="spellStart"/>
      <w:r w:rsidRPr="000B0177">
        <w:rPr>
          <w:rFonts w:ascii="Garamond" w:hAnsi="Garamond"/>
          <w:sz w:val="24"/>
          <w:szCs w:val="24"/>
        </w:rPr>
        <w:t>eficiencës</w:t>
      </w:r>
      <w:proofErr w:type="spellEnd"/>
      <w:r w:rsidRPr="000B0177">
        <w:rPr>
          <w:rFonts w:ascii="Garamond" w:hAnsi="Garamond"/>
          <w:sz w:val="24"/>
          <w:szCs w:val="24"/>
        </w:rPr>
        <w:t xml:space="preserve"> së energjisë, në përputhje me legjislacionin në fuqi të sektorit;</w:t>
      </w:r>
    </w:p>
    <w:p w14:paraId="73C0CC1B" w14:textId="6847A5FE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d)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harton, zbaton dhe mbikëqyr politikat, strategjitë e standardet në sektorin hidrokarbur dhe industrisë hidrokarbure, në përputhje me legjislacionin në fuqi për sektorin;</w:t>
      </w:r>
    </w:p>
    <w:p w14:paraId="466315CE" w14:textId="77777777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dh) harton, zbaton e mbikëqyr politikat, strategjitë e standardet në sektorin minerar, gjeologjisë dhe industrisë minerare, në përputhje me legjislacionin në fuqi për sektorin.</w:t>
      </w:r>
    </w:p>
    <w:p w14:paraId="0A9FAACD" w14:textId="02B467A3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5. Ministria e Infrastrukturës dhe Energjisë e ushtron veprimtarinë e saj edhe në këto fusha:</w:t>
      </w:r>
    </w:p>
    <w:p w14:paraId="7B94BF7A" w14:textId="23D18E71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a) Ndjek dhe bashkërendon veprimtarinë e ministrive dhe të institucioneve të tjera, publike e shtetërore, për:</w:t>
      </w:r>
    </w:p>
    <w:p w14:paraId="74E0FB14" w14:textId="7059FFC9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i.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hartimin dhe miratimin e programeve të procesit të rindërtimit të objekteve të dëmtuara e të shkatërruara;</w:t>
      </w:r>
    </w:p>
    <w:p w14:paraId="760D1E35" w14:textId="45354545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B0177">
        <w:rPr>
          <w:rFonts w:ascii="Garamond" w:hAnsi="Garamond"/>
          <w:sz w:val="24"/>
          <w:szCs w:val="24"/>
        </w:rPr>
        <w:t>ii</w:t>
      </w:r>
      <w:proofErr w:type="spellEnd"/>
      <w:r w:rsidRPr="000B0177">
        <w:rPr>
          <w:rFonts w:ascii="Garamond" w:hAnsi="Garamond"/>
          <w:sz w:val="24"/>
          <w:szCs w:val="24"/>
        </w:rPr>
        <w:t>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planifikimin dhe shpërndarjen e fondeve buxhetore për realizimin e programeve të procesit të rindërtimit;</w:t>
      </w:r>
    </w:p>
    <w:p w14:paraId="704CBF7A" w14:textId="09D38F35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B0177">
        <w:rPr>
          <w:rFonts w:ascii="Garamond" w:hAnsi="Garamond"/>
          <w:sz w:val="24"/>
          <w:szCs w:val="24"/>
        </w:rPr>
        <w:t>iii</w:t>
      </w:r>
      <w:proofErr w:type="spellEnd"/>
      <w:r w:rsidRPr="000B0177">
        <w:rPr>
          <w:rFonts w:ascii="Garamond" w:hAnsi="Garamond"/>
          <w:sz w:val="24"/>
          <w:szCs w:val="24"/>
        </w:rPr>
        <w:t>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 xml:space="preserve">drejtimin dhe koordinimin </w:t>
      </w:r>
      <w:proofErr w:type="spellStart"/>
      <w:r w:rsidRPr="000B0177">
        <w:rPr>
          <w:rFonts w:ascii="Garamond" w:hAnsi="Garamond"/>
          <w:sz w:val="24"/>
          <w:szCs w:val="24"/>
        </w:rPr>
        <w:t>operacional</w:t>
      </w:r>
      <w:proofErr w:type="spellEnd"/>
      <w:r w:rsidRPr="000B0177">
        <w:rPr>
          <w:rFonts w:ascii="Garamond" w:hAnsi="Garamond"/>
          <w:sz w:val="24"/>
          <w:szCs w:val="24"/>
        </w:rPr>
        <w:t xml:space="preserve"> të strukturave dhe të njësive të veçanta, shtetërore e publike, të ngarkuara drejtpërdrejt për kryerjen e detyrave në terren, në zbatim të programeve të procesit të rindërtimit;</w:t>
      </w:r>
    </w:p>
    <w:p w14:paraId="4B5A9EA2" w14:textId="19F3DB04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B0177">
        <w:rPr>
          <w:rFonts w:ascii="Garamond" w:hAnsi="Garamond"/>
          <w:sz w:val="24"/>
          <w:szCs w:val="24"/>
        </w:rPr>
        <w:t>iv</w:t>
      </w:r>
      <w:proofErr w:type="spellEnd"/>
      <w:r w:rsidRPr="000B0177">
        <w:rPr>
          <w:rFonts w:ascii="Garamond" w:hAnsi="Garamond"/>
          <w:sz w:val="24"/>
          <w:szCs w:val="24"/>
        </w:rPr>
        <w:t>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ndjekjen, koordinimin, monitorimin e zbatimit të përgjegjësive dhe të detyrave të ngarkuara autoriteteve përgjegjëse, në zbatim të aktit normativ nr.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9, datë 16.12.2019, të Këshillit të Ministrave, “Për përballimin e pasojave të fatkeqësisë natyrore”, miratuar me ligjin nr.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97/2019, për rindërtimin e objekteve të dëmtuara e të shkatërruara nga fatkeqësia natyrore, tërmeti i datës 26.11.2019</w:t>
      </w:r>
      <w:r w:rsidR="002A2034">
        <w:rPr>
          <w:rFonts w:ascii="Garamond" w:hAnsi="Garamond"/>
          <w:sz w:val="24"/>
          <w:szCs w:val="24"/>
        </w:rPr>
        <w:t>;</w:t>
      </w:r>
    </w:p>
    <w:p w14:paraId="7054E1C2" w14:textId="2919CC23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 xml:space="preserve">b) Kontakton e bashkërendon me organizatat shtetërore dhe organizmat kombëtarë e ndërkombëtarë, shoqatat, personalitetet publike e donatorë të ndryshëm, brenda dhe jashtë vendit, për secilin prej tyre për mënyrën e përdorimit dhe të </w:t>
      </w:r>
      <w:proofErr w:type="spellStart"/>
      <w:r w:rsidRPr="000B0177">
        <w:rPr>
          <w:rFonts w:ascii="Garamond" w:hAnsi="Garamond"/>
          <w:sz w:val="24"/>
          <w:szCs w:val="24"/>
        </w:rPr>
        <w:t>eficiencës</w:t>
      </w:r>
      <w:proofErr w:type="spellEnd"/>
      <w:r w:rsidRPr="000B0177">
        <w:rPr>
          <w:rFonts w:ascii="Garamond" w:hAnsi="Garamond"/>
          <w:sz w:val="24"/>
          <w:szCs w:val="24"/>
        </w:rPr>
        <w:t xml:space="preserve"> së arritur për çdo donacion apo mbështetje tjetër të ofruar prej tyre.</w:t>
      </w:r>
    </w:p>
    <w:p w14:paraId="735E9DA5" w14:textId="3647ED13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6.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Vendimi nr.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111, datë 2.3.2022, i Këshillit të Ministrave, “Për përcaktimin e fushës së përgjegjësisë shtetërore të Ministrisë së Infrastrukturës dhe Energjisë”, i ndryshuar, shfuqizohet.</w:t>
      </w:r>
    </w:p>
    <w:p w14:paraId="22FCDB1F" w14:textId="7433C5B2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7.</w:t>
      </w:r>
      <w:r w:rsidR="002A2034">
        <w:rPr>
          <w:rFonts w:ascii="Garamond" w:hAnsi="Garamond"/>
          <w:sz w:val="24"/>
          <w:szCs w:val="24"/>
        </w:rPr>
        <w:t xml:space="preserve"> </w:t>
      </w:r>
      <w:r w:rsidRPr="000B0177">
        <w:rPr>
          <w:rFonts w:ascii="Garamond" w:hAnsi="Garamond"/>
          <w:sz w:val="24"/>
          <w:szCs w:val="24"/>
        </w:rPr>
        <w:t>Ngarkohet Ministria e Infrastrukturës dhe Energjisë për zbatimin e këtij vendimi.</w:t>
      </w:r>
    </w:p>
    <w:p w14:paraId="0EFF2C5C" w14:textId="29BB765C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177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E558CC0" w14:textId="7504EE21" w:rsid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5C6585" w14:textId="77777777" w:rsidR="000B0177" w:rsidRPr="00301343" w:rsidRDefault="000B0177" w:rsidP="000B017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01343">
        <w:rPr>
          <w:rFonts w:ascii="Garamond" w:hAnsi="Garamond"/>
          <w:sz w:val="24"/>
        </w:rPr>
        <w:t xml:space="preserve">KRYEMINISTËR </w:t>
      </w:r>
    </w:p>
    <w:p w14:paraId="06AF6B4C" w14:textId="77777777" w:rsidR="000B0177" w:rsidRPr="00301343" w:rsidRDefault="000B0177" w:rsidP="000B017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01343">
        <w:rPr>
          <w:rFonts w:ascii="Garamond" w:hAnsi="Garamond"/>
          <w:b/>
          <w:sz w:val="24"/>
        </w:rPr>
        <w:t xml:space="preserve">Edi </w:t>
      </w:r>
      <w:proofErr w:type="spellStart"/>
      <w:r w:rsidRPr="00301343">
        <w:rPr>
          <w:rFonts w:ascii="Garamond" w:hAnsi="Garamond"/>
          <w:b/>
          <w:sz w:val="24"/>
        </w:rPr>
        <w:t>Rama</w:t>
      </w:r>
      <w:proofErr w:type="spellEnd"/>
    </w:p>
    <w:p w14:paraId="59305C93" w14:textId="77777777" w:rsidR="000B0177" w:rsidRPr="000B0177" w:rsidRDefault="000B0177" w:rsidP="000B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B0177" w:rsidRPr="000B0177" w:rsidSect="000518F6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9B88E" w14:textId="77777777" w:rsidR="00F14A83" w:rsidRDefault="00F14A83">
      <w:pPr>
        <w:spacing w:after="0" w:line="240" w:lineRule="auto"/>
      </w:pPr>
      <w:r>
        <w:separator/>
      </w:r>
    </w:p>
  </w:endnote>
  <w:endnote w:type="continuationSeparator" w:id="0">
    <w:p w14:paraId="64838038" w14:textId="77777777" w:rsidR="00F14A83" w:rsidRDefault="00F14A83">
      <w:pPr>
        <w:spacing w:after="0" w:line="240" w:lineRule="auto"/>
      </w:pPr>
      <w:r>
        <w:continuationSeparator/>
      </w:r>
    </w:p>
  </w:endnote>
  <w:endnote w:type="continuationNotice" w:id="1">
    <w:p w14:paraId="1EA42A5D" w14:textId="77777777" w:rsidR="00F14A83" w:rsidRDefault="00F14A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595F0" w14:textId="039D932D" w:rsidR="00F14A83" w:rsidRPr="00421BF0" w:rsidRDefault="00F14A83" w:rsidP="000627AC">
    <w:pPr>
      <w:pStyle w:val="Footer"/>
      <w:jc w:val="center"/>
      <w:rPr>
        <w:rFonts w:ascii="Times New Roman" w:hAnsi="Times New Roman" w:cs="Times New Roman"/>
        <w:sz w:val="24"/>
      </w:rPr>
    </w:pPr>
  </w:p>
  <w:p w14:paraId="12349EF3" w14:textId="77777777" w:rsidR="00F14A83" w:rsidRDefault="00F14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746AB" w14:textId="77777777" w:rsidR="00F14A83" w:rsidRDefault="00F14A83">
      <w:pPr>
        <w:spacing w:after="0" w:line="240" w:lineRule="auto"/>
      </w:pPr>
      <w:r>
        <w:separator/>
      </w:r>
    </w:p>
  </w:footnote>
  <w:footnote w:type="continuationSeparator" w:id="0">
    <w:p w14:paraId="2F1258BF" w14:textId="77777777" w:rsidR="00F14A83" w:rsidRDefault="00F14A83">
      <w:pPr>
        <w:spacing w:after="0" w:line="240" w:lineRule="auto"/>
      </w:pPr>
      <w:r>
        <w:continuationSeparator/>
      </w:r>
    </w:p>
  </w:footnote>
  <w:footnote w:type="continuationNotice" w:id="1">
    <w:p w14:paraId="48FD156F" w14:textId="77777777" w:rsidR="00F14A83" w:rsidRDefault="00F14A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21B32"/>
    <w:multiLevelType w:val="hybridMultilevel"/>
    <w:tmpl w:val="0E042920"/>
    <w:lvl w:ilvl="0" w:tplc="5922CE28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826998"/>
    <w:multiLevelType w:val="hybridMultilevel"/>
    <w:tmpl w:val="DBDC18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A3B8C"/>
    <w:multiLevelType w:val="hybridMultilevel"/>
    <w:tmpl w:val="F496D3D4"/>
    <w:lvl w:ilvl="0" w:tplc="1194B80A">
      <w:start w:val="6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E10D5A"/>
    <w:multiLevelType w:val="hybridMultilevel"/>
    <w:tmpl w:val="B342917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56B1987"/>
    <w:multiLevelType w:val="hybridMultilevel"/>
    <w:tmpl w:val="E09A1754"/>
    <w:lvl w:ilvl="0" w:tplc="0BEC9F54">
      <w:start w:val="8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61158DD"/>
    <w:multiLevelType w:val="hybridMultilevel"/>
    <w:tmpl w:val="919E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A1A58"/>
    <w:multiLevelType w:val="hybridMultilevel"/>
    <w:tmpl w:val="49383B64"/>
    <w:lvl w:ilvl="0" w:tplc="EF80CA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B3495A"/>
    <w:multiLevelType w:val="hybridMultilevel"/>
    <w:tmpl w:val="3B164A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E5298"/>
    <w:multiLevelType w:val="hybridMultilevel"/>
    <w:tmpl w:val="13F87DF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24B2E"/>
    <w:multiLevelType w:val="hybridMultilevel"/>
    <w:tmpl w:val="89CE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0"/>
  </w:num>
  <w:num w:numId="5">
    <w:abstractNumId w:val="12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  <w:num w:numId="11">
    <w:abstractNumId w:val="3"/>
  </w:num>
  <w:num w:numId="12">
    <w:abstractNumId w:val="10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00756"/>
    <w:rsid w:val="00003CA3"/>
    <w:rsid w:val="000146FD"/>
    <w:rsid w:val="0002465C"/>
    <w:rsid w:val="00032874"/>
    <w:rsid w:val="00033B71"/>
    <w:rsid w:val="000344FD"/>
    <w:rsid w:val="000518F6"/>
    <w:rsid w:val="000627AC"/>
    <w:rsid w:val="00066AC6"/>
    <w:rsid w:val="000863FD"/>
    <w:rsid w:val="000A08E0"/>
    <w:rsid w:val="000B0177"/>
    <w:rsid w:val="000B163C"/>
    <w:rsid w:val="000D675C"/>
    <w:rsid w:val="00101A64"/>
    <w:rsid w:val="00124215"/>
    <w:rsid w:val="001264F3"/>
    <w:rsid w:val="00126D2D"/>
    <w:rsid w:val="001375AF"/>
    <w:rsid w:val="00152313"/>
    <w:rsid w:val="00157EF5"/>
    <w:rsid w:val="00182CC2"/>
    <w:rsid w:val="00194609"/>
    <w:rsid w:val="001A1243"/>
    <w:rsid w:val="001D2C61"/>
    <w:rsid w:val="001E1A8E"/>
    <w:rsid w:val="00223C86"/>
    <w:rsid w:val="0022688C"/>
    <w:rsid w:val="002425F8"/>
    <w:rsid w:val="00257E7C"/>
    <w:rsid w:val="00275DDC"/>
    <w:rsid w:val="002944D2"/>
    <w:rsid w:val="002A2034"/>
    <w:rsid w:val="002B062E"/>
    <w:rsid w:val="002C3744"/>
    <w:rsid w:val="002D2051"/>
    <w:rsid w:val="002F5DFB"/>
    <w:rsid w:val="0032639B"/>
    <w:rsid w:val="003268B6"/>
    <w:rsid w:val="00344B09"/>
    <w:rsid w:val="0037574D"/>
    <w:rsid w:val="00382363"/>
    <w:rsid w:val="0041216A"/>
    <w:rsid w:val="004124DD"/>
    <w:rsid w:val="00421BF0"/>
    <w:rsid w:val="004251C9"/>
    <w:rsid w:val="00425FE8"/>
    <w:rsid w:val="00437A15"/>
    <w:rsid w:val="00456BF0"/>
    <w:rsid w:val="004670DF"/>
    <w:rsid w:val="00490B00"/>
    <w:rsid w:val="0049343A"/>
    <w:rsid w:val="00493C40"/>
    <w:rsid w:val="00523EE4"/>
    <w:rsid w:val="005345CC"/>
    <w:rsid w:val="00545CCE"/>
    <w:rsid w:val="005B2D69"/>
    <w:rsid w:val="005E72DD"/>
    <w:rsid w:val="00601FED"/>
    <w:rsid w:val="006342B1"/>
    <w:rsid w:val="00645936"/>
    <w:rsid w:val="0065222B"/>
    <w:rsid w:val="00655034"/>
    <w:rsid w:val="00656416"/>
    <w:rsid w:val="00682173"/>
    <w:rsid w:val="006B7E34"/>
    <w:rsid w:val="006D1F9E"/>
    <w:rsid w:val="006D763A"/>
    <w:rsid w:val="007032E7"/>
    <w:rsid w:val="00723974"/>
    <w:rsid w:val="00746217"/>
    <w:rsid w:val="00780068"/>
    <w:rsid w:val="007846C3"/>
    <w:rsid w:val="007A4494"/>
    <w:rsid w:val="007A6E29"/>
    <w:rsid w:val="007B12DF"/>
    <w:rsid w:val="007E70E9"/>
    <w:rsid w:val="00811F9E"/>
    <w:rsid w:val="00816523"/>
    <w:rsid w:val="0082491D"/>
    <w:rsid w:val="00882C84"/>
    <w:rsid w:val="008842DA"/>
    <w:rsid w:val="008B0541"/>
    <w:rsid w:val="008B0936"/>
    <w:rsid w:val="008D27CC"/>
    <w:rsid w:val="008E67A1"/>
    <w:rsid w:val="0092185D"/>
    <w:rsid w:val="0092421E"/>
    <w:rsid w:val="00925E4C"/>
    <w:rsid w:val="009469D9"/>
    <w:rsid w:val="00946B29"/>
    <w:rsid w:val="009D11E1"/>
    <w:rsid w:val="009D5B20"/>
    <w:rsid w:val="009D674A"/>
    <w:rsid w:val="009E3AD5"/>
    <w:rsid w:val="009E43BE"/>
    <w:rsid w:val="00A05F2C"/>
    <w:rsid w:val="00A143E7"/>
    <w:rsid w:val="00A51880"/>
    <w:rsid w:val="00A55A73"/>
    <w:rsid w:val="00AA0606"/>
    <w:rsid w:val="00AA6D52"/>
    <w:rsid w:val="00AB7207"/>
    <w:rsid w:val="00B2410C"/>
    <w:rsid w:val="00B30F64"/>
    <w:rsid w:val="00B47038"/>
    <w:rsid w:val="00B71DA8"/>
    <w:rsid w:val="00B97C6F"/>
    <w:rsid w:val="00BC2D64"/>
    <w:rsid w:val="00BF10F4"/>
    <w:rsid w:val="00BF494E"/>
    <w:rsid w:val="00C25C8A"/>
    <w:rsid w:val="00C31930"/>
    <w:rsid w:val="00C44701"/>
    <w:rsid w:val="00C54F2C"/>
    <w:rsid w:val="00C6022D"/>
    <w:rsid w:val="00C60D14"/>
    <w:rsid w:val="00CF5FCB"/>
    <w:rsid w:val="00D12ADF"/>
    <w:rsid w:val="00D22CA3"/>
    <w:rsid w:val="00D31695"/>
    <w:rsid w:val="00D330C8"/>
    <w:rsid w:val="00D60479"/>
    <w:rsid w:val="00DE3F11"/>
    <w:rsid w:val="00E30A87"/>
    <w:rsid w:val="00E52693"/>
    <w:rsid w:val="00E74885"/>
    <w:rsid w:val="00E80E0F"/>
    <w:rsid w:val="00E94061"/>
    <w:rsid w:val="00E952E8"/>
    <w:rsid w:val="00EF0FF6"/>
    <w:rsid w:val="00F1092D"/>
    <w:rsid w:val="00F14A83"/>
    <w:rsid w:val="00F17D61"/>
    <w:rsid w:val="00F20C1F"/>
    <w:rsid w:val="00F3501C"/>
    <w:rsid w:val="00F409CE"/>
    <w:rsid w:val="00F509C7"/>
    <w:rsid w:val="00F6561B"/>
    <w:rsid w:val="00F87CBA"/>
    <w:rsid w:val="00FA4CE8"/>
    <w:rsid w:val="00FC12DB"/>
    <w:rsid w:val="00FD465A"/>
    <w:rsid w:val="00FD6449"/>
    <w:rsid w:val="00F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349EBA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5034"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B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8B6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8B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8B6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B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B6"/>
    <w:rPr>
      <w:b/>
      <w:bCs/>
    </w:rPr>
  </w:style>
  <w:style w:type="paragraph" w:styleId="Revision">
    <w:name w:val="Revision"/>
    <w:hidden/>
    <w:uiPriority w:val="99"/>
    <w:semiHidden/>
    <w:rsid w:val="00F87C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72FE8159EA41A5A02474268B65EA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508</Nr_x002e__x0020_akti>
    <Data_x0020_e_x0020_Krijimit xmlns="0e656187-b300-4fb0-8bf4-3a50f872073c">2025-09-26T09:59:07Z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të Ministrisë së Infrastrukturës dhe Energjisë</Titulli>
    <Modifikuesi xmlns="0e656187-b300-4fb0-8bf4-3a50f872073c">Fjora.Cahani</Modifikuesi>
    <Nr_x002e__x0020_prot_x0020_QBZ xmlns="0e656187-b300-4fb0-8bf4-3a50f872073c">1543</Nr_x002e__x0020_prot_x0020_QBZ>
    <Data_x0020_e_x0020_Modifikimit xmlns="0e656187-b300-4fb0-8bf4-3a50f872073c">2025-09-26T10:27:10Z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4499/2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21B28-79AA-45DE-86EA-C98458059B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0B47C1-B917-4A12-AD79-026EEF27B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5714DB-15EE-4248-9DCC-C781EDD7CAD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51A14D2-4139-4296-BCD4-F2D118B871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Infrastrukturës dhe Energjisë</vt:lpstr>
    </vt:vector>
  </TitlesOfParts>
  <Company>Hewlett-Packard Company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Infrastrukturës dhe Energjisë</dc:title>
  <dc:creator>Marbona Cuka</dc:creator>
  <cp:lastModifiedBy>Fjora Cahani</cp:lastModifiedBy>
  <cp:revision>8</cp:revision>
  <cp:lastPrinted>2025-09-24T11:23:00Z</cp:lastPrinted>
  <dcterms:created xsi:type="dcterms:W3CDTF">2025-09-26T09:05:00Z</dcterms:created>
  <dcterms:modified xsi:type="dcterms:W3CDTF">2025-09-26T09:35:00Z</dcterms:modified>
</cp:coreProperties>
</file>