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8084A" w14:textId="77777777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center"/>
        <w:textAlignment w:val="auto"/>
        <w:rPr>
          <w:rFonts w:ascii="Garamond" w:hAnsi="Garamond"/>
          <w:b/>
          <w:bCs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hAnsi="Garamond"/>
          <w:b/>
          <w:bCs/>
          <w:color w:val="000000"/>
          <w:kern w:val="0"/>
          <w:sz w:val="24"/>
          <w:szCs w:val="28"/>
          <w:lang w:val="sq-AL"/>
        </w:rPr>
        <w:t>VENDIM</w:t>
      </w:r>
    </w:p>
    <w:p w14:paraId="2502BB6D" w14:textId="77777777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center"/>
        <w:textAlignment w:val="auto"/>
        <w:rPr>
          <w:rFonts w:ascii="Garamond" w:hAnsi="Garamond"/>
          <w:b/>
          <w:bCs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hAnsi="Garamond"/>
          <w:b/>
          <w:bCs/>
          <w:color w:val="000000"/>
          <w:kern w:val="0"/>
          <w:sz w:val="24"/>
          <w:szCs w:val="28"/>
          <w:lang w:val="sq-AL"/>
        </w:rPr>
        <w:t>Nr. 696, datë 26.11.2025</w:t>
      </w:r>
    </w:p>
    <w:p w14:paraId="74DD1571" w14:textId="77777777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center"/>
        <w:textAlignment w:val="auto"/>
        <w:rPr>
          <w:rFonts w:ascii="Garamond" w:hAnsi="Garamond"/>
          <w:b/>
          <w:bCs/>
          <w:color w:val="000000"/>
          <w:kern w:val="0"/>
          <w:sz w:val="24"/>
          <w:szCs w:val="28"/>
          <w:lang w:val="sq-AL"/>
        </w:rPr>
      </w:pPr>
    </w:p>
    <w:p w14:paraId="608C8FE0" w14:textId="3BE186B4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center"/>
        <w:textAlignment w:val="auto"/>
        <w:rPr>
          <w:rFonts w:ascii="Garamond" w:hAnsi="Garamond"/>
          <w:b/>
          <w:bCs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hAnsi="Garamond"/>
          <w:b/>
          <w:bCs/>
          <w:color w:val="000000"/>
          <w:kern w:val="0"/>
          <w:sz w:val="24"/>
          <w:szCs w:val="28"/>
          <w:lang w:val="sq-AL"/>
        </w:rPr>
        <w:t>PËR DISA NDRYSHIME NË VENDIMIN NR.</w:t>
      </w:r>
      <w:r w:rsidR="0092411F">
        <w:rPr>
          <w:rFonts w:ascii="Garamond" w:hAnsi="Garamond"/>
          <w:b/>
          <w:bCs/>
          <w:color w:val="000000"/>
          <w:kern w:val="0"/>
          <w:sz w:val="24"/>
          <w:szCs w:val="28"/>
          <w:lang w:val="sq-AL"/>
        </w:rPr>
        <w:t xml:space="preserve"> </w:t>
      </w:r>
      <w:r w:rsidRPr="00C521B8">
        <w:rPr>
          <w:rFonts w:ascii="Garamond" w:hAnsi="Garamond"/>
          <w:b/>
          <w:bCs/>
          <w:color w:val="000000"/>
          <w:kern w:val="0"/>
          <w:sz w:val="24"/>
          <w:szCs w:val="28"/>
          <w:lang w:val="sq-AL"/>
        </w:rPr>
        <w:t>1178, DATË 24.12.2020,</w:t>
      </w:r>
      <w:r w:rsidR="0092411F">
        <w:rPr>
          <w:rFonts w:ascii="Garamond" w:hAnsi="Garamond"/>
          <w:b/>
          <w:bCs/>
          <w:color w:val="000000"/>
          <w:kern w:val="0"/>
          <w:sz w:val="24"/>
          <w:szCs w:val="28"/>
          <w:lang w:val="sq-AL"/>
        </w:rPr>
        <w:t xml:space="preserve"> </w:t>
      </w:r>
      <w:r w:rsidRPr="00C521B8">
        <w:rPr>
          <w:rFonts w:ascii="Garamond" w:hAnsi="Garamond"/>
          <w:b/>
          <w:bCs/>
          <w:color w:val="000000"/>
          <w:kern w:val="0"/>
          <w:sz w:val="24"/>
          <w:szCs w:val="28"/>
          <w:lang w:val="sq-AL"/>
        </w:rPr>
        <w:t>TË KËSHILLIT TË MINISTRAVE, “PËR PËRCAKTIMIN E DOKUMENTACIONIT DHE RREGULLAVE TË HOLLËSISHME TË EVIDENTIMIT TË NDËRTIMEVE PA LEJE”, TË NDRYSHUAR</w:t>
      </w:r>
    </w:p>
    <w:p w14:paraId="0B788016" w14:textId="77777777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textAlignment w:val="auto"/>
        <w:rPr>
          <w:rFonts w:ascii="Garamond" w:hAnsi="Garamond"/>
          <w:color w:val="000000"/>
          <w:kern w:val="0"/>
          <w:sz w:val="24"/>
          <w:szCs w:val="28"/>
          <w:lang w:val="sq-AL"/>
        </w:rPr>
      </w:pPr>
    </w:p>
    <w:p w14:paraId="28D67B33" w14:textId="55F975D7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both"/>
        <w:textAlignment w:val="auto"/>
        <w:rPr>
          <w:rFonts w:ascii="Garamond" w:hAnsi="Garamond"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Në mbështetje të nenit 100 të Kushtetutës dhe të neneve 17, pika 6, dhe 69,</w:t>
      </w:r>
      <w:r w:rsidR="0092411F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</w:t>
      </w: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pika 9, të ligjit nr.</w:t>
      </w:r>
      <w:r w:rsidR="0092411F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</w:t>
      </w: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20/2020, “Për përfundimin e proceseve kalimtare të pronësisë në Republikën e Shqipërisë”, me propozimin e Kryeministrit, Këshilli i Ministrave</w:t>
      </w:r>
    </w:p>
    <w:p w14:paraId="474117A3" w14:textId="77777777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center"/>
        <w:textAlignment w:val="auto"/>
        <w:rPr>
          <w:rFonts w:ascii="Garamond" w:hAnsi="Garamond"/>
          <w:b/>
          <w:bCs/>
          <w:color w:val="000000"/>
          <w:kern w:val="0"/>
          <w:sz w:val="24"/>
          <w:szCs w:val="28"/>
          <w:lang w:val="sq-AL"/>
        </w:rPr>
      </w:pPr>
    </w:p>
    <w:p w14:paraId="2734A654" w14:textId="77777777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center"/>
        <w:textAlignment w:val="auto"/>
        <w:rPr>
          <w:rFonts w:ascii="Garamond" w:hAnsi="Garamond"/>
          <w:bCs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hAnsi="Garamond"/>
          <w:bCs/>
          <w:color w:val="000000"/>
          <w:kern w:val="0"/>
          <w:sz w:val="24"/>
          <w:szCs w:val="28"/>
          <w:lang w:val="sq-AL"/>
        </w:rPr>
        <w:t>VENDOSI:</w:t>
      </w:r>
    </w:p>
    <w:p w14:paraId="29DD9D63" w14:textId="77777777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textAlignment w:val="auto"/>
        <w:rPr>
          <w:rFonts w:ascii="Garamond" w:hAnsi="Garamond"/>
          <w:b/>
          <w:bCs/>
          <w:color w:val="000000"/>
          <w:kern w:val="0"/>
          <w:sz w:val="24"/>
          <w:szCs w:val="28"/>
          <w:lang w:val="sq-AL"/>
        </w:rPr>
      </w:pPr>
    </w:p>
    <w:p w14:paraId="35EBB3A2" w14:textId="77777777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both"/>
        <w:textAlignment w:val="auto"/>
        <w:rPr>
          <w:rFonts w:ascii="Garamond" w:hAnsi="Garamond"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I. Në vendimin nr.</w:t>
      </w:r>
      <w:r w:rsidR="0092411F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</w:t>
      </w: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1178, datë 24.12.2020, të Këshillit të Ministrave, “Për përcaktimin e dokumentacionit dhe rregullave të hollësishme të evidentimit të ndërtimeve pa leje”, të ndryshuar, bëhen ndryshimet e mëposhtme:</w:t>
      </w:r>
    </w:p>
    <w:p w14:paraId="2E57316F" w14:textId="77777777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both"/>
        <w:textAlignment w:val="auto"/>
        <w:rPr>
          <w:rFonts w:ascii="Garamond" w:hAnsi="Garamond"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1. Në kreun </w:t>
      </w:r>
      <w:proofErr w:type="spellStart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III</w:t>
      </w:r>
      <w:proofErr w:type="spellEnd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bëhen këto ndryshime:</w:t>
      </w:r>
    </w:p>
    <w:p w14:paraId="62103229" w14:textId="77777777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both"/>
        <w:textAlignment w:val="auto"/>
        <w:rPr>
          <w:rFonts w:ascii="Garamond" w:hAnsi="Garamond"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a) Pika 12 ndryshohet, si më poshtë vijon:</w:t>
      </w:r>
    </w:p>
    <w:p w14:paraId="226129A3" w14:textId="5E2A99C3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both"/>
        <w:textAlignment w:val="auto"/>
        <w:rPr>
          <w:rFonts w:ascii="Garamond" w:hAnsi="Garamond"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“12. Në zbatim të pikës 2, të</w:t>
      </w:r>
      <w:r w:rsidR="0092411F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</w:t>
      </w: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nenit 17, të ligjit nr.</w:t>
      </w:r>
      <w:r w:rsidR="0092411F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</w:t>
      </w: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20/2020, “Për përfundimin e proceseve kalimtare të pronësisë në Republikën e Shqipërisë”, Agjencia Shtetërore e Kadastrës trajton kryesisht ndërtimet pa leje të evidentuara nga vetë institucioni, gjatë proceseve të regjistrimit fillestar, të përmirësimit të zonës </w:t>
      </w:r>
      <w:proofErr w:type="spellStart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kadastrale</w:t>
      </w:r>
      <w:proofErr w:type="spellEnd"/>
      <w:r w:rsidR="0092411F">
        <w:rPr>
          <w:rFonts w:ascii="Garamond" w:hAnsi="Garamond"/>
          <w:color w:val="000000"/>
          <w:kern w:val="0"/>
          <w:sz w:val="24"/>
          <w:szCs w:val="28"/>
          <w:lang w:val="sq-AL"/>
        </w:rPr>
        <w:t>,</w:t>
      </w: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ose të evidentimit në terren të ndërtimeve pa leje. Në momentin e evidentimit në terren, subjekti plotëson formularin e deklarimit të </w:t>
      </w:r>
      <w:proofErr w:type="spellStart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të</w:t>
      </w:r>
      <w:proofErr w:type="spellEnd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dhënave të ndërtimit pa leje, të vënë në dispozicion nga Agjencia Shtetërore e Kadastrës gjatë procesit të evidentimit. Formulari i deklarimit të </w:t>
      </w:r>
      <w:proofErr w:type="spellStart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të</w:t>
      </w:r>
      <w:proofErr w:type="spellEnd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dhënave të ndërtimit pa leje është sipas aneksit 2, që i bashkëlidhet këtij vendimi dhe është pjesë përbërëse e tij.”.</w:t>
      </w:r>
    </w:p>
    <w:p w14:paraId="0487046C" w14:textId="2359B3D2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both"/>
        <w:textAlignment w:val="auto"/>
        <w:rPr>
          <w:rFonts w:ascii="Garamond" w:hAnsi="Garamond"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b) Pika 13 ndryshohet si më poshtë vijon:</w:t>
      </w:r>
    </w:p>
    <w:p w14:paraId="4AC14B2C" w14:textId="77777777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both"/>
        <w:textAlignment w:val="auto"/>
        <w:rPr>
          <w:rFonts w:ascii="Garamond" w:hAnsi="Garamond"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“13. Drejtoria vendore e ASHK-së kryen këto veprime:</w:t>
      </w:r>
    </w:p>
    <w:p w14:paraId="746DA9B4" w14:textId="51134DFA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both"/>
        <w:textAlignment w:val="auto"/>
        <w:rPr>
          <w:rFonts w:ascii="Garamond" w:hAnsi="Garamond"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a) Për ndërtimet pa leje, për të cilat evidenton përfshirjen në fushën e zbatimit të ligjit nr.</w:t>
      </w:r>
      <w:r w:rsidR="0092411F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</w:t>
      </w: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20/2020, “Për përfundimin e proceseve kalimtare të pronësisë në Republikën e Shqipërisë”, sipas neneve 17, pika 1, dhe 69, pika 9, të këtij ligji, njofton zyrtarisht subjektin për përfshirjen në fushën e zbatimit të ligjit dhe i përcjell faturën për arkëtim për shlyerjen e tarifës së shërbimit në vlerën 3 000 (tre mijë) lekë. Subjekti duhet të shlyejë pagesën brenda afatit 30-</w:t>
      </w:r>
      <w:r w:rsidR="000E737E"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ditor</w:t>
      </w:r>
      <w:r w:rsidR="000E737E"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</w:t>
      </w: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(</w:t>
      </w:r>
      <w:proofErr w:type="spellStart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tridhjetë</w:t>
      </w:r>
      <w:r w:rsidR="000E737E">
        <w:rPr>
          <w:rFonts w:ascii="Garamond" w:hAnsi="Garamond"/>
          <w:color w:val="000000"/>
          <w:kern w:val="0"/>
          <w:sz w:val="24"/>
          <w:szCs w:val="28"/>
          <w:lang w:val="sq-AL"/>
        </w:rPr>
        <w:t>ditor</w:t>
      </w:r>
      <w:proofErr w:type="spellEnd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) nga momenti i marrjes dijeni.</w:t>
      </w:r>
    </w:p>
    <w:p w14:paraId="2E144C9D" w14:textId="77777777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both"/>
        <w:textAlignment w:val="auto"/>
        <w:rPr>
          <w:rFonts w:ascii="Garamond" w:eastAsia="MS Mincho" w:hAnsi="Garamond" w:cs="MS Mincho"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eastAsia="MS Mincho" w:hAnsi="Garamond" w:cs="MS Mincho"/>
          <w:color w:val="000000"/>
          <w:kern w:val="0"/>
          <w:sz w:val="24"/>
          <w:szCs w:val="28"/>
          <w:lang w:val="sq-AL"/>
        </w:rPr>
        <w:t>Agjencia Shtetërore e Kadastrës vijon me procedurat administrative për shqyrtimin e dokumentacionit dhe të përmbushjes së kritereve ligjore të legalizimit të parashikuara në vendimin nr.</w:t>
      </w:r>
      <w:r w:rsidR="0092411F">
        <w:rPr>
          <w:rFonts w:ascii="Garamond" w:eastAsia="MS Mincho" w:hAnsi="Garamond" w:cs="MS Mincho"/>
          <w:color w:val="000000"/>
          <w:kern w:val="0"/>
          <w:sz w:val="24"/>
          <w:szCs w:val="28"/>
          <w:lang w:val="sq-AL"/>
        </w:rPr>
        <w:t xml:space="preserve"> </w:t>
      </w:r>
      <w:r w:rsidRPr="00C521B8">
        <w:rPr>
          <w:rFonts w:ascii="Garamond" w:eastAsia="MS Mincho" w:hAnsi="Garamond" w:cs="MS Mincho"/>
          <w:color w:val="000000"/>
          <w:kern w:val="0"/>
          <w:sz w:val="24"/>
          <w:szCs w:val="28"/>
          <w:lang w:val="sq-AL"/>
        </w:rPr>
        <w:t xml:space="preserve">1040, datë 24.12.2020, të Këshillit të Ministrave, “Për përcaktimin e rregullave të zbatimit të kritereve të legalizimit dhe miratimin e modelit të aktit të legalizimit për ndërtimet pa leje”, të ndryshuar. </w:t>
      </w:r>
    </w:p>
    <w:p w14:paraId="5BCBDE01" w14:textId="43543AEF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both"/>
        <w:textAlignment w:val="auto"/>
        <w:rPr>
          <w:rFonts w:ascii="Garamond" w:hAnsi="Garamond"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b)</w:t>
      </w:r>
      <w:r w:rsidR="0092411F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</w:t>
      </w: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Për ndërtimet pa leje, për të cilat evidenton </w:t>
      </w:r>
      <w:proofErr w:type="spellStart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mospërfshirjen</w:t>
      </w:r>
      <w:proofErr w:type="spellEnd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në fushën e zbatimit të ligjit nr.</w:t>
      </w:r>
      <w:r w:rsidR="0092411F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</w:t>
      </w: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20/2020, “Për përfundimin e proceseve kalimtare të pronësisë në Republikën e Shqipërisë”, sipas neneve 17, pika 1, dhe 69, pika 9, të këtij ligji, del me akt administrativ “Urdhër për evidentimin e </w:t>
      </w:r>
      <w:proofErr w:type="spellStart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mospërfshirjes</w:t>
      </w:r>
      <w:proofErr w:type="spellEnd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”, brenda 30 (tridhjetë) ditëve nga momenti i evidentimit në terren, dhe njofton subjektin për </w:t>
      </w:r>
      <w:proofErr w:type="spellStart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mospërfshirjen</w:t>
      </w:r>
      <w:proofErr w:type="spellEnd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në fushën e zbatimit të ligjit.”.</w:t>
      </w:r>
    </w:p>
    <w:p w14:paraId="3710A454" w14:textId="1165ACC8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both"/>
        <w:textAlignment w:val="auto"/>
        <w:rPr>
          <w:rFonts w:ascii="Garamond" w:hAnsi="Garamond"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2. Aneksi 2, “Kërkesë për legalizim të ndërtimit pa leje”, zëvendësohet me aneksin 2 , “Formular i deklarimit të </w:t>
      </w:r>
      <w:proofErr w:type="spellStart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të</w:t>
      </w:r>
      <w:proofErr w:type="spellEnd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dhënave të ndërtimit pa leje”,</w:t>
      </w:r>
      <w:r w:rsidR="0092411F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 </w:t>
      </w: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që i bashkëlidhet këtij vendimi dhe është pjesë përbërëse e tij.</w:t>
      </w:r>
    </w:p>
    <w:p w14:paraId="147D0DCC" w14:textId="77777777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both"/>
        <w:textAlignment w:val="auto"/>
        <w:rPr>
          <w:rFonts w:ascii="Garamond" w:hAnsi="Garamond"/>
          <w:color w:val="000000"/>
          <w:kern w:val="0"/>
          <w:sz w:val="24"/>
          <w:szCs w:val="28"/>
          <w:lang w:val="sq-AL"/>
        </w:rPr>
      </w:pPr>
      <w:proofErr w:type="spellStart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II</w:t>
      </w:r>
      <w:proofErr w:type="spellEnd"/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. Ngarkohet Agjencia Shtetërore e Kadastrës për zbatimin e këtij vendimi.</w:t>
      </w:r>
    </w:p>
    <w:p w14:paraId="1C871870" w14:textId="14AD73F0" w:rsidR="00C521B8" w:rsidRPr="00C521B8" w:rsidRDefault="00C521B8" w:rsidP="00C521B8">
      <w:pPr>
        <w:widowControl/>
        <w:suppressAutoHyphens w:val="0"/>
        <w:autoSpaceDE w:val="0"/>
        <w:adjustRightInd w:val="0"/>
        <w:ind w:firstLine="284"/>
        <w:jc w:val="both"/>
        <w:textAlignment w:val="auto"/>
        <w:rPr>
          <w:rFonts w:ascii="Garamond" w:hAnsi="Garamond"/>
          <w:color w:val="000000"/>
          <w:kern w:val="0"/>
          <w:sz w:val="24"/>
          <w:szCs w:val="28"/>
          <w:lang w:val="sq-AL"/>
        </w:rPr>
      </w:pP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 xml:space="preserve">Ky vendim hyn në fuqi pas botimit në Fletoren </w:t>
      </w:r>
      <w:r w:rsidR="007A7D16"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Zyrta</w:t>
      </w:r>
      <w:bookmarkStart w:id="0" w:name="_GoBack"/>
      <w:bookmarkEnd w:id="0"/>
      <w:r w:rsidR="007A7D16"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re</w:t>
      </w:r>
      <w:r w:rsidRPr="00C521B8">
        <w:rPr>
          <w:rFonts w:ascii="Garamond" w:hAnsi="Garamond"/>
          <w:color w:val="000000"/>
          <w:kern w:val="0"/>
          <w:sz w:val="24"/>
          <w:szCs w:val="28"/>
          <w:lang w:val="sq-AL"/>
        </w:rPr>
        <w:t>.</w:t>
      </w:r>
    </w:p>
    <w:p w14:paraId="05C1458D" w14:textId="77777777" w:rsidR="00C521B8" w:rsidRPr="00C521B8" w:rsidRDefault="00C521B8" w:rsidP="00C521B8">
      <w:pPr>
        <w:widowControl/>
        <w:tabs>
          <w:tab w:val="left" w:pos="0"/>
        </w:tabs>
        <w:suppressAutoHyphens w:val="0"/>
        <w:autoSpaceDE w:val="0"/>
        <w:adjustRightInd w:val="0"/>
        <w:ind w:firstLine="284"/>
        <w:jc w:val="both"/>
        <w:textAlignment w:val="auto"/>
        <w:rPr>
          <w:rFonts w:ascii="Garamond" w:hAnsi="Garamond"/>
          <w:color w:val="000000"/>
          <w:kern w:val="0"/>
          <w:sz w:val="24"/>
          <w:szCs w:val="28"/>
          <w:lang w:val="sq-AL"/>
        </w:rPr>
      </w:pPr>
    </w:p>
    <w:p w14:paraId="6295E2ED" w14:textId="77777777" w:rsidR="00C521B8" w:rsidRPr="00C521B8" w:rsidRDefault="00C521B8" w:rsidP="00C521B8">
      <w:pPr>
        <w:widowControl/>
        <w:tabs>
          <w:tab w:val="left" w:pos="360"/>
        </w:tabs>
        <w:suppressAutoHyphens w:val="0"/>
        <w:autoSpaceDE w:val="0"/>
        <w:adjustRightInd w:val="0"/>
        <w:ind w:firstLine="284"/>
        <w:jc w:val="right"/>
        <w:textAlignment w:val="auto"/>
        <w:rPr>
          <w:rFonts w:ascii="Garamond" w:hAnsi="Garamond" w:cs="Times New Roman Bold"/>
          <w:bCs/>
          <w:color w:val="000000"/>
          <w:kern w:val="0"/>
          <w:sz w:val="26"/>
          <w:szCs w:val="28"/>
          <w:lang w:val="sq-AL"/>
        </w:rPr>
      </w:pPr>
      <w:r w:rsidRPr="00C521B8">
        <w:rPr>
          <w:rFonts w:ascii="Garamond" w:hAnsi="Garamond" w:cs="Times New Roman Bold"/>
          <w:bCs/>
          <w:color w:val="000000"/>
          <w:kern w:val="0"/>
          <w:sz w:val="26"/>
          <w:szCs w:val="28"/>
          <w:lang w:val="sq-AL"/>
        </w:rPr>
        <w:t xml:space="preserve">KRYEMINISTËR </w:t>
      </w:r>
    </w:p>
    <w:p w14:paraId="2B2F7A7C" w14:textId="77777777" w:rsidR="00C521B8" w:rsidRPr="00C521B8" w:rsidRDefault="00C521B8" w:rsidP="00C521B8">
      <w:pPr>
        <w:widowControl/>
        <w:tabs>
          <w:tab w:val="left" w:pos="360"/>
        </w:tabs>
        <w:suppressAutoHyphens w:val="0"/>
        <w:autoSpaceDE w:val="0"/>
        <w:adjustRightInd w:val="0"/>
        <w:ind w:firstLine="284"/>
        <w:jc w:val="right"/>
        <w:textAlignment w:val="auto"/>
        <w:rPr>
          <w:rFonts w:ascii="Garamond" w:hAnsi="Garamond" w:cs="Times New Roman Bold"/>
          <w:color w:val="000000"/>
          <w:kern w:val="0"/>
          <w:sz w:val="26"/>
          <w:szCs w:val="28"/>
          <w:lang w:val="sq-AL"/>
        </w:rPr>
      </w:pPr>
      <w:r w:rsidRPr="00C521B8">
        <w:rPr>
          <w:rFonts w:ascii="Garamond" w:hAnsi="Garamond" w:cs="Times New Roman Bold"/>
          <w:b/>
          <w:bCs/>
          <w:color w:val="000000"/>
          <w:kern w:val="0"/>
          <w:sz w:val="26"/>
          <w:szCs w:val="28"/>
          <w:lang w:val="sq-AL"/>
        </w:rPr>
        <w:t xml:space="preserve">Edi </w:t>
      </w:r>
      <w:proofErr w:type="spellStart"/>
      <w:r w:rsidRPr="00C521B8">
        <w:rPr>
          <w:rFonts w:ascii="Garamond" w:hAnsi="Garamond" w:cs="Times New Roman Bold"/>
          <w:b/>
          <w:bCs/>
          <w:color w:val="000000"/>
          <w:kern w:val="0"/>
          <w:sz w:val="26"/>
          <w:szCs w:val="28"/>
          <w:lang w:val="sq-AL"/>
        </w:rPr>
        <w:t>Rama</w:t>
      </w:r>
      <w:proofErr w:type="spellEnd"/>
    </w:p>
    <w:p w14:paraId="577ABF76" w14:textId="77777777" w:rsidR="00F301FD" w:rsidRPr="00C521B8" w:rsidRDefault="00BB1861" w:rsidP="00BB1861">
      <w:pPr>
        <w:ind w:firstLine="284"/>
        <w:rPr>
          <w:rFonts w:ascii="Garamond" w:hAnsi="Garamond"/>
          <w:sz w:val="18"/>
        </w:rPr>
      </w:pPr>
      <w:r>
        <w:rPr>
          <w:rFonts w:ascii="Garamond" w:hAnsi="Garamond"/>
          <w:noProof/>
          <w:sz w:val="18"/>
        </w:rPr>
        <w:lastRenderedPageBreak/>
        <w:drawing>
          <wp:inline distT="0" distB="0" distL="0" distR="0" wp14:anchorId="1B0FF899" wp14:editId="4EC0BA2E">
            <wp:extent cx="5731510" cy="8151211"/>
            <wp:effectExtent l="0" t="0" r="254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titled-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8"/>
                    <a:stretch/>
                  </pic:blipFill>
                  <pic:spPr bwMode="auto">
                    <a:xfrm>
                      <a:off x="0" y="0"/>
                      <a:ext cx="5731510" cy="8151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301FD" w:rsidRPr="00C521B8" w:rsidSect="005420AB">
      <w:headerReference w:type="default" r:id="rId14"/>
      <w:footerReference w:type="default" r:id="rId15"/>
      <w:pgSz w:w="11906" w:h="16838" w:code="9"/>
      <w:pgMar w:top="1440" w:right="1440" w:bottom="8" w:left="1440" w:header="720" w:footer="40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5B0A8" w14:textId="77777777" w:rsidR="0092411F" w:rsidRDefault="0092411F">
      <w:r>
        <w:separator/>
      </w:r>
    </w:p>
  </w:endnote>
  <w:endnote w:type="continuationSeparator" w:id="0">
    <w:p w14:paraId="6E887C90" w14:textId="77777777" w:rsidR="0092411F" w:rsidRDefault="0092411F">
      <w:r>
        <w:continuationSeparator/>
      </w:r>
    </w:p>
  </w:endnote>
  <w:endnote w:type="continuationNotice" w:id="1">
    <w:p w14:paraId="2D59D49D" w14:textId="77777777" w:rsidR="005C756C" w:rsidRDefault="005C75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130E8" w14:textId="354AB503" w:rsidR="0092411F" w:rsidRPr="005420AB" w:rsidRDefault="0092411F">
    <w:pPr>
      <w:pStyle w:val="Footer"/>
      <w:jc w:val="right"/>
      <w:rPr>
        <w:sz w:val="24"/>
      </w:rPr>
    </w:pPr>
  </w:p>
  <w:p w14:paraId="565E08F3" w14:textId="77777777" w:rsidR="0092411F" w:rsidRDefault="00924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9C387" w14:textId="77777777" w:rsidR="0092411F" w:rsidRDefault="0092411F">
      <w:r>
        <w:rPr>
          <w:color w:val="000000"/>
        </w:rPr>
        <w:separator/>
      </w:r>
    </w:p>
  </w:footnote>
  <w:footnote w:type="continuationSeparator" w:id="0">
    <w:p w14:paraId="04B69BA7" w14:textId="77777777" w:rsidR="0092411F" w:rsidRDefault="0092411F">
      <w:r>
        <w:continuationSeparator/>
      </w:r>
    </w:p>
  </w:footnote>
  <w:footnote w:type="continuationNotice" w:id="1">
    <w:p w14:paraId="7BD72F88" w14:textId="77777777" w:rsidR="005C756C" w:rsidRDefault="005C75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4BA2A" w14:textId="77777777" w:rsidR="005C756C" w:rsidRDefault="005C75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81836"/>
    <w:multiLevelType w:val="multilevel"/>
    <w:tmpl w:val="0664AC4E"/>
    <w:styleLink w:val="WW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02BF0331"/>
    <w:multiLevelType w:val="hybridMultilevel"/>
    <w:tmpl w:val="B5F069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477B0"/>
    <w:multiLevelType w:val="hybridMultilevel"/>
    <w:tmpl w:val="E97237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0073E"/>
    <w:multiLevelType w:val="multilevel"/>
    <w:tmpl w:val="10A050EA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0A0C0C96"/>
    <w:multiLevelType w:val="multilevel"/>
    <w:tmpl w:val="28BC0BEA"/>
    <w:styleLink w:val="WWNum12"/>
    <w:lvl w:ilvl="0">
      <w:start w:val="2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0DBE5FAD"/>
    <w:multiLevelType w:val="hybridMultilevel"/>
    <w:tmpl w:val="B3486162"/>
    <w:lvl w:ilvl="0" w:tplc="5E8C9D14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0FEB4B00"/>
    <w:multiLevelType w:val="multilevel"/>
    <w:tmpl w:val="F4367414"/>
    <w:styleLink w:val="WWNum2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1715549"/>
    <w:multiLevelType w:val="hybridMultilevel"/>
    <w:tmpl w:val="44840958"/>
    <w:lvl w:ilvl="0" w:tplc="A2B44F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290BA8"/>
    <w:multiLevelType w:val="multilevel"/>
    <w:tmpl w:val="B4467EEC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18EB1B4C"/>
    <w:multiLevelType w:val="multilevel"/>
    <w:tmpl w:val="DF4AC5A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8F93BE9"/>
    <w:multiLevelType w:val="multilevel"/>
    <w:tmpl w:val="473E653C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090EBA"/>
    <w:multiLevelType w:val="multilevel"/>
    <w:tmpl w:val="41B8B084"/>
    <w:styleLink w:val="WWNum15"/>
    <w:lvl w:ilvl="0">
      <w:start w:val="2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2" w15:restartNumberingAfterBreak="0">
    <w:nsid w:val="1EEE421F"/>
    <w:multiLevelType w:val="multilevel"/>
    <w:tmpl w:val="BB38D362"/>
    <w:styleLink w:val="WWNum2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1F21698C"/>
    <w:multiLevelType w:val="multilevel"/>
    <w:tmpl w:val="D258FF3C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4" w15:restartNumberingAfterBreak="0">
    <w:nsid w:val="20372235"/>
    <w:multiLevelType w:val="multilevel"/>
    <w:tmpl w:val="285A5DE2"/>
    <w:styleLink w:val="WWNum1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24587BE3"/>
    <w:multiLevelType w:val="multilevel"/>
    <w:tmpl w:val="FCB09D36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5EE535E"/>
    <w:multiLevelType w:val="multilevel"/>
    <w:tmpl w:val="1346A124"/>
    <w:styleLink w:val="WWNum16"/>
    <w:lvl w:ilvl="0">
      <w:start w:val="2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7" w15:restartNumberingAfterBreak="0">
    <w:nsid w:val="29A31FD7"/>
    <w:multiLevelType w:val="multilevel"/>
    <w:tmpl w:val="527005B0"/>
    <w:styleLink w:val="WWNum4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2E5C445B"/>
    <w:multiLevelType w:val="multilevel"/>
    <w:tmpl w:val="201406D0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30E32FF3"/>
    <w:multiLevelType w:val="multilevel"/>
    <w:tmpl w:val="76040C90"/>
    <w:styleLink w:val="WWNum13"/>
    <w:lvl w:ilvl="0">
      <w:start w:val="2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331D227B"/>
    <w:multiLevelType w:val="multilevel"/>
    <w:tmpl w:val="F7643F7C"/>
    <w:styleLink w:val="WWNum1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3CDA25A3"/>
    <w:multiLevelType w:val="multilevel"/>
    <w:tmpl w:val="2CF2C918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438932B6"/>
    <w:multiLevelType w:val="multilevel"/>
    <w:tmpl w:val="7F4C07F6"/>
    <w:styleLink w:val="WW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45272D78"/>
    <w:multiLevelType w:val="multilevel"/>
    <w:tmpl w:val="39F62392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471C38BF"/>
    <w:multiLevelType w:val="multilevel"/>
    <w:tmpl w:val="7DB63718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49BA242F"/>
    <w:multiLevelType w:val="multilevel"/>
    <w:tmpl w:val="ACA4948C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53CC7977"/>
    <w:multiLevelType w:val="multilevel"/>
    <w:tmpl w:val="45BEED1E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547D7B9D"/>
    <w:multiLevelType w:val="multilevel"/>
    <w:tmpl w:val="26D04172"/>
    <w:styleLink w:val="WWNum2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5A8C7F48"/>
    <w:multiLevelType w:val="hybridMultilevel"/>
    <w:tmpl w:val="CEAE8108"/>
    <w:lvl w:ilvl="0" w:tplc="7CF2AC90">
      <w:start w:val="1"/>
      <w:numFmt w:val="upperRoman"/>
      <w:lvlText w:val="%1."/>
      <w:lvlJc w:val="right"/>
      <w:pPr>
        <w:ind w:left="720" w:hanging="360"/>
      </w:pPr>
      <w:rPr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565A24"/>
    <w:multiLevelType w:val="multilevel"/>
    <w:tmpl w:val="DEBA12EE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5F754BCD"/>
    <w:multiLevelType w:val="multilevel"/>
    <w:tmpl w:val="68702EDA"/>
    <w:styleLink w:val="WWNum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61AD6EDC"/>
    <w:multiLevelType w:val="hybridMultilevel"/>
    <w:tmpl w:val="268EA190"/>
    <w:lvl w:ilvl="0" w:tplc="DDB888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220F53"/>
    <w:multiLevelType w:val="multilevel"/>
    <w:tmpl w:val="14CC22A0"/>
    <w:styleLink w:val="WWNum29"/>
    <w:lvl w:ilvl="0">
      <w:start w:val="1"/>
      <w:numFmt w:val="upperLetter"/>
      <w:lvlText w:val="%1."/>
      <w:lvlJc w:val="left"/>
      <w:pPr>
        <w:ind w:left="7560" w:hanging="360"/>
      </w:pPr>
    </w:lvl>
    <w:lvl w:ilvl="1">
      <w:start w:val="1"/>
      <w:numFmt w:val="lowerLetter"/>
      <w:lvlText w:val="%2."/>
      <w:lvlJc w:val="left"/>
      <w:pPr>
        <w:ind w:left="8280" w:hanging="360"/>
      </w:pPr>
    </w:lvl>
    <w:lvl w:ilvl="2">
      <w:start w:val="1"/>
      <w:numFmt w:val="lowerRoman"/>
      <w:lvlText w:val="%1.%2.%3."/>
      <w:lvlJc w:val="right"/>
      <w:pPr>
        <w:ind w:left="9000" w:hanging="180"/>
      </w:pPr>
    </w:lvl>
    <w:lvl w:ilvl="3">
      <w:start w:val="1"/>
      <w:numFmt w:val="decimal"/>
      <w:lvlText w:val="%1.%2.%3.%4."/>
      <w:lvlJc w:val="left"/>
      <w:pPr>
        <w:ind w:left="9720" w:hanging="360"/>
      </w:pPr>
    </w:lvl>
    <w:lvl w:ilvl="4">
      <w:start w:val="1"/>
      <w:numFmt w:val="lowerLetter"/>
      <w:lvlText w:val="%1.%2.%3.%4.%5."/>
      <w:lvlJc w:val="left"/>
      <w:pPr>
        <w:ind w:left="10440" w:hanging="360"/>
      </w:pPr>
    </w:lvl>
    <w:lvl w:ilvl="5">
      <w:start w:val="1"/>
      <w:numFmt w:val="lowerRoman"/>
      <w:lvlText w:val="%1.%2.%3.%4.%5.%6."/>
      <w:lvlJc w:val="right"/>
      <w:pPr>
        <w:ind w:left="11160" w:hanging="180"/>
      </w:pPr>
    </w:lvl>
    <w:lvl w:ilvl="6">
      <w:start w:val="1"/>
      <w:numFmt w:val="decimal"/>
      <w:lvlText w:val="%1.%2.%3.%4.%5.%6.%7."/>
      <w:lvlJc w:val="left"/>
      <w:pPr>
        <w:ind w:left="11880" w:hanging="360"/>
      </w:pPr>
    </w:lvl>
    <w:lvl w:ilvl="7">
      <w:start w:val="1"/>
      <w:numFmt w:val="lowerLetter"/>
      <w:lvlText w:val="%1.%2.%3.%4.%5.%6.%7.%8."/>
      <w:lvlJc w:val="left"/>
      <w:pPr>
        <w:ind w:left="12600" w:hanging="360"/>
      </w:pPr>
    </w:lvl>
    <w:lvl w:ilvl="8">
      <w:start w:val="1"/>
      <w:numFmt w:val="lowerRoman"/>
      <w:lvlText w:val="%1.%2.%3.%4.%5.%6.%7.%8.%9."/>
      <w:lvlJc w:val="right"/>
      <w:pPr>
        <w:ind w:left="13320" w:hanging="180"/>
      </w:pPr>
    </w:lvl>
  </w:abstractNum>
  <w:abstractNum w:abstractNumId="33" w15:restartNumberingAfterBreak="0">
    <w:nsid w:val="65F3694B"/>
    <w:multiLevelType w:val="multilevel"/>
    <w:tmpl w:val="705A94E2"/>
    <w:styleLink w:val="WWNum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744A7E00"/>
    <w:multiLevelType w:val="multilevel"/>
    <w:tmpl w:val="15D041AC"/>
    <w:styleLink w:val="WWNum1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77ED0F29"/>
    <w:multiLevelType w:val="hybridMultilevel"/>
    <w:tmpl w:val="AC0CC596"/>
    <w:lvl w:ilvl="0" w:tplc="08090017">
      <w:start w:val="1"/>
      <w:numFmt w:val="lowerLetter"/>
      <w:lvlText w:val="%1)"/>
      <w:lvlJc w:val="left"/>
      <w:pPr>
        <w:ind w:left="1070" w:hanging="360"/>
      </w:p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7D37700C"/>
    <w:multiLevelType w:val="hybridMultilevel"/>
    <w:tmpl w:val="957AE894"/>
    <w:lvl w:ilvl="0" w:tplc="08090017">
      <w:start w:val="1"/>
      <w:numFmt w:val="lowerLetter"/>
      <w:lvlText w:val="%1)"/>
      <w:lvlJc w:val="left"/>
      <w:pPr>
        <w:ind w:left="1446" w:hanging="360"/>
      </w:pPr>
    </w:lvl>
    <w:lvl w:ilvl="1" w:tplc="08090019" w:tentative="1">
      <w:start w:val="1"/>
      <w:numFmt w:val="lowerLetter"/>
      <w:lvlText w:val="%2."/>
      <w:lvlJc w:val="left"/>
      <w:pPr>
        <w:ind w:left="2166" w:hanging="360"/>
      </w:pPr>
    </w:lvl>
    <w:lvl w:ilvl="2" w:tplc="0809001B" w:tentative="1">
      <w:start w:val="1"/>
      <w:numFmt w:val="lowerRoman"/>
      <w:lvlText w:val="%3."/>
      <w:lvlJc w:val="right"/>
      <w:pPr>
        <w:ind w:left="2886" w:hanging="180"/>
      </w:pPr>
    </w:lvl>
    <w:lvl w:ilvl="3" w:tplc="0809000F" w:tentative="1">
      <w:start w:val="1"/>
      <w:numFmt w:val="decimal"/>
      <w:lvlText w:val="%4."/>
      <w:lvlJc w:val="left"/>
      <w:pPr>
        <w:ind w:left="3606" w:hanging="360"/>
      </w:pPr>
    </w:lvl>
    <w:lvl w:ilvl="4" w:tplc="08090019" w:tentative="1">
      <w:start w:val="1"/>
      <w:numFmt w:val="lowerLetter"/>
      <w:lvlText w:val="%5."/>
      <w:lvlJc w:val="left"/>
      <w:pPr>
        <w:ind w:left="4326" w:hanging="360"/>
      </w:pPr>
    </w:lvl>
    <w:lvl w:ilvl="5" w:tplc="0809001B" w:tentative="1">
      <w:start w:val="1"/>
      <w:numFmt w:val="lowerRoman"/>
      <w:lvlText w:val="%6."/>
      <w:lvlJc w:val="right"/>
      <w:pPr>
        <w:ind w:left="5046" w:hanging="180"/>
      </w:pPr>
    </w:lvl>
    <w:lvl w:ilvl="6" w:tplc="0809000F" w:tentative="1">
      <w:start w:val="1"/>
      <w:numFmt w:val="decimal"/>
      <w:lvlText w:val="%7."/>
      <w:lvlJc w:val="left"/>
      <w:pPr>
        <w:ind w:left="5766" w:hanging="360"/>
      </w:pPr>
    </w:lvl>
    <w:lvl w:ilvl="7" w:tplc="08090019" w:tentative="1">
      <w:start w:val="1"/>
      <w:numFmt w:val="lowerLetter"/>
      <w:lvlText w:val="%8."/>
      <w:lvlJc w:val="left"/>
      <w:pPr>
        <w:ind w:left="6486" w:hanging="360"/>
      </w:pPr>
    </w:lvl>
    <w:lvl w:ilvl="8" w:tplc="08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7" w15:restartNumberingAfterBreak="0">
    <w:nsid w:val="7F263C1A"/>
    <w:multiLevelType w:val="multilevel"/>
    <w:tmpl w:val="C5E8F6CA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25"/>
  </w:num>
  <w:num w:numId="4">
    <w:abstractNumId w:val="17"/>
  </w:num>
  <w:num w:numId="5">
    <w:abstractNumId w:val="24"/>
  </w:num>
  <w:num w:numId="6">
    <w:abstractNumId w:val="0"/>
  </w:num>
  <w:num w:numId="7">
    <w:abstractNumId w:val="29"/>
  </w:num>
  <w:num w:numId="8">
    <w:abstractNumId w:val="21"/>
  </w:num>
  <w:num w:numId="9">
    <w:abstractNumId w:val="10"/>
  </w:num>
  <w:num w:numId="10">
    <w:abstractNumId w:val="8"/>
  </w:num>
  <w:num w:numId="11">
    <w:abstractNumId w:val="23"/>
  </w:num>
  <w:num w:numId="12">
    <w:abstractNumId w:val="4"/>
  </w:num>
  <w:num w:numId="13">
    <w:abstractNumId w:val="19"/>
  </w:num>
  <w:num w:numId="14">
    <w:abstractNumId w:val="14"/>
  </w:num>
  <w:num w:numId="15">
    <w:abstractNumId w:val="11"/>
  </w:num>
  <w:num w:numId="16">
    <w:abstractNumId w:val="16"/>
  </w:num>
  <w:num w:numId="17">
    <w:abstractNumId w:val="20"/>
  </w:num>
  <w:num w:numId="18">
    <w:abstractNumId w:val="34"/>
  </w:num>
  <w:num w:numId="19">
    <w:abstractNumId w:val="33"/>
  </w:num>
  <w:num w:numId="20">
    <w:abstractNumId w:val="6"/>
  </w:num>
  <w:num w:numId="21">
    <w:abstractNumId w:val="27"/>
  </w:num>
  <w:num w:numId="22">
    <w:abstractNumId w:val="3"/>
  </w:num>
  <w:num w:numId="23">
    <w:abstractNumId w:val="26"/>
  </w:num>
  <w:num w:numId="24">
    <w:abstractNumId w:val="12"/>
  </w:num>
  <w:num w:numId="25">
    <w:abstractNumId w:val="37"/>
  </w:num>
  <w:num w:numId="26">
    <w:abstractNumId w:val="15"/>
  </w:num>
  <w:num w:numId="27">
    <w:abstractNumId w:val="22"/>
  </w:num>
  <w:num w:numId="28">
    <w:abstractNumId w:val="30"/>
  </w:num>
  <w:num w:numId="29">
    <w:abstractNumId w:val="32"/>
  </w:num>
  <w:num w:numId="30">
    <w:abstractNumId w:val="9"/>
  </w:num>
  <w:num w:numId="31">
    <w:abstractNumId w:val="31"/>
  </w:num>
  <w:num w:numId="32">
    <w:abstractNumId w:val="28"/>
  </w:num>
  <w:num w:numId="33">
    <w:abstractNumId w:val="1"/>
  </w:num>
  <w:num w:numId="34">
    <w:abstractNumId w:val="2"/>
  </w:num>
  <w:num w:numId="35">
    <w:abstractNumId w:val="36"/>
  </w:num>
  <w:num w:numId="36">
    <w:abstractNumId w:val="7"/>
  </w:num>
  <w:num w:numId="37">
    <w:abstractNumId w:val="35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autoHyphenation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1FD"/>
    <w:rsid w:val="000022DA"/>
    <w:rsid w:val="00013857"/>
    <w:rsid w:val="00053CCF"/>
    <w:rsid w:val="00096C37"/>
    <w:rsid w:val="000E737E"/>
    <w:rsid w:val="000F1409"/>
    <w:rsid w:val="000F5C9A"/>
    <w:rsid w:val="000F6FAE"/>
    <w:rsid w:val="00104AE3"/>
    <w:rsid w:val="00133F74"/>
    <w:rsid w:val="001D3A2B"/>
    <w:rsid w:val="001E6027"/>
    <w:rsid w:val="00226EFD"/>
    <w:rsid w:val="002615BC"/>
    <w:rsid w:val="002644CC"/>
    <w:rsid w:val="00277E70"/>
    <w:rsid w:val="0028372B"/>
    <w:rsid w:val="00292D2C"/>
    <w:rsid w:val="002A1995"/>
    <w:rsid w:val="002B6520"/>
    <w:rsid w:val="002D6F5D"/>
    <w:rsid w:val="002E41DC"/>
    <w:rsid w:val="002F45A0"/>
    <w:rsid w:val="003322B8"/>
    <w:rsid w:val="0035128A"/>
    <w:rsid w:val="003566BC"/>
    <w:rsid w:val="00370D29"/>
    <w:rsid w:val="00375878"/>
    <w:rsid w:val="003A31B4"/>
    <w:rsid w:val="003A6194"/>
    <w:rsid w:val="003B65EA"/>
    <w:rsid w:val="003E6A01"/>
    <w:rsid w:val="003F20C9"/>
    <w:rsid w:val="00407BF1"/>
    <w:rsid w:val="004178EF"/>
    <w:rsid w:val="004532F0"/>
    <w:rsid w:val="00481BB8"/>
    <w:rsid w:val="004A5912"/>
    <w:rsid w:val="004D3274"/>
    <w:rsid w:val="004F0F01"/>
    <w:rsid w:val="0051666D"/>
    <w:rsid w:val="00524A90"/>
    <w:rsid w:val="005323C6"/>
    <w:rsid w:val="005420AB"/>
    <w:rsid w:val="00582041"/>
    <w:rsid w:val="005C756C"/>
    <w:rsid w:val="005D1469"/>
    <w:rsid w:val="005D392B"/>
    <w:rsid w:val="00602B7D"/>
    <w:rsid w:val="006261ED"/>
    <w:rsid w:val="006271B8"/>
    <w:rsid w:val="00635AA3"/>
    <w:rsid w:val="00651776"/>
    <w:rsid w:val="00676352"/>
    <w:rsid w:val="00686877"/>
    <w:rsid w:val="006939CD"/>
    <w:rsid w:val="006B1834"/>
    <w:rsid w:val="006D0F36"/>
    <w:rsid w:val="006E1CDD"/>
    <w:rsid w:val="00700DBB"/>
    <w:rsid w:val="00714D46"/>
    <w:rsid w:val="00737B0B"/>
    <w:rsid w:val="00750F0E"/>
    <w:rsid w:val="00793BC4"/>
    <w:rsid w:val="007A7D16"/>
    <w:rsid w:val="007F4B57"/>
    <w:rsid w:val="008347D0"/>
    <w:rsid w:val="00836524"/>
    <w:rsid w:val="00841B98"/>
    <w:rsid w:val="00843AC6"/>
    <w:rsid w:val="008608EB"/>
    <w:rsid w:val="008609FF"/>
    <w:rsid w:val="008A06FB"/>
    <w:rsid w:val="008D6AA7"/>
    <w:rsid w:val="008E4CEA"/>
    <w:rsid w:val="00900BF0"/>
    <w:rsid w:val="0092411F"/>
    <w:rsid w:val="009320C8"/>
    <w:rsid w:val="00957B0E"/>
    <w:rsid w:val="009722EA"/>
    <w:rsid w:val="00973E99"/>
    <w:rsid w:val="009B4FF3"/>
    <w:rsid w:val="009D4B67"/>
    <w:rsid w:val="009F0073"/>
    <w:rsid w:val="00A16A78"/>
    <w:rsid w:val="00A2235A"/>
    <w:rsid w:val="00A54E03"/>
    <w:rsid w:val="00A56E81"/>
    <w:rsid w:val="00A73B05"/>
    <w:rsid w:val="00A93B64"/>
    <w:rsid w:val="00A956BF"/>
    <w:rsid w:val="00AA4312"/>
    <w:rsid w:val="00AB1AAB"/>
    <w:rsid w:val="00AB7646"/>
    <w:rsid w:val="00AC0DFD"/>
    <w:rsid w:val="00AC7019"/>
    <w:rsid w:val="00AD7509"/>
    <w:rsid w:val="00AE5177"/>
    <w:rsid w:val="00AF3445"/>
    <w:rsid w:val="00B16EBE"/>
    <w:rsid w:val="00B448A1"/>
    <w:rsid w:val="00B5011E"/>
    <w:rsid w:val="00B742F4"/>
    <w:rsid w:val="00B90162"/>
    <w:rsid w:val="00BB1861"/>
    <w:rsid w:val="00BF2CDD"/>
    <w:rsid w:val="00C10640"/>
    <w:rsid w:val="00C16104"/>
    <w:rsid w:val="00C2695F"/>
    <w:rsid w:val="00C521B8"/>
    <w:rsid w:val="00C57636"/>
    <w:rsid w:val="00C669CD"/>
    <w:rsid w:val="00C832C1"/>
    <w:rsid w:val="00CD71CC"/>
    <w:rsid w:val="00CF2566"/>
    <w:rsid w:val="00CF47AB"/>
    <w:rsid w:val="00D17954"/>
    <w:rsid w:val="00D50031"/>
    <w:rsid w:val="00D51DA3"/>
    <w:rsid w:val="00D576D4"/>
    <w:rsid w:val="00D74037"/>
    <w:rsid w:val="00DA767A"/>
    <w:rsid w:val="00DC2262"/>
    <w:rsid w:val="00DC7538"/>
    <w:rsid w:val="00E14B5C"/>
    <w:rsid w:val="00EB42B3"/>
    <w:rsid w:val="00EF5B3D"/>
    <w:rsid w:val="00F14B1F"/>
    <w:rsid w:val="00F15138"/>
    <w:rsid w:val="00F301FD"/>
    <w:rsid w:val="00F318E1"/>
    <w:rsid w:val="00F675C0"/>
    <w:rsid w:val="00F76EFE"/>
    <w:rsid w:val="00F912E4"/>
    <w:rsid w:val="00F95DB0"/>
    <w:rsid w:val="00FC2CC2"/>
    <w:rsid w:val="00FC6ABD"/>
    <w:rsid w:val="00FD5265"/>
    <w:rsid w:val="00FE370B"/>
    <w:rsid w:val="00FE68EE"/>
    <w:rsid w:val="00FF3472"/>
    <w:rsid w:val="00FF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CD2428B"/>
  <w15:docId w15:val="{E14AF9BC-0D47-4013-A7FF-63BC9F2E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kern w:val="3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3">
    <w:name w:val="heading 3"/>
    <w:basedOn w:val="Standard"/>
    <w:next w:val="Textbody"/>
    <w:uiPriority w:val="9"/>
    <w:semiHidden/>
    <w:unhideWhenUsed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MS Mincho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Normal0">
    <w:name w:val="[Normal]"/>
    <w:pPr>
      <w:widowControl/>
      <w:suppressAutoHyphens/>
    </w:pPr>
    <w:rPr>
      <w:rFonts w:ascii="Arial" w:hAnsi="Arial" w:cs="Arial"/>
      <w:sz w:val="24"/>
      <w:szCs w:val="24"/>
    </w:rPr>
  </w:style>
  <w:style w:type="paragraph" w:customStyle="1" w:styleId="Textbodyindent">
    <w:name w:val="Text body indent"/>
    <w:basedOn w:val="Standard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pPr>
      <w:widowControl/>
      <w:suppressAutoHyphens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Standard"/>
    <w:pPr>
      <w:spacing w:before="100" w:after="100"/>
    </w:pPr>
    <w:rPr>
      <w:rFonts w:eastAsia="Times New Roman"/>
      <w:sz w:val="24"/>
      <w:szCs w:val="24"/>
    </w:rPr>
  </w:style>
  <w:style w:type="paragraph" w:styleId="ListParagraph">
    <w:name w:val="List Paragraph"/>
    <w:basedOn w:val="Standard"/>
    <w:qFormat/>
    <w:pPr>
      <w:ind w:left="720"/>
    </w:p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</w:style>
  <w:style w:type="character" w:customStyle="1" w:styleId="ListLabel3">
    <w:name w:val="ListLabel 3"/>
    <w:rPr>
      <w:u w:val="none"/>
    </w:rPr>
  </w:style>
  <w:style w:type="character" w:customStyle="1" w:styleId="ListLabel4">
    <w:name w:val="ListLabel 4"/>
    <w:rPr>
      <w:b w:val="0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numbering" w:customStyle="1" w:styleId="WWNum6">
    <w:name w:val="WWNum6"/>
    <w:basedOn w:val="NoList"/>
    <w:pPr>
      <w:numPr>
        <w:numId w:val="6"/>
      </w:numPr>
    </w:pPr>
  </w:style>
  <w:style w:type="numbering" w:customStyle="1" w:styleId="WWNum7">
    <w:name w:val="WWNum7"/>
    <w:basedOn w:val="NoList"/>
    <w:pPr>
      <w:numPr>
        <w:numId w:val="7"/>
      </w:numPr>
    </w:pPr>
  </w:style>
  <w:style w:type="numbering" w:customStyle="1" w:styleId="WWNum8">
    <w:name w:val="WWNum8"/>
    <w:basedOn w:val="NoList"/>
    <w:pPr>
      <w:numPr>
        <w:numId w:val="8"/>
      </w:numPr>
    </w:pPr>
  </w:style>
  <w:style w:type="numbering" w:customStyle="1" w:styleId="WWNum9">
    <w:name w:val="WWNum9"/>
    <w:basedOn w:val="NoList"/>
    <w:pPr>
      <w:numPr>
        <w:numId w:val="9"/>
      </w:numPr>
    </w:pPr>
  </w:style>
  <w:style w:type="numbering" w:customStyle="1" w:styleId="WWNum10">
    <w:name w:val="WWNum10"/>
    <w:basedOn w:val="NoList"/>
    <w:pPr>
      <w:numPr>
        <w:numId w:val="10"/>
      </w:numPr>
    </w:pPr>
  </w:style>
  <w:style w:type="numbering" w:customStyle="1" w:styleId="WWNum11">
    <w:name w:val="WWNum11"/>
    <w:basedOn w:val="NoList"/>
    <w:pPr>
      <w:numPr>
        <w:numId w:val="11"/>
      </w:numPr>
    </w:pPr>
  </w:style>
  <w:style w:type="numbering" w:customStyle="1" w:styleId="WWNum12">
    <w:name w:val="WWNum12"/>
    <w:basedOn w:val="NoList"/>
    <w:pPr>
      <w:numPr>
        <w:numId w:val="12"/>
      </w:numPr>
    </w:pPr>
  </w:style>
  <w:style w:type="numbering" w:customStyle="1" w:styleId="WWNum13">
    <w:name w:val="WWNum13"/>
    <w:basedOn w:val="NoList"/>
    <w:pPr>
      <w:numPr>
        <w:numId w:val="13"/>
      </w:numPr>
    </w:pPr>
  </w:style>
  <w:style w:type="numbering" w:customStyle="1" w:styleId="WWNum14">
    <w:name w:val="WWNum14"/>
    <w:basedOn w:val="NoList"/>
    <w:pPr>
      <w:numPr>
        <w:numId w:val="14"/>
      </w:numPr>
    </w:pPr>
  </w:style>
  <w:style w:type="numbering" w:customStyle="1" w:styleId="WWNum15">
    <w:name w:val="WWNum15"/>
    <w:basedOn w:val="NoList"/>
    <w:pPr>
      <w:numPr>
        <w:numId w:val="15"/>
      </w:numPr>
    </w:pPr>
  </w:style>
  <w:style w:type="numbering" w:customStyle="1" w:styleId="WWNum16">
    <w:name w:val="WWNum16"/>
    <w:basedOn w:val="NoList"/>
    <w:pPr>
      <w:numPr>
        <w:numId w:val="16"/>
      </w:numPr>
    </w:pPr>
  </w:style>
  <w:style w:type="numbering" w:customStyle="1" w:styleId="WWNum17">
    <w:name w:val="WWNum17"/>
    <w:basedOn w:val="NoList"/>
    <w:pPr>
      <w:numPr>
        <w:numId w:val="17"/>
      </w:numPr>
    </w:pPr>
  </w:style>
  <w:style w:type="numbering" w:customStyle="1" w:styleId="WWNum18">
    <w:name w:val="WWNum18"/>
    <w:basedOn w:val="NoList"/>
    <w:pPr>
      <w:numPr>
        <w:numId w:val="18"/>
      </w:numPr>
    </w:pPr>
  </w:style>
  <w:style w:type="numbering" w:customStyle="1" w:styleId="WWNum19">
    <w:name w:val="WWNum19"/>
    <w:basedOn w:val="NoList"/>
    <w:pPr>
      <w:numPr>
        <w:numId w:val="19"/>
      </w:numPr>
    </w:pPr>
  </w:style>
  <w:style w:type="numbering" w:customStyle="1" w:styleId="WWNum20">
    <w:name w:val="WWNum20"/>
    <w:basedOn w:val="NoList"/>
    <w:pPr>
      <w:numPr>
        <w:numId w:val="20"/>
      </w:numPr>
    </w:pPr>
  </w:style>
  <w:style w:type="numbering" w:customStyle="1" w:styleId="WWNum21">
    <w:name w:val="WWNum21"/>
    <w:basedOn w:val="NoList"/>
    <w:pPr>
      <w:numPr>
        <w:numId w:val="21"/>
      </w:numPr>
    </w:pPr>
  </w:style>
  <w:style w:type="numbering" w:customStyle="1" w:styleId="WWNum22">
    <w:name w:val="WWNum22"/>
    <w:basedOn w:val="NoList"/>
    <w:pPr>
      <w:numPr>
        <w:numId w:val="22"/>
      </w:numPr>
    </w:pPr>
  </w:style>
  <w:style w:type="numbering" w:customStyle="1" w:styleId="WWNum23">
    <w:name w:val="WWNum23"/>
    <w:basedOn w:val="NoList"/>
    <w:pPr>
      <w:numPr>
        <w:numId w:val="23"/>
      </w:numPr>
    </w:pPr>
  </w:style>
  <w:style w:type="numbering" w:customStyle="1" w:styleId="WWNum24">
    <w:name w:val="WWNum24"/>
    <w:basedOn w:val="NoList"/>
    <w:pPr>
      <w:numPr>
        <w:numId w:val="24"/>
      </w:numPr>
    </w:pPr>
  </w:style>
  <w:style w:type="numbering" w:customStyle="1" w:styleId="WWNum25">
    <w:name w:val="WWNum25"/>
    <w:basedOn w:val="NoList"/>
    <w:pPr>
      <w:numPr>
        <w:numId w:val="25"/>
      </w:numPr>
    </w:pPr>
  </w:style>
  <w:style w:type="numbering" w:customStyle="1" w:styleId="WWNum26">
    <w:name w:val="WWNum26"/>
    <w:basedOn w:val="NoList"/>
    <w:pPr>
      <w:numPr>
        <w:numId w:val="26"/>
      </w:numPr>
    </w:pPr>
  </w:style>
  <w:style w:type="numbering" w:customStyle="1" w:styleId="WWNum27">
    <w:name w:val="WWNum27"/>
    <w:basedOn w:val="NoList"/>
    <w:pPr>
      <w:numPr>
        <w:numId w:val="27"/>
      </w:numPr>
    </w:pPr>
  </w:style>
  <w:style w:type="numbering" w:customStyle="1" w:styleId="WWNum28">
    <w:name w:val="WWNum28"/>
    <w:basedOn w:val="NoList"/>
    <w:pPr>
      <w:numPr>
        <w:numId w:val="28"/>
      </w:numPr>
    </w:pPr>
  </w:style>
  <w:style w:type="numbering" w:customStyle="1" w:styleId="WWNum29">
    <w:name w:val="WWNum29"/>
    <w:basedOn w:val="NoList"/>
    <w:pPr>
      <w:numPr>
        <w:numId w:val="29"/>
      </w:numPr>
    </w:pPr>
  </w:style>
  <w:style w:type="paragraph" w:styleId="Header">
    <w:name w:val="header"/>
    <w:basedOn w:val="Normal"/>
    <w:link w:val="HeaderChar"/>
    <w:uiPriority w:val="99"/>
    <w:unhideWhenUsed/>
    <w:rsid w:val="005D39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392B"/>
  </w:style>
  <w:style w:type="paragraph" w:styleId="Footer">
    <w:name w:val="footer"/>
    <w:basedOn w:val="Normal"/>
    <w:link w:val="FooterChar"/>
    <w:uiPriority w:val="99"/>
    <w:unhideWhenUsed/>
    <w:rsid w:val="005D39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3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A6AFE0D2DF47B6AFEF9CBE6358D9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696</Nr_x002e__x0020_akti>
    <Data_x0020_e_x0020_Krijimit xmlns="0e656187-b300-4fb0-8bf4-3a50f872073c">2025-11-27T14:27:50Z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disa ndryshime në vendimin nr.1178, datë 24.12.2020, të këshillit të ministrave, “Për përcaktimin e dokumentacionit dhe rregullave të hollësishme të evidentimit të ndërtimeve pa leje”, të ndryshuar</Titulli>
    <Modifikuesi xmlns="0e656187-b300-4fb0-8bf4-3a50f872073c">ermira.bukaci</Modifikuesi>
    <Nr_x002e__x0020_prot_x0020_QBZ xmlns="0e656187-b300-4fb0-8bf4-3a50f872073c">1987</Nr_x002e__x0020_prot_x0020_QBZ>
    <Data_x0020_e_x0020_Modifikimit xmlns="0e656187-b300-4fb0-8bf4-3a50f872073c">2025-11-27T14:50:40Z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5110/5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A6AFE0D2DF47B6AFEF9CBE6358D9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696</Nr_x002e__x0020_akti>
    <Data_x0020_e_x0020_Krijimit xmlns="0e656187-b300-4fb0-8bf4-3a50f872073c">2025-11-27T14:27:50Z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disa ndryshime në vendimin nr.1178, datë 24.12.2020, të këshillit të ministrave, “Për përcaktimin e dokumentacionit dhe rregullave të hollësishme të evidentimit të ndërtimeve pa leje”, të ndryshuar</Titulli>
    <Modifikuesi xmlns="0e656187-b300-4fb0-8bf4-3a50f872073c">ermira.bukaci</Modifikuesi>
    <Nr_x002e__x0020_prot_x0020_QBZ xmlns="0e656187-b300-4fb0-8bf4-3a50f872073c">1987</Nr_x002e__x0020_prot_x0020_QBZ>
    <Data_x0020_e_x0020_Modifikimit xmlns="0e656187-b300-4fb0-8bf4-3a50f872073c">2025-11-27T14:50:40Z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5110/5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18DC64-C755-4C90-AD31-F7D80B29A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894D56F-2BDB-4409-A9A4-4260D7B85AFE}">
  <ds:schemaRefs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2EDCA1B-2706-4141-BE34-A3A8A369BC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06BC67-FAF7-4AD3-B58A-B748CB903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C64B9E-461C-488C-BF89-D00DCBD220A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4A46FE75-6E1F-4C1C-B053-2B546772274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nr.1178, datë 24.12.2020, të këshillit të ministrave, “Për përcaktimin e dokumentacionit dhe rregullave të hollësishme të evidentimit të ndërtimeve pa leje”, të ndryshuar</vt:lpstr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nr.1178, datë 24.12.2020, të këshillit të ministrave, “Për përcaktimin e dokumentacionit dhe rregullave të hollësishme të evidentimit të ndërtimeve pa leje”, të ndryshuar</dc:title>
  <dc:creator>Dell</dc:creator>
  <cp:lastModifiedBy>Alma Lisaku</cp:lastModifiedBy>
  <cp:revision>9</cp:revision>
  <cp:lastPrinted>2025-11-25T17:44:00Z</cp:lastPrinted>
  <dcterms:created xsi:type="dcterms:W3CDTF">2025-11-27T13:53:00Z</dcterms:created>
  <dcterms:modified xsi:type="dcterms:W3CDTF">2025-11-27T14:03:00Z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